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filename1.htm"/>
      <w:bookmarkStart w:id="1" w:name="ksfilename1"/>
      <w:bookmarkEnd w:id="0"/>
      <w:bookmarkEnd w:id="1"/>
      <w:r>
        <w:rPr>
          <w:rFonts w:ascii="Times New Roman PS Std;serif" w:hAnsi="Times New Roman PS Std;serif"/>
          <w:b/>
          <w:i w:val="false"/>
          <w:caps w:val="false"/>
          <w:smallCaps w:val="false"/>
          <w:sz w:val="20"/>
        </w:rPr>
        <w:t xml:space="preserve">This is a draft registration statement that is being confidentially submitted to the </w:t>
        <w:br/>
        <w:t>Securities and Exchange Commission on August 18, 2023.</w:t>
      </w:r>
    </w:p>
    <w:p>
      <w:pPr>
        <w:pStyle w:val="TextBody"/>
        <w:keepNext w:val="false"/>
        <w:pageBreakBefore w:val="false"/>
        <w:widowControl/>
        <w:pBdr/>
        <w:bidi w:val="0"/>
        <w:spacing w:before="40" w:after="283"/>
        <w:ind w:left="0" w:right="80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        </w:t>
      </w:r>
    </w:p>
    <w:p>
      <w:pPr>
        <w:pStyle w:val="TextBody"/>
        <w:keepNext w:val="true"/>
        <w:pageBreakBefore w:val="false"/>
        <w:widowControl/>
        <w:pBdr/>
        <w:bidi w:val="0"/>
        <w:spacing w:before="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AND EXCHANGE COMMISSION</w:t>
        <w:br/>
        <w:t>WASHINGTON, D.C. 20549</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F-1</w:t>
        <w:br/>
        <w:t>REGISTRATION STATEMENT</w:t>
        <w:br/>
        <w:t>UNDER</w:t>
      </w:r>
      <w:r>
        <w:rPr>
          <w:rFonts w:ascii="Times New Roman PS Std;serif" w:hAnsi="Times New Roman PS Std;serif"/>
          <w:b/>
          <w:i/>
          <w:caps w:val="false"/>
          <w:smallCaps w:val="false"/>
          <w:sz w:val="20"/>
        </w:rPr>
        <w:br/>
      </w:r>
      <w:r>
        <w:rPr>
          <w:rFonts w:ascii="Times New Roman PS Std;serif" w:hAnsi="Times New Roman PS Std;serif"/>
          <w:b/>
          <w:i w:val="false"/>
          <w:caps w:val="false"/>
          <w:smallCaps w:val="false"/>
          <w:sz w:val="20"/>
        </w:rPr>
        <w:t>THE SECURITIES ACT OF 1933</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Trident Digital Tech Holdings Ltd</w:t>
        <w:br/>
      </w:r>
      <w:r>
        <w:rPr>
          <w:rFonts w:ascii="Times New Roman PS Std;serif" w:hAnsi="Times New Roman PS Std;serif"/>
          <w:b w:val="false"/>
          <w:i w:val="false"/>
          <w:caps w:val="false"/>
          <w:smallCaps w:val="false"/>
          <w:sz w:val="20"/>
        </w:rPr>
        <w:t>(Exact Name of Registrant as Specified in Its Charter)</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br/>
      </w:r>
      <w:r>
        <w:rPr>
          <w:rFonts w:ascii="Times New Roman PS Std;serif" w:hAnsi="Times New Roman PS Std;serif"/>
          <w:b w:val="false"/>
          <w:i w:val="false"/>
          <w:caps w:val="false"/>
          <w:smallCaps w:val="false"/>
          <w:sz w:val="20"/>
        </w:rPr>
        <w:t>(Translation of Registrant’s Name into English)</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tbl>
      <w:tblPr>
        <w:tblW w:w="8590" w:type="dxa"/>
        <w:jc w:val="left"/>
        <w:tblInd w:w="0" w:type="dxa"/>
        <w:tblLayout w:type="fixed"/>
        <w:tblCellMar>
          <w:top w:w="0" w:type="dxa"/>
          <w:left w:w="0" w:type="dxa"/>
          <w:bottom w:w="0" w:type="dxa"/>
          <w:right w:w="0" w:type="dxa"/>
        </w:tblCellMar>
      </w:tblPr>
      <w:tblGrid>
        <w:gridCol w:w="3046"/>
        <w:gridCol w:w="146"/>
        <w:gridCol w:w="2911"/>
        <w:gridCol w:w="146"/>
        <w:gridCol w:w="2341"/>
      </w:tblGrid>
      <w:tr>
        <w:trPr/>
        <w:tc>
          <w:tcPr>
            <w:tcW w:w="30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tc>
        <w:tc>
          <w:tcPr>
            <w:tcW w:w="146" w:type="dxa"/>
            <w:tcBorders/>
            <w:vAlign w:val="bottom"/>
          </w:tcPr>
          <w:p>
            <w:pPr>
              <w:pStyle w:val="TableContents"/>
              <w:bidi w:val="0"/>
              <w:spacing w:before="0" w:after="283"/>
              <w:jc w:val="left"/>
              <w:rPr/>
            </w:pPr>
            <w:r>
              <w:rPr/>
              <w:t> </w:t>
            </w:r>
          </w:p>
        </w:tc>
        <w:tc>
          <w:tcPr>
            <w:tcW w:w="29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r>
          </w:p>
        </w:tc>
      </w:tr>
      <w:tr>
        <w:trPr/>
        <w:tc>
          <w:tcPr>
            <w:tcW w:w="30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(State or Other Jurisdiction of </w:t>
              <w:br/>
              <w:t>Incorporation or Organization)</w:t>
            </w:r>
          </w:p>
        </w:tc>
        <w:tc>
          <w:tcPr>
            <w:tcW w:w="146" w:type="dxa"/>
            <w:tcBorders/>
            <w:vAlign w:val="bottom"/>
          </w:tcPr>
          <w:p>
            <w:pPr>
              <w:pStyle w:val="TableContents"/>
              <w:bidi w:val="0"/>
              <w:spacing w:before="0" w:after="283"/>
              <w:jc w:val="left"/>
              <w:rPr/>
            </w:pPr>
            <w:r>
              <w:rPr/>
              <w:t> </w:t>
            </w:r>
          </w:p>
        </w:tc>
        <w:tc>
          <w:tcPr>
            <w:tcW w:w="29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(Primary Standard Industrial </w:t>
              <w:br/>
              <w:t>Classification Code Number)</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(IRS Employer </w:t>
              <w:br/>
              <w:t>Identification Number)</w:t>
            </w:r>
          </w:p>
        </w:tc>
      </w:tr>
    </w:tbl>
    <w:p>
      <w:pPr>
        <w:pStyle w:val="TextBody"/>
        <w:keepNext w:val="true"/>
        <w:pageBreakBefore w:val="false"/>
        <w:widowControl/>
        <w:pBdr/>
        <w:bidi w:val="0"/>
        <w:spacing w:before="1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Suntec Tower 3,</w:t>
        <w:br/>
        <w:t>8 Temasek Boulevard Road, #24-03</w:t>
        <w:br/>
        <w:t>Singapore, 038988</w:t>
        <w:br/>
        <w:t>+65 8813 1312</w:t>
        <w:br/>
      </w:r>
      <w:r>
        <w:rPr>
          <w:rFonts w:ascii="Times New Roman PS Std;serif" w:hAnsi="Times New Roman PS Std;serif"/>
          <w:b w:val="false"/>
          <w:i w:val="false"/>
          <w:caps w:val="false"/>
          <w:smallCaps w:val="false"/>
          <w:sz w:val="20"/>
        </w:rPr>
        <w:t>(Address, Including Zip Code, and Telephone Number, Including Area Code, of Registrant’s Principal Executive Offices)</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w:t>
      </w:r>
    </w:p>
    <w:p>
      <w:pPr>
        <w:pStyle w:val="TextBody"/>
        <w:keepNext w:val="true"/>
        <w:pageBreakBefore w:val="false"/>
        <w:widowControl/>
        <w:pBdr/>
        <w:bidi w:val="0"/>
        <w:spacing w:before="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Address, Including Zip Code, and Telephone Number, Including Area Code, of Agent for Service)</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to:</w:t>
      </w:r>
    </w:p>
    <w:tbl>
      <w:tblPr>
        <w:tblW w:w="6928" w:type="dxa"/>
        <w:jc w:val="left"/>
        <w:tblInd w:w="0" w:type="dxa"/>
        <w:tblLayout w:type="fixed"/>
        <w:tblCellMar>
          <w:top w:w="0" w:type="dxa"/>
          <w:left w:w="0" w:type="dxa"/>
          <w:bottom w:w="0" w:type="dxa"/>
          <w:right w:w="0" w:type="dxa"/>
        </w:tblCellMar>
      </w:tblPr>
      <w:tblGrid>
        <w:gridCol w:w="3301"/>
        <w:gridCol w:w="146"/>
        <w:gridCol w:w="3481"/>
      </w:tblGrid>
      <w:tr>
        <w:trPr/>
        <w:tc>
          <w:tcPr>
            <w:tcW w:w="3301" w:type="dxa"/>
            <w:tcBorders/>
          </w:tcPr>
          <w:p>
            <w:pPr>
              <w:pStyle w:val="TableContents"/>
              <w:keepNext w:val="false"/>
              <w:widowControl/>
              <w:pBdr/>
              <w:bidi w:val="0"/>
              <w:spacing w:before="16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Stephanie Tang, Esq.</w:t>
              <w:br/>
              <w:t>Hogan Lovells</w:t>
              <w:br/>
              <w:t>11th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 One Pacific Place</w:t>
              <w:br/>
              <w:t>88 Queensway Road</w:t>
              <w:br/>
              <w:t>Hong Kong</w:t>
              <w:br/>
              <w:t>+852 2219 0888</w:t>
            </w:r>
          </w:p>
        </w:tc>
        <w:tc>
          <w:tcPr>
            <w:tcW w:w="146" w:type="dxa"/>
            <w:tcBorders/>
          </w:tcPr>
          <w:p>
            <w:pPr>
              <w:pStyle w:val="TableContents"/>
              <w:bidi w:val="0"/>
              <w:spacing w:before="0" w:after="283"/>
              <w:jc w:val="left"/>
              <w:rPr/>
            </w:pPr>
            <w:r>
              <w:rPr/>
              <w:t> </w:t>
            </w:r>
          </w:p>
        </w:tc>
        <w:tc>
          <w:tcPr>
            <w:tcW w:w="3481" w:type="dxa"/>
            <w:tcBorders/>
          </w:tcPr>
          <w:p>
            <w:pPr>
              <w:pStyle w:val="TableContents"/>
              <w:keepNext w:val="false"/>
              <w:widowControl/>
              <w:pBdr/>
              <w:bidi w:val="0"/>
              <w:spacing w:before="16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Ross David Carmel, Esq.</w:t>
              <w:br/>
              <w:t>Barry P. Biggar, Esq.</w:t>
              <w:br/>
              <w:t>Carmel Milazzo &amp; Feil LLP</w:t>
              <w:br/>
              <w:t>55 West 39th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Street, 4th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w:t>
              <w:br/>
              <w:t>New York, NY 10018</w:t>
              <w:br/>
              <w:t>+1 212 658 0458</w:t>
            </w:r>
          </w:p>
        </w:tc>
      </w:tr>
    </w:tbl>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false"/>
        <w:pageBreakBefore w:val="false"/>
        <w:widowControl/>
        <w:pBdr/>
        <w:bidi w:val="0"/>
        <w:spacing w:before="120" w:after="283"/>
        <w:ind w:left="0" w:right="0" w:firstLine="48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Approximate date of commencement of proposed sale to the public: as soon as practicable after the effective date of this registration statement.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any of the securities being registered on this Form are to be offered on a delayed or continuous basis pursuant to Rule 415 under the Securities Act of 1933,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Indicate by check mark whether the registrant is an emerging growth company as defined in Rule 405 of the Securities Act of 1933.</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Emerging growth company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 term “new or revised financial accounting standard” refers to any update issued by the Financial Accounting Standards Board to its Accounting Standards Codification after April 5, 2012.</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CALCULATION OF REGISTRATION FEE</w:t>
      </w:r>
    </w:p>
    <w:tbl>
      <w:tblPr>
        <w:tblW w:w="9205" w:type="dxa"/>
        <w:jc w:val="left"/>
        <w:tblInd w:w="0" w:type="dxa"/>
        <w:tblLayout w:type="fixed"/>
        <w:tblCellMar>
          <w:top w:w="0" w:type="dxa"/>
          <w:left w:w="0" w:type="dxa"/>
          <w:bottom w:w="0" w:type="dxa"/>
          <w:right w:w="0" w:type="dxa"/>
        </w:tblCellMar>
      </w:tblPr>
      <w:tblGrid>
        <w:gridCol w:w="6196"/>
        <w:gridCol w:w="146"/>
        <w:gridCol w:w="1246"/>
        <w:gridCol w:w="146"/>
        <w:gridCol w:w="1471"/>
      </w:tblGrid>
      <w:tr>
        <w:trPr/>
        <w:tc>
          <w:tcPr>
            <w:tcW w:w="61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 of Each of Securities To Be Registered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Proposed </w:t>
              <w:br/>
              <w:t xml:space="preserve">Maximum </w:t>
              <w:br/>
              <w:t xml:space="preserve">Aggregate </w:t>
              <w:br/>
              <w:t xml:space="preserve">Offering </w:t>
              <w:br/>
              <w:t>Price(1)</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 of </w:t>
              <w:br/>
              <w:t xml:space="preserve">Registration </w:t>
              <w:br/>
              <w:t>Fee</w:t>
            </w:r>
          </w:p>
        </w:tc>
      </w:tr>
      <w:tr>
        <w:trPr/>
        <w:tc>
          <w:tcPr>
            <w:tcW w:w="6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 par value US$0.00001 per share(2)(3)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Estimated solely for the purpose of determining the amount of registration fee in accordance with Rule 457(o) under the Securities Act of 1933.</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Class B ordinary shares that are issuable upon the exercise of the underwriters’ option to purchase additional ADSs. Also includes Class B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B ordinary shares are not being registered for the purpose of sales outside the United States.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American depositary shares issuable upon deposit of Class B ordinary shares registered hereby will be registered under a separate registration statement on Form F-6 (Registration No. 333-            ). Each American depositary share represents            Class B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color w:val="D2232A"/>
          <w:sz w:val="20"/>
        </w:rPr>
        <w:t>PRELIMINARY PROSPECTUS (Subject to Completion)</w:t>
        <w:br/>
      </w:r>
      <w:r>
        <w:rPr>
          <w:rFonts w:ascii="Times New Roman PS Std;serif" w:hAnsi="Times New Roman PS Std;serif"/>
          <w:b w:val="false"/>
          <w:i w:val="false"/>
          <w:caps w:val="false"/>
          <w:smallCaps w:val="false"/>
          <w:color w:val="D2232A"/>
          <w:sz w:val="20"/>
        </w:rPr>
        <w:t>Dated            , 2023.</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            ] American Depositary Shares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[Company Logo]</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Trident Digital Tech Holdings Ltd</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tbl>
      <w:tblPr>
        <w:tblW w:w="5503" w:type="dxa"/>
        <w:jc w:val="left"/>
        <w:tblInd w:w="0" w:type="dxa"/>
        <w:tblLayout w:type="fixed"/>
        <w:tblCellMar>
          <w:top w:w="0" w:type="dxa"/>
          <w:left w:w="0" w:type="dxa"/>
          <w:bottom w:w="0" w:type="dxa"/>
          <w:right w:w="0" w:type="dxa"/>
        </w:tblCellMar>
      </w:tblPr>
      <w:tblGrid>
        <w:gridCol w:w="1921"/>
        <w:gridCol w:w="146"/>
        <w:gridCol w:w="3436"/>
      </w:tblGrid>
      <w:tr>
        <w:trPr/>
        <w:tc>
          <w:tcPr>
            <w:tcW w:w="192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Representing</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Class B Ordinary Shares</w:t>
            </w:r>
          </w:p>
        </w:tc>
      </w:tr>
    </w:tbl>
    <w:p>
      <w:pPr>
        <w:pStyle w:val="TextBody"/>
        <w:keepNext w:val="false"/>
        <w:pageBreakBefore w:val="false"/>
        <w:widowControl/>
        <w:pBdr/>
        <w:bidi w:val="0"/>
        <w:spacing w:before="8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This is the initial public offering of American depositary shares, or ADSs, of Trident Digital Tech Holdings Ltd. We are offering            ADSs. Each ADS represents            Class B ordinary shares, par value US$0.00001 per share. We anticipate that the initial public offering price per ADS will be between US$            and US$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Prior to this offering, there has been no public market for our ADSs or our Class B ordinary shares. We intend to apply to list the ADSs on 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Nasdaq Global Market under the symbol “TDTH.”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Following the completion of this offering, our issued and outstanding share capital will consist of [  ] Class A ordinary shares and [  ] Class B ordinary shares. 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Soon Huat Lim will beneficially own all of our issued Class A ordinary shares and will be able to exercise [  ]% of the total voting power of our issued and outstanding share capital immediately following the completion of this offering.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Soon Huat Lim, such Class A ordinary shares will be automatically and immediately converted into the same number of Class B ordinary share. See “Description of Share Capital.” Immediately following the completion of this offering, we will be a “controlled company” within the meaning of the Nasdaq Stock Market Rules. See “Principal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We are an “emerging growth company” under applicable U.S. federal securities laws and are eligible for reduced public company reporting requirements.</w:t>
      </w:r>
    </w:p>
    <w:p>
      <w:pPr>
        <w:pStyle w:val="TextBody"/>
        <w:keepNext w:val="false"/>
        <w:pageBreakBefore w:val="false"/>
        <w:widowControl/>
        <w:pBdr/>
        <w:bidi w:val="0"/>
        <w:spacing w:before="8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ADSs involves risks. See “</w:t>
      </w:r>
      <w:r>
        <w:rPr>
          <w:rFonts w:ascii="Times New Roman PS Std;serif" w:hAnsi="Times New Roman PS Std;serif"/>
          <w:b/>
          <w:i/>
          <w:caps w:val="false"/>
          <w:smallCaps w:val="false"/>
          <w:sz w:val="20"/>
          <w:u w:val="single"/>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11.</w:t>
      </w:r>
    </w:p>
    <w:p>
      <w:pPr>
        <w:pStyle w:val="TextBody"/>
        <w:keepNext w:val="true"/>
        <w:pageBreakBefore w:val="false"/>
        <w:widowControl/>
        <w:pBdr/>
        <w:bidi w:val="0"/>
        <w:spacing w:before="120" w:after="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PRICE US$            PER ADS</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tbl>
      <w:tblPr>
        <w:tblW w:w="5800" w:type="dxa"/>
        <w:jc w:val="left"/>
        <w:tblInd w:w="0" w:type="dxa"/>
        <w:tblLayout w:type="fixed"/>
        <w:tblCellMar>
          <w:top w:w="0" w:type="dxa"/>
          <w:left w:w="0" w:type="dxa"/>
          <w:bottom w:w="0" w:type="dxa"/>
          <w:right w:w="0" w:type="dxa"/>
        </w:tblCellMar>
      </w:tblPr>
      <w:tblGrid>
        <w:gridCol w:w="4021"/>
        <w:gridCol w:w="146"/>
        <w:gridCol w:w="856"/>
        <w:gridCol w:w="146"/>
        <w:gridCol w:w="631"/>
      </w:tblGrid>
      <w:tr>
        <w:trPr/>
        <w:tc>
          <w:tcPr>
            <w:tcW w:w="4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Per ADS</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Initial public offering price</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Underwriting discounts and commissions</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Proceeds, before expenses, to us</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       See “Underwriting” for additional disclosure regarding underwriting compensation payable by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We expect our total cash expenses for this offering (including cash expenses payable to our underwriters for their out-of-pocket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expenses) to be approximately US$            , exclusive of the above discounts and commissions. In addition, we will pay additional items of value in connection with this offering that are viewed by the Financial Industry Regulatory Authority, or FINRA, as underwriting compensation. These payments will further reduce proceeds available to us before expenses. See “Underwriting.”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We have granted the underwriters an option to purchase up to an additional            ADSs to cover over-allotments.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 underwriters expect to deliver the ADSs against payment in U.S. dollars to purchasers on or about            , 2023.</w:t>
      </w:r>
    </w:p>
    <w:p>
      <w:pPr>
        <w:pStyle w:val="TextBody"/>
        <w:keepNext w:val="true"/>
        <w:pageBreakBefore w:val="false"/>
        <w:widowControl/>
        <w:pBdr/>
        <w:bidi w:val="0"/>
        <w:spacing w:before="30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US Tiger Securities, Inc.</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Prospectus dated            , 2023</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[Page intentionally left blank for graphics]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7">
              <w:r>
                <w:rPr>
                  <w:rStyle w:val="InternetLink"/>
                  <w:rFonts w:ascii="Times New Roman PS Std;serif" w:hAnsi="Times New Roman PS Std;serif"/>
                  <w:b w:val="false"/>
                  <w:i w:val="false"/>
                  <w:caps w:val="false"/>
                  <w:smallCaps w:val="false"/>
                  <w:sz w:val="20"/>
                </w:rPr>
                <w:t>PROSPECTUS SUMMARY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6">
              <w:r>
                <w:rPr>
                  <w:rStyle w:val="InternetLink"/>
                  <w:rFonts w:ascii="Times New Roman PS Std;serif" w:hAnsi="Times New Roman PS Std;serif"/>
                  <w:b w:val="false"/>
                  <w:i w:val="false"/>
                  <w:caps w:val="false"/>
                  <w:smallCaps w:val="false"/>
                  <w:sz w:val="20"/>
                </w:rPr>
                <w:t>RISK FACTORS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5">
              <w:r>
                <w:rPr>
                  <w:rStyle w:val="InternetLink"/>
                  <w:rFonts w:ascii="Times New Roman PS Std;serif" w:hAnsi="Times New Roman PS Std;serif"/>
                  <w:b w:val="false"/>
                  <w:i w:val="false"/>
                  <w:caps w:val="false"/>
                  <w:smallCaps w:val="false"/>
                  <w:sz w:val="20"/>
                </w:rPr>
                <w:t>SPECIAL NOTE REGARDING FORWARD-LOOKING STATEMENTS AND INDUSTRY DATA</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4">
              <w:r>
                <w:rPr>
                  <w:rStyle w:val="InternetLink"/>
                  <w:rFonts w:ascii="Times New Roman PS Std;serif" w:hAnsi="Times New Roman PS Std;serif"/>
                  <w:b w:val="false"/>
                  <w:i w:val="false"/>
                  <w:caps w:val="false"/>
                  <w:smallCaps w:val="false"/>
                  <w:sz w:val="20"/>
                </w:rPr>
                <w:t>USE OF PROCEEDS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3">
              <w:r>
                <w:rPr>
                  <w:rStyle w:val="InternetLink"/>
                  <w:rFonts w:ascii="Times New Roman PS Std;serif" w:hAnsi="Times New Roman PS Std;serif"/>
                  <w:b w:val="false"/>
                  <w:i w:val="false"/>
                  <w:caps w:val="false"/>
                  <w:smallCaps w:val="false"/>
                  <w:sz w:val="20"/>
                </w:rPr>
                <w:t>DIVIDEND POLICY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2">
              <w:r>
                <w:rPr>
                  <w:rStyle w:val="InternetLink"/>
                  <w:rFonts w:ascii="Times New Roman PS Std;serif" w:hAnsi="Times New Roman PS Std;serif"/>
                  <w:b w:val="false"/>
                  <w:i w:val="false"/>
                  <w:caps w:val="false"/>
                  <w:smallCaps w:val="false"/>
                  <w:sz w:val="20"/>
                </w:rPr>
                <w:t>CAPITALIZATION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1">
              <w:r>
                <w:rPr>
                  <w:rStyle w:val="InternetLink"/>
                  <w:rFonts w:ascii="Times New Roman PS Std;serif" w:hAnsi="Times New Roman PS Std;serif"/>
                  <w:b w:val="false"/>
                  <w:i w:val="false"/>
                  <w:caps w:val="false"/>
                  <w:smallCaps w:val="false"/>
                  <w:sz w:val="20"/>
                </w:rPr>
                <w:t>DILUTION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0">
              <w:r>
                <w:rPr>
                  <w:rStyle w:val="InternetLink"/>
                  <w:rFonts w:ascii="Times New Roman PS Std;serif" w:hAnsi="Times New Roman PS Std;serif"/>
                  <w:b w:val="false"/>
                  <w:i w:val="false"/>
                  <w:caps w:val="false"/>
                  <w:smallCaps w:val="false"/>
                  <w:sz w:val="20"/>
                </w:rPr>
                <w:t>ENFORCEABILITY OF CIVIL LIABILITIES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CORPORATE HISTORY AND STRUCTURE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SELECTED CONSOLIDATED FINANCIAL DATA</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INDUSTRY</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BUSINESS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REGULATION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MANAGEMENT</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PRINCIPAL SHAREHOLDERS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RELATED PARTY TRANSACTIONS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DESCRIPTION OF SHARE CAPITAL</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DESCRIPTION OF AMERICAN DEPOSITARY SHARES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SHARES ELIGIBLE FOR FUTURE SALE</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TAXATION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UNDERWRITING</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EXPENSES RELATED TO THIS OFFERING</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LEGAL MATTERS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EXPERTS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WHERE YOU CAN FIND ADDITIONAL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INDEX TO CONSOLIDATED FINANCIAL STATEMENTS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this prospectus or in any related free writing prospectus. We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any of the underwriters have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 about and observe any restrictions relating to the offering of the ADSs and the distribution of this prospectus or any filed free writing prospectus outside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Until             , 2023 (the 25th</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3" w:name="T27"/>
      <w:bookmarkEnd w:id="3"/>
      <w:r>
        <w:rPr>
          <w:rFonts w:ascii="Times New Roman PS Std;serif" w:hAnsi="Times New Roman PS Std;serif"/>
          <w:b/>
          <w:i w:val="false"/>
          <w:caps w:val="false"/>
          <w:smallCaps w:val="false"/>
          <w:sz w:val="20"/>
          <w:bdr w:val="single" w:sz="8" w:space="10" w:color="000000"/>
        </w:rPr>
        <w:t>PROSPECTUS SUMMARY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following summary is qualified in its entirety by, and should be read in conjunction with, the more detailed information and financial statements appearing elsewhere in this prospectus, especially our consolidated financial statements and the related notes and sections titled “Risk Factors,” “Business,” and “Management’s Discussion and Analysis of Financial Condition and Results of Operations.” This prospectus contains information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leading digital transformation enabler in the small and medium enterprise, or the SME segment of the e-commerce enablement and digital optimizing services market in Singapore. We offer business and technology solutions which are designed to optimize our clients’ experiences with their customers by driving digital adoption and self-service.</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e-commerce enablement and digital optimizing services market in Singapore. According to the Frost &amp; Sullivan Report, among the Singapore-based companies who have been approved to participate in the SMEs Go Digital program led by Infocomm Media Development Authority, a statutory board under the Singapore Ministry of Communications and Information of the Republic of Singapore, we ranked fourth, contributing to 1.5% of the SME segment of the e-commerce enablement and digital optimizing services market in Singapore in 2022.</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Business consulting:    </w:t>
      </w:r>
      <w:r>
        <w:rPr>
          <w:rFonts w:ascii="Times New Roman PS Std;serif" w:hAnsi="Times New Roman PS Std;serif"/>
          <w:b w:val="false"/>
          <w:i w:val="false"/>
          <w:caps w:val="false"/>
          <w:smallCaps w:val="false"/>
          <w:sz w:val="20"/>
          <w:bdr w:val="single" w:sz="8" w:space="10" w:color="000000"/>
        </w:rPr>
        <w:t>We support clients to define and deliver technology-enabled 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IT customization:    </w:t>
      </w:r>
      <w:r>
        <w:rPr>
          <w:rFonts w:ascii="Times New Roman PS Std;serif" w:hAnsi="Times New Roman PS Std;serif"/>
          <w:b w:val="false"/>
          <w:i w:val="false"/>
          <w:caps w:val="false"/>
          <w:smallCaps w:val="false"/>
          <w:sz w:val="20"/>
          <w:bdr w:val="single" w:sz="8" w:space="10" w:color="000000"/>
        </w:rPr>
        <w:t>We offer solutions and services to plan, design, operate, optimize and 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plan to launch a Web 3.0 e-commerce platform whereby customers and merchants can transact in a transparent and secure way, or Tridentity, in the fourth quarter of 2023. We believe Tridentity addresses a massive market opportunity today and provides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Strengths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the following strengths have contributed to our continued success: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leading digital transformation enabler in the SME segment of the e-commerce enablement and digital optimizing services market in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proprietary technology architecture;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unique perspective and efficient operational capabilities;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seasoned and visionary management team with international perspective.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intend to further grow our business by pursuing the following strategies: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capitalize on a generational shift to Web 3.0;</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expand and grow our client base;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broaden our geographical reach;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selectively pursue strategic acquisitions.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of Risk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Investing in our ADSs involves significant risks. You should carefully consider all of the information in this prospectus before making an investment in our ADSs. Below please find a summary of the principal risks we face, organized under relevant headings. These risks are discussed more fully in the section titled “Risk Factors.”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Our Business and Industry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rapid growth may not be sustainable or indicative of our future growth. Our business could be harmed if we fail to manage our infrastructure to support future growth.</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Substantially all of our revenues are generated by sales to clients in our targeted verticals, and factors, including Singapore and global market and economic conditions, that adversely affect the applicable industry could also adversely affect us.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are not able to introduce new features or services successfully and to make enhancements to our solutions and services, our business and results of operations could be adversely affected.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face intense competition, which could limit our ability to maintain or expand market share within our industry, and if we do not maintain or expand our market share, our business, financial condition, and operating results will be harmed.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expect fluctuations in our operating results, making it difficult to project future results, and if we fail to meet the expectations of securities analysts or investors with respect to our operating results, the market price of our ADSs could decline.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business, financial condition, and results of operations are subject to risks associated with rising interest rates, which could negatively impact our ability to maintain the current financing and obtain additional financing.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might not implement our growth strategies successfully which would limit our growth and cause the market price of our ADS to decline.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Interruptions or performance problems associated with our infrastructure may adversely affect our business, results of operations and financial condition.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depend on the reliable performance of Internet infrastructure, bandwidth providers, data center providers, cloud providers, mobile infrastructure, and other third parties.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business generates and processes a large amount of consumer data, and the improper use, collection or disclosure of such data could subject us to significant reputational, financial, legal and operational consequences.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Failure to protect our intellectual property or proprietary rights could substantially harm our business and results of operations.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rely on the performance of senior management team and highly skilled personnel; if we are unable to retain or motivate key personnel or hire, retain and motivate qualified personnel, our business would be harmed.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subject to legal proceedings in the ordinary course of our business. If the outcomes of these proceedings are adverse to us, it could have a material adverse effect on our business,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the Jurisdictions Where We Operate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exposed to risks in respect of acts of war, terrorist attacks, epidemics, political unrest, natural disasters, adverse weather and other uncontrollable events.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our ADSs and This Offering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 active trading market for our ordinary shares or our ADSs may not develop and the trading price for our ADSs may fluctuate significantly.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an emerging growth company within the meaning of the Securities Act and may take advantage of certain reduced reporting requirements.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will be a “controlled company” under the Nasdaq Stock Market Rules upon the completion of this offering and, as a result, may rely on exemptions from certain corporate governance requirements that provide protection to shareholders of other companies.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History and Structure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June and July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completion of the reorganization, Quality Zone Technologies Pte. Ltd. became a wholly-owned subsidiary of Trident Digital Tech Holdings Ltd and Trident Digital Tech Pte. Ltd. became a wholly-owned subsidiary of Quality Zone Technologies Pte. Ltd.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diagram below illustrates our corporate structure as of the date of this prospectus:</w:t>
      </w:r>
    </w:p>
    <w:p>
      <w:pPr>
        <w:pStyle w:val="TextBody"/>
        <w:keepNext w:val="false"/>
        <w:pageBreakBefore w:val="false"/>
        <w:widowControl/>
        <w:pBdr/>
        <w:bidi w:val="0"/>
        <w:spacing w:before="160" w:after="283"/>
        <w:jc w:val="center"/>
        <w:rPr>
          <w:caps w:val="false"/>
          <w:smallCaps w:val="false"/>
          <w:bdr w:val="single" w:sz="8" w:space="10" w:color="000000"/>
        </w:rPr>
      </w:pPr>
      <w:r>
        <w:rPr>
          <w:caps w:val="false"/>
          <w:smallCaps w:val="false"/>
          <w:bdr w:val="single" w:sz="8" w:space="10" w:color="000000"/>
        </w:rPr>
        <w:drawing>
          <wp:inline distT="0" distB="0" distL="0" distR="0">
            <wp:extent cx="3371850" cy="20694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71850" cy="2069465"/>
                    </a:xfrm>
                    <a:prstGeom prst="rect">
                      <a:avLst/>
                    </a:prstGeom>
                  </pic:spPr>
                </pic:pic>
              </a:graphicData>
            </a:graphic>
          </wp:inline>
        </w:drawing>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 of Being an Emerging Growth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will remain an emerging growth company until the earliest of (i) the last day of the fiscal year during which we have total annual gross revenues of at least US$1.235 billion; (ii) the last day of our fiscal year following the fifth anniversary of the completion of this offering; (iii) the date on which we have, during the preceding three-year period, issued more than US$1.0 billion in non-convertible debt; or (iv)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 Controlled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completion of this offering, Mr. Soon Huat Lim, our founder, chairman of board of directors and chief executive officer will beneficially own [            ]% of our total issued and outstanding ordinary shares, representing [            ]% of the total voting power, assuming that the underwriters do not exercise their over-allotment option, or [            ]% of our total issued and outstanding ordinary shares, representing [            ]% of the total voting power, assuming that the over-allotment option is exercised in full. As a result, we will be a “controlled company” as defined under the Nasdaq Stock Market Rules because Mr. Lim will hold more than 50% of the voting power for the election of directors. As a “controlled company,” we are permitted to elect not to comply with certain corporate governance requirements. If we rely on these exemptions, you will not have the same protection afforded to shareholders of companies that are subject to these corporate governance requirements. See “Risk Factors — Risks Relating to Our ADSs and This Offering — We will be a “controlled company” under the Nasdaq Stock Market Rules upon the completion of this offering and, as a result, may rely on exemptions from certain corporate governance requirements that provide protection to shareholders of other companies.”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 Foreign Private Issuer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Nasdaq Stock Market Rules corporate governance listing standards. See “Risk Factors — Risks Related to Our ADSs and This Offering — As a company incorporated in the Cayman Islands, we are permitted to adopt certain home country practices in relation to corporate governance matters that differ significantly from the Nasdaq Stock Market Rules.”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principal executive office is located at Suntec Tower 3, 8 Temasek Boulevard Road, #24-03, Singapore, 038988. Our telephone number at this address is +65 8813 1312. Our registered office in the Cayman Islands is located at the Office of Sertus Incorporations (Cayman) Limited, Sertus Chambers, Governors Square, Suite # 5-204, 23 Lime Tree Bay Avenue, P.O. Box 2547, Grand Cayman, KY1-1104, Cayman Islands. Our agent for service of process in the United States is [            ], located at [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Investors should contact us for any inquiries through the address and telephone number of our principal executive offices. Our website is [            ]. The information contained on our website is not a part of this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Conventions That Apply To This Prospectus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Except where the context otherwise requires and for purposes of this prospectus only: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ADRs” refers to the American depositary receipts that evidence our ADSs;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ADSs” refers to our American depositary shares, each of which represents            Class B ordinary shares;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CAGR” refers to compound annual growth rate;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Class A ordinary shares” refers to our Class A ordinary shares, par value US$0.00001 per share;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Class B ordinary shares” refers to our Class B ordinary shares, par value US$0.00001 per share;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GDP” refers to gross domestic product;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IMDA” refers to Infocomm Media Development Authority, a statutory board under the Singapore Ministry of Communications and Information of the Republic of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ordinary shares” refers to our Class A and Class B ordinary shares, par value US$0.00001 per share;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QZT” refers to Quality Zone Technologies Pte. Ltd., a company incorporated in Singapore, and a direct wholly-owned subsidiary of our Company;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 or “SGD” refers to the Singapore dollar, the legal currency of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SEC” refers to the United States Securities and Exchange Commission;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Singapore” refers to the Republic of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SME” refers to small and medium enterprises;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Trident Singapore” refers to Trident Digital Tech Pte. Ltd., a company incorporated in Singapore, and an indirect wholly-owned subsidiary of our Company;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 “$,” “dollars,” or “U.S. dollars” refers to the legal currency of the United States;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 GAAP” refers to generally accepted accounting principles in the United States;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“us,” “our company,” the “Company,” “Trident Cayman” and “our” refer to Trident Digital Tech Holdings Ltd, a Cayman Islands company and its subsidiaries.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Substantially all of our revenues and expenditures are denominated in SGD, whereas our reporting currency is the U.S. dollar. This prospectus contains translations of SGD into U.S. dollars solely for the convenience of the reader. Unless otherwise stated, all translations of SGD into U.S. dollars in this prospectus were made at the rate of SGD1.3404 to US$1.00, the noon buying rate on December 31, 2022, as set forth in the H.10 statistical release of the U.S. Federal Reserve Board. We make no representation that the SGD or U.S. dollar amounts referred to in this prospectus could have been or could be converted into U.S. dollars or SGD, as the case may be, at any particular rate or at all.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assumes that the underwriters will not exercise their option to purchase additional ADSs in the offering, unless otherwise indicated.</w:t>
      </w:r>
    </w:p>
    <w:tbl>
      <w:tblPr>
        <w:tblW w:w="10205" w:type="dxa"/>
        <w:jc w:val="left"/>
        <w:tblInd w:w="0" w:type="dxa"/>
        <w:tblLayout w:type="fixed"/>
        <w:tblCellMar>
          <w:top w:w="0" w:type="dxa"/>
          <w:left w:w="0" w:type="dxa"/>
          <w:bottom w:w="0" w:type="dxa"/>
          <w:right w:w="0" w:type="dxa"/>
        </w:tblCellMar>
      </w:tblPr>
      <w:tblGrid>
        <w:gridCol w:w="1756"/>
        <w:gridCol w:w="146"/>
        <w:gridCol w:w="8303"/>
      </w:tblGrid>
      <w:tr>
        <w:trPr/>
        <w:tc>
          <w:tcPr>
            <w:tcW w:w="17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Price</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the initial public offering price will be between US$            and US$            per ADS.</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ADSs offered by us</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ADSs (or            ADSs if the underwriters exercise their option to purchase additional ADSs in full).</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ADSs Outstanding immediately after this offering</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            ADSs (or            ADSs if the underwriters exercise their option to purchase additional ADS in full).</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outstanding immediately after this offering</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            Class A ordinary shares and            Class B ordinary shares (or            Class B ordinary shares if the underwriters exercise their option to purchase additional ADS in full).</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ADS represents            Class B ordinary shares, par value US$0.00001 per share. The ADSs generally are uncertificated.</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hold the Class B ordinary shares underlying your ADSs and you will have rights as provided in the deposit agreement.</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declare dividends on our Class B ordinary shares, the depositary will pay you the cash dividends and other distributions it receives on our Class B ordinary shares, after deducting its fees and expenses in accordance with the terms set forth in the deposit agreement.</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surrender your ADSs to the depositary in exchange for our Class B ordinary shares. The depositary will charge you fees for any exchange. We may amend or terminate the deposit agreement without your consent. If you continue to hold your ADSs, you agree to be bound by the deposit agreement as amended.</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 to purchase additional ADSs</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granted to the underwriters an option, which is exercisable within            days from the date of this prospectus, to purchase up to            additional ADSs.</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we will receive net proceeds of approximately US$            million from this offering (or US$            million if the underwriters exercise their option to purchase additional ADSs in full), after deducting the underwriting discounts, commissions, and estimated offering expenses payable by us and assuming an initial public offering price of US$            per ADS, being the mid-point of the estimated range of the initial public offering price shown on the front cover of this prospectus.</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use the net proceeds we receive from this offering to invest in research and development, the Singapore market, and for general corporate purposes. See “Use of Proceeds” for additional information.</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92"/>
        <w:gridCol w:w="146"/>
        <w:gridCol w:w="8667"/>
      </w:tblGrid>
      <w:tr>
        <w:trPr/>
        <w:tc>
          <w:tcPr>
            <w:tcW w:w="139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Lock-up</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our directors and executive officers, and principal shareholders are expected to enter into lock-up agreements with the Underwriter not to sell, transfer, or dispose of any Class B ordinary shares for a period of up to six months after this offering is completed.] See “Underwriting” for more information.</w:t>
            </w:r>
          </w:p>
        </w:tc>
      </w:tr>
      <w:tr>
        <w:trPr/>
        <w:tc>
          <w:tcPr>
            <w:tcW w:w="139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[Directed Share Program]</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our request, the underwriters have reserved for sale, at the initial public offering price, up to an aggregate of            ADSs offered in this offering to our directors, officers, employees, business associates and related persons.]</w:t>
            </w:r>
          </w:p>
        </w:tc>
      </w:tr>
      <w:tr>
        <w:trPr/>
        <w:tc>
          <w:tcPr>
            <w:tcW w:w="139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“Risk Factors” and other information included in this prospectus for a discussion of the risks you should carefully consider before investing in the ADSs.</w:t>
            </w:r>
          </w:p>
        </w:tc>
      </w:tr>
      <w:tr>
        <w:trPr/>
        <w:tc>
          <w:tcPr>
            <w:tcW w:w="139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Listing</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apply to have the ADSs listed on the Nasdaq Global Market under the symbol “TDTH.” Our ADSs and Class B ordinary shares will not be listed on any other stock exchanges or traded on any automated quotation system.</w:t>
            </w:r>
          </w:p>
        </w:tc>
      </w:tr>
      <w:tr>
        <w:trPr/>
        <w:tc>
          <w:tcPr>
            <w:tcW w:w="139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and Settlement</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are expected to be delivered against payment on            , 2023. They will be registered in the name of a nominee of The Depository Trust Company, or DTC.</w:t>
            </w:r>
          </w:p>
        </w:tc>
      </w:tr>
      <w:tr>
        <w:trPr/>
        <w:tc>
          <w:tcPr>
            <w:tcW w:w="139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Depositary</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number of ordinary shares that will be issued and outstanding immediately after this offering: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is based on            issued and outstanding ordinary shares as of the date of this prospectus;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includes            Class B ordinary shares in the form of ADSs that we will issue and sell in this offering, assuming the underwriters do not exercise their option to purchase additional ADSs;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excludes ordinary shares issuable upon exercise of our outstanding options, ordinary shares reserved for future issuances under our 2023 Equity Incentive Plan, and ordinary shares that are treated as treasury stock for accounting purposes and are subject to forfeiture if vesting conditions are not met.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CONSOLIDATED FINANCIAL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following table presents our summary consolidated statements of operations data for the periods indicated. </w:t>
      </w:r>
    </w:p>
    <w:tbl>
      <w:tblPr>
        <w:tblW w:w="10205" w:type="dxa"/>
        <w:jc w:val="left"/>
        <w:tblInd w:w="0" w:type="dxa"/>
        <w:tblLayout w:type="fixed"/>
        <w:tblCellMar>
          <w:top w:w="0" w:type="dxa"/>
          <w:left w:w="0" w:type="dxa"/>
          <w:bottom w:w="0" w:type="dxa"/>
          <w:right w:w="0" w:type="dxa"/>
        </w:tblCellMar>
      </w:tblPr>
      <w:tblGrid>
        <w:gridCol w:w="6382"/>
        <w:gridCol w:w="146"/>
        <w:gridCol w:w="241"/>
        <w:gridCol w:w="1306"/>
        <w:gridCol w:w="196"/>
        <w:gridCol w:w="146"/>
        <w:gridCol w:w="241"/>
        <w:gridCol w:w="1306"/>
        <w:gridCol w:w="241"/>
      </w:tblGrid>
      <w:tr>
        <w:trPr/>
        <w:tc>
          <w:tcPr>
            <w:tcW w:w="63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657,092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(456,645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200,447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(123,533</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(174,377</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(297,910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expenses,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136,576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156,220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131,790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155,475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(Loss)/Income before income tax expense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(loss)/income</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29,967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(loss)/income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(1,166,971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29,661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 basic and diluted</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earnings per ordinary share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our summary consolidated balance sheet data as of the dates indicated.</w:t>
      </w:r>
    </w:p>
    <w:tbl>
      <w:tblPr>
        <w:tblW w:w="7573" w:type="dxa"/>
        <w:jc w:val="left"/>
        <w:tblInd w:w="0" w:type="dxa"/>
        <w:tblLayout w:type="fixed"/>
        <w:tblCellMar>
          <w:top w:w="0" w:type="dxa"/>
          <w:left w:w="0" w:type="dxa"/>
          <w:bottom w:w="0" w:type="dxa"/>
          <w:right w:w="0" w:type="dxa"/>
        </w:tblCellMar>
      </w:tblPr>
      <w:tblGrid>
        <w:gridCol w:w="4276"/>
        <w:gridCol w:w="146"/>
        <w:gridCol w:w="241"/>
        <w:gridCol w:w="1291"/>
        <w:gridCol w:w="196"/>
        <w:gridCol w:w="146"/>
        <w:gridCol w:w="241"/>
        <w:gridCol w:w="1036"/>
      </w:tblGrid>
      <w:tr>
        <w:trPr/>
        <w:tc>
          <w:tcPr>
            <w:tcW w:w="427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151"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27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1,403,172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422,242</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2,639,900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424,656</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4,328,759</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471,332</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our selected consolidated statements of cash flow data for the periods indicated.</w:t>
      </w:r>
    </w:p>
    <w:tbl>
      <w:tblPr>
        <w:tblW w:w="8219" w:type="dxa"/>
        <w:jc w:val="left"/>
        <w:tblInd w:w="0" w:type="dxa"/>
        <w:tblLayout w:type="fixed"/>
        <w:tblCellMar>
          <w:top w:w="0" w:type="dxa"/>
          <w:left w:w="0" w:type="dxa"/>
          <w:bottom w:w="0" w:type="dxa"/>
          <w:right w:w="0" w:type="dxa"/>
        </w:tblCellMar>
      </w:tblPr>
      <w:tblGrid>
        <w:gridCol w:w="5056"/>
        <w:gridCol w:w="146"/>
        <w:gridCol w:w="226"/>
        <w:gridCol w:w="1066"/>
        <w:gridCol w:w="181"/>
        <w:gridCol w:w="146"/>
        <w:gridCol w:w="226"/>
        <w:gridCol w:w="946"/>
        <w:gridCol w:w="226"/>
      </w:tblGrid>
      <w:tr>
        <w:trPr/>
        <w:tc>
          <w:tcPr>
            <w:tcW w:w="5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1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r>
      <w:tr>
        <w:trPr/>
        <w:tc>
          <w:tcPr>
            <w:tcW w:w="5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39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244,100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66,030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17,637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year</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273,593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26"/>
      <w:bookmarkEnd w:id="4"/>
      <w:r>
        <w:rPr>
          <w:rFonts w:ascii="Times New Roman PS Std;serif" w:hAnsi="Times New Roman PS Std;serif"/>
          <w:b/>
          <w:i w:val="false"/>
          <w:caps w:val="false"/>
          <w:smallCaps w:val="false"/>
          <w:sz w:val="20"/>
        </w:rPr>
        <w:t>RISK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Business and Industry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rapid growth may not be sustainable or indicative of our future growth.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recent rapid growth may not be sustainable or indicative of our future growth. Even though the number of clients who use our solutions has grown rapidly in recent years, there can be no assurance that we will be able to attract new clients or retain existing clients. In future periods, our revenues could grow more slowly than in recent periods or decline for a number of reasons, including any reduction in demand for our solutions and services, increase in competition, limited ability to, or our decision not to, increase pricing, or our failure to capitalize on growth opportunities. We have encountered in the past, and will encounter in the future, risks and uncertainties frequently experienced by growing companies in new and rapidly changing markets.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would suffer.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could be harmed if we fail to manage our infrastructure to support future growth.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rapid growth we have experienced in our business places significant demands on our operational infrastructure. The scalability and flexibility of our solutions and services depend on the functionality of our technology and network infrastructure and its ability to handle increased traffic and demand for bandwidth. The growth in the number of clients and their customers using our solutions and services has increased the amount of data that we process. Any problems with the transmission of increased data could result in harm to our brand or reputation. Moreover, as our business grows, we will need to devote additional resources to improving our operational infrastructure and continuing to enhance its scalability in order to maintain the performance of our solutions and services, including client support, risk and compliance operations, and other solutions services. Any failure of or delay in these efforts could result in service interruptions, impaired system performance, and reduced client satisfaction. If sustained or repeated, these performance issues could reduce the attractiveness of our solutions and services to our clients and could result in lost client opportunities and higher attrition rates, any of which could hurt our revenue growth, client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Substantially all of our revenues are generated by sales to clients in our targeted verticals, and factors, including Singapore and global market and economic conditions, that adversely affect the applicable industry could also adversely affect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substantially all of our sales are to clients in the e-commerce, food and beverage, fintech, healthcare and service, wholesale and retail industries</w:t>
      </w:r>
      <w:r>
        <w:rPr>
          <w:rFonts w:ascii="Times New Roman PS Std;serif" w:hAnsi="Times New Roman PS Std;serif"/>
          <w:b w:val="false"/>
          <w:i/>
          <w:caps w:val="false"/>
          <w:smallCaps w:val="false"/>
          <w:sz w:val="20"/>
        </w:rPr>
        <w:t xml:space="preserve">. </w:t>
      </w:r>
      <w:r>
        <w:rPr>
          <w:rFonts w:ascii="Times New Roman PS Std;serif" w:hAnsi="Times New Roman PS Std;serif"/>
          <w:b w:val="false"/>
          <w:i w:val="false"/>
          <w:caps w:val="false"/>
          <w:smallCaps w:val="false"/>
          <w:sz w:val="20"/>
        </w:rPr>
        <w:t>Demand for our solutions could be affected by factors that are unique to and adversely affect our targeted verticals. For example, changes in applicable laws and regulations could significantly impact the software functionality demanded by our clients and require us to expend significant resources to ensure our solutions continue to meet their evolving needs. In addition, other industry-specific factors, such as industry consolidation or the introduction of competing technology, could lead to a significant reduction in the number of clients that use our solutions within a particular vertical or the services demanded by these clients.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general worldwide economic conditions remain unstable, making it difficult for our clients and us to forecast and plan future business activities accurately. Adverse changes in global economic and political conditions could result in significant decreases in demand for our solutions, including the delay or cancellation of current or anticipated projects, and reduction in IT spending by our clients and potential clients, or could present difficulties in collecting accounts receivables from our clients due to their deteriorating financial condition. Our existing clients may be acquired by or merged into other entities that use our competitors’ solutions and services, or they may decide to terminate their relationships with us for other reasons. As a result, our ability to generate revenues from our clients could be adversely affected by specific factors that affect these industries.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not able to introduce new features or services successfully and to make enhancements to our solutions and services, our business and results of operations could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attract new clients and increase revenue from existing clients depends in part on our ability to enhance and improve our solutions and to introduce new features and services. For example, we plan to introduce Tridentity, our Web 3.0-enabled e-commerce platform whereby customers and merchants can transact in a transparent and secure way, in the fourth quarter of 2023. To grow our business and remain competitive, we must continue to enhance our solutions and develop features that reflect the constantly evolving nature of technology and our clients’ needs. The success of our solutions, enhancements or developments depends on several factors: our anticipation of market changes, demands, and software features, including timely solution introduction and conclusion, sufficient client demand, cost effectiveness in our solution and service development efforts and the proliferation of new technologies that are able to deliver competitive offerings at lower prices, more efficiently, more conveniently or more securely.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because our solutions are designed to operate with a variety of systems, applications, data, and devices, we will need to continuously modify and enhance our solutions to keep pace with changes and updates in such systems. We may not be successful in developing these modifications and enhancements. Furthermore, the addition of features to our solutions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client adoption of new features. Such uncertainty limits our ability to forecast our future results of operations and subjects us to several challenges, including our ability to plan for and model future growth. If we cannot address such uncertainties and successfully develop new features, enhance our solutions, or otherwise overcome technological challenges and competing technologies, our business and results of operations could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solutions, services or pricing models may not accurately reflect the optimal pricing necessary to attract new clients and retain existing clients as the market matures.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market for our solutions and services matures, or as competitors introduce new solutions and services that compete with ours, we may be unable to attract new clients at the same price or based on the same pricing models as we have used historically. We price our solutions and services based on an enterprise size basis with enterprise-wide access to our solutions and services or based on the number of individual users, and therefore, pricing decisions may also impact the mix of adoption among our solutions and services and negatively impact our overall revenues. Further, pricing pressures and increased competition generally could result in reduced sales, reduced margins, losses, or the failure of our solutions and services to achieve or maintain more widespread market acceptance, any of which could harm our business, results of operations, and financial condition. In the future, we may be required to reduce our prices or develop new pricing models, which could adversely affect our revenues, gross margin, profitability, financial position, and cash flow.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adapt and respond effectively to rapidly changing technology, evolving industry standards and regulations, and changing business needs, requirements, or preferences, our solutions and services may become less competitive, and our growth rate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market for our solutions is relatively new and subject to ongoing technological change, evolving industry standards, shifting laws and regulations, and changing client and customer needs, requirements, and preferences. The success of our business will depend, in part, on our ability to adapt and respond effectively to these changes on a timely basis, including launching new solutions. The success of any new solutions, or any enhancements or modifications to existing solutions, depends on several factors, including the timely completion, introduction,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acceptance of such solutions, enhancements and modifications. If we are unable to enhance our solutions or develop new solutions that keep pace with technological and regulatory change and achieve market acceptance, or if new technologies emerge that are able to deliver competitive solutions at lower prices, more efficiently, more conveniently or more securely than our solutions, our business, operating results and financial condition would be adversely affected. Furthermore, modifications to our existing solutions or technology will increase our research and development expenses. Any of the foregoing could reduce the demand for our services, result in client dissatisfaction and adversely affect our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offer high-quality client support, if we experience complaints regarding our client support or if our support is more expensive than anticipated, our business and reputation could suffer.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Clients rely on our client support services to resolve issues and realize the full benefits provided by our solutions and services. High-quality support is also important to maintain and drive further adoption by our existing clients and their customers. Certain of our solutions provide client support to clients primarily over email, with some additional support provided over chat and through our solutions. If we do not help our clients and their customers quickly resolve issues and provide effective ongoing support, or if our support personnel or methods of providing support are insufficient to meet the needs of our clients and their customers, our ability to retain clients, increase adoption by our existing clients and acquire new clients could suffer, and our reputation with existing or potential clients could be harmed. In addition, client complaints or negative publicity about our client service could diminish confidence in and use of our solutions or services. Effective client service requires significant expenses, which, if not managed properly, could negatively impact our profitability. If we are not able to meet the client support needs of our clients and their customers during the hours that we currently provide support, we may need to increase our support coverage and provide additional support by other means and methods, which may reduce our profitability.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Real or perceived errors, failures or bugs in our solutions could adversely affect our business, results of operations, financial condition, and growth prospects.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solutions are complex, and therefore, undetected errors, failures or bugs have occurred in the past and may occur in the future. Our solutions are often used in IT environments with different operating systems, system management software, applications, devices, databases, servers, storage, middleware, custom and third-party applications and equipment and networking configurations, which has in the past caused, and may in the future cause, errors or failures in the IT environment into which our solutions are deployed. This diversity increases the likelihood of errors or failures in those IT environments. Despite testing by us, real or perceived errors, failures or bugs may not be found until our clients use our solutions. Real or perceived errors, failures or bugs in our solutions could result in negative publicity, loss of or delay in market acceptance of our solutions and harm our brand, weakening of our competitive position, claims by clients for losses sustained by them or failure to meet the stated service level commitments in our client agreements. In such an event, we may be required, or may choose, for client relations or other reasons, to expend significant additional resources in order to help correct the problem. Any errors, failures or bugs in our solutions could impair our ability to attract new clients, retain existing clients or expand their use of our solutions, which would adversely affect our business,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face intense competition, which could limit our ability to maintain or expand market share within our industry, and if we do not maintain or expand our market share, our business, financial condition, and operating results will be harmed.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face intense competition, which could limit our ability to maintain or expand market share within our industry, and if we do not maintain or expand our market share our business, financial condition, and operating results will be harmed. The market for digital solutions and Web 3.0-enabled e-commerce is highly fragmented. As costs fall and technology improves, increased market saturation may change the competitive landscape in favor of competitors with greater scale than we currently possess.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Some of our competitors have greater name recognition, longer operating histories and significantly greater resources than we do. As a result, our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solutions, technologies or services to increase the availability of their solutions and services to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marketplace. Accordingly, new competitors or alliances may emerge that have greater market share, larger client bases, more widely adopted proprietary technologies, greater marketing expertise, greater financial resources and larger sales forces than we have, which could put us at a competitive disadvantage.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in light of these advantages, even if our solutions and services are more effective than the offerings of our competitors, current or potential clients might accept our competitors’ offerings in lieu of purchasing our solutions and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compete on the basis of price. We may be subject to pricing pressures as a result of, among other things, competition within the industry, consolidation of our clients, government action, and financial stress experienced by our clients. If our pricing experiences significant downward pressure or clients acquire or develop competing solutions and services, our business will be less profitable and our results of operations will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be certain that we will be able to retain our current clients or expand our client base in this competitive environment. If we do not retain current clients or expand our client base, or if we have to renegotiate existing contracts, our business, financial condition, and results of operations will be harmed. If one or more of our competitors or potential competitors were to merge or partner with another of our competitors, the change in the competitive landscape could also adversely affect our ability to compete effectively and could harm our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incurred net losses on an annual basis since we were founded, anticipate increasing our operating expenses in the future, and may not achieve or sustain profitability.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incurred a net loss of approximately US$1.13 million in fiscal year 2022. We must generate and sustain higher revenue levels in future periods to become profitable, and, even if we do, we may not be able to maintain or increase our profitability. We expect to continue to incur losses for the foreseeable future as we expend substantial financial and other resources on,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and marketing, including expanding our direct sales team and online marketing programs;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investments in the development of new solutions and new features for, and enhancements of, our existing services;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expansion of our operations and infrastructure organically and through acquisitions and strategic partnerships;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administration, including legal, risk management, accounting, and other expenses related to being a public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expenditures may not result in additional revenues or the growth of our business. Accordingly, we may not be able to generate sufficient revenues to offset our expected cost increases and achieve and sustain profitability. If we fail to achieve and sustain profitability, the market price of our ADSs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may increase substantially in the foreseeable future as we continue to expend financial resources to grow our business, including to build new solutions and add features and functionality to existing solutions; expand our salesforce and marketing to win new clients; expand into new verticals; pursue strategic acquisitions or strategic investments; improve our technology infrastructure, including systems architecture, scalability, availability, performance and network security; comply with laws and regulations; purchase directors’ and officers’ liability insurance for public companies; and invest in general administration, including increased legal and accounting expenses associated with being a public company. 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achieve or, if achieved, maintain profitability over the long term.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company operations may prove to be more expensive than we currently anticipate, and we may not succeed in increasing our revenue sufficiently to offset these higher expenses. As a result, we may need to raise additional capital through equity and debt financings in order to fund our operations. If we are unable to effectively manage these risks and difficulties as we encounter them, our business, financial condition, and results of operations may suffer and your investment may be further diluted.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expect fluctuations in our operating results, making it difficult to project future results, and if we fail to meet the expectations of securities analysts or investors with respect to our operating results, the market price of our ADSs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other risks described herein, factors that may affect our operating results include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demand for our digital solutions and e-commerce offerings;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attract new clients and retain and increase adoption by our existing clients;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client preference for cloud-based services as a result of security breaches in the industry or privacy concerns, or other security or reliability concerns regarding our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client budgets and in the timing of their budget and billing cycles and purchasing decisions;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implementation timeline of our solutions with new clients;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and existing clients choosing our competitors’ solutions or developing their own solutions in-house;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development or introduction of new solutions that are easier to use or more advanced than our current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adoption or retention of more entrenched or rival services in the markets where we compete or plan to compete;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control costs, including our operating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payment for operating expenses, particularly research and development and sales and marketing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non-cash expenses, including share-based compensation, goodwill impairments and other non-cash charges;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costs associated with recruiting, training and integrating new employees, and retaining and motivating existing employees;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effects of acquisitions and their integration;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conditions (including inflation), as well as economic conditions specifically affecting industries in which our clients operate;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new accounting pronouncements;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competitive dynamics of our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security breaches of, technical difficulties with, or interruptions to, the delivery and use of our solutions from our technology vendors, and/or our own developed technology;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awareness of our brand and our reputation in our target markets.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and other factors, or the cumulative effect of some of these factors, may cause our operating results to vary significantly. In addition, we expect to incur significant additional expenses due to the increased costs of operating as a public company. If the assumptions used to plan our business are incorrect, our revenue may fail to meet our expectations and we may fail to meet profitability expectations. Further, if our operating results fall below the expectations of investors and securities analysts who follow our ADSs, the market price of our ADSs could decline substantially, and we could face costly lawsuits, including securities class action lawsuits.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in the past, and may in the future, incur indebtedness that could adversely affect our financial flexibility and expose us to risks that could materially adversely affect our liquidity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we had approximately US$0.6 million of outstanding principal amount of the term loans under our existing credit facility at interest rates which are subject to market fluctuation. These term loans mature in 2026 and 2027. Our indebtedness and related obligations could have important future consequences to us,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ability to borrow additional amounts to fund capital expenditures, acquisitions, debt service requirements, execution of our growth strategy and other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ability to make investments, including acquisitions, loans and advances, and to sell, transfer or otherwise dispose of assets;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placing us at a competitive disadvantage compared with our competitors that have less debt;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exposing us to risks inherent in interest rate fluctuations if our future borrowings are at variable rates of interest, which could result in higher interest expense in the event of increases in interest rates.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not be able to generate sufficient cash flow from our operations to repay our future indebtedness when it becomes due and to meet our other cash needs. If we are not able to pay our borrowings under future indebtedness as they become due, we will be required to pursue one or more alternative strategies, such as selling assets, refinancing or restructuring our indebtedness or selling additional debt or equity securities. We may not be able to refinance our future debt or sell additional debt or equity securities or our assets on favorable terms, if at all, and if we must sell our assets, it may negatively affect our business, financial condition and results of operations. In addition, we may be subject to prepayment penalties depending on when we repay our future indebtedness, which amounts could be material.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financial condition, and results of operations are subject to risks associated with rising interest rates, which could negatively impact our ability to maintain the current financing and obtain additional 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exposed to interest rate risk while we have bank loans. Although interest rates for our loans are about fixed for the terms of the loans, the interest rates are subject to change upon renewal. Additionally, we may need to raise additional financing to support our operations, which could include equity or debt financing, in the immediate and near term. Rising interest rates would negatively impact our ability to obtain such financing on commercially reasonable terms or at all. Recently, due to the fixed interest rates in our terms of loans, our borrowing costs have not increased. However, we cannot predict the ultimate impact on our business of any prolonged or continued interest rate increases. To the extent we are required to obtain financing at higher borrowing costs to support our operations, we may be unable to offset such costs through price increases, other cost control measures, or other means. Any attempts to offset cost increases with price increases may result in reduced sales, increased customer dissatisfaction, or otherwise harm our reputation.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might not implement our growth strategies successfully which would limit our growth and cause the market price of our ADS to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profitability will depend, in part, on our ability to implement successfully our growth strategies. We expect to invest substantial amounts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our Tridentity offerings;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build new solutions and add features and functionality to existing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grow our salesforce and marketing to win new clients;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relationships with our existing clients;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into new verticals and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pursue strategic acquisitions or strategic investments;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improve our technology infrastructure, including systems architecture, scalability, availability, performance and network security;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comply with regulatory requirements and risk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in these programs will affect adversely our short-term profitability. This would impact revenues adversely and cause our business to suffer.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unsuccessful in entering new market segments or further penetrating our existing market segments, our revenue or revenue growth could be materially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results depend, in part, on our ability to successfully penetrate new markets, as well as to expand further into our existing markets. In order to grow our business, we may expand to other project-focused markets in which we may have less experience. Expanding into new markets requires both considerable investment and coordination of technical, support, sales, marketing and financial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or future solutions and services may not appeal to potential clients in new or existing markets. If we are unable to execute upon this element of our business strategy and expand into new markets or maintain and increase our market share in our existing markets, our revenue or revenue growth may be materially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continually add functionality to our existing solutions and services and add additional solutions through acquisitions to address the specific needs of both existing clients and new clients, we may be unsuccessful in developing appropriate or complete solutions, pursuing effective services and solution development and marketing strategies, or integrating acquired services and solutions with our existing portfolio.</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in the future acquire or invest in companies, which may divert our management’s attention and result in additional dilution to our shareholders. We may be unable to integrate acquired businesses and technologies successfully or achieve the expected benefits of such acquisitions.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will depend, in part, on our ability to grow our business in response to changing technologies, client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acquisition may negatively affect our results of operations because it may require us to incur charges or assume substantial debt or other liabilities, may cause adverse tax consequences or unfavorable accounting treatment, may expose us to claims and disputes by shareholders and third parties, including intellectual property claims and disputes, or may not generate sufficient financial return to offset additional costs and expenses related to the acquisition;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encounter difficulties or unforeseen expenditures in integrating the business, technologies, solutions, personnel or operations of any company that we acquire, particularly if key personnel of the acquired company decide not to work for 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be able to realize anticipated synergies;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acquisition may disrupt our ongoing business, divert resources, increase our expenses, and distract our management;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encounter challenges integrating the employees of the acquired company into our company culture;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encounter difficulties in, or may be unable to, successfully sell any acquired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use of cash to pay for acquisitions would limit other potential uses for our cash;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incur debt to fund any acquisitions, such debt may subject us to material restrictions on our ability to conduct our business financial maintenance covenants;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issue a significant amount of equity securities in connection with future acquisitions, existing shareholders may be diluted and earnings per share may decrease.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occurrence of any of these risks could have an adverse effect on our business, results of operations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particular, we may fail to assimilate or integrate the businesses, technologies, services, personnel or operations of the acquired companies, retain key personnel necessary to favorably execute the combined companies’ business plan, or retain existing clients or sell acquired services to new clients.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competition and other regulatory matters, and our mitigation strategies for such risks that are identified may not be effective. As a result, we may not achieve some or any of the benefits, including anticipated synergies or accretion to earnings, that we expect to achieve in connection with our acquisitions, or we may not accurately anticipate the fixed and other costs associated with such acquisitions, or the business may not achieve the performance we anticipated, which may materially adversely affect our business, prospects, financial condition, results of operations, cash flows, as well as the market price of our ADSs. Further, if we fail to achieve the expected synergies from our acquisitions and alliances, particularly if business performance declines or expected growth is not realized, we may experience impairment charges with respect to goodwill, intangible or other long-lived assets. Any future impairment of our goodwill or intangible or other long-lived assets could have an adverse effect on our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Interruptions or performance problems associated with our infrastructure may adversely affect our business, results of operations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continued growth depends in part on the ability of our existing clients and new clients to access our solutions at any time and within an acceptable amount of time. We have in the past, and may in the future,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Our disaster recovery planning cannot account for all eventualities. In some instances, we may not be able to identify and/or remedy the cause or causes of these performance problems within an acceptable period of time. It may become increasingly difficult to maintain and improve our performance as our solutions and client implementations become more complex. If our solutions or services are unavailable or if our clients are unable to access features of our solutions and services within a reasonable amount of time or at all, or if other performance problems occur, our business, results of operations and financial conditions may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depend on the reliable performance of Internet infrastructure, bandwidth providers, data center providers, cloud providers, mobile infrastructure, and other third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brand, reputation, and ability to attract customers to our platform depend on the reliable performance of Internet infrastructure, bandwidth providers, data center providers, cloud providers, mobile infrastructure, and other third parties. As our range of services and the number of platform users expand, our need for additional network capacity and computing power will also grow. Operating our underlying technology systems is expensive and complex, and we could experience operational failures from time to time. If we experience interruptions or failures in these systems, whether due to system failures, computer viruses, physical or electronic break-ins, attacks on domain name servers or other third parties on which we rely, or any other reason, the security and availability of our solutions and services could be affected. Any such event could cause us to incur additional costs, result in delays in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solutions and services, cause detrimental harm to our brand and reputation, and/or create a loss in confidence of our clients who use our solutions or services or the third party service providers whom we work with, resulting in a material adverse effect on our business, prospects,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generates and processes a large amount of consumer data, and the improper use, collection or disclosure of such data could subject us to significant reputational, financial, legal and operational consequences.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regularly collect, store and use client information and personal data in the course of our business and marketing activities. The collection and use of personal data is governed by the various data privacy and protections laws and regulations in the jurisdictions we operate, and we are required to comply with applicable laws, rules and regulations relating to the collection, use, storage, transfer, disclosure and security of personal data. We face risks inherent in handling and protecting a large amount of data that our business generates and processes from the significant number of transactions our platform facilitates, such as protecting the data hosted on our system against attacks on our system or fraudulent behavior or improper use by our employees. Although we employ comprehensive security measures to prevent, detect, address, and mitigate these risks (including access controls, data encryption, vulnerability assessments, and maintenance of backup and protective systems), these threats may still materialize. If any of our security measures are compromised, information of our clients or other data belonging to our clients maybe misappropriated or publicly disseminated, which may result in enforcement action being taken against us by the relevant data protection regulatory bodies, such as fines, revocation of licenses, suspension of relevant operations or other legal or administrative penalties. Furthermore, any failure or perceived failure by us or our business partners to comply with all applicable data privacy and protection laws and regulations may result in negative publicity, which may, in turn, damage our reputation, cause clients to lose trust and confidence in us, and stop using our solutions or services altogether. We may also incur significant costs to remedy such security breaches, such as repairing any system damage and compensation to clients and business partners. If any of these risks were to materialize, it could have a material adverse effect on our business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privacy regulations continue to evolve and, occasionally, may be inconsistent from one jurisdiction to another. Compliance with applicable privacy regulations may increase our operating costs. If we fail to comply with any of the applicable laws and regulations, depending on the type and severity of any such violation, we may be subject to, amongst others, warnings from relevant authorities, imposition of fines and/or criminal liability, being ordered to close down our business operations and/or suspension of relevant licenses and permits. As a result, our reputation may be harmed and our business, prospects, financial condition and results of operations could be materially and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protect our intellectual property or proprietary rights could substantially harm our business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and ability to compete depends in part on our intellectual property. As of June 30, 2023, we have one registered trademark in Singapore. See “</w:t>
      </w:r>
      <w:r>
        <w:rPr>
          <w:rFonts w:ascii="Times New Roman PS Std;serif" w:hAnsi="Times New Roman PS Std;serif"/>
          <w:b w:val="false"/>
          <w:i/>
          <w:caps w:val="false"/>
          <w:smallCaps w:val="false"/>
          <w:sz w:val="20"/>
        </w:rPr>
        <w:t>Business — Intellectual Property.</w:t>
      </w:r>
      <w:r>
        <w:rPr>
          <w:rFonts w:ascii="Times New Roman PS Std;serif" w:hAnsi="Times New Roman PS Std;serif"/>
          <w:b w:val="false"/>
          <w:i w:val="false"/>
          <w:caps w:val="false"/>
          <w:smallCaps w:val="false"/>
          <w:sz w:val="20"/>
        </w:rPr>
        <w:t>” Any use of trademarks by third parties which are similar or identical to ours may also result in imitation of our platform, which may adversely affect our business, prospects, financial condition and results of operation.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seek to protect our proprietary technology and intellectual property primarily through a combination of intellectual property laws as well as confidentiality procedures and contractual restrictions. Our employees are subject to confidentiality obligations under the terms of their respective employment contracts</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However, there can be no assurance that these measures are effective, or that infringement of our intellectual property rights by other parties does not exist now or will not occur in the future. In addition, our intellectual property rights may not be adequately protected because other parties may still misappropriate, copy or reverse engineer our technology despite our internal governance processes or the existence of laws or contracts prohibiting it, and policing unauthorized use of our intellectual property may be difficult, expensive and time consuming, and we may be unable to determine the extent of any unauthorized use.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protect our intellectual property rights and maintain our competitiveness, we may file lawsuits against parties who we believe are infringing upon our intellectual property rights. Such proceedings may be costly and may divert management attention and other resources away from our business. In certain situations, we may have to bring lawsuits in various jurisdictions, in which case we are subject to additional risks as to the result of the proceedings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the amount of damages that we can recover. Any of our intellectual property rights may also be challenged by others or invalidated through administrative processes or litigations. We can provide no assurance that we will prevail in such litigations, and, even if we do prevail, we may not obtain a meaningful relief. Any inability to adequately protect our proprietary rights may have a material negative impact on our ability to compete, to generate revenue and to grow our business. Under such circumstances, our business, prospects, financial condition and results of operations would be materially and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certain technology and software licensed from third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our business, we employ certain technology and software licensed from third parties, such as Amazon Web Services and Tencent. We typically do not enter into long-term agreements for the licensing of such software and tools, and the license agreements are typically on subscription and short-term bases. Accordingly, there is no assurance that such third parties will continue to extend such licenses to us after the expiry of the current license period, and if such licenses are renewed, whether such renewals will be on terms favorable to us. Although we believe that there are commercially reasonable alternatives to the third-party software we currently license, this may not always be the case, or it may be difficult or costly to replace. Any failure to maintain the existing licenses or to obtain new licenses on favorable terms or at all may cause a disruption to our platform and service offerings.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be susceptible to undetected errors or defects in the third-party software or technology, which would in turn impair the usage of our technology, disrupt our platform operations and delay or impede our service offerings to clients. This may cause merchants and clients to lose confidence in our platform and also cause damage to our reputation, which would in turn adversely affect our business, prospects,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Some of our services and technologies may use “open source” software, which may restrict how we use or distribute our services or require that we release the source code of certain solutions subject to those licenses.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our solutions and services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to or derivative works of open source software continue to be licensed under open source licenses. These open source licenses typically mandate that proprietary software, when combined in specific ways with open source software, become subject to the open source license. If we combine our proprietary solutions in such ways with certain open source software, we could be required to release the source code of our proprietary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take steps to ensure that our proprietary solutions are not combined with, and do not incorporate, open source software in ways that would require our proprietary solutions to be subject to many of the restrictions in an open source license. However, the manner in which these licenses may be interpreted and enforced is subject to some uncertainty. Additionally, we rely on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or customer data that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our solutions and services.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the performance of senior management team and highly skilled personnel; if we are unable to retain or motivate key personnel or hire, retain and motivate qualified personnel, our business would be harmed.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success has depended, and continues to depend, on the efforts and talents of our senior management team, particularly our chief executive officer, Mr. Soon Huat Lim, and our chief technology officer, Mr. Poh Kiong Tan, highly skilled team members, including our software engineers, professional consultants and sales personnel. We do not maintain key man insurance on any of our executive officers or key employees. From time to time, there may be changes in our senior management team resulting from the termination or departure of our executive officers and key employees. Many members of our senior management team could terminate their employment with us by providing a notice period of three months or making a compensation equivalent of their salaries during the required notice period in lieu of notice. The loss of any of our senior management could adversely affect our ability to build on the efforts they have undertaken and to execute our business plan, and we may not be able to find adequate replacements. We cannot ensure that we will be able to retain the services of any members of our senior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compete with a number of technology companies to attract and retain software developers with specialized experience in designing, developing, and managing our solutions and services, including our cloud-based software, as well as for skilled developers, engineers and information technology and operations professionals who can successfully implement and deliver our solutions and services. Additionally, we believe that our future growth will depend on the development of our go-to-market strategy and the continued recruiting, retention, and training of our sales teams, including their ability to obtain new clients and to manage our existing client base.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Many of the companies with which we compete for experienced personnel have greater resources than we have. We may incur significant costs to attract, train and retain such personnel, and we may lose new employees to our competitors or other technology companies before we realize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benefit of our investment after recruiting and training them. Also, to the extent that we hire personnel from competitors, we may be subject to allegations that such personnel have been improperly solicited or have divulged proprietary or other confidential information. If we are unable to attract, integrate and retain qualified personnel, or if there are delays in hiring required personnel, our business would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While these numbers are based on what we believe to be reasonable calculations for the applicable periods of measurement, there are inherent challenges in measuring such information. Even if the market in which we compete achieves the forecasted growth, our business could fail to grow at similar rates, if at all. The variables that go into the calculation of our market opportunity are subject to change over time, and there is no guarantee that any particular number or percentage of addressable users or companies covered by our market opportunity estimates will purchase our solutions and services at all or generate any particular level of revenue for us. Any expansion in our market depends on a number of factors, including the cost, performance, and perceived value associated with our solutions and services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legal proceedings in the ordinary course of our business. If the outcomes of these proceedings are adverse to us, it could have a material adverse effect on our business, results of operations,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clients, our competitors, governmental entities in civil or criminal investigations and proceedings, or other entities. These claims could be asserted under a variety of laws, including but not limited to product liability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limited insurance coverage, which could expose us to significant costs and business disruption.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limited liability insurance coverage for our solutions, services and business operations. A successful liability claim against us, regardless of whether due to injuries suffered by our clients could materially and adversely affect our financial condition, results of operations, and reputation. In addition, we do not have any business disruption insurance. Any business disruption event could result in substantial cost to us and diversion of our resources.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Jurisdictions Where We Operate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prospects, financial condition and results of operations are dependent on and may be adversely affected by political, economic, social and legal developments that are beyond our control in each of the jurisdictions that we operate in or in which we intend to expand our business and operations. Such political and economic uncertainties may include risks of war, terrorism, nationalism, expropriation or nullification of contracts, changes in interest rates, economic growth, national fiscal and monetary policies, inflation, deflation, methods of taxation and tax policy. Negative developments in the socio-political climate of these regions may also adversely affect our business, prospects, financial condition and results of operations. These developments may include, but are not limited to, changes in political leadership, nationalization, price and capital controls, sudden restrictive changes to government policies, introduction of new taxes on goods and services and introduction of new laws, as well as demonstrations, riots, coups and war. These may result in the nullification of contracts and/or prohibit us from continuing our business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jurisdictions that we operate in or in which we intend to expand our business and operations may be in a state of rapid political, economic and social changes, and may also be subject to unforeseeable circumstances such as natural disasters and other uncontrollable events, which will entail risks to our business and operations if we are to expand in the region in the future. There can also be no assurance that we will be able to adapt to the local conditions, regulations and business practices and customs of the regions in which we operate in the future. Any changes implemented by the government of these regions resulting in, amongst others, currency and interest rate fluctuations, capital restrictions and changes in duties and taxes detrimental to our business could materially and adversely affect our business, prospects,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exposed to risks in respect of acts of war, terrorist attacks, epidemics, political unrest, natural disasters, adverse weather and other uncontrollable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activities are principally carried out in Singapore, and we intend to expand our operations across new markets in Southeast Asia. Our geographic presence in Southeast Asia may make us vulnerable in the event of increased tension or hostilities in certain countries, including the countries in which our clients operate. In addition, unforeseeable circumstances and other factors such as power outages, labor disputes, severe weather conditions, epidemics and natural or other catastrophes may disrupt our operations, and terrorist attacks or other acts of violence may further materially and adversely affect the global financial markets and business and consumer confidence. Any such events may cause damage or disruption to our business, markets, clients and suppliers, any of which could materially and adversely affect our business, prospects,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evolving laws, regulations, standards and policies, and any actual or perceived failure to comply could harm our reputation and brand, subject us to significant fines and liability, or otherwise adversely affect our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laws, regulations, standards and policies in the jurisdictions in which we operate or may in the future operate are continuously evolving. The costs of compliance, including remediation of any discovered issues and any changes to our operations regulated by new or amended laws, may be significant, and any failures to comply could result in additional expenses, delays or fines. As we expand our business into the new markets, we are in the process of reviewing the applicable laws and regulations in each jurisdiction, including required approvals, licenses and permits. Such laws, regulations, standards and policies continue to rapidly change, which increases the likelihood of a patchwork of complex or conflicting regulations, or which could increase our compliance costs or otherwise affect our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ADSs and This Offering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active trading market for our ordinary shares or our ADSs may not develop and the trading price for our ADSs may fluctuate significantly.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list our ADSs on the Nasdaq Global Market.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is determined by negotiation between us and the underwriters based upon several factors, and the trading price of our ADSs after this offering could decline below the initial public offering price. As a result, investors in our securities may experience a significant decrease in the value of their ADSs.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an emerging growth company within the meaning of the Securities Act and may take advantage of certain reduced reporting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have a dual-class share structure after the completion of this offering such that our ordinary shares will consist of Class A ordinary shares and Class B ordinary shares. In respect of matters requiring the votes of shareholders, holders of Class B ordinary shares will be entitled to one vote per share, while holders of Class A ordinary shares will be entitled to 60 votes per share based on our proposed dual-class share structure. We will sell Class B ordinary shares represented by our ADSs in this offering. Each Class A ordinary share is convertible into one Class B ordinary share at any time by the holder thereof, while Class B ordinary shares are not convertible into Class A ordinary shares under any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this offering, our founder, chairman of board of directors and chief executive officer, Mr. Soon Huat Lim, will together beneficially own all of our issued Class A ordinary shares. These Class A ordinary shares will constitute approximately [          ]% of our total issued and outstanding share capital immediately after the completion of this offering and [          ]% of the aggregate voting power of our total issued and outstanding share capital due to the disparate voting powers associated with our dual-class share structure, assuming the underwriters do not exercise their over-allotment option. As a result of the dual-class share structure and the concentration of ownership, holders of our Class A ordinary shares will have considerable influence over matters such as decisions regarding mergers, consolidations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market price of our ADSs. This concentrated control will limit your ability to influence corporate matters and could discourage others from pursuing any potential merger, takeover or other change of control transactions that holders of Class B ordinary shares and ADSs may view as beneficial.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dual-class voting structure may render the ADSs representing our Class B ordinary shares ineligible for inclusion in certain stock market indices, and thus adversely affect the trading price and liquidity of the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predict whether our dual-class share structure with different voting rights will result in a lower or more volatile market price of the ADSs,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B ordinary shares in such indices, which could adversely affect the trading price and liquidity of the ADSs representing our Class B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cease to publish research or reports about our business, or if they adversely change their recommendations regarding the ADSs, the market price for the ADSs and trading volume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do not expect to pay dividends in the foreseeable future after this offering and you must rely on price appreciation of our ADSs for return on your investment.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complete discretion as to whether to declare dividends, subject to certain requirements of Cayman Islands law. In addition, our shareholders may by ordinary resolution declare a dividend, but no dividend may exceed the amount recommended by our directors. Our post-offering amended and restated articles of association provide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our initial public offering price is substantially higher than our net tangible book value per share, you will experience immediate and substantial dilution.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purchase ADSs in this offering, you will pay more for your ADSs than the amount paid by our existing shareholders for their ordinary shares on a per ADS basis. As a result, you will experience immediate and substantial dilution, representing the difference between the initial public offering price per ADS, and our net tangible book value per ADS, after giving effect to the net proceeds to us from this offering. In addition, you may experience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dilution in connection with the issuance of ordinary shares upon the exercise or vesting, as the case may be, of our share incentive awards. See “Dilution” for a more complete description of how the value of your investment in our ADSs will be diluted upon completion of this offering.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not determined a specific use for a portion of the net proceeds from this offering and we may use these proceeds in ways with which you may not agree.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would improve our results of operations or increase the ADS price, nor that these net proceeds will be placed only in investments that generate income or appreciate in value.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Substantial future sales or perceived potential sales of our ADSs in the public market could cause the price of our ADSs to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our ADSs in the public market after this offering, or the perception that these sales could occur, could cause the market price of our ADSs to decline. All ADSs sold in this offering will be freely transferable without restriction or additional registration under the Securities Act. The remaining ordinary shares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post-offering memorandum and articles of association contain anti-takeover provisions that could have a material adverse effect on the rights of holders of our ordinary shares and the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adopt an amended and restated memorandum and articles of association that will become effective immediately prior to the completion of this offering. Our post-offering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including ordinary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post-offering memorandum and articles of association and the deposit agreement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judicial forum within the U.S. for the resolution of any complaint asserting a cause of action arising out of or relating in any way to the federal securities laws of the United States, and any suit, action or proceeding arising out of or relating in any way to the ADSs or the deposit agreement, which could limit the ability of holders of our ordinary shares, the ADSs or other securities to obtain a favorable judicial forum for disputes with us, our directors and officers, the depositary, and potentially others.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within the United States for the resolution of any complaint asserting a cause of action arising out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or relating in any way to the federal securities laws of the United States, regardless of whether such legal suit, action, or proceeding also involves parties other than our company. The deposit agreement provides that, subject to the depositary’s right to require a claim to be submitted to arbitration,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us and the depositary that may arise out of or relate in any way to the deposit agreement including without limitation claims under the Securities Act.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post-offering memorandum and articles of association or the deposit agreement to be inapplicable or unenforceable in an action, we may incur additional costs associated with resolving such action in other jurisdictions. If upheld, the forum selection clause in our post-offering memorandum and articles of association, as well as the forum selection provision in the deposit agreement,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post-offering memorandum and articles of association and deposit agreement. In addition, the forum selection provision of the deposit agreement does not affect the right of the depositary to require any claim arising directly or indirectly from the relationship created by the deposit agreement to be submitted to arbitration or to commence an action in any court in aid of that arbitration provision or to enter judgment upon or enforce any arbitration award.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voting rights of holders of ADSs are limited by the terms of the deposit agreement, and you may not be able to exercise your right to direct the voting of the underlying ordinary shares represented by your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ordinary shares represented by your ADSs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event of voting by poll, the depository bank will vote (or cause the custodian to vote) the ordinary shares held on deposit in accordance with the voting instructions received from the holders of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not be able to directly exercise your right to vote with respect to the underlying ordinary shares unless you withdraw the shares represented by the ADSs and become the registered holder of such shares prior to the record date for the general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general meeting is convened, you may not receive sufficient advance notice of the meeting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depositary and its agents are not responsible for failing to carry out voting instructions or for their manner of carrying out your voting instructions. This means that you may not be able to exercise your right to 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deposit agreement, if voting is by poll and the depositary does not timely receive voting instructions from you, the depositary may give us a discretionary proxy to vote the ordinary shares underlying the ADSs at shareholders’ meetings if we have timely provided the depositary with notice of meeting and related voting materials and (i) we have instructed the depositary that we wish a discretionary proxy to be given, (ii) we have informed the depositary that there is no substantial opposition as to a matter to be voted on at the meeting, and (iii) a matter to be voted on at the meeting would not have a material adverse impact on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effect of this discretionary proxy is that you cannot prevent the underlying ordinary shares represented by the ADSs from being voted, except under the circumstances described above. This may make it more difficult for ADS holders to influence the management of the company. Holders of ordinary shares are not subject to this discretionary proxy.]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ADS holder’s right to pursue claims against the depositary is limited by the terms of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a holder of our ADSs, will have irrevocably waived any objection which such holder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provides that the depositary may, in its sole discretion, require any dispute or difference arising from the relationship created by the deposit agreement to be referred to and finally settled by an arbitration conducted under the terms described in the deposit agreement, although the arbitration provisions do not preclude you from pursuing any claim under the Securities Act or the Exchange Act in state or federal courts. See “Description of American Depositary Shares” for more information.]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entitled to amend the deposit agreement and to change the rights of ADS holders under the terms of such agreement, or to terminate the deposit agreement, without the prior consent of the ADS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be subject to limitations on transfer of your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experience dilution of your holdings due to inability to participate in rights offerings.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face difficulties in protecting your interests, and your ability to protect your rights through U.S. courts may be limited, because we are incorporated under Cayman Islands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exempted company incorporated under the laws of the Cayman Islands. Our corporate affairs are governed by our memorandum and articles of association,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the address of a Cayman company’s registered office in the Cayman Islands, and the name of its registered office provider, are matters of public record. A list of the names of the current directors and alternate directors (if applicable) are made available by the Registrar of Companies in the Cayman Islands for inspection by any person on payment of a fee. The register of mortgages is open to inspection by creditors and members. Shareholders of Cayman Islands exempted companies like us have no general rights under Cayman Islands law to inspect corporate records (other than the company’s memorandum and articles of association, and any special resolutions subsequently passed by the shareholders of the company). Our directors have discretion under our post-offering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significant differences between the provisions of the Companies Act of the Cayman Islands and the laws applicable to companies incorporated in the United States and their shareholders, see the section of this prospectus captioned “Description of Share Capital — Differences in Corporate Law.”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judgments obtained against us by our shareholders may not be enforceable.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Cayman Islands company and all of our assets are located outside of the United States. Substantially all of our current operations are conducted in Singapore. In addition, a majority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Singapore may render you unable to enforce a judgment against our assets or the assets of our directors and officers. For more information regarding the relevant laws of the Cayman Islands and Singapore, see “Enforceability of Civil Liabilities.”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ADS holders may not be entitled to a jury trial with respect to claims arising under the deposit agreement, which could result in less favorable outcomes to the plaintiff(s) in any such 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governing the ADSs representing our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the United States District Court for the Southern District of New York or a state court in New York County, New York.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company incorporated in the Cayman Islands, we are permitted to adopt certain home country practices in relation to corporate governance matters that differ significantly from the Nasdaq Stock Market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Cayman Islands company listed on the Nasdaq Global Market, we are subject to the Nasdaq Stock Market Rules, which requires listed companies to have, among other things, a majority of their board members to be independent and independent director oversight of executive compensation and nomination of directors. However,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Stock Market Rules permit a foreign private issuer like us to follow the corporate governance practices of its home country. Certain corporate governance practices in the Cayman Islands, which is our home country, may differ significantly from the Nasdaq Stock Market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Stock Market Rules.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 foreign private issuer within the meaning of the rules under the Exchange Act, and as such we are exempt from certain provisions applicable to U.S. domestic public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we are a foreign private issuer under the Exchange Act, we are exempt from certain provisions of the securities rules and regulations in the United States that are applicable to U.S. domestic issuers, including:</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rules under the Exchange Act requiring the filing of quarterly reports on Form 10-Q or current reports on Form 8-K with the SEC;</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sections of the Exchange Act regulating the solicitation of proxies, consents, or authorizations in respect of a security registered under the Exchange Act;</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selective disclosure rules by issuers of material nonpublic information under Regulation FD;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audit committee independence requirements in Rule 10A-3 of the Exchange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however,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 foreign private issuer whose securities are listed on the Nasdaq Global Market, is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We will be a “controlled company” under the Nasdaq Stock Market Rules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upon the completion of this offering and, as a result, may rely on exemptions from certain corporate governance requirements that provide protection to shareholders of other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will be a “controlled company” as defined under the Nasdaq Stock Market Rules upon the completion of this offering. Upon the completion of this offering, Mr. Soon Huat Lim, our founder, chairman of board of directors and chief executive officer will beneficially own [            ]% of our total issued and outstanding ordinary shares, representing [            ]% of the total voting power, assuming that the underwriters do not exercise their over-allotment option, or [            ]% of our total issued and outstanding ordinary shares, representing [            ]% of the total voting power, assuming that the over-allotment option is exercised in full. For so long as we remain a controlled company under that definition, we are permitted to elect to rely, and may choose to rely, on certain exemptions from corporate governance rules, including an exemption from the rule that a majority of our board of directors must be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See the sections of this prospectus captioned “— Implications of Being a Foreign Private Issuer”, “—As a company incorporated in the Cayman Islands, we are permitted to adopt certain home country practices in relation to corporate governance matters that differ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significantly from the Nasdaq Stock Market Rules.” and “—We are a foreign private issuer within the meaning of the rules under the Exchange Act, and as such we are exempt from certain provisions applicable to U.S. domestic public companies.”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can be no assurance that we will not be classified as a passive foreign investment company for U.S. federal income tax purposes, which could result in adverse U.S. federal income tax consequences to U.S. Holders of our ADSs or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our current and projected income and assets, including the proceeds from this offering, and projections as to the value of our assets immediately following this offering, we do not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If our market capitalization is less than anticipated or subsequently declines, we may be or become a PFIC for the current taxable year or future taxable years. Furthermore,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classified as a PFIC for any taxable year during which a U.S. Holder (as defined in “Taxation — United States Federal Income Tax Considerations”) holds our ADSs or ordinary shares, the PFIC tax rules discussed under “Taxation — United States Federal Income Tax Considerations — Passive Foreign Investment Company Rules” will generally apply to such U.S. Holder for such taxable year and, unless the U.S. Holder makes a “mark-to-market” election, will apply in future years even if we cease to be a PFIC. See the discussion under “Taxation — United States Federal Income Tax Considerations — Passive Foreign Investment Company Rules” concerning the U.S. federal income tax considerations of an investment in our ADSs or ordinary shares if we are or become classified as a PFIC and the possibility of making such election.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incur increased costs as a result of being a public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this offering, we will become a public company and expect to incur significant legal, accounting and other expenses that we did not incur as a private company. The Sarbanes-Oxley Act of 2002, as well as rules subsequently implemented by the SEC and Nasdaq Global Market, impose various requirements on the corporate governance practices of public companies. We expect these rules and regulations to increase our legal and financial compliance costs and to make some corporate activities more time-consuming and costly.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with acceptable policy limits and coverage, should we decide to purchase such insurance.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the reporting requirements of the Exchange Act of 1934, or Exchange Act, the Sarbanes-Oxley Act of and the rules and regulations of the Nasdaq Global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consolidated financial statements for the financial statements included elsewhere in this prospectus, we identified two material weaknesses in our internal control over financial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defined in standards established by the Public Company Accounting Oversight Board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i) lack of sufficient and competent accounting staff and resources with appropriate knowledge of U.S. GAAP and SEC reporting and compliance requirements; and ii) lack of robust and formal period-end financial reporting policies and procedures in place to address complex U.S. GAAP technical accounting and the SEC reporting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response to the material weaknesses identified prior to this offering, we are in the process of implementing a number of measures to address the material weaknesses identified, including but not limited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 and implement a comprehensive set of processes and internal controls to timely and appropriately;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transactions that may be subject to complex U.S. GAAP accounting treatment;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analyze the transactions in accordance with the relevant U.S. GAAP;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the accounting technical analysis;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hire additional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 an ongoing training program to provide sufficient and appropriate trainings for accounting and financial reporting personnel, including trainings related to U.S. GAAP and SEC reporting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believe the measures described above should remediate the material weaknesses identified and strengthen our internal control over financial reporting. The remediation initiatives outlined above are estimated to take place over the next 12 to 18 months, and we can offer no assurance that these initiatives will ultimately have the intended effects. We do not believe that the remediation of these material weaknesses will result in significant incremental cost. However, we cannot assure you that we will not identify additional material weaknesses or significant deficiencies in the future. Another significant financial reporting failure or material weakness in internal control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financial reporting could result in substantial cost to remediate and could cause a loss of investor confidence and decline in the market price of our ADSs. In addition, if we are unable to meet the requirements of Section 404 of the Sarbanes-Oxley Act, our ADSs may not be able to remain listed on the Nasdaq Global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course of documenting and testing our internal control procedures, in order to satisfy the requirements of Section 404 of the Sarbanes- 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reported financial results may be adversely affected by changes in accounting principles generally accepted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is subject to interpretation by the Financial Accounting Standards Board,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consolidated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estimates or judgments relating to our critical accounting policies prove to be incorrect, our results of operations could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preparation of financial statements in conformity with U.S. GAAP requires management to make estimates and assumptions that affect the reported amounts of assets and liabilities, the disclosure of contingent assets and liabilities at the date of our consolidated financial statements, and the reported amounts of expenses during the reporting periods. We base our estimates on historical experience, known trends and other market-specific or other relevant factors that we believe to be reasonable under the circumstances. The results of these estimates form the basis for making judgments about the carrying values of assets, liabilities, and equity, and the amount of revenue and expenses. Significant estimates and judgments involve: the allowance for receivable, the recoverability of long-lived assets and accounting for deferred income taxes and valuation allowance for deferred tax assets. Our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ADSs.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price of our ADSs could be subject to rapid and substantial volatility.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have been instances of extreme stock price run-ups followed by rapid price declines and strong stock price volatility with recent initial public offerings, especially among those with relatively smaller public floats. As a relatively small-capitalization company with a relatively small public float, we may experience greater stock price volatility, extreme price run-ups, lower trading volume, and less liquidity than large-capitalization companies. In particular, our ADSs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the trading volumes of our ADSs are low, persons buying or selling in relatively small quantities may easily influence the price of our ADSs. This low volume of trades could also cause the price of our ADSs to fluctuate greatly, with large percentage changes in price occurring in any trading day session. Holders of our ADSs may also not be able to readily liquidate their investment or may be forced to sell at depressed prices due to low volume trading. Broad market fluctuations and general economic and political conditions may also adversely affect the market price of our ADSs. As a result of this volatility, investors may experience losses on their investment in our ADSs. A decline in the market price of our ADSs also could adversely affect our ability to issue additional ADSs or other of our securities and our ability to obtain additional financing in the future. There can be no assurance that an active market in our ADSs will develop or be sustained. If an active market does not develop, holders of our ADSs may be unable to readily sell the shares they hold or may not be able to sell their shares at all.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25"/>
      <w:bookmarkEnd w:id="5"/>
      <w:r>
        <w:rPr>
          <w:rFonts w:ascii="Times New Roman PS Std;serif" w:hAnsi="Times New Roman PS Std;serif"/>
          <w:b/>
          <w:i w:val="false"/>
          <w:caps w:val="false"/>
          <w:smallCaps w:val="false"/>
          <w:sz w:val="20"/>
        </w:rPr>
        <w:t>SPECIAL NOTE REGARDING FORWARD-LOOKING STATEMENTS AND INDUSTRY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forward-looking statements that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goals and strategies;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business development, financial condition and results of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outlook of the digital solutions and e-commerce market in Singapore, Southeast Asia and globally;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expected changes in our revenue, costs or expenditures;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in our industry;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proposed use of proceeds;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 policies and regulations relating to our industry;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and business conditions in Singapore, Southeast Asia and globally.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certain data and information that we obtained from industry publications and reports generated by third-party providers of market intelligence. We have not independently verified the accuracy or completeness of the data and information contained in these publications and reports. Statistical data in these publications also include projections based on a number of assumptions. Failure of these markets to grow at the projected rate may have a material and adverse effect on our business and the market price of the ADSs. If any one or more of the assumptions underlying the market data are later found to be incorrect, actual results may differ from the projections based on these assumptions.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not rely upon forward-looking statements as predictions of future events. We undertake no obligation to update or revise any forward-looking statements, whether as a result of new information, future events or otherwise.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24"/>
      <w:bookmarkEnd w:id="6"/>
      <w:r>
        <w:rPr>
          <w:rFonts w:ascii="Times New Roman PS Std;serif" w:hAnsi="Times New Roman PS Std;serif"/>
          <w:b/>
          <w:i w:val="false"/>
          <w:caps w:val="false"/>
          <w:smallCaps w:val="false"/>
          <w:sz w:val="20"/>
        </w:rPr>
        <w:t>USE OF PROCEEDS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aggregate net proceeds to us from this offering of approximately US$            million, after deducting underwriting discounts and estimated expenses payable by us in connection with this offering, and assuming an initial offering price of US$            per ADS, being the midpoint of the estimated range of the initial public offering price shown on the cover page of this prospectus. Assuming the number of ADSs offered by us as set forth on the cover page of this prospectus remains the same, and after deduction of underwriting discounts and estimated expenses payable by us in connection with this offering, a US$1.00 increase (decrease) in the assumed initial public offering price of US$            per ADS would increase (decrease) the net proceeds of this offering by approximately US$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purposes of this offering are to increase our capitalization and financial flexibility, create a public market for our shares, and retain talented employees by providing them with equity incentives and enable access to the public equity markets for us and our shareholders. We plan to use the net proceeds of this offering for the following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35% of the net proceeds for research and development, including development of infrastructure for our Web 3.0 e-commerce platform and further investment in our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25% of the net proceeds for investment in the Singapore market;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40% of the net proceeds for general corporate purposes, which may include potential strategic investments and acquisitions in Southeast Asia and globally, although we have not identified any specific investments or acquisition opportunities or targets at this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represents our current intentions based upon our present plans and business conditions to use and allocate the net proceeds of this offering. Our management, however, will have discretion in the application of net proceeds to us from this offering, and investors will be relying on the judgment of our management regarding the use of these net proceeds. If an unforeseen event occurs or business conditions change, we may use the proceeds of this offering differently than as described in this prospectus. See “Risk Factors — Risks Relating to Our ADSs and This Offering — We have not determined a specific use for a portion of the net proceeds from this offering and we may use these proceeds in ways with which you may not agree.”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made in this prospectus relate only to events or information as of the date on which these statements are made in this prospectus. We undertake no obligation to update or revise any forward-looking statements, whether as a result of new information, future events or otherwise, after the date of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23"/>
      <w:bookmarkEnd w:id="7"/>
      <w:r>
        <w:rPr>
          <w:rFonts w:ascii="Times New Roman PS Std;serif" w:hAnsi="Times New Roman PS Std;serif"/>
          <w:b/>
          <w:i w:val="false"/>
          <w:caps w:val="false"/>
          <w:smallCaps w:val="false"/>
          <w:sz w:val="20"/>
        </w:rPr>
        <w:t>DIVIDEND POLICY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never declared or paid cash dividends on our ordinary shares. We do not have any present plan to pay any cash dividends on our ordinary shares in the foreseeable future after this offering. We currently intend to retain most, if not all, of our available funds and any future earnings to operate and grow our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holding company incorporated in the Cayman Islands. We may rely on dividends from our Singapore subsidiary for our cash requirements, including any payment of dividends to our shareholders. There are no foreign exchange restrictions under Singapore law which would affect the payment or remittance of dividends by our Singapore subsidiary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complete discretion on whether to distribute dividends, subject to applicable laws. In addition, our shareholders may by ordinary resolution declare a dividend, but no dividend may exceed the amount recommended by our board of directors. Under the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pay any dividends on our ordinary shares, we will pay those dividends that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22"/>
      <w:bookmarkEnd w:id="8"/>
      <w:r>
        <w:rPr>
          <w:rFonts w:ascii="Times New Roman PS Std;serif" w:hAnsi="Times New Roman PS Std;serif"/>
          <w:b/>
          <w:i w:val="false"/>
          <w:caps w:val="false"/>
          <w:smallCaps w:val="false"/>
          <w:sz w:val="20"/>
        </w:rPr>
        <w:t>CAPITALIZATION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capitalization as of December 31, 2022:</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 actual basis;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 pro forma as adjusted basis to reflect the issuance and sale of [            ] Class B ordinary shares in the form of ADSs by us in this offering (without full exercise of the underwriter’s over-allotment option), at an assumed initial public offering price of US$[            ] per ADS, the midpoint of the estimated range of the initial public offering price shown on the front cover this prospectus, after deducting the underwriting discounts and commissions and estimated offering expenses payable by 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 pro forma as adjusted basis to reflect the issuance and sale of [            ] Class B ordinary shares in the form of ADSs by us in this offering (with full exercise of the underwriter’s over-allotment option), at an assumed initial public offering price of US$[            ] per ADS, the midpoint of the estimated range of the initial public offering price shown on the front cover this prospectus, after deducting the underwriting discounts and commissions and estimated offering expenses payable by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adjustments reflected below are subject to change and are based upon available information and certain assumptions that we believe are reasonable. Total shareholders’ equity and total capitalization following the completion of this offering are subject to adjustment based on the actual initial public offering price and other terms of this offering determined at pricing. You should read this table together with our consolidated financial statements and the related notes included elsewhere in this prospectus and the information under “Management’s Discussion and Analysis of Financial Condition and Results of Operations.”</w:t>
      </w:r>
    </w:p>
    <w:tbl>
      <w:tblPr>
        <w:tblW w:w="10205" w:type="dxa"/>
        <w:jc w:val="left"/>
        <w:tblInd w:w="0" w:type="dxa"/>
        <w:tblLayout w:type="fixed"/>
        <w:tblCellMar>
          <w:top w:w="0" w:type="dxa"/>
          <w:left w:w="0" w:type="dxa"/>
          <w:bottom w:w="0" w:type="dxa"/>
          <w:right w:w="0" w:type="dxa"/>
        </w:tblCellMar>
      </w:tblPr>
      <w:tblGrid>
        <w:gridCol w:w="4506"/>
        <w:gridCol w:w="146"/>
        <w:gridCol w:w="1291"/>
        <w:gridCol w:w="196"/>
        <w:gridCol w:w="146"/>
        <w:gridCol w:w="1528"/>
        <w:gridCol w:w="146"/>
        <w:gridCol w:w="2246"/>
      </w:tblGrid>
      <w:tr>
        <w:trPr/>
        <w:tc>
          <w:tcPr>
            <w:tcW w:w="450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553"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2022</w:t>
            </w:r>
          </w:p>
        </w:tc>
      </w:tr>
      <w:tr>
        <w:trPr/>
        <w:tc>
          <w:tcPr>
            <w:tcW w:w="45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Actual</w:t>
            </w:r>
          </w:p>
        </w:tc>
        <w:tc>
          <w:tcPr>
            <w:tcW w:w="146" w:type="dxa"/>
            <w:tcBorders/>
            <w:vAlign w:val="bottom"/>
          </w:tcPr>
          <w:p>
            <w:pPr>
              <w:pStyle w:val="TableContents"/>
              <w:bidi w:val="0"/>
              <w:spacing w:before="0" w:after="283"/>
              <w:jc w:val="left"/>
              <w:rPr/>
            </w:pPr>
            <w:r>
              <w:rPr/>
              <w:t> </w:t>
            </w:r>
          </w:p>
        </w:tc>
        <w:tc>
          <w:tcPr>
            <w:tcW w:w="152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 As Adjusted(1)</w:t>
            </w:r>
          </w:p>
        </w:tc>
        <w:tc>
          <w:tcPr>
            <w:tcW w:w="146" w:type="dxa"/>
            <w:tcBorders/>
            <w:vAlign w:val="bottom"/>
          </w:tcPr>
          <w:p>
            <w:pPr>
              <w:pStyle w:val="TableContents"/>
              <w:bidi w:val="0"/>
              <w:spacing w:before="0" w:after="283"/>
              <w:jc w:val="left"/>
              <w:rPr/>
            </w:pPr>
            <w:r>
              <w:rPr/>
              <w:t> </w:t>
            </w:r>
          </w:p>
        </w:tc>
        <w:tc>
          <w:tcPr>
            <w:tcW w:w="22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 As Adjusted with Full Exercise of Over-Allotment Option</w:t>
            </w:r>
          </w:p>
        </w:tc>
      </w:tr>
      <w:tr>
        <w:trPr/>
        <w:tc>
          <w:tcPr>
            <w:tcW w:w="45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vAlign w:val="bottom"/>
          </w:tcPr>
          <w:p>
            <w:pPr>
              <w:pStyle w:val="TableContents"/>
              <w:bidi w:val="0"/>
              <w:spacing w:before="0" w:after="283"/>
              <w:jc w:val="left"/>
              <w:rPr/>
            </w:pPr>
            <w:r>
              <w:rPr/>
              <w:t> </w:t>
            </w:r>
          </w:p>
        </w:tc>
        <w:tc>
          <w:tcPr>
            <w:tcW w:w="152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vAlign w:val="bottom"/>
          </w:tcPr>
          <w:p>
            <w:pPr>
              <w:pStyle w:val="TableContents"/>
              <w:bidi w:val="0"/>
              <w:spacing w:before="0" w:after="283"/>
              <w:jc w:val="left"/>
              <w:rPr/>
            </w:pPr>
            <w:r>
              <w:rPr/>
              <w:t> </w:t>
            </w:r>
          </w:p>
        </w:tc>
        <w:tc>
          <w:tcPr>
            <w:tcW w:w="22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r>
      <w:tr>
        <w:trPr/>
        <w:tc>
          <w:tcPr>
            <w:tcW w:w="4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Long-term debt: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46" w:type="dxa"/>
            <w:tcBorders/>
            <w:shd w:fill="CCEEFF" w:val="clear"/>
            <w:vAlign w:val="bottom"/>
          </w:tcPr>
          <w:p>
            <w:pPr>
              <w:pStyle w:val="TableContents"/>
              <w:bidi w:val="0"/>
              <w:spacing w:before="0" w:after="283"/>
              <w:jc w:val="left"/>
              <w:rPr/>
            </w:pPr>
            <w:r>
              <w:rPr/>
              <w:t> </w:t>
            </w:r>
          </w:p>
        </w:tc>
      </w:tr>
      <w:tr>
        <w:trPr/>
        <w:tc>
          <w:tcPr>
            <w:tcW w:w="45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633,932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vAlign w:val="bottom"/>
          </w:tcPr>
          <w:p>
            <w:pPr>
              <w:pStyle w:val="TableContents"/>
              <w:bidi w:val="0"/>
              <w:spacing w:before="0" w:after="283"/>
              <w:jc w:val="left"/>
              <w:rPr/>
            </w:pPr>
            <w:r>
              <w:rPr/>
              <w:t> </w:t>
            </w:r>
          </w:p>
        </w:tc>
        <w:tc>
          <w:tcPr>
            <w:tcW w:w="2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4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46" w:type="dxa"/>
            <w:tcBorders/>
            <w:shd w:fill="CCEEFF" w:val="clear"/>
            <w:vAlign w:val="bottom"/>
          </w:tcPr>
          <w:p>
            <w:pPr>
              <w:pStyle w:val="TableContents"/>
              <w:bidi w:val="0"/>
              <w:spacing w:before="0" w:after="283"/>
              <w:jc w:val="left"/>
              <w:rPr/>
            </w:pPr>
            <w:r>
              <w:rPr/>
              <w:t> </w:t>
            </w:r>
          </w:p>
        </w:tc>
      </w:tr>
      <w:tr>
        <w:trPr/>
        <w:tc>
          <w:tcPr>
            <w:tcW w:w="45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(par value $0.00001 per share; 1,000,000,000 Class A ordinary shares authorized, 50,000,000 Class A ordinary shares issued and outstanding as of December 31, 2022; 4,000,000,000 Class B ordinary shares authorized, 360,205,000 Class B ordinary shares issued and outstanding as of December 31, 2022.)</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vAlign w:val="bottom"/>
          </w:tcPr>
          <w:p>
            <w:pPr>
              <w:pStyle w:val="TableContents"/>
              <w:bidi w:val="0"/>
              <w:spacing w:before="0" w:after="283"/>
              <w:jc w:val="left"/>
              <w:rPr/>
            </w:pPr>
            <w:r>
              <w:rPr/>
              <w:t> </w:t>
            </w:r>
          </w:p>
        </w:tc>
        <w:tc>
          <w:tcPr>
            <w:tcW w:w="2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45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receivable</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shd w:fill="CCEEFF" w:val="clear"/>
            <w:vAlign w:val="bottom"/>
          </w:tcPr>
          <w:p>
            <w:pPr>
              <w:pStyle w:val="TableContents"/>
              <w:bidi w:val="0"/>
              <w:spacing w:before="0" w:after="283"/>
              <w:jc w:val="left"/>
              <w:rPr/>
            </w:pPr>
            <w:r>
              <w:rPr/>
              <w:t> </w:t>
            </w:r>
          </w:p>
        </w:tc>
        <w:tc>
          <w:tcPr>
            <w:tcW w:w="2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45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vAlign w:val="bottom"/>
          </w:tcPr>
          <w:p>
            <w:pPr>
              <w:pStyle w:val="TableContents"/>
              <w:bidi w:val="0"/>
              <w:spacing w:before="0" w:after="283"/>
              <w:jc w:val="left"/>
              <w:rPr/>
            </w:pPr>
            <w:r>
              <w:rPr/>
              <w:t> </w:t>
            </w:r>
          </w:p>
        </w:tc>
        <w:tc>
          <w:tcPr>
            <w:tcW w:w="2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45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(deficit)/earnings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(1,323,341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shd w:fill="CCEEFF" w:val="clear"/>
            <w:vAlign w:val="bottom"/>
          </w:tcPr>
          <w:p>
            <w:pPr>
              <w:pStyle w:val="TableContents"/>
              <w:bidi w:val="0"/>
              <w:spacing w:before="0" w:after="283"/>
              <w:jc w:val="left"/>
              <w:rPr/>
            </w:pPr>
            <w:r>
              <w:rPr/>
              <w:t> </w:t>
            </w:r>
          </w:p>
        </w:tc>
        <w:tc>
          <w:tcPr>
            <w:tcW w:w="2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45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loss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(37,788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5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vAlign w:val="bottom"/>
          </w:tcPr>
          <w:p>
            <w:pPr>
              <w:pStyle w:val="TableContents"/>
              <w:bidi w:val="0"/>
              <w:spacing w:before="0" w:after="283"/>
              <w:jc w:val="left"/>
              <w:rPr/>
            </w:pPr>
            <w:r>
              <w:rPr/>
              <w:t> </w:t>
            </w:r>
          </w:p>
        </w:tc>
        <w:tc>
          <w:tcPr>
            <w:tcW w:w="2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4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shd w:fill="CCEEFF" w:val="clear"/>
            <w:vAlign w:val="bottom"/>
          </w:tcPr>
          <w:p>
            <w:pPr>
              <w:pStyle w:val="TableContents"/>
              <w:bidi w:val="0"/>
              <w:spacing w:before="0" w:after="283"/>
              <w:jc w:val="left"/>
              <w:rPr/>
            </w:pPr>
            <w:r>
              <w:rPr/>
              <w:t> </w:t>
            </w:r>
          </w:p>
        </w:tc>
        <w:tc>
          <w:tcPr>
            <w:tcW w:w="2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4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2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vAlign w:val="bottom"/>
          </w:tcPr>
          <w:p>
            <w:pPr>
              <w:pStyle w:val="TableContents"/>
              <w:bidi w:val="0"/>
              <w:spacing w:before="0" w:after="283"/>
              <w:jc w:val="left"/>
              <w:rPr/>
            </w:pPr>
            <w:r>
              <w:rPr/>
              <w:t> </w:t>
            </w:r>
          </w:p>
        </w:tc>
        <w:tc>
          <w:tcPr>
            <w:tcW w:w="22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Reflects the issuance and sale of [            ] Class B ordinary shares in the form of ADSs by us in this offering (without full exercise of the underwriter’s over-allotment option), at an assumed initial public offering price of US$[            ] per ADS, the midpoint of the estimated range of the initial public offering price shown on the front cover this prospectus,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21"/>
      <w:bookmarkEnd w:id="9"/>
      <w:r>
        <w:rPr>
          <w:rFonts w:ascii="Times New Roman PS Std;serif" w:hAnsi="Times New Roman PS Std;serif"/>
          <w:b/>
          <w:i w:val="false"/>
          <w:caps w:val="false"/>
          <w:smallCaps w:val="false"/>
          <w:sz w:val="20"/>
        </w:rPr>
        <w:t>DILUTION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net tangible book value as of December 31, 2022 was approximately US$            million, or US$          per ordinary share as of that date and US$            per ADS.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assumed initial public offering price of US$            per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Without taking into account any other changes in net tangible book value after December 31, 2022, other than to give effect to our sale of the ADSs offered in this offering at the assumed initial public offering price of US$            per ADS, which is the midpoint of the estimated initial public offering price range shown on the front cover of this prospectus, after deduction of the underwriting discounts and commissions and estimated offering expenses payable by us, our as adjusted net tangible book value as of                      would have been US$            , or US$            per ordinary share and US$            per ADS. This represents an immediate increase in net tangible book value of US$            per ordinary share and US$            per ADS to the existing shareholders and an immediate dilution in net tangible book value of US$            per ordinary share and US$            per ADS to investors purchasing ADSs in this offering. The following table illustrates such dilution:</w:t>
      </w:r>
    </w:p>
    <w:tbl>
      <w:tblPr>
        <w:tblW w:w="10205" w:type="dxa"/>
        <w:jc w:val="left"/>
        <w:tblInd w:w="0" w:type="dxa"/>
        <w:tblLayout w:type="fixed"/>
        <w:tblCellMar>
          <w:top w:w="0" w:type="dxa"/>
          <w:left w:w="0" w:type="dxa"/>
          <w:bottom w:w="0" w:type="dxa"/>
          <w:right w:w="0" w:type="dxa"/>
        </w:tblCellMar>
      </w:tblPr>
      <w:tblGrid>
        <w:gridCol w:w="7041"/>
        <w:gridCol w:w="146"/>
        <w:gridCol w:w="1940"/>
        <w:gridCol w:w="146"/>
        <w:gridCol w:w="932"/>
      </w:tblGrid>
      <w:tr>
        <w:trPr/>
        <w:tc>
          <w:tcPr>
            <w:tcW w:w="70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4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ordinary share</w:t>
            </w:r>
          </w:p>
        </w:tc>
        <w:tc>
          <w:tcPr>
            <w:tcW w:w="146" w:type="dxa"/>
            <w:tcBorders/>
            <w:vAlign w:val="bottom"/>
          </w:tcPr>
          <w:p>
            <w:pPr>
              <w:pStyle w:val="TableContents"/>
              <w:bidi w:val="0"/>
              <w:spacing w:before="0" w:after="283"/>
              <w:jc w:val="left"/>
              <w:rPr/>
            </w:pPr>
            <w:r>
              <w:rPr/>
              <w:t> </w:t>
            </w:r>
          </w:p>
        </w:tc>
        <w:tc>
          <w:tcPr>
            <w:tcW w:w="93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ADS</w:t>
            </w:r>
          </w:p>
        </w:tc>
      </w:tr>
      <w:tr>
        <w:trPr/>
        <w:tc>
          <w:tcPr>
            <w:tcW w:w="70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Assumed initial public offering price</w:t>
            </w:r>
          </w:p>
        </w:tc>
        <w:tc>
          <w:tcPr>
            <w:tcW w:w="146" w:type="dxa"/>
            <w:tcBorders/>
            <w:shd w:fill="CCEEFF" w:val="clear"/>
            <w:vAlign w:val="bottom"/>
          </w:tcPr>
          <w:p>
            <w:pPr>
              <w:pStyle w:val="TableContents"/>
              <w:bidi w:val="0"/>
              <w:spacing w:before="0" w:after="283"/>
              <w:jc w:val="left"/>
              <w:rPr/>
            </w:pPr>
            <w:r>
              <w:rPr/>
              <w:t> </w:t>
            </w:r>
          </w:p>
        </w:tc>
        <w:tc>
          <w:tcPr>
            <w:tcW w:w="194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70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tangible book value as of December 31, 2022</w:t>
            </w:r>
          </w:p>
        </w:tc>
        <w:tc>
          <w:tcPr>
            <w:tcW w:w="146" w:type="dxa"/>
            <w:tcBorders/>
            <w:vAlign w:val="bottom"/>
          </w:tcPr>
          <w:p>
            <w:pPr>
              <w:pStyle w:val="TableContents"/>
              <w:bidi w:val="0"/>
              <w:spacing w:before="0" w:after="283"/>
              <w:jc w:val="left"/>
              <w:rPr/>
            </w:pPr>
            <w:r>
              <w:rPr/>
              <w:t> </w:t>
            </w:r>
          </w:p>
        </w:tc>
        <w:tc>
          <w:tcPr>
            <w:tcW w:w="194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vAlign w:val="bottom"/>
          </w:tcPr>
          <w:p>
            <w:pPr>
              <w:pStyle w:val="TableContents"/>
              <w:bidi w:val="0"/>
              <w:spacing w:before="0" w:after="283"/>
              <w:jc w:val="left"/>
              <w:rPr/>
            </w:pPr>
            <w:r>
              <w:rPr/>
              <w:t> </w:t>
            </w:r>
          </w:p>
        </w:tc>
        <w:tc>
          <w:tcPr>
            <w:tcW w:w="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70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adjusted net tangible book value after giving effect to this offering</w:t>
            </w:r>
          </w:p>
        </w:tc>
        <w:tc>
          <w:tcPr>
            <w:tcW w:w="146" w:type="dxa"/>
            <w:tcBorders/>
            <w:shd w:fill="CCEEFF" w:val="clear"/>
            <w:vAlign w:val="bottom"/>
          </w:tcPr>
          <w:p>
            <w:pPr>
              <w:pStyle w:val="TableContents"/>
              <w:bidi w:val="0"/>
              <w:spacing w:before="0" w:after="283"/>
              <w:jc w:val="left"/>
              <w:rPr/>
            </w:pPr>
            <w:r>
              <w:rPr/>
              <w:t> </w:t>
            </w:r>
          </w:p>
        </w:tc>
        <w:tc>
          <w:tcPr>
            <w:tcW w:w="194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70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of dilution in net tangible book value to new investors in this offering</w:t>
            </w:r>
          </w:p>
        </w:tc>
        <w:tc>
          <w:tcPr>
            <w:tcW w:w="146" w:type="dxa"/>
            <w:tcBorders/>
            <w:vAlign w:val="bottom"/>
          </w:tcPr>
          <w:p>
            <w:pPr>
              <w:pStyle w:val="TableContents"/>
              <w:bidi w:val="0"/>
              <w:spacing w:before="0" w:after="283"/>
              <w:jc w:val="left"/>
              <w:rPr/>
            </w:pPr>
            <w:r>
              <w:rPr/>
              <w:t> </w:t>
            </w:r>
          </w:p>
        </w:tc>
        <w:tc>
          <w:tcPr>
            <w:tcW w:w="194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vAlign w:val="bottom"/>
          </w:tcPr>
          <w:p>
            <w:pPr>
              <w:pStyle w:val="TableContents"/>
              <w:bidi w:val="0"/>
              <w:spacing w:before="0" w:after="283"/>
              <w:jc w:val="left"/>
              <w:rPr/>
            </w:pPr>
            <w:r>
              <w:rPr/>
              <w:t> </w:t>
            </w:r>
          </w:p>
        </w:tc>
        <w:tc>
          <w:tcPr>
            <w:tcW w:w="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US$1.00 increase (decrease) in the assumed initial public offering price of US$            per ADS would increase (decrease) our as adjusted net tangible book value after giving effect to this offering by US$            , the as adjusted net tangible book value per ordinary share and per ADS after giving effect to this offering by US$            per ordinary share and US$            per ADS, and the dilution in as adjusted net tangible book value per ordinary share and per ADS to new investors in this offering by US$            per ordinary share and US$            per ADS, assuming no change to the number of ADSs offered by us as set forth on the front cover of this prospectus, and after deducting underwriting discounts and commissions and estimated offering expenses payable by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on an as adjusted basis as of December 31, 2022, the differences between existing shareholders and the new investors with respect to the number of ordinary shares (in the form of ADSs or ordinary shares) purchased from us, the total consideration paid and the average price per ordinary share and per ADS paid before deducting the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tbl>
      <w:tblPr>
        <w:tblW w:w="10020" w:type="dxa"/>
        <w:jc w:val="left"/>
        <w:tblInd w:w="0" w:type="dxa"/>
        <w:tblLayout w:type="fixed"/>
        <w:tblCellMar>
          <w:top w:w="0" w:type="dxa"/>
          <w:left w:w="0" w:type="dxa"/>
          <w:bottom w:w="0" w:type="dxa"/>
          <w:right w:w="0" w:type="dxa"/>
        </w:tblCellMar>
      </w:tblPr>
      <w:tblGrid>
        <w:gridCol w:w="2221"/>
        <w:gridCol w:w="146"/>
        <w:gridCol w:w="1370"/>
        <w:gridCol w:w="214"/>
        <w:gridCol w:w="1325"/>
        <w:gridCol w:w="146"/>
        <w:gridCol w:w="946"/>
        <w:gridCol w:w="150"/>
        <w:gridCol w:w="853"/>
        <w:gridCol w:w="150"/>
        <w:gridCol w:w="146"/>
        <w:gridCol w:w="1081"/>
        <w:gridCol w:w="146"/>
        <w:gridCol w:w="1126"/>
      </w:tblGrid>
      <w:tr>
        <w:trPr/>
        <w:tc>
          <w:tcPr>
            <w:tcW w:w="22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0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Ordinary Shares Purchased</w:t>
            </w:r>
          </w:p>
        </w:tc>
        <w:tc>
          <w:tcPr>
            <w:tcW w:w="146" w:type="dxa"/>
            <w:tcBorders/>
            <w:vAlign w:val="bottom"/>
          </w:tcPr>
          <w:p>
            <w:pPr>
              <w:pStyle w:val="TableContents"/>
              <w:bidi w:val="0"/>
              <w:spacing w:before="0" w:after="283"/>
              <w:jc w:val="left"/>
              <w:rPr/>
            </w:pPr>
            <w:r>
              <w:rPr/>
              <w:t> </w:t>
            </w:r>
          </w:p>
        </w:tc>
        <w:tc>
          <w:tcPr>
            <w:tcW w:w="209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Consideration</w:t>
            </w:r>
          </w:p>
        </w:tc>
        <w:tc>
          <w:tcPr>
            <w:tcW w:w="146" w:type="dxa"/>
            <w:tcBorders/>
            <w:vAlign w:val="bottom"/>
          </w:tcPr>
          <w:p>
            <w:pPr>
              <w:pStyle w:val="TableContents"/>
              <w:bidi w:val="0"/>
              <w:spacing w:before="0" w:after="283"/>
              <w:jc w:val="left"/>
              <w:rPr/>
            </w:pPr>
            <w:r>
              <w:rPr/>
              <w:t> </w:t>
            </w:r>
          </w:p>
        </w:tc>
        <w:tc>
          <w:tcPr>
            <w:tcW w:w="108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Price Per </w:t>
              <w:br/>
              <w:t xml:space="preserve">Ordinary </w:t>
              <w:br/>
              <w:t>Share</w:t>
            </w:r>
          </w:p>
        </w:tc>
        <w:tc>
          <w:tcPr>
            <w:tcW w:w="146" w:type="dxa"/>
            <w:vMerge w:val="restart"/>
            <w:tcBorders/>
            <w:vAlign w:val="bottom"/>
          </w:tcPr>
          <w:p>
            <w:pPr>
              <w:pStyle w:val="TableContents"/>
              <w:bidi w:val="0"/>
              <w:spacing w:before="0" w:after="283"/>
              <w:jc w:val="left"/>
              <w:rPr/>
            </w:pPr>
            <w:r>
              <w:rPr/>
              <w:t> </w:t>
            </w:r>
          </w:p>
        </w:tc>
        <w:tc>
          <w:tcPr>
            <w:tcW w:w="112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Price Per </w:t>
              <w:br/>
              <w:t>ADS</w:t>
            </w:r>
          </w:p>
        </w:tc>
      </w:tr>
      <w:tr>
        <w:trPr/>
        <w:tc>
          <w:tcPr>
            <w:tcW w:w="22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214" w:type="dxa"/>
            <w:tcBorders/>
            <w:vAlign w:val="bottom"/>
          </w:tcPr>
          <w:p>
            <w:pPr>
              <w:pStyle w:val="TableContents"/>
              <w:bidi w:val="0"/>
              <w:spacing w:before="0" w:after="283"/>
              <w:jc w:val="left"/>
              <w:rPr/>
            </w:pPr>
            <w:r>
              <w:rPr/>
              <w:t> </w:t>
            </w:r>
          </w:p>
        </w:tc>
        <w:tc>
          <w:tcPr>
            <w:tcW w:w="13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50" w:type="dxa"/>
            <w:tcBorders/>
            <w:vAlign w:val="bottom"/>
          </w:tcPr>
          <w:p>
            <w:pPr>
              <w:pStyle w:val="TableContents"/>
              <w:bidi w:val="0"/>
              <w:spacing w:before="0" w:after="283"/>
              <w:jc w:val="left"/>
              <w:rPr/>
            </w:pPr>
            <w:r>
              <w:rPr/>
              <w:t> </w:t>
            </w:r>
          </w:p>
        </w:tc>
        <w:tc>
          <w:tcPr>
            <w:tcW w:w="100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108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26" w:type="dxa"/>
            <w:vMerge w:val="continue"/>
            <w:tcBorders/>
            <w:vAlign w:val="bottom"/>
          </w:tcPr>
          <w:p>
            <w:pPr>
              <w:pStyle w:val="Normal"/>
              <w:bidi w:val="0"/>
              <w:jc w:val="left"/>
              <w:rPr/>
            </w:pPr>
            <w:r>
              <w:rPr/>
            </w:r>
          </w:p>
        </w:tc>
      </w:tr>
      <w:tr>
        <w:trPr/>
        <w:tc>
          <w:tcPr>
            <w:tcW w:w="22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Existing shareholders</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50"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w:t>
            </w:r>
          </w:p>
        </w:tc>
        <w:tc>
          <w:tcPr>
            <w:tcW w:w="150"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22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investors</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4" w:type="dxa"/>
            <w:tcBorders/>
            <w:vAlign w:val="bottom"/>
          </w:tcPr>
          <w:p>
            <w:pPr>
              <w:pStyle w:val="TableContents"/>
              <w:bidi w:val="0"/>
              <w:spacing w:before="0" w:after="283"/>
              <w:jc w:val="left"/>
              <w:rPr/>
            </w:pPr>
            <w:r>
              <w:rPr/>
              <w:t> </w:t>
            </w:r>
          </w:p>
        </w:tc>
        <w:tc>
          <w:tcPr>
            <w:tcW w:w="132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50" w:type="dxa"/>
            <w:tcBorders/>
            <w:vAlign w:val="bottom"/>
          </w:tcPr>
          <w:p>
            <w:pPr>
              <w:pStyle w:val="TableContents"/>
              <w:bidi w:val="0"/>
              <w:spacing w:before="0" w:after="283"/>
              <w:jc w:val="left"/>
              <w:rPr/>
            </w:pPr>
            <w:r>
              <w:rPr/>
              <w:t> </w:t>
            </w:r>
          </w:p>
        </w:tc>
        <w:tc>
          <w:tcPr>
            <w:tcW w:w="8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w:t>
            </w:r>
          </w:p>
        </w:tc>
        <w:tc>
          <w:tcPr>
            <w:tcW w:w="1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22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3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4" w:type="dxa"/>
            <w:tcBorders/>
            <w:shd w:fill="CCEEFF" w:val="clear"/>
            <w:vAlign w:val="bottom"/>
          </w:tcPr>
          <w:p>
            <w:pPr>
              <w:pStyle w:val="TableContents"/>
              <w:bidi w:val="0"/>
              <w:spacing w:before="0" w:after="283"/>
              <w:jc w:val="left"/>
              <w:rPr/>
            </w:pPr>
            <w:r>
              <w:rPr/>
              <w:t> </w:t>
            </w:r>
          </w:p>
        </w:tc>
        <w:tc>
          <w:tcPr>
            <w:tcW w:w="132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50" w:type="dxa"/>
            <w:tcBorders/>
            <w:shd w:fill="CCEEFF" w:val="clear"/>
            <w:vAlign w:val="bottom"/>
          </w:tcPr>
          <w:p>
            <w:pPr>
              <w:pStyle w:val="TableContents"/>
              <w:bidi w:val="0"/>
              <w:spacing w:before="0" w:after="283"/>
              <w:jc w:val="left"/>
              <w:rPr/>
            </w:pPr>
            <w:r>
              <w:rPr/>
              <w:t> </w:t>
            </w:r>
          </w:p>
        </w:tc>
        <w:tc>
          <w:tcPr>
            <w:tcW w:w="8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20"/>
      <w:bookmarkEnd w:id="10"/>
      <w:r>
        <w:rPr>
          <w:rFonts w:ascii="Times New Roman PS Std;serif" w:hAnsi="Times New Roman PS Std;serif"/>
          <w:b/>
          <w:i w:val="false"/>
          <w:caps w:val="false"/>
          <w:smallCaps w:val="false"/>
          <w:sz w:val="20"/>
        </w:rPr>
        <w:t>ENFORCEABILITY OF CIVIL LIABILITIES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Cayman Islands as an exempted company with limited liability. We are incorporated in the Cayman Islands to take advantage of certain benefits associated with being a Cayman Islands exempted company,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political and economic stability;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effective judicial system;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favorable tax system;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exchange control or currency restrictions;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professional and support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certain disadvantages accompany incorporation in the Cayman Islands. These disadvantages include but are not limited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Cayman Islands has a less developed body of securities laws as compared to the United States and these securities laws provide significantly less protection to investors as compared to the United States;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Cayman Islands companies may not have standing to sue before the federal courts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memorandum and articles of association do not contain provisions requiring that disputes, including those arising under the securities laws of the United States, between us, our officers, directors and shareholders, be arbitrated.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are mainly conducted in Singapore, and substantially all of our assets are located in Singapore.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appointed [            ], located at [            ], as our agent upon whom process may be served in any action brought against us under the securities laws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informed by Maples and Calder (Hong Kong) LLP, our counsel as to Cayman Islands law,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Maples and Calder (Hong Kong) LLP that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judgment debtor a liability to pay a liquidated sum for which the judgment has been given, (iii) is final, (iv) is not in respect of taxes, a fine or a penalty, and (v) was not obtained by fraud, and is not of a kind the enforcement of which is contrary to natural justice or the public policy of the Cayman Islands (awards of punitive or multiple damages may well be held to be contrary to public policy).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courts of the Cayman Islands have yet to rule on whether such judgments are penal or punitive in nature, it is uncertain whether such civil liability judgments from U.S. courts would be enforceable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Cayman Islands court may stay enforcement proceedings if concurrent proceedings are being brought elsewhere.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uncertainty as to whether the courts of Singapore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Singapore against us or our directors or officers predicated upon the securities laws of the United States or any state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making a determination as to enforceability of a judgment of the courts of the United States, and subject to the Singapore courts having jurisdiction over the judgment debtor, the Singapore courts would have regard to whether the judgment was final and conclusive and on the merits of the case, given by a court of law of competent jurisdiction, and was expressed to be for a fixed sum of money.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general, an </w:t>
      </w:r>
      <w:r>
        <w:rPr>
          <w:rFonts w:ascii="Times New Roman PS Std;serif" w:hAnsi="Times New Roman PS Std;serif"/>
          <w:b w:val="false"/>
          <w:i/>
          <w:caps w:val="false"/>
          <w:smallCaps w:val="false"/>
          <w:sz w:val="20"/>
        </w:rPr>
        <w:t>in personam</w:t>
      </w:r>
      <w:r>
        <w:rPr>
          <w:rFonts w:ascii="Times New Roman PS Std;serif" w:hAnsi="Times New Roman PS Std;serif"/>
          <w:b w:val="false"/>
          <w:i w:val="false"/>
          <w:caps w:val="false"/>
          <w:smallCaps w:val="false"/>
          <w:sz w:val="20"/>
        </w:rPr>
        <w:t xml:space="preserve"> foreign judgment that is final and conclusive (that is, in general, a judgment that makes a final determination of rights between the parties and cannot be re-opened or altered by the court that delivered it, or be overridden by another body not being an appellate or supervisory body, although it may be subject to an appeal),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 was obtained were not conducted in accordance with principles of natural justice, or the enforcement thereof would be contrary to fundamental public policy, or if the judgment would conflict with earlier judgment(s) from Singapore or earlier foreign judgment(s) recognized in Singapore, or if the judgment would amount to the direct or indirect enforcement of foreign penal, revenue or other public laws (save where any such component of the judgment can be duly severed from the rest of the judgment sought to be enforced).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Civil liability provisions of the federal and state securities law of the United States permit the award of punitive damages against us, our directors and officers. Singapore courts would not recognize or enforce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a judgement given pursuant to foreign penal, revenue or other public laws.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19"/>
      <w:bookmarkEnd w:id="11"/>
      <w:r>
        <w:rPr>
          <w:rFonts w:ascii="Times New Roman PS Std;serif" w:hAnsi="Times New Roman PS Std;serif"/>
          <w:b/>
          <w:i w:val="false"/>
          <w:caps w:val="false"/>
          <w:smallCaps w:val="false"/>
          <w:sz w:val="20"/>
        </w:rPr>
        <w:t>CORPORATE HISTORY AND STRUCTURE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History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commenced our operations in 2014 through QZT, a company incorporated under the laws of Singapore. Our primary business was to offer services and solutions to operate, optimize and transform business processes. In May 2022, we incorporated Trident Singapore to expand our business in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and July 2023, to facilitate our financing and listing opportunities outside Singapore, we established Trident Digital Tech Holdings Ltd, or Trident Cayman, our holding company incorporated under the laws of the Cayman Islands. Shortly following its incorporation, Trident Cayman acquired 100% interest in QZT and then QZT acquired 100% interest in Trident Singapore as part of our reorganization. Upon the completion of the reorganization, QZT became a wholly-owned subsidiary of Trident Cayman and Trident Singapore became a wholly-owned subsidiary of QZT.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Structure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diagram below illustrates our corporate structure as of the date of this prospectus:</w:t>
      </w:r>
    </w:p>
    <w:p>
      <w:pPr>
        <w:pStyle w:val="TextBody"/>
        <w:keepNext w:val="false"/>
        <w:pageBreakBefore w:val="false"/>
        <w:widowControl/>
        <w:pBdr/>
        <w:bidi w:val="0"/>
        <w:spacing w:before="160" w:after="283"/>
        <w:ind w:left="0" w:right="0" w:hanging="0"/>
        <w:jc w:val="center"/>
        <w:rPr>
          <w:caps w:val="false"/>
          <w:smallCaps w:val="false"/>
        </w:rPr>
      </w:pPr>
      <w:r>
        <w:rPr>
          <w:caps w:val="false"/>
          <w:smallCaps w:val="false"/>
        </w:rPr>
        <w:drawing>
          <wp:inline distT="0" distB="0" distL="0" distR="0">
            <wp:extent cx="3371850" cy="20694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71850" cy="206946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18"/>
      <w:bookmarkEnd w:id="12"/>
      <w:r>
        <w:rPr>
          <w:rFonts w:ascii="Times New Roman PS Std;serif" w:hAnsi="Times New Roman PS Std;serif"/>
          <w:b/>
          <w:i w:val="false"/>
          <w:caps w:val="false"/>
          <w:smallCaps w:val="false"/>
          <w:sz w:val="20"/>
        </w:rPr>
        <w:t>SELECTED CONSOLIDATED FINANCIAL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our summary consolidated statements of operations data for the periods indicated.</w:t>
      </w:r>
    </w:p>
    <w:tbl>
      <w:tblPr>
        <w:tblW w:w="10205" w:type="dxa"/>
        <w:jc w:val="left"/>
        <w:tblInd w:w="0" w:type="dxa"/>
        <w:tblLayout w:type="fixed"/>
        <w:tblCellMar>
          <w:top w:w="0" w:type="dxa"/>
          <w:left w:w="0" w:type="dxa"/>
          <w:bottom w:w="0" w:type="dxa"/>
          <w:right w:w="0" w:type="dxa"/>
        </w:tblCellMar>
      </w:tblPr>
      <w:tblGrid>
        <w:gridCol w:w="6382"/>
        <w:gridCol w:w="146"/>
        <w:gridCol w:w="241"/>
        <w:gridCol w:w="1306"/>
        <w:gridCol w:w="196"/>
        <w:gridCol w:w="146"/>
        <w:gridCol w:w="241"/>
        <w:gridCol w:w="1306"/>
        <w:gridCol w:w="241"/>
      </w:tblGrid>
      <w:tr>
        <w:trPr/>
        <w:tc>
          <w:tcPr>
            <w:tcW w:w="63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657,092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(456,645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200,447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(123,533</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(174,377</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(297,910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131,790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155,475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(Loss)/Income before income tax expense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29,967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(loss)/income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(1,166,971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29,661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 basic and diluted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earnings per ordinary share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our summary consolidated balance sheet data as of the dates indicated.</w:t>
      </w:r>
    </w:p>
    <w:tbl>
      <w:tblPr>
        <w:tblW w:w="7573" w:type="dxa"/>
        <w:jc w:val="left"/>
        <w:tblInd w:w="0" w:type="dxa"/>
        <w:tblLayout w:type="fixed"/>
        <w:tblCellMar>
          <w:top w:w="0" w:type="dxa"/>
          <w:left w:w="0" w:type="dxa"/>
          <w:bottom w:w="0" w:type="dxa"/>
          <w:right w:w="0" w:type="dxa"/>
        </w:tblCellMar>
      </w:tblPr>
      <w:tblGrid>
        <w:gridCol w:w="4276"/>
        <w:gridCol w:w="146"/>
        <w:gridCol w:w="241"/>
        <w:gridCol w:w="1291"/>
        <w:gridCol w:w="196"/>
        <w:gridCol w:w="146"/>
        <w:gridCol w:w="241"/>
        <w:gridCol w:w="1036"/>
      </w:tblGrid>
      <w:tr>
        <w:trPr/>
        <w:tc>
          <w:tcPr>
            <w:tcW w:w="42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51"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1,403,172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422,242</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2,639,900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424,656</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4,328,759</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471,332</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our selected consolidated statements of cash flow data for the periods indicated.</w:t>
      </w:r>
    </w:p>
    <w:tbl>
      <w:tblPr>
        <w:tblW w:w="8159" w:type="dxa"/>
        <w:jc w:val="left"/>
        <w:tblInd w:w="0" w:type="dxa"/>
        <w:tblLayout w:type="fixed"/>
        <w:tblCellMar>
          <w:top w:w="0" w:type="dxa"/>
          <w:left w:w="0" w:type="dxa"/>
          <w:bottom w:w="0" w:type="dxa"/>
          <w:right w:w="0" w:type="dxa"/>
        </w:tblCellMar>
      </w:tblPr>
      <w:tblGrid>
        <w:gridCol w:w="5056"/>
        <w:gridCol w:w="146"/>
        <w:gridCol w:w="226"/>
        <w:gridCol w:w="1066"/>
        <w:gridCol w:w="181"/>
        <w:gridCol w:w="146"/>
        <w:gridCol w:w="226"/>
        <w:gridCol w:w="886"/>
        <w:gridCol w:w="226"/>
      </w:tblGrid>
      <w:tr>
        <w:trPr/>
        <w:tc>
          <w:tcPr>
            <w:tcW w:w="5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5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5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3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244,100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66,030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17,637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year</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17"/>
      <w:bookmarkEnd w:id="13"/>
      <w:r>
        <w:rPr>
          <w:rFonts w:ascii="Times New Roman PS Std;serif" w:hAnsi="Times New Roman PS Std;serif"/>
          <w:b/>
          <w:i w:val="false"/>
          <w:caps w:val="false"/>
          <w:smallCaps w:val="false"/>
          <w:sz w:val="20"/>
        </w:rPr>
        <w:t xml:space="preserve">MANAGEMENT’S DISCUSSION AND ANALYSIS OF FINANCIAL CONDITION AND </w:t>
        <w:br/>
        <w:t>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You should read the following discussion of our financial condition and results of operations in conjunction with the consolidated financial statements and the notes to those statements included elsewhere in this prospectus. The discussion in this prospectus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and uncertainties, such as statements of our plans, objectives, expectations and intentions. The cautionary statements made in this prospectus should be read as applying to all related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wherever they appear in this prospectus. Our actual results could differ materially from those discussed here. Factors that could cause or contribute to these differences include those discussed in “Risk Factors,” as well as those discussed elsewhere. See “Risk Factors” and “Special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leading digital transformation enabler in the SME segment of the e-commerce enablement and digital optimizing services market in Singapore. We have been a navigator for our clients as they ideate, plan and execute on their journey to a digital future through our solutions and services, comprising: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Business consulting:    </w:t>
      </w:r>
      <w:r>
        <w:rPr>
          <w:rFonts w:ascii="Times New Roman PS Std;serif" w:hAnsi="Times New Roman PS Std;serif"/>
          <w:b w:val="false"/>
          <w:i w:val="false"/>
          <w:caps w:val="false"/>
          <w:smallCaps w:val="false"/>
          <w:sz w:val="20"/>
        </w:rPr>
        <w:t>We support clients to define and deliver technology-enabled 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IT customization:    </w:t>
      </w:r>
      <w:r>
        <w:rPr>
          <w:rFonts w:ascii="Times New Roman PS Std;serif" w:hAnsi="Times New Roman PS Std;serif"/>
          <w:b w:val="false"/>
          <w:i w:val="false"/>
          <w:caps w:val="false"/>
          <w:smallCaps w:val="false"/>
          <w:sz w:val="20"/>
        </w:rPr>
        <w:t>We offer solutions and services to plan, design, operate, optimize and 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customized offerings that address the specific needs of clients in our strategic vertical markets. As of June 30, 2023, we served over 200 clients across our core verticals such as food and beverage, wholesale and retail.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plan to launch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Factors Affecting Our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growth and future success of our business depends on many factors. While these factors present significant opportunities for our business, they also pose important challenges we must successfully address in order to sustain our growth.</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Expanding our solutions and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launch Tridentity in the fourth quarter of 2023. We may expend significant resources in the development of offerings through Tridentity. Our ability to successfully develop and monetize new services and features may depend on a number of factors, including the availability of capital to invest in innovation, the effectiveness of our marketing efforts, competition, pricing, and our clients’ satisfaction and spending.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Acquiring new clients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Sustaining continued revenue growth relies on the adoption of our solutions by new clients. We will continue to invest in our solutions and introduce new services and features to drive adoption and increase penetration in our core verticals such as food and beverage, wholesale and retail. We plan to continue winning new clients by investing in our salesforce, improving the awareness of our brands and solutions, and building new partnerships and integrations.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Expanding into new verticals and new markets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expand into new verticals and sub-verticals with a particular focus on those with low digital adoption and growing usage of software solutions. We believe there is a significant need for our solutions and services on a global basis and, accordingly, opportunity for us to grow our business through further international expansion. We think these verticals and markets provide an attractive opportunity to introduce our solutions and services and drive adoption.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Continued investment in innovation and growth</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made substantial investments in research and development and sales and marketing to achieve a leadership position in our market and grow our revenues and client base. We intend to continue to invest in research and development to build new capabilities and maintain the core technology underpinning our solutions and services. In addition, we expect to increase investment in sales and marketing to broaden our reach with new clients and abroad and deepen our penetration with existing clients. We are in the process of increasing our general and administrative spending to support our growing operations and prepare for operating as a public company. With our revenue growth objectives, we expect to continue to make such investments for the foreseeable future.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Components of Our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derive revenues principally from providing business consulting services and IT customization services.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Business consulting.    </w:t>
      </w:r>
      <w:r>
        <w:rPr>
          <w:rFonts w:ascii="Times New Roman PS Std;serif" w:hAnsi="Times New Roman PS Std;serif"/>
          <w:b w:val="false"/>
          <w:i w:val="false"/>
          <w:caps w:val="false"/>
          <w:smallCaps w:val="false"/>
          <w:sz w:val="20"/>
        </w:rPr>
        <w:t>We provide a wide range of business consulting services to customers of various industries, from business strategy advisory, design of business workflows and processes, brand and reputation, to digital marketing in achieving organization objectives such as enhancing cost efficiency, productivity and customer experience.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IT customization.    </w:t>
      </w:r>
      <w:r>
        <w:rPr>
          <w:rFonts w:ascii="Times New Roman PS Std;serif" w:hAnsi="Times New Roman PS Std;serif"/>
          <w:b w:val="false"/>
          <w:i w:val="false"/>
          <w:caps w:val="false"/>
          <w:smallCaps w:val="false"/>
          <w:sz w:val="20"/>
        </w:rPr>
        <w:t>We offer IT customization services, including tailor-made IT solutions or packaged software solutions to meet clients’ objectives. Our services cover end-to-end solutions, including IT consultancy, design of the system architecture, planning and design of the solution, implementation, quality assurance, as well as maintenance support services.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customization mainly consists of (i) IT consulting and customization services, including development of customized software solutions, implementation and training, server hosting, and one-year maintenance service; and (ii) management software solutions for clients via an annual subscription-based model, which subscription generally includes support services.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 represents costs and expenses incurred in order to generate revenue. Our cost of revenues primarily consists of (i) fees paid to service suppliers, such as outsourcing service cost, (ii) direct labor costs, (iii) commission costs, which is incremental costs to obtain new sales contract, and (iv) miscellaneous costs.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include general and administrative expenses, selling expenses and research and development expenses. General and administrative expenses mainly consist of (i) salary and social welfare expenses to the management team, (ii) rental cost for offices, and (iii) depreciation expenses. Our selling expenses mainly consist of (i) salary and social welfare expenses to the marketing team, and (ii) advertising costs and market promotion expenses. Our research and development expenses mainly consist of system development expenses for Tridentity, our Web 3.0 e-commerce platform.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mainly consists of (i) government subsidies, (ii) non-refundable service fee from terminated consulting projects, (iii) referral commission, and (iv) interest expenses.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consolidated statements of income for the years ended December 31, 2022 and 2021, respectively.</w:t>
      </w:r>
    </w:p>
    <w:tbl>
      <w:tblPr>
        <w:tblW w:w="10205" w:type="dxa"/>
        <w:jc w:val="left"/>
        <w:tblInd w:w="0" w:type="dxa"/>
        <w:tblLayout w:type="fixed"/>
        <w:tblCellMar>
          <w:top w:w="0" w:type="dxa"/>
          <w:left w:w="0" w:type="dxa"/>
          <w:bottom w:w="0" w:type="dxa"/>
          <w:right w:w="0" w:type="dxa"/>
        </w:tblCellMar>
      </w:tblPr>
      <w:tblGrid>
        <w:gridCol w:w="3280"/>
        <w:gridCol w:w="146"/>
        <w:gridCol w:w="226"/>
        <w:gridCol w:w="1291"/>
        <w:gridCol w:w="196"/>
        <w:gridCol w:w="146"/>
        <w:gridCol w:w="226"/>
        <w:gridCol w:w="1081"/>
        <w:gridCol w:w="196"/>
        <w:gridCol w:w="146"/>
        <w:gridCol w:w="226"/>
        <w:gridCol w:w="1291"/>
        <w:gridCol w:w="196"/>
        <w:gridCol w:w="146"/>
        <w:gridCol w:w="1066"/>
        <w:gridCol w:w="346"/>
      </w:tblGrid>
      <w:tr>
        <w:trPr/>
        <w:tc>
          <w:tcPr>
            <w:tcW w:w="328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6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171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 </w:t>
              <w:br/>
              <w:t>amount</w:t>
            </w:r>
          </w:p>
        </w:tc>
        <w:tc>
          <w:tcPr>
            <w:tcW w:w="146" w:type="dxa"/>
            <w:vMerge w:val="restart"/>
            <w:tcBorders/>
            <w:vAlign w:val="bottom"/>
          </w:tcPr>
          <w:p>
            <w:pPr>
              <w:pStyle w:val="TableContents"/>
              <w:bidi w:val="0"/>
              <w:spacing w:before="0" w:after="283"/>
              <w:jc w:val="left"/>
              <w:rPr/>
            </w:pPr>
            <w:r>
              <w:rPr/>
              <w:t> </w:t>
            </w:r>
          </w:p>
        </w:tc>
        <w:tc>
          <w:tcPr>
            <w:tcW w:w="1412"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of change</w:t>
            </w:r>
          </w:p>
        </w:tc>
      </w:tr>
      <w:tr>
        <w:trPr/>
        <w:tc>
          <w:tcPr>
            <w:tcW w:w="32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50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71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12" w:type="dxa"/>
            <w:gridSpan w:val="2"/>
            <w:vMerge w:val="continue"/>
            <w:tcBorders/>
            <w:vAlign w:val="bottom"/>
          </w:tcPr>
          <w:p>
            <w:pPr>
              <w:pStyle w:val="Normal"/>
              <w:bidi w:val="0"/>
              <w:jc w:val="left"/>
              <w:rPr/>
            </w:pPr>
            <w:r>
              <w:rPr/>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657,092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605,807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92.20</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(456,645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(544,044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119.14</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200,447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61,763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30.81</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(123,533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(117,811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95.37</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(174,377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(815,397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467.61</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3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(297,910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(1,220,786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409.78</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(1,256,486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(97,463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(1,159,023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1189.19</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131,790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155,475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(23,685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(Loss)/profit before income tax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(1,182,708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-2038.73</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23,252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-82.91</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(loss)/profit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29,967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(1,159,456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-3869.11</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breakdown of revenues by revenue streams for the years ended December 31, 2022 and 2021 is summarized below:</w:t>
      </w:r>
    </w:p>
    <w:tbl>
      <w:tblPr>
        <w:tblW w:w="7280" w:type="dxa"/>
        <w:jc w:val="left"/>
        <w:tblInd w:w="0" w:type="dxa"/>
        <w:tblLayout w:type="fixed"/>
        <w:tblCellMar>
          <w:top w:w="0" w:type="dxa"/>
          <w:left w:w="0" w:type="dxa"/>
          <w:bottom w:w="0" w:type="dxa"/>
          <w:right w:w="0" w:type="dxa"/>
        </w:tblCellMar>
      </w:tblPr>
      <w:tblGrid>
        <w:gridCol w:w="2311"/>
        <w:gridCol w:w="146"/>
        <w:gridCol w:w="1201"/>
        <w:gridCol w:w="146"/>
        <w:gridCol w:w="991"/>
        <w:gridCol w:w="146"/>
        <w:gridCol w:w="991"/>
        <w:gridCol w:w="146"/>
        <w:gridCol w:w="856"/>
        <w:gridCol w:w="346"/>
      </w:tblGrid>
      <w:tr>
        <w:trPr/>
        <w:tc>
          <w:tcPr>
            <w:tcW w:w="23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233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Variances</w:t>
            </w:r>
          </w:p>
        </w:tc>
      </w:tr>
      <w:tr>
        <w:trPr/>
        <w:tc>
          <w:tcPr>
            <w:tcW w:w="23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bidi w:val="0"/>
              <w:spacing w:before="0" w:after="283"/>
              <w:jc w:val="left"/>
              <w:rPr/>
            </w:pPr>
            <w:r>
              <w:rPr/>
              <w:t> </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consulting</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629,434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260,455</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368,979</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141.67</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 customization</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633,465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396,637</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236,828</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59.71</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consulting</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522,013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396,637</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125,376</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31.61</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software</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111,452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111,452</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3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1,262,899</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657,092</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605,807</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92.20</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revenues significantly increased from US$657,092 in 2021 to US$1,262,899 in 2022, representing a year-on-year increase of 92.20%. The increase was primarily due to our success in helping our clients to optimize and grow their business, resulting in positive feedback and our brand and services developing and expanding in the market and industry, which has brought us more clients and projects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Business consulting.    </w:t>
      </w:r>
      <w:r>
        <w:rPr>
          <w:rFonts w:ascii="Times New Roman PS Std;serif" w:hAnsi="Times New Roman PS Std;serif"/>
          <w:b w:val="false"/>
          <w:i w:val="false"/>
          <w:caps w:val="false"/>
          <w:smallCaps w:val="false"/>
          <w:sz w:val="20"/>
        </w:rPr>
        <w:t>Net revenues from business consulting services increased from US$260,455 in 2021 to US$629,434 in 2022, primarily attributed to (i) more business consulting projects were completed, delivered and accepted by customers in 2022; and (ii) we offered more comprehensive brand consulting services to assist our customers in building international brands in 2022, those contract prices are higher compared to the essential branding services for the local market in 2021. The average contract price of completed projects increased from US$37,208 in 2021 to US$44,960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IT customization.    </w:t>
      </w:r>
      <w:r>
        <w:rPr>
          <w:rFonts w:ascii="Times New Roman PS Std;serif" w:hAnsi="Times New Roman PS Std;serif"/>
          <w:b w:val="false"/>
          <w:i w:val="false"/>
          <w:caps w:val="false"/>
          <w:smallCaps w:val="false"/>
          <w:sz w:val="20"/>
        </w:rPr>
        <w:t>Net revenues from IT customization increased from US$396,637 in 2021 to US$633,465 in 2022, primarily due to (i) more IT customization projects were completed, delivered and accepted by customers in 2022; (ii) increase on average contract price of completed IT consulting projects from US$49,580 in 2021 to US$57,588 in 2022; and (iii) our newly engaged business line in providing management software solutions and the revenue was recognized in 2022.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breakdown of cost of revenues for the years ended December 31, 2022 and 2021 is summarized below:</w:t>
      </w:r>
    </w:p>
    <w:tbl>
      <w:tblPr>
        <w:tblW w:w="7565" w:type="dxa"/>
        <w:jc w:val="left"/>
        <w:tblInd w:w="0" w:type="dxa"/>
        <w:tblLayout w:type="fixed"/>
        <w:tblCellMar>
          <w:top w:w="0" w:type="dxa"/>
          <w:left w:w="0" w:type="dxa"/>
          <w:bottom w:w="0" w:type="dxa"/>
          <w:right w:w="0" w:type="dxa"/>
        </w:tblCellMar>
      </w:tblPr>
      <w:tblGrid>
        <w:gridCol w:w="2596"/>
        <w:gridCol w:w="146"/>
        <w:gridCol w:w="1201"/>
        <w:gridCol w:w="146"/>
        <w:gridCol w:w="991"/>
        <w:gridCol w:w="146"/>
        <w:gridCol w:w="991"/>
        <w:gridCol w:w="146"/>
        <w:gridCol w:w="856"/>
        <w:gridCol w:w="346"/>
      </w:tblGrid>
      <w:tr>
        <w:trPr/>
        <w:tc>
          <w:tcPr>
            <w:tcW w:w="25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233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Variances</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bidi w:val="0"/>
              <w:spacing w:before="0" w:after="283"/>
              <w:jc w:val="left"/>
              <w:rPr/>
            </w:pPr>
            <w:r>
              <w:rPr/>
              <w:t> </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fees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710,793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232,290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478,503</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205.99</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labor costs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239,296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199,749</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39,547</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19.80</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Commission cost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10,082</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4,389</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77.09</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 cost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40,518</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18,913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21,605</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114.23</w:t>
            </w:r>
          </w:p>
        </w:tc>
        <w:tc>
          <w:tcPr>
            <w:tcW w:w="3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1,000,689</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456,645</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544,044</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119.14</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cost of revenues increased from US$456,645 in 2021 to US$1,000,689 in 2022, representing a year-on-year increase of 119.14%.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Service fees.    </w:t>
      </w:r>
      <w:r>
        <w:rPr>
          <w:rFonts w:ascii="Times New Roman PS Std;serif" w:hAnsi="Times New Roman PS Std;serif"/>
          <w:b w:val="false"/>
          <w:i w:val="false"/>
          <w:caps w:val="false"/>
          <w:smallCaps w:val="false"/>
          <w:sz w:val="20"/>
        </w:rPr>
        <w:t>Service fees increased from US$232,290 in 2021 to US$710,793 in 2022, primarily due to the increase of service fees paid to suppliers or outsourcers, as a result of the fulfillment of increased project demands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Direct labor costs.    </w:t>
      </w:r>
      <w:r>
        <w:rPr>
          <w:rFonts w:ascii="Times New Roman PS Std;serif" w:hAnsi="Times New Roman PS Std;serif"/>
          <w:b w:val="false"/>
          <w:i w:val="false"/>
          <w:caps w:val="false"/>
          <w:smallCaps w:val="false"/>
          <w:sz w:val="20"/>
        </w:rPr>
        <w:t>Direct labor costs increased from US$199,749 in 2021 to US$239,296 in 2022, primarily related to increases in base salaries and bonuses to our staff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Commission costs.    </w:t>
      </w:r>
      <w:r>
        <w:rPr>
          <w:rFonts w:ascii="Times New Roman PS Std;serif" w:hAnsi="Times New Roman PS Std;serif"/>
          <w:b w:val="false"/>
          <w:i w:val="false"/>
          <w:caps w:val="false"/>
          <w:smallCaps w:val="false"/>
          <w:sz w:val="20"/>
        </w:rPr>
        <w:t>Commission costs increased from US$5,693 in 2021 to US$10,082 in 2022, primarily attributed to the incremental commission costs needed to obtain new sales contracts related to our newly engaged business line in providing management software solutions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Miscellaneous costs.    </w:t>
      </w:r>
      <w:r>
        <w:rPr>
          <w:rFonts w:ascii="Times New Roman PS Std;serif" w:hAnsi="Times New Roman PS Std;serif"/>
          <w:b w:val="false"/>
          <w:i w:val="false"/>
          <w:caps w:val="false"/>
          <w:smallCaps w:val="false"/>
          <w:sz w:val="20"/>
        </w:rPr>
        <w:t>Miscellaneous cost increased from US$18,913 in 2021 to US$40,518 in 2022, primarily due to the increase of our outsourcing contractor fee for general project’s support, which is in line with the increase of our revenues in 2022.</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increased from US$297,910 in 2021 to US$1,518,696 in 2022, representing a year-on-year increase of 409.78%.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Selling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selling and marketing expenses increased from US$123,533 in 2021 to US$241,344 in 2022, primarily as a result of the business development persons hired in the new subsidiary in 2022 for the exploration of business opportunities and preparation to initiate our Web 3.0 e-commerce platform.</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general and administrative expenses increased from US$174,377 in 2021 to US$989,774 in 2022. The increase was primarily due to (i) the increase in staff costs from US$87,472 in 2021 to US$501,943 in 2022 as a result of an increase in the number of employees hired to meet our business needs, especially for our newly established subsidiary, (ii) the increase in professional service fees from US$6,139 in 2021 to US$134,523 in 2022 related to the initiation of the Web 3.0 e-commerce platform, and (iii) the increase of other overhead expenses, as a result of our expansion of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research and development expenses increased from nil in 2021 to US$287,578 in 2022, primarily as a result of the system development expenses for the Web 3.0 e-commerce platform in 2022.</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mainly consists of (i) government subsidies, (ii) non-refundable service fees from terminated consulting projects, (iii) referral commission, and (iv) interest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other income decreased from US$155,475 in 2021 to US$131,790 in 2022, primarily due to the decrease of referral commissions received for client referrals.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(loss)/income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foregoing, we incurred a net loss of US$1,129,489 in 2022, and recorded a net income of US$29,967 in 2021. The net loss in 2022 was primarily due to our early-stage input on initiating Web 3.0 e-commerce platform, which led to a significant increase of our operating expenses in 2022.</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subsidiaries incorporated in Singapore are subject to the Singapore Corporate Tax of 17%.</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primary sources of liquidity have been cash flows from our operating activities, capital contributions from shareholders and loans from banks. As of December 31, 2022, we had cash of US$945,265 and a total working capital deficit of US$1,236,728. We received financing in the amount of US$7,000,000 from our shareholders in January and June 2023, which allows us to meet the temporary capital turnover demand.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current cash and expected cash provided by this offering will be sufficient to meet our current and anticipated working capital requirements and capital expenditures for at least the next 12 months. We may, however, need additional cash resources in the future if we experience changes in business conditions or other developments. We may also need additional cash resources in the future if we identify and wish to pursue opportunities for investment, acquisition, capital expenditure or similar actions.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 flows for the periods indicated:</w:t>
      </w:r>
    </w:p>
    <w:tbl>
      <w:tblPr>
        <w:tblW w:w="8294" w:type="dxa"/>
        <w:jc w:val="left"/>
        <w:tblInd w:w="0" w:type="dxa"/>
        <w:tblLayout w:type="fixed"/>
        <w:tblCellMar>
          <w:top w:w="0" w:type="dxa"/>
          <w:left w:w="0" w:type="dxa"/>
          <w:bottom w:w="0" w:type="dxa"/>
          <w:right w:w="0" w:type="dxa"/>
        </w:tblCellMar>
      </w:tblPr>
      <w:tblGrid>
        <w:gridCol w:w="5056"/>
        <w:gridCol w:w="146"/>
        <w:gridCol w:w="241"/>
        <w:gridCol w:w="1066"/>
        <w:gridCol w:w="181"/>
        <w:gridCol w:w="146"/>
        <w:gridCol w:w="241"/>
        <w:gridCol w:w="991"/>
        <w:gridCol w:w="226"/>
      </w:tblGrid>
      <w:tr>
        <w:trPr/>
        <w:tc>
          <w:tcPr>
            <w:tcW w:w="5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9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r>
      <w:tr>
        <w:trPr/>
        <w:tc>
          <w:tcPr>
            <w:tcW w:w="5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4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244,100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66,030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671,672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255,956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beginning of period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17,637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end of period</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945,265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273,593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in 2022 was US$609,946, primarily attributable to (i) our net loss of US$1,129,489, as adjusted by the reconciliation of net loss to net cash used in operating activities, which primarily comprised depreciation of right-of-use assets of US$101,099 and depreciation and amortization of US$16,867, and (ii) changes in operating assets and liabilities, which was primarily the result of (a) an increase in prepaid expenses and other current assets of US$111,981, (b) an increase in contract cost assets of US$268,509, and (c) a decrease in operating lease liabilities of US$127,196, partially offset by (a) an increase in deferred revenue of US$461,128; (b) an increase in accrued expenses and other current liabilities of US$249,052; and (c) an increase in accounts payable of US$166,358.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in 2021 was US$244,100, primarily attributable to (i) our net income of US$29,967, as adjusted by the reconciliation of net income to net cash provided by operating activities, which primarily comprised depreciation of right-of-use asset of US$5,996 and depreciation and amortization of US$5,363, and (ii) changes in operating assets and liabilities, which was primarily the result of (a) an increase in deferred revenue of US$192,935; (b) an increase in accrued expenses and other current liabilities of US$54,678, and (c) an increase in accounts payable of US$51,491, partially offset by (a) an increase in accounts receivable, net of US$118,779.</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in 2022 was US$73,885, which was primarily attributable to purchase of property and equipment in the amount of US$73,885 for our newly established subsidiary.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in 2021 was US$53,313, which was primarily attributable to purchase of property and equipment in the amount of US$53,313 for business expansion.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in 2022 was US$1,378,257, which primarily comprised (i) loans from related parties of US$748,533, (ii) proceeds from long-term bank loans of US$652,789, and (iii) subscription fees advance from a shareholder of US$ 524,560, partially offset by (i) repayment of loans from related parties of US$239,357, and (iii) dividend distribution of US$229,201.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in 2021 was US$66,030, which primarily comprised (i) proceeds from long-term bank loans of US$48,370 and (ii) loans from related parties of US$44,650, partially offset by repayment of loans from related parties of US$22,325 and (ii) repayment of long-term bank loans of US$4,665.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Expenditures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capital expenditures are primarily incurred for purposes of purchasing office and electric equipment and investments in office renovation. Our capital expenditures were US$73,885 and US$53,313 in 2022 and 2021, respectively. We intend to fund our future capital expenditures with our existing cash balance and proceeds from this offering. We will continue to make well-planned capital expenditures to meet the expected growth of our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Contractual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future minimum lease payments under the non-cancellable operating lease with respect to the office and the warehouse as of December 31, 2022 are payable as follows:</w:t>
      </w:r>
    </w:p>
    <w:tbl>
      <w:tblPr>
        <w:tblW w:w="2892" w:type="dxa"/>
        <w:jc w:val="left"/>
        <w:tblInd w:w="0" w:type="dxa"/>
        <w:tblLayout w:type="fixed"/>
        <w:tblCellMar>
          <w:top w:w="0" w:type="dxa"/>
          <w:left w:w="0" w:type="dxa"/>
          <w:bottom w:w="0" w:type="dxa"/>
          <w:right w:w="0" w:type="dxa"/>
        </w:tblCellMar>
      </w:tblPr>
      <w:tblGrid>
        <w:gridCol w:w="616"/>
        <w:gridCol w:w="146"/>
        <w:gridCol w:w="359"/>
        <w:gridCol w:w="1771"/>
      </w:tblGrid>
      <w:tr>
        <w:trPr/>
        <w:tc>
          <w:tcPr>
            <w:tcW w:w="6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Lease Commitment</w:t>
            </w:r>
          </w:p>
        </w:tc>
      </w:tr>
      <w:tr>
        <w:trPr/>
        <w:tc>
          <w:tcPr>
            <w:tcW w:w="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345,255</w:t>
            </w:r>
          </w:p>
        </w:tc>
      </w:tr>
      <w:tr>
        <w:trPr/>
        <w:tc>
          <w:tcPr>
            <w:tcW w:w="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227,798</w:t>
            </w:r>
          </w:p>
        </w:tc>
      </w:tr>
      <w:tr>
        <w:trPr/>
        <w:tc>
          <w:tcPr>
            <w:tcW w:w="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5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1,649,507</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Seasonality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nature of our business does not appear to be affected by seasonal variations.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and Management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 assumptions on our own historical data and other assumptions that we believe are reasonable after taking account of our circumstances and expectations for the future based on available information. We evaluate these estimates and assumptions on an ongoing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prospectus. When reviewing our financial statements, you should consider.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our selection of critical accounting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judgments and other uncertainties affecting the application of such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sensitivity of reported results to changes in conditions and assumptions;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critical accounting policies and practices include the following: (i) accounts receivable, net; (ii) revenue recognition; and (iii) income taxes. See Note 2 — 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allowance for doubtful accounts for accounts receivable and (ii) valuation allowance of deferred tax assets.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Allowance for doubtful accounts for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is stated at the original amount less an allowance for doubtful receivable. Accounts receivable is recognized in the period when we have delivered goods or rendered services to our customers and when the right to consideration is unconditional. The amounts due are stated at their net estimated realizable value. We review the accounts receivable on a periodic basis and makes general and specific allowances when there is doubt as to the collectability of individual balances. We consider factors in assessing the collectability of our receivables, such as historical bad debts, changes in customers’ payment patterns, credit-worthiness and financial condition of the customers, current economic trends and other specific circumstances related to the accounts. An allowance for doubtful accounts is recorded in the period in which a loss is determined to be probable. Accounts receivable balances are written off after all collection efforts have been exhausted. There was no provision of allowance for doubtful accounts as of December 31, 2022 and December 31, 2021.</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Valuation of deferred tax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account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December 31, 2022 and 2021. Thus, management decided to record all of the valuation allowance. Valuation allowance amounted to US$238,081 and US$30,974 as of December 31, 2022 and 2021, respectively. While we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Accounting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an “emerging growth company” (“EGC”) as defined in the JOBS Act. An EGC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EGC does not need to comply with any new or revised accounting standards issued subsequent to the enactment of the JOBS Act until such date that a private company is otherwise required to comply with such new or revised accounting standards. Pursuant to the JOBS Act, we have elected to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2016, the FASB issued ASU No. 2016-13, “Financial Instruments — Credit Losses (Topic 326)”, which will require the measurement of all expected credit losses for financial assets held at the reporting date based on historical experience, current conditions, and reasonable and supportable forecasts. Subsequently, the FASB issued ASU No. 2018-19, Codification Improvements to Topic 326, to clarify that receivables arising from operating leases are within the scope of lease accounting standards. Further, the FASB issued ASU No. 2020-04, ASU 2020-05, ASU 2020-10, ASU 2020-11 and ASU 2021-02 to provide additional guidance on the credit losses standard. For all other entities, the amendments for ASU 2016-13 are effective for fiscal years beginning after December 15, 2022, including interim periods within those fiscal years, with early adoption permitted. Adoption of the ASUs is on a modified retrospective basis. We adopted ASU 2016-13 from January 1, 2023. We are in the process of evaluating the effect of the adoption of this ASU.</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accounting standards that have been issued by FASB that do not require adoption until a future date are not expected to have a material impact on the consolidated financial statements upon adoption. We do not discuss recent standards that are not anticipated to have an impact on or are unrelated to our consolidated balance sheets, statements of income and comprehensive income and statements of cash flows.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the shareholders to obtain short-term funding to meet the liquidity shortage.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Inflation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rate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exposed to interest rate risk while we have bank loans. Although interest rates for our loans are about fixed for the terms of the loans, the interest rates are subject to change upon renewal.</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Foreign currency translation and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Two of our operating entities’ functional currency are SGD. As a result, we are exposed to foreign exchange risk as our results of operations may be affected by fluctuations in the exchange rate among SGD and USD. If the SGD depreciates against the USD, the value of our SGD revenues, earnings, and assets as expressed in our USD financial statements will decline. We have not entered into any hedging transactions in an effort to reduce our exposure to foreign exchange risk. Currently, these risks are not material to our financial condition or results of operations. As we expand internationally, our exposure to foreign currency translation and transaction risks may become more significant.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16"/>
      <w:bookmarkEnd w:id="14"/>
      <w:r>
        <w:rPr>
          <w:rFonts w:ascii="Times New Roman PS Std;serif" w:hAnsi="Times New Roman PS Std;serif"/>
          <w:b/>
          <w:i w:val="false"/>
          <w:caps w:val="false"/>
          <w:smallCaps w:val="false"/>
          <w:sz w:val="20"/>
        </w:rPr>
        <w:t>INDUSTRY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The information presented in this section has been derived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 of Digital Solutions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solutions involve the design, supply, integration, operation and maintenance of technology-related tools for the deployment of digital activities. According to the Frost &amp; Sullivan Report, in Singapore, digital solutions have different service coverages, namely (i) e-commerce enablement and digital optimizing; (ii) branding, design and marketing consulting services; (iii) application development and user experience and user interface interfacing; and (iv) IT consulting solution.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Companies engaging in the e-commerce enablement and digital optimizing offer e-commerce platforms, integrated channels, content and order management systems, payment processing, fulfillment integration, digital marketing solutions and services to help businesses build and optimize their digital commerce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Branding, design and marketing consulting services encompass the provision of design, analysis, strategic planning, implementation and marketing services for companies to build, develop and optimize a brand proposition, reputation and positioning in order to promote and sell their services or products.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applications are interactive programs that run on a web server, while mobile applications are software programs that are designed to run on specific hardware, such as tablets and smartphones. Web and mobile application development is the process of creating, revamping and developing user experience and user interfacing design on designated platform, as well as conducting user acceptance testing which serve as convenient ways to for merchants and users to conduct transactions and access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consulting solutions are solutions that revamp and integrate different information technology systems and operational systems within an organization to work more efficiently. This integration can be achieved through various methods such as data sharing, system linking, and process automation. It involves designing, developing, and implementing custom software solutions that can integrate with existing systems or platforms. IT and operational systems solutions help businesses digitize, automate and streamline their core operations and business processes.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Drivers of Digital Solutions in Singapore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Demand for operational efficiency.    </w:t>
      </w:r>
      <w:r>
        <w:rPr>
          <w:rFonts w:ascii="Times New Roman PS Std;serif" w:hAnsi="Times New Roman PS Std;serif"/>
          <w:b w:val="false"/>
          <w:i w:val="false"/>
          <w:caps w:val="false"/>
          <w:smallCaps w:val="false"/>
          <w:sz w:val="20"/>
        </w:rPr>
        <w:t>Particularly for market entrants of e-commerce platforms of traditional brick-and-mortar stores, managing e-commerce operations involves coordinating many complex processes, involving the maintenance of online store, handling orders and payments, managing inventory across channels, shipping and fulfillment, providing customer service, as well as customer and operational data analysis etc. Performing all these functions efficiently and at scale requires sophisticated tools and systems to streamline workflows, minimize costs, and maximize productivity. e-commerce enablement and digital optimizing solution providers aim to remedy that by supplying companies with platforms to unify systems, simplify workflows and focus on strategic growth rather than troubleshooting inefficiencies or technical issues. By handling the complex infrastructure, integrations and optimization needs of digital business, solution providers allow companies to redirect resources toward engaging customers and expanding market opportunities.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Robust demand for omnichannel customer experience.    </w:t>
      </w:r>
      <w:r>
        <w:rPr>
          <w:rFonts w:ascii="Times New Roman PS Std;serif" w:hAnsi="Times New Roman PS Std;serif"/>
          <w:b w:val="false"/>
          <w:i w:val="false"/>
          <w:caps w:val="false"/>
          <w:smallCaps w:val="false"/>
          <w:sz w:val="20"/>
        </w:rPr>
        <w:t xml:space="preserve">With thriving numbers of Internet users in Southeast Asia, increasing from 355.5 million in 2017 to 516.5 million in 2022, representing a CAGR of approximately 7.8%, coupled with the burgeoning market size of e-commerce in Southeast Asia, surging from US$14.0 billion to US$113.6 billion during 2017 to 2022, representing a CAGR of approximately 52.0%, the demand for omnichannel customer experience is developing profoundly. Modern customers expect a seamless shopping experience across all channels — online, mobile, social and in-store.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view to meeting these omnichannel expectations, the retail industry in Southeast Asia has been evolving towards an omnichannel model, with numerous physical stores including e-commerce and mobile commerce into their businesses. E-commerce enablement and digital optimizing providers aim to enable omnichannel commerce with features such as native mobile web experiences, integration with major e-marketplaces such as Shopee and Lazada, integration with digital tools, payment gateways to support online and offline payments, and integrations with existing order and warehouse management systems for a unified order fulfillment workflow. As omnichannel strategy is key to customer retention and growth nowadays, the demand for e-commerce enablement and digital optimizing is heavily underpinned.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Government effort in promoting digital economy and society.    </w:t>
      </w:r>
      <w:r>
        <w:rPr>
          <w:rFonts w:ascii="Times New Roman PS Std;serif" w:hAnsi="Times New Roman PS Std;serif"/>
          <w:b w:val="false"/>
          <w:i w:val="false"/>
          <w:caps w:val="false"/>
          <w:smallCaps w:val="false"/>
          <w:sz w:val="20"/>
        </w:rPr>
        <w:t>Singapore government has promulgated the “Smart Nation initiative” to accelerate the process of integrating technology into the economy and aim to make Singapore a fully technology-driven country. For instance, most transactions and interactions between citizens and the government today can be done online, and integrated apps that reduce the time taken to fulfil inter-agency requests have been growing in number. With effort such as the implementation of fifth-generation mobile network (5G) starting from 2020, entailing greater speed and higher reliability of data transmission, lower latency and greater number of connected devices, information transmission and transparency has been continuously elevated. With the government support, the demand to delegate third party digital solutions providers would be continuously propelled.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Significant impetus from SMEs.    </w:t>
      </w:r>
      <w:r>
        <w:rPr>
          <w:rFonts w:ascii="Times New Roman PS Std;serif" w:hAnsi="Times New Roman PS Std;serif"/>
          <w:b w:val="false"/>
          <w:i w:val="false"/>
          <w:caps w:val="false"/>
          <w:smallCaps w:val="false"/>
          <w:sz w:val="20"/>
        </w:rPr>
        <w:t>Government support for SME digitalization and skills upgrading is fueling demand for digital solutions. In Singapore, there were more than 200,000 SMEs in 2022 and they make up 99% of enterprises, contributing nearly half of the national GDP. Accordingly, enabling SME’s digital transformation is key to sustainable economic growth. Government agencies such as IMDA, Enterprise Singapore and e-commerce marketplaces provide strong funding and incentives for SMEs to build e-commerce channels, digitize operations and upgrade IT skills. For instance, the IMDA’s SMEs Go Digital program offers advice and grants to help SMEs adopt technology in areas like e-commerce, digital marketing and business process re-engineering. Digital solutions providers will benefit from the SME segment’s demand at scale and government backing for the technology investment required to serve SME segment needs.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Rise of Web 3.0 propelling e-commerce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enablement</w:t>
      </w:r>
      <w:r>
        <w:rPr>
          <w:rFonts w:ascii="Times New Roman PS Std;serif" w:hAnsi="Times New Roman PS Std;serif"/>
          <w:b w:val="false"/>
          <w:i w:val="false"/>
          <w:caps w:val="false"/>
          <w:smallCaps w:val="false"/>
          <w:sz w:val="20"/>
        </w:rPr>
        <w:t>.    Web 3.0 primarily focuses on leveraging artificial intelligence, blockchain, virtual reality, augmented reality and other emerging technologies to enable smart, customized and secure digital experiences. The rise of Web 3.0, marked by greater decentralization and use of artificial intelligence, creates new opportunities for e-commerce enablement and digital optimization solution providers.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 By enabling features such as access to artificial intelligence-enhanced personalization, augmented reality-powered virtual showrooms and secure payments and supply chain management, the expertise of e-commerce enablement and digital optimization providers in emerging tech deployment for e-commerce and digital channels positions them to help companies navigate Web 3.0 opportunities and complexities.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Demand for advancement in IT infrastructure and analytical tools.    </w:t>
      </w:r>
      <w:r>
        <w:rPr>
          <w:rFonts w:ascii="Times New Roman PS Std;serif" w:hAnsi="Times New Roman PS Std;serif"/>
          <w:b w:val="false"/>
          <w:i w:val="false"/>
          <w:caps w:val="false"/>
          <w:smallCaps w:val="false"/>
          <w:sz w:val="20"/>
        </w:rPr>
        <w:t xml:space="preserve">Advancements in IT are disrupting every industry and transforming how businesses operate. To keep up, companies in Singapore are investing heavily in upgrading and transforming their IT infrastructure, and adoption of modern information technology. In particular, increasing impetus for companies to automate processes, digitize operations and offer digital customer experiences necessitates the demand for scalable, robust and agile IT infrastructure to support their technology needs and power their growth. Additionally, these companies are moving to the cloud to gain flexibility, scalability and cost benefits which is driving demand for incorporating cloud infrastructure by engaging solution providers. Besides, these companies are looking to leverage data analytical tools such as data mining, Internet of Things (IoT), cloud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computing, and artificial intelligence algorithms to gain insights, improve decision making and optimize operations which puts the spotlight on digital solutions providers with competent data management infrastructure, high performance computing and artificial intelligence capabilities.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Competitive Landscape of Digital Solutions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digital solutions industry in Singapore is highly fragmented due to the industry’s diverse client base, high degree of industry segmentation, and different service coverages, according to the Frost &amp; Sullivan Report. The majority of digital solutions providers operate on the market by providing all-in-one solutions or partial solutions. Major players include e-commerce platform providers such as Shopify, Lazada, Shopee, integrated e-commerce enablers such as our Company, as well as well-known companies with the advantages of social media platforms, such as Google, Facebook, and LinkedIn.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digital solutions market in Singapore is highly competitive and diverse, and numerous niche players and startups are entering the market with cutting-edge technologies such as virtual reality, augmented reality, artificial intelligence, and blockchain. However, established companies typically have a larger market share and higher profit margins due to their mature business models and higher levels of technology, whereas small players in digital solutions face fierce market competition and limited business opportunities due to service homogenization and lower profit margins. Moreover, as an increasing number of multinational corporations relocate their headquarters to Singapore, a significant international financial center, the demand for localization is likely to create more market space for local digital solution providers.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Competitive Landscape of Digital Solutions in SMEs Go Digital Program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the Singapore Department of Statistics, 99% of Singapore’s businesses in 2021 were SMEs. To assist Singapore’s SMEs in enhancing their productivity and competitiveness, Singapore government has launched the SMEs Go Digital program as part of its “Smart Nation Initiative” to provide SMEs with a variety of digital solutions and services, such as e-commerce platforms, digital marketing tools, and data analytics software.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program is led by IMDA. Only those digital solutions providers that have been approved by IMDA can participate in the program and provide services to SMEs. Our Company is one of the pre-approved digital solution vendors.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program also offers financial assistance to eligible SMEs in order to reduce costs. In addition, consulting and training services, such as seminars and one-on-one consultations with digital experts, are provided to assist SMEs in developing digital capabilities and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Among the Singapore-based companies who have participated in the SMEs Go Digital program led by the IMDA, the top five players have contributed to 17.2% of the entire market in terms of revenue in 2022. Our Company ranked fourth with a market share of 1.5%, according to the Frost &amp; Sullivan Report.</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34025" cy="20878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34025" cy="2087880"/>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 of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is the next generation of the World Wide Web which aims to establish an Internet that is smarter, more secure, and decentralized.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Application of the blockchain technology, smart contracts, decentralized applications, and decentralized autonomous organizations at various stages of, and in diversified contexts in, Web 3.0 enables the construction of a decentralized web eventually which is not controlled by a central authority. Meanwhile, Web 3.0 aims to accommodate the use of metadata and other structured data to create a smarter Web that can comprehend and process information in a more meaningful manner, thereby providing users with more advanced search capabilities and personalized experiences.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signifies a significant transition towards a decentralized and user-centric Internet. According to the Frost &amp; Sullivan Report, Web 3.0 users are forecasted to reach 1 billion by 2031. Increasing numbers of Internet consumers are migrating to this more open, transparent, and secure environment.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Introduction of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will enable a decentralized commerce model where merchants list their products on a decentralized marketplace and customers can access them directly without any intermediaries.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34025" cy="2819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34025" cy="2819400"/>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Drivers of Web 3.0 E-Commerce in Southeast Asia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Improved security, transparency and trust.    </w:t>
      </w:r>
      <w:r>
        <w:rPr>
          <w:rFonts w:ascii="Times New Roman PS Std;serif" w:hAnsi="Times New Roman PS Std;serif"/>
          <w:b w:val="false"/>
          <w:i w:val="false"/>
          <w:caps w:val="false"/>
          <w:smallCaps w:val="false"/>
          <w:sz w:val="20"/>
        </w:rPr>
        <w:t>The key technological advances in Web 3.0, including, among others, blockchain, decentralization and smart contracts have the potential to significantly improve the security of payments and reduce risks for e-commerce businesses. Improved transparency and trust afforded by Web 3.0 platforms are critical in Southeast Asian e-commerce due to issues like fraud, lack of visibility into supply chains, and payment security concerns that limit industry growth. The use of blockchain in Web 3.0, for example, offers an immutable record of transactions and data that gives consumers visibility into the entire history of orders, payments, product information, trustworthy record of supply chain data and product provenance and smart contract execution. This transparency, combined with the reduced ability to alter records or commit fraud on the network, helps build the trust necessary for e-commerce to flourish by verifying transactions, ensuring fulfillment of obligations, and giving visibility into supply chain details. The transparency and traceability features of Web 3.0 address the core issues undermining trust in Southeast Asian e-commerce today, and thus provide a compelling value proposition for the adoption of Web 3.0 e-commerce in the Southeast Asia region.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Enhanced personalized digital experience.    </w:t>
      </w:r>
      <w:r>
        <w:rPr>
          <w:rFonts w:ascii="Times New Roman PS Std;serif" w:hAnsi="Times New Roman PS Std;serif"/>
          <w:b w:val="false"/>
          <w:i w:val="false"/>
          <w:caps w:val="false"/>
          <w:smallCaps w:val="false"/>
          <w:sz w:val="20"/>
        </w:rPr>
        <w:t>Consumers nowadays expect personalized digital experiences and are more likely to shop with brands that provide personally relevant offers and recommendations. As an advancement of Web2.0, application of artificial intelligence in Web 3.0 can tailor content, services, products and interactions to individual interests based on behaviors and preferences. With a highly connected mobile population, consumers are generating huge amounts of data through daily digital activities. Web 3.0 allows for processing this data to gain customer insights using artificial intelligence, machine learning and predictive algorithms. Brands can then customize experiences based on understanding each customer’s journey, profiles, preferences and pain points. Web 3.0 excels in such aspect over Web 2.0 and bring about immense opportunities in analyzing and catering to consumers’ preference.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Variety of user experience.    </w:t>
      </w:r>
      <w:r>
        <w:rPr>
          <w:rFonts w:ascii="Times New Roman PS Std;serif" w:hAnsi="Times New Roman PS Std;serif"/>
          <w:b w:val="false"/>
          <w:i w:val="false"/>
          <w:caps w:val="false"/>
          <w:smallCaps w:val="false"/>
          <w:sz w:val="20"/>
        </w:rPr>
        <w:t>Web 3.0 features advanced technology such as virtual/augmented reality and IoT connectivity. Web 3.0 also leverages edge computing, mesh networks, and integrated devices to create an infrastructure that is fast, reliable, and available anywhere. This allows Web 3.0 services to run anywhere, anytime, offering virtual reality shopping, livestream shopping, and seamless checkout using facial recognition, which in turn attract more customers to e-commerce platforms.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A growing consumer base that embraces technology.    </w:t>
      </w:r>
      <w:r>
        <w:rPr>
          <w:rFonts w:ascii="Times New Roman PS Std;serif" w:hAnsi="Times New Roman PS Std;serif"/>
          <w:b w:val="false"/>
          <w:i w:val="false"/>
          <w:caps w:val="false"/>
          <w:smallCaps w:val="false"/>
          <w:sz w:val="20"/>
        </w:rPr>
        <w:t>With a high Internet penetration rate, a large proportion of the population in Southeast Asia has access to the Internet and can engage with Web 3.0 e-commerce platforms. In addition, surging smartphone penetration, and adoption rate of digital payments have been thriving in Southeast Asia, which create a large market receptive to the value propositions of Web 3.0 e-commerce applications and platforms. This fast-paced technology adoption creates a large market of consumers and businesses ready for innovative e-commerce solutions that Web 3.0 can provide.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Government endeavor.    </w:t>
      </w:r>
      <w:r>
        <w:rPr>
          <w:rFonts w:ascii="Times New Roman PS Std;serif" w:hAnsi="Times New Roman PS Std;serif"/>
          <w:b w:val="false"/>
          <w:i w:val="false"/>
          <w:caps w:val="false"/>
          <w:smallCaps w:val="false"/>
          <w:sz w:val="20"/>
        </w:rPr>
        <w:t>Governments in Southeast Asia have generally taken a progressive stance toward blockchain technology, creating an enabling regulatory environment that encourages innovation and adoption for e-commerce applications. For instance, Thailand has established a regulatory sandbox for fintech startups focused on Web 3.0-enabled e-commerce. Singapore and Malaysia have also expressed support for blockchain innovation and are developing frameworks to govern the technology responsibly. This generally innovation-friendly regulatory environment has helped spur blockchain projects aimed at improving transparency, efficiency and traceability for e-commerce businesses.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Cross-border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trade.    </w:t>
      </w:r>
      <w:r>
        <w:rPr>
          <w:rFonts w:ascii="Times New Roman PS Std;serif" w:hAnsi="Times New Roman PS Std;serif"/>
          <w:b w:val="false"/>
          <w:i w:val="false"/>
          <w:caps w:val="false"/>
          <w:smallCaps w:val="false"/>
          <w:sz w:val="20"/>
        </w:rPr>
        <w:t>In 2021, the Southeast Asia countries signed the ASEAN Agreement on Electronic Commerce, which has fostered the emergence of a cohesive, aligned, and inclusive environment that helps facilitate cross-border e-commerce transactions for goods and services. The competitive advantage of Web 3.0 e-commerce such as transparency and traceability of transactions across borders and end-to-end visibility can help overcome challenges like weak trade infrastructure, trade barriers and lack of trust that currently limit intra-regional trade within Southeast Asia. Therefore, Web 3.0 e-commerce has the potential to significantly increase cross-border business-to-business and business-to-consumer transactions within Southeast Asia.</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Market Opportunities of Web 3.0 E-Commerce in Southeast Asia and Globally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e-commerce platforms offer a more advanced and immersive shopping experience compared to Web 2.0 e-commerce platforms. Web 3.0 e-commerce is still in its early stages of development and adoption, presenting tremendous growth opportunities as, among other things, the number of Internet users continues to grow, the e-commerce industry evolves, and the adoption of various technology applications (such as artificial intelligence) in Web 3.0 increases.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Nominal GDP in Southeast Asia.    </w:t>
      </w:r>
      <w:r>
        <w:rPr>
          <w:rFonts w:ascii="Times New Roman PS Std;serif" w:hAnsi="Times New Roman PS Std;serif"/>
          <w:b w:val="false"/>
          <w:i w:val="false"/>
          <w:caps w:val="false"/>
          <w:smallCaps w:val="false"/>
          <w:sz w:val="20"/>
        </w:rPr>
        <w:t>According to The International Monetary Fund, the nominal GDP in Southeast Asia has increased from US$2,842.2 billion to US$3,644.7 billion from 2017 to 2022, representing a CAGR of 5.1%. The expected nominal GDP between 2023 and 2027 is approximately 7.4%, reaching to approximately US$5,232.3 billion by 2027. It is expected that the economy will recover in the next years with the alleviation of the COVID-19 pandemic.</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Number of Internet users in Southeast Asia.    </w:t>
      </w:r>
      <w:r>
        <w:rPr>
          <w:rFonts w:ascii="Times New Roman PS Std;serif" w:hAnsi="Times New Roman PS Std;serif"/>
          <w:b w:val="false"/>
          <w:i w:val="false"/>
          <w:caps w:val="false"/>
          <w:smallCaps w:val="false"/>
          <w:sz w:val="20"/>
        </w:rPr>
        <w:t>In 2022, the number of Internet users in Southeast Asia was 516.5 million, representing more than 70% of the region’s population, making Southeast Asia one of the world’s fastest-growing regions in terms of Internet adoption. Due to the increasing affordability and availability of smartphones, rising number of middle class, and increasing investment in improving Internet infrastructure, the Internet adoption in Southeast Asia is on the rise. The number of Internet users in Southeast Asia is forecasted to continuously increase between 2023 and 2027 reaching 591.7 million in 2027.</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Market size of e-commerce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in Southeast Asia.    </w:t>
      </w:r>
      <w:r>
        <w:rPr>
          <w:rFonts w:ascii="Times New Roman PS Std;serif" w:hAnsi="Times New Roman PS Std;serif"/>
          <w:b w:val="false"/>
          <w:i w:val="false"/>
          <w:caps w:val="false"/>
          <w:smallCaps w:val="false"/>
          <w:sz w:val="20"/>
        </w:rPr>
        <w:t>The e-commerce industry in the region has grown rapidly due to several factors, including economic development, increased Internet penetration, and the COVID-19 pandemic. The pandemic led to the implementation of pandemic prevention and control policies such as social distancing and quarantine measures, which prompted citizens to switch from traditional brick-and-mortar purchases to e-commerce platforms. This trend has resulted in the market size of the e-commerce industry in Southeast Asia growing from US$14.0 billion to US$113.6 billion between 2017 and 2022, representing a CAGR of 52.0%. The success of leading e-commerce platforms in Indonesia, Singapore, Malaysia, Vietnam and Thailand has been a driving force behind the industry’s continuous growth. It is expected that the e-commerce industry in Southeast Asia will continue to grow, with the market size expected to reach approximately US$276.7 billion in 2027, representing a CAGR of 17.3%.</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105400" cy="205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105400" cy="205422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size of Web 3.0-enabled e-commerce in Southeast Asia is expected to grow at a CAGR of 100.3% from 2023 to 2027, reaching US$47.0 billion in 2027.</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457700" cy="247205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457700" cy="247205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Market size of global e-commerce.    </w:t>
      </w:r>
      <w:r>
        <w:rPr>
          <w:rFonts w:ascii="Times New Roman PS Std;serif" w:hAnsi="Times New Roman PS Std;serif"/>
          <w:b w:val="false"/>
          <w:i w:val="false"/>
          <w:caps w:val="false"/>
          <w:smallCaps w:val="false"/>
          <w:sz w:val="20"/>
        </w:rPr>
        <w:t>Rapid urbanization across the globe is one of the key factors driving the growth of the market. Furthermore, increasing Internet penetration and usage of devices, such as smartphones, laptops and tablets to access e-commerce portals, is also providing a boost to the market growth of global e-commerce. The market size of global e-commerce increased from US$2,382.0 billion in 2017 to US$5,717.0 billion in 2022, at a CAGR of 19.1%. E-commerce enables organizations to conduct business without maintaining a physical presence, thereby minimizing the infrastructure, communication and overhead costs. The market is further driven by the increasing preference for online shopping, especially among women, and the growing influence of social networking platforms on shopping habits. The market size of global e-commerce is expected to increase at a CAGR of 8.7% from 2023 to 2027, reaching US$8,819.0 billion in 2027.</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010150" cy="191706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010150" cy="191706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3.0-enabled e-commerce is a new area of innovation in the global e-commerce industry, with many businesses and startups exploring the potential of innovative technology applications in Web 3.0 for improving supply chain management, increasing transparency, and enhancing customer experiences. The market size of global Web 3.0-enabled e-commerce is expected to reach US$ 1,587.4 billion in 2027, representing a CAGR of 70.2% from 2023 to 2027.</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200525" cy="229806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200525" cy="229806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15"/>
      <w:bookmarkEnd w:id="15"/>
      <w:r>
        <w:rPr>
          <w:rFonts w:ascii="Times New Roman PS Std;serif" w:hAnsi="Times New Roman PS Std;serif"/>
          <w:b/>
          <w:i w:val="false"/>
          <w:caps w:val="false"/>
          <w:smallCaps w:val="false"/>
          <w:sz w:val="20"/>
        </w:rPr>
        <w:t>BUSINESS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Mission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mission is to be the leader in Web 3.0 enablement, bridging business to a trusted and secure e-commerce platform with curated customer experience.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leading digital transformation enabler in the SME segment of the e-commerce enablement and digital optimizing services market in Singapore. We offer business and technology solutions which are designed to optimize our clients’ experiences with their customers by driving digital adoption and self-service.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the e-commerce enablement and digital optimizing services market in Singapore. According to the Frost &amp; Sullivan Report, among the Singapore-based companies who have been approved to participate in the SMEs Go Digital program led by IMDA, we ranked fourth, contributing to 1.5% of the SME segment of the e-commerce enablement and digital optimizing services market in Singapore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Business consulting:    </w:t>
      </w:r>
      <w:r>
        <w:rPr>
          <w:rFonts w:ascii="Times New Roman PS Std;serif" w:hAnsi="Times New Roman PS Std;serif"/>
          <w:b w:val="false"/>
          <w:i w:val="false"/>
          <w:caps w:val="false"/>
          <w:smallCaps w:val="false"/>
          <w:sz w:val="20"/>
        </w:rPr>
        <w:t>We support clients to define and deliver technology-enabled 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IT customization:    </w:t>
      </w:r>
      <w:r>
        <w:rPr>
          <w:rFonts w:ascii="Times New Roman PS Std;serif" w:hAnsi="Times New Roman PS Std;serif"/>
          <w:b w:val="false"/>
          <w:i w:val="false"/>
          <w:caps w:val="false"/>
          <w:smallCaps w:val="false"/>
          <w:sz w:val="20"/>
        </w:rPr>
        <w:t>We offer solutions and services to plan, design, operate, optimize and 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plan to launch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Strengths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following strengths have contributed to our continued success: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Leading digital transformation enabler in the SME segment of the e-commerce enablement and digital optimizing services market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2014, our founding team pioneered digital transformation for clients in Singapore. In 2021, we were one of first pre-approved vendors to participate in the SMEs Go Digital program led by IMDA, which is to provide SMEs with a variety of digital solutions and services, such as e-commerce platforms, digital marketing tools, and data analytics software. The program also offers government grants to eligible SMEs to subsidize the costs, driving digital adoptions.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one of the leaders in the digital transformation of the SME segment in Singapore. According to the Frost &amp; Sullivan Report, among the Singapore-based companies who are pre-approved vendors to participate in the SMEs Go Digital program led by IMDA, we ranked fourth, contributing to 1.5% of the SME segment of the e-commerce enablement and digital optimizing services market in Singapore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the accumulation of industry domain knowledge over the years, we have in-depth understanding and expertise in the industry pain points, tailored solutions for each client, and the application of emerging technologies such as: artificial intelligence, cloud computing, Internet of Things, blockchain and big data analytics. All these enabled us to expand deeper into each industry vertical, helping our clients to capture the values of digital transformation.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Proprietary Technology Architecture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last three years providing IT customization services in our core vertical markets, we offer one-stop business and technology solutions that simplify customer engagement by driving digital adoption and self-service capabilities. Our solutions are largely SaaS-based cloud solutions, carefully designed to provide the systems with security, scalability and the ease of integration. Our in-house proprietary design of the technology architecture and our coding framework are key towards operation scalability and sustainability, to maximize growth and profitability.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architecture enables us to innovate quickly while delivering new features to our clients simultaneously and at lower operating costs compared to legacy providers. Our ability to innovate quickly is critical to maintaining the leadership of our enabling services provided. Our proprietary technology architecture also provides financial benefits to us through operational scalability. Our developing Web 3.0 e-commerce platform is developed using this proprietary technology architecture, which contains all of the functionality that users expect from modern cloud software, as well as scalable architecture, cloud security, elegant and easy-to-use interfaces, common APIs, robust mobile accessibility, and data integration.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Unique Perspective and Efficient Operational Capabilities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our experiences in providing business consulting services to the various verticals over the years, we have developed a unique perspective into the processes and systems needed to drive the operations and business success of the market participants within these industries. Our approach enables us to deliver industry-tailored solutions, including business management software, customer engagement applications, and billing and payment solutions, to address vertical-specific workflows and customer requirements. We also have an efficient and diversified go-to-market strategy tailored to each vertical we serve.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these unique perspectives and the efficient operational capabilities can be applied to our developing Web 3.0 e-commerce platform which accelerates merchants and customers’ acquisition and increases their stickiness.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Seasoned and Visionary Management Team with International Perspective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team members have tremendous experience in their respective areas of expertise. Our founder, chairman of board of directors and chief executive officer, Mr. Soon Huat Lim, is an innovative entrepreneur and recognized leader with combined expertise in sales, supply chain, retail and services, tourism, entertainment and media, e-commerce, and technology industries. He has over 30 years of management experience with a strong network and resources and the know-how that established our company as a leading digital transformation enabler in the SME segment of the e-commerce enablement and digital optimizing services market in Singapore. Our chief technology officer, Mr. Poh Kiong Tan, has been a Practicing Management Consultant certified by The Singapore Business Advisors and Consultants Council since 2018. His qualifications include multidisciplinary expertise ranging from branding, human resource management to productivity diagnosis and technology adoption, which are instrumental to our success.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senior management team members have on average 15 years of management experience and extensive and complementary industry experiences in a wide range of fields, such as finance, market acquisition, risk and compliance, and operations, which enable us to develop innovative tailored solutions that meet the evolving needs of our clients and expand our global footprint.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further grow our business by pursuing the following strategies: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Capitalize on a Generational Shift to Web 3.0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is the next generation of the World Wide Web which aims to establish an Internet that is smarter and more secure. Web 3.0 primarily focuses on leveraging artificial intelligence, blockchain, virtual reality, augmented reality and other emerging technologies to enable smart, customized and secure digital experiences.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Mission-critical applications are increasingly being delivered more reliably and securely via Web 3.0-enabled platforms, which can more readily enable real-time collaboration and provide access to valuable data from anywhere, anytime, on any device. As more merchants and customers embrace innovative technology applications in Web 3.0, they drive the accelerated adoption of Web 3.0 capabilities across the market participants, including our company which will operate Tridentity, a Web 3.0 e-commerce platform whereby customers and merchants can transact in a transparent and secure way, to be launched in the fourth quarter of 2023. According to the Frost &amp; Sullivan Report, the market size of global Web 3.0-enabled e-commerce is expected to reach US$189.3 billion and US$1,587.4 billion in 2023 and 2027, respectively, representing a CAGR of 70.2% from 2023 to 2027. We believe we are well positioned to capture a strong adoption cycle of Web 3.0-enabled solutions by merchants and customers globally.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Expand and Grow our Client Base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grow our existing clients by adding product features and additional functionality to our solutions and continuing to drive digital adoption of our existing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verticals are large, underpenetrated, and non-cyclical with significant whitespace, low digital adoption, and growing usage of software solutions. We believe there is a significant opportunity to attract new clients with our current offerings in our vertical end-markets and new verticals. We plan to continue winning new clients by investing in our salesforce, improving the awareness of our brands and solutions, and building new partnerships and integrations. We intend to continue winning market share by driving product leadership and adoption of our industry-tailored solutions.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Broaden our Geographical Reach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there is a significant need for our solutions and services on a global basis and, accordingly, an opportunity for us to grow our business through further international expansion. We will broaden our global footprint and intend to establish a presence in additional international markets.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Selectively Pursue Strategic Acquisitions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pursue strategic acquisitions that we believe will be complementary to our existing verticals and offerings and increase the value proposition we deliver to our clients. For example, we may pursue acquisitions that we believe will help us expand within existing or new industry verticals or enter new markets in Southeast Asia and globally, although we have not identified any specific investments or acquisition opportunities or targets at this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Business Consulting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approach, with an eye on execution, combines creative thinking and industry expertise to enable companies to achieve market-leading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support clients to define and deliver technology-enabled transformations of their business. Equipped with the complete value chain, our suite of solutions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one-stop branding and marketing consulting services encompass the research data analysis, visual identity elements design, strategic planning and digital marketing services for a company based on the values, positioning, brand differentiating point, and tonality of such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market intelligence to our clients by identifying the objectives and audience, formulating customized digital marketing strategies in order to magnify their brand positioning and enhance operational efficiency.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client engages us for branding and marketing consulting services, we strive to understand the client’s special needs that may be helpful to their overall marketing plan. Our brand and marketing strategy improvement process is categorized into four key phases: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data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help our clients fully connect with consumers through online and offline touch points for targeted marketing, we have established a database of market research data, rating information and past campaign performance that are derived from both internal and third-party sources. Our research specialists are supported by a suite of data analytical capabilities that provide business insights through user-friendly data visualizations. In addition, we have developed internal systems and algorithms for collecting and analyzing industry data, which enable us to identify a particular client’s area(s) of needed improvement in terms of branding to determine how its brand is perceived at relevant stages and where its brand needs to be.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Conducting research of the targeted company and its brand and reputation in the market is the first key step to set the baseline of the company positioning. How a brand is perceived can be from various angles, and it is important that we collect relevant data from the topics we want to study through various data sources. We have a team of specialists in business analytics and analytical tools with in-house developed and trained algorithms. With the insights generated through our data analysis, it will help the management to make better informed decisions.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Visual identity elements design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help our clients design a collection of visual elements which work together to create consistent and flexible brand assets. Our brand specialists leverage their knowledge and expertise in market trends, consumer habits and artistic aesthetic to come up with a brand design tailored to a client’s preferences for their use based on our understanding of such client’s value and culture.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brand visual identity is one of those key components in how to let your consumer remember you, it is important that the company invest resources in designing the right brand identity elements which represent the brand. We help our clients in the end-to-end design from brand logo design, finding the brand identity color palettes to establishing typography and iconography guidelines.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Strategic planning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information infrastructure helps us develop a customized brand strategic plan in order to give our clients actionable insights to attract and retain new customers. We further design various marketing collateral to promote client’s new brand message and get potential customers on board with client’s long-term goals by sharing its brand’s vision. With data collection and past data records, we rely on these to identify the targeted audiences and provide important market intelligence for our clients, which helps them in planning marketing campaigns, formulating competition strategies, anticipating market movements and reacting to sudden changes in the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important that we support our clients in planning their corporate strategies which can capture the most value. As we have gained insights from the data analysis, we are able to better identify the target market, target audience and the messaging. By leveraging on technology, targeted campaigns and marketing activities will increase the chances of outreach and sales conversions, while at the same time being cost effective.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Digital marketing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digital marketing services are designed to enable enterprises to acquire, grow and retain consumer relationships more efficiently and effectively than alternative solutions available in the market. We also offer various technical upgrades, consulting services, additional integrations and access to ad-hoc data sources, services or channels. In order to enable our clients to obtain a holistic view of their consumers, we primarily provide content production and promotion services to clients with integrated digital marketing services from content planning, technical services and content production assistance to omni-channel online placement.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first conduct in-depth research on a client’s products from dimensions such as its product orientation, product features and audience portraits, and the production team will then carry out the technical design and assist in content production. Upon the client’s approval of the proposed contents, we then obtain visibility on various social media platforms such as online content-based platforms and popular apps. Based on the client’s specification about the promotion content, the expected frequency of views, our operation team tracks the work progress and ensures the client’s expectation has been met at the end of the promotion cycle. Our technology team monitors the traffic and analyses the results of the promotion and produces a traffic report to the client. The client is able to track the number of clicks and views. With the ongoing monitoring of the advertisement performances, this allows companies and brands to invest resources in targeted audiences that will potentially yield the highest returns and conversion.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IT Customization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solutions and services to operate, optimize and transform business processes. We enable clients to get the best value from technology by developing an IT strategy, optimizing applications and infrastructure, implementing IT operating models, and governing their technical architecture for reliability and security.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Consulting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IT consulting services include a full range of consulting and technical services relating to the software solutions, from the early design and planning stages of an implementation to end-user training and after-implementation consulting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our services across the full system development lifecycle, encompassing definition of business requirements, developing customized software solutions, implementing and modifying software, system analysis, technical specifications, coding, testing, training, maintenance and support.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a client signs the consulting service contract with us, our team will closely work with the client to develop short-term and long-term goals to optimize its business development strategies within the marketplace, customize the software solutions to meet the client’s business needs and train the client to use the system. Our consulting and customization services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analysis and evaluation of client’s business requirements, especially with regard to the size and complexity of the projects to be supported, as well as the client’s customized needs;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identification of the key problems and challenges of the current business operation and workflow;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development of a proposed software solution based on client’s requirements;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customization of the system features to fulfill our client’s business by revamping and integrating different information technology systems and operational systems;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administration of the project’s lifecycle by certified professionals;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fine-tuned adjustment and customization of software solutions to meet the client’s business needs such as project plan or solution proposal, etc.;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development of an implementation strategy that assesses operational impacts and improves ease of learning about the new computerized operations;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operational assistance with face-to-face or online professional training and reinforcement.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build vertically-tailored software solutions for our clients and provide software configuration assistance to meet the business requirements of our clients. Our solutions include affordable, easy-to-use, reliable and seamlessly integrated business management software, customer engagement applications, billing and payment solutions. They are purposely built to address the unique needs of specific verticals.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Management Software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a range of management software solutions to customers via annual subscriptions, including client relationship management solutions, inventory management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software solutions streamline the business operations of our clients. They not only enable our clients to devote most of their efforts and attention to business development, but empower our clients to work more efficiently by delivering seamless, connected, personalized experiences for their customers.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Web 3.0 E-Commerce Platform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fourth quarter of 2023, we plan to launch Tridentity, a Web 3.0 e-commerce platform whereby customers and merchants can transact in a transparent and secure way.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Tridentity is designed to enable merchants to execute their commerce strategy, including creating online stores, integrating and managing orders across channels, and creating marketplaces to sell products from third-party vendors. The platform will also natively combine commerce, order management and marketplace functionality, allowing merchants to sell a wider assortment of products across more channels than ever before.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Tridentity is a Web 3.0 social e-commerce platform that reimagines the ways of online retail shopping to enhance customer experience and strengthen customer loyalty by leveraging Web 3.0 technologies. With growing competitors in the e-commerce industry, companies urge to have strategies that can differentiate themselves against others. The existing e-commerce industry is also inventing new ways in engaging the customers for their loyalty such as personalization and making sure the user interfaces are easy to navigate. As the current e-commerce platform continues to seek growth, its technology infrastructure may have certain limitations for it to transit from Web 2.0 into Web 3.0.</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Tridentity, we have designed proprietary loyalty reward programmed models to focus on customer engagements, by rewarding customers with points earning and gift redemption that solely circulate within the platform as part of the platform marketing strategy, in order to improve retention rate by increasing customer-platform stickiness. We will also curate users behavior trends and personalize their shopping experience through big data analytics and our in-house proprietary machine learning models. As Tridentity periodically releases its platform versions in parallel with the consumer readiness in accepting Web 3.0 technology, we plan to bring the element of virtual reality and augmented reality, the power of cloud computing and rendering in creating virtual shopping experience. We believe with the generation shift in the technology, markets and consumers will slowly but eventually adapt and move towards the emerging technology as it matures, and we strive to be the forward movers to capture this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other hand, existing e-commerce platforms are facing ongoing challenges such as online identity verification, cyber and data security, the visibility and transparency of the complex supply chain. In Tridentity, we are trying to leverage blockchain technology, as it improves transparency and trust between businesses and their customers by creating tamper-proof records, enhancing accountability and system security. Tridentity will leverage Web 3.0 technologies in developing a robust customer authentication process, a system with encrypted digital identities, protecting consumers from misuse or theft, enhancing security over identity authentication. The platform will also be able to provide a more secure purchase and payment, as well as enhancing the supply chain transparency and traceability. With Tridentity, customers will seamlessly buy products from an online store through smart, contract-enabled distributed applications (dApps) over the blockchain, these products will be guaranteed by the blockchain to be unique and secure, increasing trust between the merchant providing the product and its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Tridentity is also designed to enable end-user customers to obtain consistent, relevant and personalized cross-channel shopping through catalog, merchandising, marketing, research and guided navigation, personalization, automated recommendations, and live help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Tridentity strategically aligns us with our clients: we grow by enabling them to grow. We believe the ecosystem created by Tridentity will allow traditional retailers to take advantage of this new channel of sales and communication with customers, which improves the omni-channel shopping experience for both merchants and their customers.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Clients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serve a wide variety of clients across our verticals. All of our clients are SMEs. We found that SMEs need technology solutions to communicate with the large portion of their consumers. The needs and requirements of SMEs are different to those of large corporations. Tailor-made software solutions and products are not easily available to SMEs due to the cost hurdle. Our solutions and services are easy-to-deploy, highly configurable, integrated, flexible and secure, which enable SMEs to manage and interact directly with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diversified client base spanning a range of industry verticals, including e-commerce, food and beverage, fintech, healthcare and service, wholesale and retail. As of June 30, 2023, we served over 200 clients across our core verticals such as food and beverage, wholesale and retail, all of whom utilize our services and talent to help them evolve the digital capabilities within their organizations.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long-term and trusted strategic relationships with our clients. We look to partner with clients who recognize the importance of technology as a central component of their business strategy. With that shared understanding, we engrain ourselves in their organizations and collaborate with them to translate that strategy into higher business value over the long term.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Technology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customized software solutions and products are built on a common set of foundational technology principles that distinguish us and provide a multitude of benefits to our clients. We use broadly adopted, standards-based software technologies in order to create, maintain and enhance our project-focused solutions. Our developed solutions are generally both scalable and easily integrated into our clients’ existing information technology infrastructure.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solutions are designed from the ground up for speed-to-market, scalability, security, durability, and reliability. The foundational technology that enables these benefits includes: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Integration.    Our solutions embrace the power of partnerships through integration. Some of our clients have other technology and systems that serve as the core software systems and deliver or receive data about their clients. Our solutions are designed for rapid deployment and integration with third-party technologies within a company’s enterprise, including application servers, security systems and portals. Our application development also provides web services interfaces and support for service-oriented architectures to facilitate enhanced integration within the enterprise. We have implemented customer and vendor-facing APIs, web service endpoints, and other integrations with many core software system providers and vendors. The architecture of the integrations and the design patterns we employ help us quickly extend our integrations to new providers or vendors.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Agility.    Our cloud-based infrastructure and development and software release processes allow us to update our platform for specific groups of customers or our entire customer base at any time. This means we can rapidly innovate and deliver new functionality, without waiting for quarterly or annual release cycles. We believe these systems have the capability and scalability to enable us to meet our anticipated growth for the foreseeable future.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Scalability.    By leveraging leading cloud infrastructure providers along with our technology stack, with the infrastructure designed for high performance and high availability, we are able to scale workloads of varying sizes at any time. This allows us to handle customers of all sizes and demands without traditional operational limitations such as network bandwidth, computing cycles, or storage capacity as we can scale our platform on-demand.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Reliability.    Platform data is distributed and processed across multiple data centers within a region to provide redundancy. We built our solutions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Security.    We leverage industry standard network and perimeter defense technologies, distributed denial-of-service, protection systems (including web application firewalls) and enterprise grade domain name system, services across multiple vendors. We offer high levels of security by segregating each customer’s data from the data of other customers and by limiting access to our platform to only those individuals authorized by our clients. We maintain a formal and comprehensive security program designed to ensure the security and integrity of customer data, protect against security threats or data breaches, and prevent unauthorized access to the data of our clients. Due to the broad footprint of our client base, we regularly test and evaluate our platform with trusted third-party vendors to ensure the security and integrity of our services.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Maintenance and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aim to provide our clients with ongoing support to supplement the continuity of their operations. We will have both customer support and development support team in assisting our clients in times of system errors or bug, or even certain service request that requires development of new features. We will form a service level agreement to govern the maintenance support services, including severity level and commercial terms. It is critical that we form a fast-responding support team to our clients in committing to solve their problems arising from the system. This enhances the confidence and trust clients have in us, strengthening the business relationship for future collaborations.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and Marketing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employ a diversified and efficient go-to-market strategy that leverages direct sales, referrals and strategic partnerships to accelerate new customer acquisition. Our sales and marketing strategy is focused on increasing revenues from existing clients, generating revenues from new clients and continuing to maintain our brand to appeal to current and prospective clients. We’ve generated inbound interest for our services through requests from clients seeking our services as a pre-approved vendor by IMDA, search engine optimization, word-of-mouth, paid customer referrals, and search engine marketing.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is one of the key drivers in the line of our business, especially in business consultancy. We always invested resources into talents for them to always stay up-to-date with the latest news in the market, monitoring trends and markets across the key verticals. We have a holistic management team that is always actively searching for innovative ideas, looking out for risks and opportunities that are relevant to our business. In Tridentity, we believe in staying up-to-date with the market, and change as the market shifts. We always endeavor to deliver solutions that unlock the greatest value for our clients. and with the emerging technology shift towards artificial intelligence and Web 3.0, we intend to invest more resources and talents in developing the next best-in-class Web 3.0-enabled e-commerce platform.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digital solutions industry in Singapore is highly fragmented, with a large number of market participants due to the diverse client base, a high degree of industry segmentation and different service coverage. We primarily compete with international corporations, as well as local companies. We believe we compete favorably on the following principal competitive factors: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Proven track record and reputation in the industry;</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Service customization;</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innovation, quality, functionality and design;</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Solid partnerships with upstream and downstream partners;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Deep vertical domain experience;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strong commitment to security and privacy.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we compete favourably across these factors. However, some of our competitors and potential competitors are large and have greater brand name recognition, longer operating histories, larger marketing budgets and established marketing relationships, access to larger client bases and significantly greater resources for the development of their offerings. Moreover, because our market is highly competitive and subject to rapid change, it is possible that new entrants, especially those with substantial resources, more efficient operating models, more rapid technology and content development cycles, or lower marketing costs, could introduce new solutions that disrupt our market and better address the needs of our clients and potential clients.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Facilities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headquartered in Singapore where we lease two corporate offices under leases that expire in 2024. We also lease one corporate office under lease in Vietnam which expires in 2025. We believe our facilities are adequate and suitable for our current needs, and that should it be needed, suitable additional or alternative space will be available to accommodate our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intellectual property rights are crucial to our business. We rely on a combination of intellectual property laws, confidentiality procedures and contractual provisions to protect our intellectual property. Prior to commencement of our relationship with our employees and channel partners, we require them to provide written obligations to keep any confidential information disclosed or otherwise made available by us confidential.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customarily enter into confidentiality agreements with our clients to preserve the confidentiality of the proprietary or confidential information or data provided to us or developed by us. Our clients usually own the intellectual property in the software or systems we develop for them.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Protecting our intellectual property rights is important to our business. We plan to invest in research and development to enhance our domain knowledge and create complex, specialized solutions for our clients. As of June 30, 2023, we have registered one trademark “TRIDENTITY” (trademark number 40202251004W) in Singapore under Classes 09, 35, 38, 42 and 45 under the International Classification of Goods and Services.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registered and maintained the domain name “Qzonetech.com” for our business operations to ensure that we maintain the ability to engage with our clients, employees, and the public.</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June 30, 2023, we had a total of 33 full-time employees. We are highly dependent on our management, highly-skilled software engineers, sales and marketing personnel, and other professionals, and it is crucial that we continue to attract and retain valuable employees.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provide foreign workers medical insurance and work injury compensation insurance for our employees as required by applicable law and in line with general market practice.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currently not a party to any other legal or administrative proceedings and are not aware of any other pending or threatened legal or administrative proceedings against us in any material respects. We may from time to time become a party to various legal or administrative proceedings arising in the ordinary course of our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14"/>
      <w:bookmarkEnd w:id="16"/>
      <w:r>
        <w:rPr>
          <w:rFonts w:ascii="Times New Roman PS Std;serif" w:hAnsi="Times New Roman PS Std;serif"/>
          <w:b/>
          <w:i w:val="false"/>
          <w:caps w:val="false"/>
          <w:smallCaps w:val="false"/>
          <w:sz w:val="20"/>
        </w:rPr>
        <w:t>REGULATION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section sets forth a summary of the most significant rules and regulations that affect our business activities or the rights of our shareholders to receive dividends and other distributions from us. Information contained in this section should not be construed as a comprehensive summary nor detailed analysis of laws and regulations applicable to our business and operations. This overview is provided as general information only and not intended to be a substitute for professional advice. You should consult your own advisers regarding the implication of the laws and regulations of Singapore on our business and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Regulations in Singapore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on Data Protection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Personal Data Protection Act 2012 (2020 Rev Ed) of Singapore (the “</w:t>
      </w:r>
      <w:r>
        <w:rPr>
          <w:rFonts w:ascii="Times New Roman PS Std;serif" w:hAnsi="Times New Roman PS Std;serif"/>
          <w:b/>
          <w:i w:val="false"/>
          <w:caps w:val="false"/>
          <w:smallCaps w:val="false"/>
          <w:sz w:val="20"/>
        </w:rPr>
        <w:t>PDPA</w:t>
      </w:r>
      <w:r>
        <w:rPr>
          <w:rFonts w:ascii="Times New Roman PS Std;serif" w:hAnsi="Times New Roman PS Std;serif"/>
          <w:b w:val="false"/>
          <w:i w:val="false"/>
          <w:caps w:val="false"/>
          <w:smallCaps w:val="false"/>
          <w:sz w:val="20"/>
        </w:rPr>
        <w:t>”) establishes the Singapore regime for the protection of personal data, and governs the collection, use and disclosure of personal data by organizations. In this regard, “personal data” as defined under the PDPA refers to data, whether true or not, about an individual who can be identified from that data or other information to which the organization has or is likely to have access.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organization is required to comply with, amongst other things, the following obligations prescribed by the PDPA: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caps w:val="false"/>
          <w:smallCaps w:val="false"/>
          <w:sz w:val="20"/>
        </w:rPr>
        <w:t>Purpose limitation obligation </w:t>
      </w:r>
      <w:r>
        <w:rPr>
          <w:rFonts w:ascii="Times New Roman PS Std;serif" w:hAnsi="Times New Roman PS Std;serif"/>
          <w:b w:val="false"/>
          <w:i w:val="false"/>
          <w:caps w:val="false"/>
          <w:smallCaps w:val="false"/>
          <w:sz w:val="20"/>
        </w:rPr>
        <w:t>— personal data must be collected, used or disclosed only for purposes that a reasonable person would consider appropriate in the circumstances, and if applicable, have been notified to the individual concerned;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caps w:val="false"/>
          <w:smallCaps w:val="false"/>
          <w:sz w:val="20"/>
        </w:rPr>
        <w:t>Notification obligation </w:t>
      </w:r>
      <w:r>
        <w:rPr>
          <w:rFonts w:ascii="Times New Roman PS Std;serif" w:hAnsi="Times New Roman PS Std;serif"/>
          <w:b w:val="false"/>
          <w:i w:val="false"/>
          <w:caps w:val="false"/>
          <w:smallCaps w:val="false"/>
          <w:sz w:val="20"/>
        </w:rPr>
        <w:t>— individuals must be notified of the purposes for the collection, use or disclosure of their personal data, prior to such collection, use or disclosure;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w:t>
      </w:r>
      <w:r>
        <w:rPr>
          <w:rFonts w:ascii="Times New Roman PS Std;serif" w:hAnsi="Times New Roman PS Std;serif"/>
          <w:b w:val="false"/>
          <w:i/>
          <w:caps w:val="false"/>
          <w:smallCaps w:val="false"/>
          <w:sz w:val="20"/>
        </w:rPr>
        <w:t>Consent obligation </w:t>
      </w:r>
      <w:r>
        <w:rPr>
          <w:rFonts w:ascii="Times New Roman PS Std;serif" w:hAnsi="Times New Roman PS Std;serif"/>
          <w:b w:val="false"/>
          <w:i w:val="false"/>
          <w:caps w:val="false"/>
          <w:smallCaps w:val="false"/>
          <w:sz w:val="20"/>
        </w:rPr>
        <w:t>— the consent of individuals must be obtained for any collection, use or disclosure of their personal data, unless exceptions apply. Additionally, an organization must allow the withdrawal of consent which has been given or is deemed to have been given;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w:t>
      </w:r>
      <w:r>
        <w:rPr>
          <w:rFonts w:ascii="Times New Roman PS Std;serif" w:hAnsi="Times New Roman PS Std;serif"/>
          <w:b w:val="false"/>
          <w:i/>
          <w:caps w:val="false"/>
          <w:smallCaps w:val="false"/>
          <w:sz w:val="20"/>
        </w:rPr>
        <w:t>Access and correction obligations </w:t>
      </w:r>
      <w:r>
        <w:rPr>
          <w:rFonts w:ascii="Times New Roman PS Std;serif" w:hAnsi="Times New Roman PS Std;serif"/>
          <w:b w:val="false"/>
          <w:i w:val="false"/>
          <w:caps w:val="false"/>
          <w:smallCaps w:val="false"/>
          <w:sz w:val="20"/>
        </w:rPr>
        <w:t>— when requested by an individual and unless exceptions apply, an organization must: (a) provide that individual with access to his personal data in the possession or under the control of the organization and information about the ways in which his personal data may have been used or disclosed during the past year, and/or (b) correct an error or omission in his personal data that is in the possession or under the control of the organization;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w:t>
      </w:r>
      <w:r>
        <w:rPr>
          <w:rFonts w:ascii="Times New Roman PS Std;serif" w:hAnsi="Times New Roman PS Std;serif"/>
          <w:b w:val="false"/>
          <w:i/>
          <w:caps w:val="false"/>
          <w:smallCaps w:val="false"/>
          <w:sz w:val="20"/>
        </w:rPr>
        <w:t>Accuracy obligation </w:t>
      </w:r>
      <w:r>
        <w:rPr>
          <w:rFonts w:ascii="Times New Roman PS Std;serif" w:hAnsi="Times New Roman PS Std;serif"/>
          <w:b w:val="false"/>
          <w:i w:val="false"/>
          <w:caps w:val="false"/>
          <w:smallCaps w:val="false"/>
          <w:sz w:val="20"/>
        </w:rPr>
        <w:t>— an organization must make reasonable efforts to ensure that personal data collected by or on its behalf is accurate and complete if such data is likely to be used by the organization to make a decision affecting the individual to whom the personal data relates or if such data is likely to be disclosed to another organization;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w:t>
      </w:r>
      <w:r>
        <w:rPr>
          <w:rFonts w:ascii="Times New Roman PS Std;serif" w:hAnsi="Times New Roman PS Std;serif"/>
          <w:b w:val="false"/>
          <w:i/>
          <w:caps w:val="false"/>
          <w:smallCaps w:val="false"/>
          <w:sz w:val="20"/>
        </w:rPr>
        <w:t>Protection obligation </w:t>
      </w:r>
      <w:r>
        <w:rPr>
          <w:rFonts w:ascii="Times New Roman PS Std;serif" w:hAnsi="Times New Roman PS Std;serif"/>
          <w:b w:val="false"/>
          <w:i w:val="false"/>
          <w:caps w:val="false"/>
          <w:smallCaps w:val="false"/>
          <w:sz w:val="20"/>
        </w:rPr>
        <w:t>— an organization must implement reasonable security arrangements for the protection of personal data in its possession or under its control;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w:t>
      </w:r>
      <w:r>
        <w:rPr>
          <w:rFonts w:ascii="Times New Roman PS Std;serif" w:hAnsi="Times New Roman PS Std;serif"/>
          <w:b w:val="false"/>
          <w:i/>
          <w:caps w:val="false"/>
          <w:smallCaps w:val="false"/>
          <w:sz w:val="20"/>
        </w:rPr>
        <w:t>Retention limitation obligation </w:t>
      </w:r>
      <w:r>
        <w:rPr>
          <w:rFonts w:ascii="Times New Roman PS Std;serif" w:hAnsi="Times New Roman PS Std;serif"/>
          <w:b w:val="false"/>
          <w:i w:val="false"/>
          <w:caps w:val="false"/>
          <w:smallCaps w:val="false"/>
          <w:sz w:val="20"/>
        </w:rPr>
        <w:t>— an organization must not keep personal data for longer than it is necessary to fulfil (a) the purposes for which it was collected, or (b) a legal or business purpose;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w:t>
      </w:r>
      <w:r>
        <w:rPr>
          <w:rFonts w:ascii="Times New Roman PS Std;serif" w:hAnsi="Times New Roman PS Std;serif"/>
          <w:b w:val="false"/>
          <w:i/>
          <w:caps w:val="false"/>
          <w:smallCaps w:val="false"/>
          <w:sz w:val="20"/>
        </w:rPr>
        <w:t>Transfer limitation obligation </w:t>
      </w:r>
      <w:r>
        <w:rPr>
          <w:rFonts w:ascii="Times New Roman PS Std;serif" w:hAnsi="Times New Roman PS Std;serif"/>
          <w:b w:val="false"/>
          <w:i w:val="false"/>
          <w:caps w:val="false"/>
          <w:smallCaps w:val="false"/>
          <w:sz w:val="20"/>
        </w:rPr>
        <w:t>— personal data must not be transferred out of Singapore except in accordance with the requirements prescribed under the PDPA;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w:t>
      </w:r>
      <w:r>
        <w:rPr>
          <w:rFonts w:ascii="Times New Roman PS Std;serif" w:hAnsi="Times New Roman PS Std;serif"/>
          <w:b w:val="false"/>
          <w:i/>
          <w:caps w:val="false"/>
          <w:smallCaps w:val="false"/>
          <w:sz w:val="20"/>
        </w:rPr>
        <w:t>Openness obligation </w:t>
      </w:r>
      <w:r>
        <w:rPr>
          <w:rFonts w:ascii="Times New Roman PS Std;serif" w:hAnsi="Times New Roman PS Std;serif"/>
          <w:b w:val="false"/>
          <w:i w:val="false"/>
          <w:caps w:val="false"/>
          <w:smallCaps w:val="false"/>
          <w:sz w:val="20"/>
        </w:rPr>
        <w:t>— an organization must implement the necessary policies and procedures in order to meet the obligations under the PDPA and shall make information about its policies and procedures available on request.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Organizations have mandatory obligations to assess data breaches they suffer, and to notify the Singapore Personal Data Protection Commission (“</w:t>
      </w:r>
      <w:r>
        <w:rPr>
          <w:rFonts w:ascii="Times New Roman PS Std;serif" w:hAnsi="Times New Roman PS Std;serif"/>
          <w:b/>
          <w:i w:val="false"/>
          <w:caps w:val="false"/>
          <w:smallCaps w:val="false"/>
          <w:sz w:val="20"/>
        </w:rPr>
        <w:t>PDPC</w:t>
      </w:r>
      <w:r>
        <w:rPr>
          <w:rFonts w:ascii="Times New Roman PS Std;serif" w:hAnsi="Times New Roman PS Std;serif"/>
          <w:b w:val="false"/>
          <w:i w:val="false"/>
          <w:caps w:val="false"/>
          <w:smallCaps w:val="false"/>
          <w:sz w:val="20"/>
        </w:rPr>
        <w:t>”) and the relevant individuals where the data breach is of a certain severity.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PDPA creates various offenses in connection with the improper use of personal data, certain methods of collecting personal data and certain failures to comply with the requirements under the PDPA. These offenses may be applicable to organizations, their officers and/or their employees. Offenders are liable on conviction to fines and/or imprisonment. The PDPA empowers the PDPC with significant regulatory powers to ensure compliance with the PDPA, including powers to investigate, give directions and impose a financial penalty of up to SGD 1 million. In addition, the PDPA created a right of private action, pursuant to which the Singapore courts may grant damages, injunctions and relief by way of declaration, to persons who suffer loss or damages directly as a result of contraventions of certain requirements under the PDPA.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general data protection obligations imposed under the PDPA, the PDPA also generally prohibits organizations and individuals from sending direct marketing messages (in the form of voice calls, text or fax messages) to Singapore telephone numbers, including mobile, fixed-line, residential and business numbers, registered with the Do Not Call Registry (the “</w:t>
      </w:r>
      <w:r>
        <w:rPr>
          <w:rFonts w:ascii="Times New Roman PS Std;serif" w:hAnsi="Times New Roman PS Std;serif"/>
          <w:b/>
          <w:i w:val="false"/>
          <w:caps w:val="false"/>
          <w:smallCaps w:val="false"/>
          <w:sz w:val="20"/>
        </w:rPr>
        <w:t>DNC Registry</w:t>
      </w:r>
      <w:r>
        <w:rPr>
          <w:rFonts w:ascii="Times New Roman PS Std;serif" w:hAnsi="Times New Roman PS Std;serif"/>
          <w:b w:val="false"/>
          <w:i w:val="false"/>
          <w:caps w:val="false"/>
          <w:smallCaps w:val="false"/>
          <w:sz w:val="20"/>
        </w:rPr>
        <w:t>”), as maintained by the PDPC (the “</w:t>
      </w:r>
      <w:r>
        <w:rPr>
          <w:rFonts w:ascii="Times New Roman PS Std;serif" w:hAnsi="Times New Roman PS Std;serif"/>
          <w:b/>
          <w:i w:val="false"/>
          <w:caps w:val="false"/>
          <w:smallCaps w:val="false"/>
          <w:sz w:val="20"/>
        </w:rPr>
        <w:t>DNC Obligations</w:t>
      </w:r>
      <w:r>
        <w:rPr>
          <w:rFonts w:ascii="Times New Roman PS Std;serif" w:hAnsi="Times New Roman PS Std;serif"/>
          <w:b w:val="false"/>
          <w:i w:val="false"/>
          <w:caps w:val="false"/>
          <w:smallCaps w:val="false"/>
          <w:sz w:val="20"/>
        </w:rPr>
        <w:t>”). The DNC Obligations only apply to the sending of“ specified messages” as defined in the PDPA, which are marketing messages that offer, promote or advertise goods or services. Such specified messages typically include messages which offer to supply, advertise or promote a property or a supplier of property.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DNC Obligations, before an organization sends any specified messages to a Singapore telephone number, it must first check whether that Singapore telephone number is listed in the relevant register of the DNC Registry. A failure to check the relevant register is an offense under the PDPA, unless certain exceptions apply.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on Labor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Employment Act 1968 (2020 Rev Ed) of Singapore (the “</w:t>
      </w:r>
      <w:r>
        <w:rPr>
          <w:rFonts w:ascii="Times New Roman PS Std;serif" w:hAnsi="Times New Roman PS Std;serif"/>
          <w:b/>
          <w:i w:val="false"/>
          <w:caps w:val="false"/>
          <w:smallCaps w:val="false"/>
          <w:sz w:val="20"/>
        </w:rPr>
        <w:t>Employment Act</w:t>
      </w:r>
      <w:r>
        <w:rPr>
          <w:rFonts w:ascii="Times New Roman PS Std;serif" w:hAnsi="Times New Roman PS Std;serif"/>
          <w:b w:val="false"/>
          <w:i w:val="false"/>
          <w:caps w:val="false"/>
          <w:smallCaps w:val="false"/>
          <w:sz w:val="20"/>
        </w:rPr>
        <w:t>”) generally extends to all employees, with the exception of certain groups of employees. It provides employees falling within its ambit protections such as minimum notice periods, maximum working hours, a maximum amount of deductions from wages, minimum holidays and rest days, maternity/paternity leave, paid childcare leave, sick leave, etc. The Employment Act also applies to employees who are foreigners so long as they fall within the definition of “employee” under the Employment Act. In addition, the employment of foreign manpower in Singapore is also governed by the Employment of Foreign Manpower Act 1990 (2020 Rev Ed) of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Aside from minimum benefits in respect of the aforesaid terms of employment in the Employment Act, employees in Singapore are entitled to contributions to the central provident fund by the employer as prescribed under the Central Provident Fund Act 1953 (2020 Rev Ed) of Singapore. The specific contribution rate to be made by employers varies depending on whether the employee is a Singapore citizen or permanent resident in the private or public sector and the age group and wage band of the employee. Generally, for employees who are Singapore citizens in the private sector or non-pensionable employees in the public sector, 55 years old or below and that earn more than or equal to SGD750 a month, the employer’s contribution rate is 17% of the employee’s wages.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on COVID-19</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COVID-19 (Temporary Measures) Act 2020 (No. 14 of 2020) of Singapore (“</w:t>
      </w:r>
      <w:r>
        <w:rPr>
          <w:rFonts w:ascii="Times New Roman PS Std;serif" w:hAnsi="Times New Roman PS Std;serif"/>
          <w:b/>
          <w:i w:val="false"/>
          <w:caps w:val="false"/>
          <w:smallCaps w:val="false"/>
          <w:sz w:val="20"/>
        </w:rPr>
        <w:t>COVID-19</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Act</w:t>
      </w:r>
      <w:r>
        <w:rPr>
          <w:rFonts w:ascii="Times New Roman PS Std;serif" w:hAnsi="Times New Roman PS Std;serif"/>
          <w:b w:val="false"/>
          <w:i w:val="false"/>
          <w:caps w:val="false"/>
          <w:smallCaps w:val="false"/>
          <w:sz w:val="20"/>
        </w:rPr>
        <w:t>”) came into effect in Singapore on April 7, 2020. Under the COVID-19 Act, the Minister of Health may make regulations and make control orders for the purpose of preventing, protecting against, delaying or otherwise controlling the incidence or transmission of COVID-19 in Singapore. Control orders may make provisions including among others the following: (i) requiring people or certain people to stay at or in, and not leave, a specified place (whether or not a place of accommodation); (ii) restricting movement of or contact between people, including prohibiting or limiting group activities or other activities of people within the specified place in paragraph (i), restricting the use of any facilities at that place and limiting movement to and from that place, whether by time or location; (iii) requiring closing or limiting access to any premises or facility at a specified time, in a specified manner or to a specified extent, in relation to any premises or facility used to carry out any business, undertaking or work; (iv) restricting the time, manner or extent for the carrying out of any business, undertaking or work, including prescribing restrictions on the maximum number of people, opening hours or facilities provided, for the carrying on of the business, undertaking or work.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13"/>
      <w:bookmarkEnd w:id="17"/>
      <w:r>
        <w:rPr>
          <w:rFonts w:ascii="Times New Roman PS Std;serif" w:hAnsi="Times New Roman PS Std;serif"/>
          <w:b/>
          <w:i w:val="false"/>
          <w:caps w:val="false"/>
          <w:smallCaps w:val="false"/>
          <w:sz w:val="20"/>
        </w:rPr>
        <w:t>MANAGEMENT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our directors and executive officers as of the date of this prospectus.</w:t>
      </w:r>
    </w:p>
    <w:tbl>
      <w:tblPr>
        <w:tblW w:w="8575" w:type="dxa"/>
        <w:jc w:val="left"/>
        <w:tblInd w:w="0" w:type="dxa"/>
        <w:tblLayout w:type="fixed"/>
        <w:tblCellMar>
          <w:top w:w="0" w:type="dxa"/>
          <w:left w:w="0" w:type="dxa"/>
          <w:bottom w:w="0" w:type="dxa"/>
          <w:right w:w="0" w:type="dxa"/>
        </w:tblCellMar>
      </w:tblPr>
      <w:tblGrid>
        <w:gridCol w:w="3436"/>
        <w:gridCol w:w="146"/>
        <w:gridCol w:w="496"/>
        <w:gridCol w:w="146"/>
        <w:gridCol w:w="4351"/>
      </w:tblGrid>
      <w:tr>
        <w:trPr/>
        <w:tc>
          <w:tcPr>
            <w:tcW w:w="34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Directors and Executive Officers</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43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Position/Title</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shd w:fill="CCEEFF" w:val="clear"/>
            <w:vAlign w:val="bottom"/>
          </w:tcPr>
          <w:p>
            <w:pPr>
              <w:pStyle w:val="TableContents"/>
              <w:bidi w:val="0"/>
              <w:spacing w:before="0" w:after="283"/>
              <w:jc w:val="left"/>
              <w:rPr/>
            </w:pPr>
            <w:r>
              <w:rPr/>
              <w:t> </w:t>
            </w:r>
          </w:p>
        </w:tc>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Founder, Chairman, Chief Executive Officer</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Haiyan Huang</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vAlign w:val="bottom"/>
          </w:tcPr>
          <w:p>
            <w:pPr>
              <w:pStyle w:val="TableContents"/>
              <w:bidi w:val="0"/>
              <w:spacing w:before="0" w:after="283"/>
              <w:jc w:val="left"/>
              <w:rPr/>
            </w:pPr>
            <w:r>
              <w:rPr/>
              <w:t> </w:t>
            </w:r>
          </w:p>
        </w:tc>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shd w:fill="CCEEFF" w:val="clear"/>
            <w:vAlign w:val="bottom"/>
          </w:tcPr>
          <w:p>
            <w:pPr>
              <w:pStyle w:val="TableContents"/>
              <w:bidi w:val="0"/>
              <w:spacing w:before="0" w:after="283"/>
              <w:jc w:val="left"/>
              <w:rPr/>
            </w:pPr>
            <w:r>
              <w:rPr/>
              <w:t> </w:t>
            </w:r>
          </w:p>
        </w:tc>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Mr. Soon Huat Lim</w:t>
      </w:r>
      <w:r>
        <w:rPr>
          <w:rFonts w:ascii="Times New Roman PS Std;serif" w:hAnsi="Times New Roman PS Std;serif"/>
          <w:b w:val="false"/>
          <w:i w:val="false"/>
          <w:caps w:val="false"/>
          <w:smallCaps w:val="false"/>
          <w:sz w:val="20"/>
        </w:rPr>
        <w:t xml:space="preserve"> is our founder, and has served as the chairman of the board of directors and chief executive officer of the Company since its inception. Mr. Lim has over 30 years of management experience and combined expertise in sales, supply chain, retail and services, tourism, entertainment and media, e-commerce, and technology industries. Since May 2022, Mr. Lim has served as a director of our operative subsidiary, Trident Singapore. Meanwhile, since 2021, Mr. Lim has served as a director of Trident Foodtech Pte Ltd, a company primarily engaged in the wholesale of fruits and vegetables and the retail sale of beverages, and Trident V Tech Pte Ltd, a resale company in Singapore. Since February 2021, Mr. Lim has also been a director and chief executive officer of Asia Bird’s Nest Corporation Pte Ltd, a lifestyle consumer goods company in Singapore. In addition, Mr. Lim has been appointed as a director of E-mobility Solutions Pte Ltd, a company primarily engaged in tourism and public transportation business in Singapore, since September 2018.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Ms. Haiyan Huang</w:t>
      </w:r>
      <w:r>
        <w:rPr>
          <w:rFonts w:ascii="Times New Roman PS Std;serif" w:hAnsi="Times New Roman PS Std;serif"/>
          <w:b w:val="false"/>
          <w:i w:val="false"/>
          <w:caps w:val="false"/>
          <w:smallCaps w:val="false"/>
          <w:sz w:val="20"/>
        </w:rPr>
        <w:t xml:space="preserve"> has served as our chief financial officer since the Company’s inception. Ms. Huang has more than 20 years of experience in the financial sector. From June 2018 to April 2022, Ms. Huang first served as the chief financial officer of Zengame Technology Holding Limited (HKSE: 2660), an established mobile game developer and operator in the People’s Republic of China with special focus on card and board and other casual mobile games. From September 2015 to May 2016, Ms. Huang served as a financial controller in Shenzhen TimeLink Technology Co., Ltd (NEEQ: 834974), a company primarily engaged in man-machine interaction and human-computer interface research and development, where Ms. Huang was primarily responsible for the administrative matters of the financial department. Ms. Huang was admitted as a Chartered Global Management Accountant by the Chartered Institute of Management Accountants in May 2017. Ms. Huang received her bachelor’s degree in finance and taxation from Sun Yat-sen University in the People’s Republic of China in 2001.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Mr. Poh Kiong Tan</w:t>
      </w:r>
      <w:r>
        <w:rPr>
          <w:rFonts w:ascii="Times New Roman PS Std;serif" w:hAnsi="Times New Roman PS Std;serif"/>
          <w:b w:val="false"/>
          <w:i w:val="false"/>
          <w:caps w:val="false"/>
          <w:smallCaps w:val="false"/>
          <w:sz w:val="20"/>
        </w:rPr>
        <w:t xml:space="preserve"> has served as our chief technology officer since the Company’s inception. Mr. Tan has more than 9 years of experience in the software industry. Mr. Tan has served as a director and chief executive officer of QZT since 2014. Since January 2014, Mr. Tan has served as a director in S-Cube Pte. Ltd, a Singapore company primarily engaged in development of computer software and provision of technical and management consultancy services, where Mr. Tan was mainly responsible for operations management, quality assurance and software development. Mr. Tan received his bachelor’s degree in business information systems and cyber forensics from Murdoch University in Australia in 2014.</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will consist of            directors upon the SEC’s declaration of effectiveness of our registration statement on Form F-1, of which this prospectus is a part. A director is not required to hold any shares in our company to qualify to serve as a director.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provided (i) such director, if the director’s interest (whether direct or indirect) in such contract or arrangement is material, has declared the nature of his or her interest at the earliest meeting of the board at which it is practicable for such director to do so, either specifically or by way of a general notice and (ii)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Committees of the 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consists of three committees, namely the audit committee, the compensation committee, and the nominating and corporate governance committee. We have adopted a charter for each of the three committees. The members and functions of these committees are described as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Audit Committee.    </w:t>
      </w:r>
      <w:r>
        <w:rPr>
          <w:rFonts w:ascii="Times New Roman PS Std;serif" w:hAnsi="Times New Roman PS Std;serif"/>
          <w:b w:val="false"/>
          <w:i w:val="false"/>
          <w:caps w:val="false"/>
          <w:smallCaps w:val="false"/>
          <w:sz w:val="20"/>
        </w:rPr>
        <w:t>Our audit committee will initially consist of three directors, namely            ,              and             . Each of those three directors satisfies the “independence” requirements under Rule 5605(c)(2) of the Listing Rules of the Nasdaq Stock Market meets the independence standards under Rule 10A-3 under the Exchange Act. We have determined that [            ] qualifies as an “audit committee financial expert.” The audit committee oversees our accounting and financial reporting processes and the audits of the financial statements of our company. The audit committee is responsible for,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Selecting and appointing the independent auditors and pre-approving all auditing and non-auditing services permitted to be performed by such independent auditors;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the independent auditors any audit problems or difficulties and management’s response;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all proposed related party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discussing the annual audited financial statements with management and the independent auditors;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adequacy and effectiveness of our accounting and internal control policies and procedures and any steps taken to monitor and control major financial risk exposures;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meeting separately and periodically with management and our independent auditors;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reporting regularly to the full board of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compliance with our code of business conduct and ethics, including reviewing the adequacy and effectiveness of our procedures to ensure proper compliance;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matters that are specifically assigned to our audit committee by our board of directors from time to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Compensation Committee.    </w:t>
      </w:r>
      <w:r>
        <w:rPr>
          <w:rFonts w:ascii="Times New Roman PS Std;serif" w:hAnsi="Times New Roman PS Std;serif"/>
          <w:b w:val="false"/>
          <w:i w:val="false"/>
          <w:caps w:val="false"/>
          <w:smallCaps w:val="false"/>
          <w:sz w:val="20"/>
        </w:rPr>
        <w:t>Our compensation committee will initially consist of three members, namely            ,            and            . Each of those three directors satisfies the “independence” requirements of Rule 5605(a)(2) of the Listing Rules of the Nasdaq Stock Market. Our compensation committee assists the board in reviewing and approving the compensation structure of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to the board with respect to the compensation for our chief executive officer and other executive officers;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and overseeing the total compensation package for our executives other than the most senior executive officers;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recommending to the board with respect to the compensation of our non-employee directors;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periodically and approving any long-term incentive compensation or equity plans, programs or arrangements of similar nature such as annual bonuses, employee pension and welfare benefit plans.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Nominating and corporate governance committee.    </w:t>
      </w:r>
      <w:r>
        <w:rPr>
          <w:rFonts w:ascii="Times New Roman PS Std;serif" w:hAnsi="Times New Roman PS Std;serif"/>
          <w:b w:val="false"/>
          <w:i w:val="false"/>
          <w:caps w:val="false"/>
          <w:smallCaps w:val="false"/>
          <w:sz w:val="20"/>
        </w:rPr>
        <w:t xml:space="preserve">Our nominating and corporate governance committee will initially consist of three directors, namely,            ,            and            . Each of those three directors satisfies the “independence” requirements under Rule 5605(a)(2) of the Listing Rules of the Nasdaq Stock Market and meets the independence standards under Rule 10A-3 under the Exchange Act. The compensation committee assists the board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and recommending nominees for election by the shareholders or appointment by the board of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annually with the board of directors about its current composition with regards to characteristics such as independence, age, skills, experience, diversity and availability of service to 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the board of directors on the frequency and structure of board meetings and monitoring the functioning of the committees of the board;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the board periodically with regards to significant developments in the law and practice of corporate governance as well as monitoring our compliance with applicable laws and regulations, and making recommendations to the board on all matters of corporate governance and on any remedial action to be taken.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Duties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our directors owe fiduciary duties to the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limited exceptional circumstances have the right to seek damages in our name if a duty owed by the directors is breached.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all the powers necessary for managing, and for directing and supervising, our business affairs. The functions and powers of our board of directors include, among others: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convening shareholders’ annual and extraordinary general meetings and reporting its work to shareholders at such meetings;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declaring dividends and distributions;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officers and determining the term of office and responsibilities of the officers;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exercising the borrowing powers of our company and mortgaging the property of our company;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the transfer of shares in our company, including the registration of such shares in our register of members.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Oversight of Cybersecurity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plays an active role in monitoring cybersecurity risks, including in connection with data protection, and is committed to the prevention, timely detection, and mitigation of the effects of any such incidents on our operations. In addition to regular reports from each of the board’s committees, the board receives regular reports from our management, including our chief technology officer, on material cybersecurity risks and the degree of our exposure to those risks, from cyber-attacks to infrastructure vulnerabilities, including the risk of data breach. While the board oversees our cybersecurity risk management, management is responsible for day-to-day risk management processes. We believe this division of responsibilities is the most effective approach for addressing our cybersecurity risks.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Terms of Directors and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be appointed by a resolution of our board of directors, or by an ordinary resolution of our shareholders. Our directors are not subject to a term of office and hold office until they are removed from office by ordinary resolution of the shareholders. A director will cease to be a director if, among other things, the director (i) becomes bankrupt or makes any arrangement or composition with his creditors; (ii) dies or is found by our company to be or becomes of unsound mind, (iii) resigns his office by notice in writing to the company, (iv) without special leave of absence from our board, is absent from three consecutive board meetings and our directors resolve that such director’s office be vacated; (v) is prohibited by law from being a director, or (vi) is removed from office pursuant to any other provision of our memorandum and articles of association, as amended and restated from time to time. Our officers are elected by and serve at the discretion of the board of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Agreements and Indemnification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completion of this offering, we plan to enter into new employment agreements with our senior executive officers to replace the employment agreements currently in effect. Pursuant to these new agreements, we will be entitled to terminate a senior executive officer’s employment for cause at any time for certain acts of the officer, such as being convicted of any criminal conduct, any act of gross or willful misconduct or any serious, willful, grossly negligent or persistent breach of any employment agreement provision. We may also terminate a senior executive officer’s employment by giving three-month’s prior written notice without cause. A senior executive officer may terminate his or her employment at any time by giving three-month’s prior written notice. In connection with the employment agreement, each senior executive officer will enter into an intellectual property ownership and confidentiality agreement and agreed to hold all information, know-how and records in any way connected with the products or services of our company, in strict confidence perpetually. Each officer will also agree that we shall own all the intellectual property developed by such officer during his or her employment.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enter into indemnification agreements with our directors and executive officers. Under these agreements, we may agree to indemnify our directors and executive officers against certain liabilities and expenses incurred by such persons in connection with claims made due to their being a director or officer of our company.]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Directors and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2022, we paid an aggregate of approximately US$0.6 million, in cash to our executive officers and directors. We have not set aside or accrued any amount to provide pension, retirement or other similar benefits to our executive officers and directors. Our Singapore subsidiaries are required by law to make contribution, as employers, to the Central Provident Fund for their employees as required by the Central Provident Fund Act 1953 (2020 Rev Ed). The specific contribution rate to be made varies depending on whether the employee is a Singapore citizen or permanent resident and the age group and wage band of the employee.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Incentive Plan</w:t>
      </w:r>
    </w:p>
    <w:p>
      <w:pPr>
        <w:pStyle w:val="TextBody"/>
        <w:keepNext w:val="true"/>
        <w:pageBreakBefore w:val="false"/>
        <w:widowControl/>
        <w:pBdr/>
        <w:bidi w:val="0"/>
        <w:spacing w:before="240" w:after="283"/>
        <w:ind w:left="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2023 Equity Incentive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2023 Equity Incentive Plan was adopted on            , 2023 to attract and retain the best available personnel for positions of substantial responsibility, provide additional incentive to employees, directors and consultants and promote the success of our business. The equity incentive plan provides for the grant of an option, restricted shares, restricted share units and local awards.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Authorized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number of ordinary shares may be subject to awards pursuant to the 2023 Equity Incentive Plan is [ ] initially. The aggregate number of ordinary shares available for issuance under the 2023 Equity Incentive Plan will be increased (i) on January 1 of the fiscal year immediately following the fiscal year in which an initial public offering of our shares, or a Qualified IPO, is consummated, by an amount equal to [ ]% of the total number of ordinary shares issued and outstanding on December 31 of the immediately preceding fiscal year, and (ii) on January 1 of each fiscal year during the period beginning with the second fiscal year following the fiscal year in which a Qualified IPO is consummated, by an amount equal to [ ]% of the total number of ordinary shares issued and outstanding on December 31 of the immediately preceding fiscal year.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Administration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or a committee of the board or officers to which the board delegates the authority administers the 2023 Equity Incentive Plan. The administrator will determine the participants to receive awards, the type and number of awards to be granted to each participant and the provisions and terms and conditions of each award. In the event that any dividend or other distribution, recapitalization, share division, share consolidation, reorganization or any change in the corporate structure of the Company affecting the shares occurs, the administrator will make adjustment with respect to the number and class of shares that may be delivered under the 2023 Equity Incentive Plan and/or the number, price and class of shares covered by outstanding awards, in order to prevent diminution of the benefits intended to be made available under the 2023 Equity Incentive Plan.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Awards under the Equity Incentive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 Options.    </w:t>
      </w:r>
      <w:r>
        <w:rPr>
          <w:rFonts w:ascii="Times New Roman PS Std;serif" w:hAnsi="Times New Roman PS Std;serif"/>
          <w:b w:val="false"/>
          <w:i w:val="false"/>
          <w:caps w:val="false"/>
          <w:smallCaps w:val="false"/>
          <w:sz w:val="20"/>
        </w:rPr>
        <w:t>Share options may be granted under the 2023 Equity Incentive Plan. The administrator determines the exercise price for each option award, which is stated in the award agreement and should in no case be lower than the par value of our ordinary shares in no case. [One-third(1/3) of the shares subject to an option will vest on each of the first, second and third annual anniversaries of the vesting commencement date, unless otherwise provided in the award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Shares.    </w:t>
      </w:r>
      <w:r>
        <w:rPr>
          <w:rFonts w:ascii="Times New Roman PS Std;serif" w:hAnsi="Times New Roman PS Std;serif"/>
          <w:b w:val="false"/>
          <w:i w:val="false"/>
          <w:caps w:val="false"/>
          <w:smallCaps w:val="false"/>
          <w:sz w:val="20"/>
        </w:rPr>
        <w:t>A restricted share award agreement will specify restrictions on the duration of the restricted period and the number of shares granted. Restricted shares may not be sold, transferred or pledged until the end of the restricted period and may be subject to forfeiture upon a termination of employment or service with us. Unless otherwise provided in the award agreement, the holder of restricted shares will be entitled to receive all dividends and other distributions paid with respect to the ordinary shares, subject to the same restrictions on transferability and forfeitability as the underlying shares of restricted shares. [One-third(1/3) of the restricted shares will vest on each of the first, second and third annual anniversaries of the vesting commencement date, unless otherwise provided in the award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Share Units.    </w:t>
      </w:r>
      <w:r>
        <w:rPr>
          <w:rFonts w:ascii="Times New Roman PS Std;serif" w:hAnsi="Times New Roman PS Std;serif"/>
          <w:b w:val="false"/>
          <w:i w:val="false"/>
          <w:caps w:val="false"/>
          <w:smallCaps w:val="false"/>
          <w:sz w:val="20"/>
        </w:rPr>
        <w:t>Awards of restricted share units may be granted by the administrator. At the time of granting restricted share units, the administrator may impose conditions that must be satisfied, such as continued employment or service or attainment of corporate performance goals, and may place restrictions on the grant and/or vesting of the restricted share units. A restricted share unit award agreement will specify applicable vesting criteria, the number of restricted share units granted and the terms and conditions on time and form of payment. Each restricted share unit, upon fulfilment of applicable conditions, represents a right to receive an amount equal to the fair market value of one ordinary share.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in Control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change in control, the administrator may provide for acceleration of awards, purchase of awards from holders or replacement of awards.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terminated earlier, the 2023 Equity Incentive Plan will continue in effect for a term of ten years from the date of its adoption.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Amendment and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shareholders’ approval and certain exceptions, the board of directors may at any time amend or terminate the 2023 Equity Incentive Plan.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12"/>
      <w:bookmarkEnd w:id="18"/>
      <w:r>
        <w:rPr>
          <w:rFonts w:ascii="Times New Roman PS Std;serif" w:hAnsi="Times New Roman PS Std;serif"/>
          <w:b/>
          <w:i w:val="false"/>
          <w:caps w:val="false"/>
          <w:smallCaps w:val="false"/>
          <w:sz w:val="20"/>
        </w:rPr>
        <w:t>PRINCIPAL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specifically noted, the following table sets forth information with respect to the beneficial ownership of our ordinary shares as of the date of this prospectus by: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and executive officers;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principal shareholders who beneficially own 5% or more of our total outstanding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calculations in the table below are based on [            ] ordinary shares issued and outstanding as of the date of this prospectus, and [            ] Class A ordinary shares and [            ] Class B ordinary shares issued and outstanding immediately after the completion of this offering, assuming the underwriters do not exercise their option to purchase additional ADSs. All of our issued and outstanding shares are fully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tbl>
      <w:tblPr>
        <w:tblW w:w="10997" w:type="dxa"/>
        <w:jc w:val="left"/>
        <w:tblInd w:w="0" w:type="dxa"/>
        <w:tblLayout w:type="fixed"/>
        <w:tblCellMar>
          <w:top w:w="0" w:type="dxa"/>
          <w:left w:w="0" w:type="dxa"/>
          <w:bottom w:w="0" w:type="dxa"/>
          <w:right w:w="0" w:type="dxa"/>
        </w:tblCellMar>
      </w:tblPr>
      <w:tblGrid>
        <w:gridCol w:w="1286"/>
        <w:gridCol w:w="146"/>
        <w:gridCol w:w="1186"/>
        <w:gridCol w:w="146"/>
        <w:gridCol w:w="1306"/>
        <w:gridCol w:w="146"/>
        <w:gridCol w:w="1036"/>
        <w:gridCol w:w="146"/>
        <w:gridCol w:w="1066"/>
        <w:gridCol w:w="146"/>
        <w:gridCol w:w="901"/>
        <w:gridCol w:w="146"/>
        <w:gridCol w:w="901"/>
        <w:gridCol w:w="146"/>
        <w:gridCol w:w="1036"/>
        <w:gridCol w:w="146"/>
        <w:gridCol w:w="1111"/>
      </w:tblGrid>
      <w:tr>
        <w:trPr/>
        <w:tc>
          <w:tcPr>
            <w:tcW w:w="12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0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Ordinary Shares </w:t>
              <w:br/>
              <w:t xml:space="preserve">Beneficially Owned </w:t>
              <w:br/>
              <w:t>Prior to This Offering</w:t>
            </w:r>
          </w:p>
        </w:tc>
        <w:tc>
          <w:tcPr>
            <w:tcW w:w="146" w:type="dxa"/>
            <w:tcBorders/>
            <w:vAlign w:val="bottom"/>
          </w:tcPr>
          <w:p>
            <w:pPr>
              <w:pStyle w:val="TableContents"/>
              <w:bidi w:val="0"/>
              <w:spacing w:before="0" w:after="283"/>
              <w:jc w:val="left"/>
              <w:rPr/>
            </w:pPr>
            <w:r>
              <w:rPr/>
              <w:t> </w:t>
            </w:r>
          </w:p>
        </w:tc>
        <w:tc>
          <w:tcPr>
            <w:tcW w:w="438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Ordinary Shares </w:t>
              <w:br/>
              <w:t xml:space="preserve">Beneficially Owned </w:t>
              <w:br/>
              <w:t>After This Offering</w:t>
            </w:r>
          </w:p>
        </w:tc>
      </w:tr>
      <w:tr>
        <w:trPr/>
        <w:tc>
          <w:tcPr>
            <w:tcW w:w="1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br/>
              <w:t>Ordinary</w:t>
              <w:br/>
              <w:t>Shares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br/>
              <w:t>Ordinary</w:t>
              <w:br/>
              <w:t>Shares</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 Total</w:t>
              <w:br/>
              <w:t>Ordinary</w:t>
              <w:br/>
              <w:t>Shares</w:t>
              <w:br/>
              <w:t>on An</w:t>
              <w:br/>
              <w:t>As-</w:t>
              <w:br/>
              <w:t>converted</w:t>
              <w:br/>
              <w:t>Basis†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w:t>
              <w:br/>
              <w:t>Aggregate</w:t>
              <w:br/>
              <w:t>Voting</w:t>
              <w:br/>
              <w:t>Power††</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br/>
              <w:t>Ordinary</w:t>
              <w:br/>
              <w:t>Shares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br/>
              <w:t>Ordinary</w:t>
              <w:br/>
              <w:t>Shares</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w:t>
              <w:br/>
              <w:t>Total</w:t>
              <w:br/>
              <w:t>Ordinary</w:t>
              <w:br/>
              <w:t>Shares</w:t>
              <w:br/>
              <w:t>on An</w:t>
              <w:br/>
              <w:t>As-</w:t>
              <w:br/>
              <w:t>converted</w:t>
              <w:br/>
              <w:t>Basis</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w:t>
              <w:br/>
              <w:t>Aggregate</w:t>
              <w:br/>
              <w:t>Voting</w:t>
              <w:br/>
              <w:t>Power</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Directors and Executive Officers*: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Soon Huat Lim</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275,705,000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65.1</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95.0</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Poh Kiong Tan</w:t>
            </w:r>
            <w:r>
              <w:rPr>
                <w:rFonts w:ascii="Times New Roman PS Std;serif" w:hAnsi="Times New Roman PS Std;serif"/>
                <w:b w:val="false"/>
                <w:i w:val="false"/>
                <w:caps w:val="false"/>
                <w:smallCaps w:val="false"/>
                <w:sz w:val="12"/>
              </w:rPr>
              <w:t>(2)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0.3</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Haiyan Huang</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All directors and executive officers as a group</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290,705,000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68.1</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95.4</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 Shareholders: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Trident Digital Tech Ltd</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Trident Group Holdings Ltd</w:t>
            </w:r>
            <w:r>
              <w:rPr>
                <w:rFonts w:ascii="Times New Roman PS Std;serif" w:hAnsi="Times New Roman PS Std;serif"/>
                <w:b w:val="false"/>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Tri Wealth Ltd</w:t>
            </w:r>
            <w:r>
              <w:rPr>
                <w:rFonts w:ascii="Times New Roman PS Std;serif" w:hAnsi="Times New Roman PS Std;serif"/>
                <w:b w:val="false"/>
                <w:i w:val="false"/>
                <w:caps w:val="false"/>
                <w:smallCaps w:val="false"/>
                <w:sz w:val="12"/>
              </w:rPr>
              <w:t>(6)</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125,705,000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25.1</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Soon Tai Lee</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Yat Hong Lo</w:t>
            </w:r>
            <w:r>
              <w:rPr>
                <w:rFonts w:ascii="Times New Roman PS Std;serif" w:hAnsi="Times New Roman PS Std;serif"/>
                <w:b w:val="false"/>
                <w:i w:val="false"/>
                <w:caps w:val="false"/>
                <w:smallCaps w:val="false"/>
                <w:sz w:val="12"/>
              </w:rPr>
              <w:t>(8)</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25,000,000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0.7</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Notes: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Except as indicated otherwise below, the business address of our directors and executive officers is Suntec Tower 3, 8 Temasek Boulevard Road, #24-03 Singapore, 038988.</w:t>
      </w:r>
    </w:p>
    <w:p>
      <w:pPr>
        <w:pStyle w:val="TextBody"/>
        <w:keepNext w:val="false"/>
        <w:pageBreakBefore w:val="false"/>
        <w:widowControl/>
        <w:pBdr/>
        <w:bidi w:val="0"/>
        <w:spacing w:before="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For each person and group included in this table, percentage ownership is calculated by dividing the number of shares beneficially owned by such person or group by the sum of (i) the number of ordinary shares outstanding as of the date of this prospectus, and (ii) the number of ordinary shares underlying share options held by such person or group that are exercisable within 60 days after the date of this prospectus.</w:t>
      </w:r>
    </w:p>
    <w:p>
      <w:pPr>
        <w:pStyle w:val="TextBody"/>
        <w:keepNext w:val="false"/>
        <w:pageBreakBefore w:val="false"/>
        <w:widowControl/>
        <w:pBdr/>
        <w:bidi w:val="0"/>
        <w:spacing w:before="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For each person and group included in this column, percentage of voting power is calculated by dividing the voting power beneficially owned by such person or group by the voting power of all of our ordinary shares as a single class. Each holder of our Class A ordinary shares is entitled to 60 votes per share. Each holder of our Class B ordinary shares is entitled to one vote per share. Our Class A ordinary shares are convertible at any time by the holder into Class B ordinary shares on a one-for-one basis, while Class B ordinary shares are not convertible into Class A ordinary shares under any circumstances.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(i) 50,000,000 Class A ordinary shares held by Trident Digital Tech Ltd, a company limited by shares incorporated in British Virgin Islands which is wholly owned by Mr. Soon Huat Lim; (ii) 150,000,000 Class B ordinary shares held by Trident Group Holdings Ltd, a company limited by shares incorporated in British Virgin Islands which is wholly owned by Mr. Soon Huat Lim; and (iii) 125,705,000 Class B ordinary shares held by Tri Wealth Ltd, a company limited by shares incorporated in British Virgin Islands which is wholly owned by Mr. Soon Huat Lim. The registered address of Trident Digital Tech Ltd, Trident Group Holdings Ltd and Tri Wealth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10,000,000 Class B ordinary shares directly held by Mr. Poh Kiong Tan.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Represents 5,000,000 Class B ordinary shares held by Trident Verse Ltd, a company limited by shares incorporated in British Virgin Islands which is wholly owned by Ms. Haiyan Huang. The registered address of Trident Verse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Represents 50,000,000 Class A ordinary shares held by Trident Digital Tech Ltd, a company limited by shares incorporated in British Virgin Islands and wholly owned by Mr. Soon Huat Lim. The registered address of Trident Digital Tech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Represents 150,000,000 Class B ordinary shares held by Trident Group Holdings Ltd, a company limited by shares incorporated in British Virgin Islands and wholly owned by Mr. Soon Huat Lim. The registered address of Trident Group Holdings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Represents 125,705,000 Class B ordinary shares held by Tri Wealth Ltd, a company limited by shares incorporated in British Virgin Islands and wholly owned by Mr. Soon Huat Lim. The registered address of Tri Wealth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Represents 75,000,000 Class B ordinary shares directly held by Mr. Soon Tai Lee.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Represents 25,000,000 Class B ordinary shares directly held by Mr. Yat Hong Lo.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none of our ordinary shares are held by record holders in the United States. None of our existing shareholders will have different voting rights from other shareholders after the completion of this offering. We are not aware of any arrangement that may, at a subsequent date, result in a change of control of our company.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11"/>
      <w:bookmarkEnd w:id="19"/>
      <w:r>
        <w:rPr>
          <w:rFonts w:ascii="Times New Roman PS Std;serif" w:hAnsi="Times New Roman PS Std;serif"/>
          <w:b/>
          <w:i w:val="false"/>
          <w:caps w:val="false"/>
          <w:smallCaps w:val="false"/>
          <w:sz w:val="20"/>
        </w:rPr>
        <w:t>RELATED PARTY TRANSACTIONS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Private Placements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“Description of Share Capital — History of Securities Issuances.”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Agreements and Indemnification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“Management — Employment Agreements and Indemnification Agreements.”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Incentive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“Management — Equity Incentive Plan.”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Related Party Transactions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from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2022, Trident Consultancy Pte. Ltd., a wholly-owned company of Mr. Soon Huat Lim, our founder, chairman of board of directors and chief executive officer, provided an interest-free loan in the amount of US$660,043 to us to support our operations. The loan was due on demand. The remaining balance of the loan was fully settled in January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Lim has also historically provided short-term financing in the aggregate amount of US$1,451 for us to support our operation. The financing was provided in the form of interest-free short-term borrowings. The short-term borrowings did not have a fixed term and were repayable upon demand. The remaining balance of the short-term borrowings was fully settled in June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Poh Kiong Tan, our chief technology officer, has historically provided short-term financing in the aggregate amount of US$131,689 for us to support our operation. The financing was provided in the form of interest-free short-term borrowings. The short-term borrowings did not have a fixed term and were repayable upon demand. The remaining balance of the shot-term borrowings was fully settled in January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intend to receive any financing from related parties after completion of this offering.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10"/>
      <w:bookmarkEnd w:id="20"/>
      <w:r>
        <w:rPr>
          <w:rFonts w:ascii="Times New Roman PS Std;serif" w:hAnsi="Times New Roman PS Std;serif"/>
          <w:b/>
          <w:i w:val="false"/>
          <w:caps w:val="false"/>
          <w:smallCaps w:val="false"/>
          <w:sz w:val="20"/>
        </w:rPr>
        <w:t>DESCRIPTION OF SHARE CAPITAL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incorporated as an exempted company with limited liability in the Cayman Islands on June 12, 2023. Our affairs are currently governed by our memorandum and articles of association and the Companies Act, Cap 22 (Law 3 of 1961, as consolidated and revised) of the Cayman Islands, or the Companies Act in this section.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our authorized share capital is US$50,000 divided into 5,000,000,000 ordinary shares with a par value of US$0.00001 each, comprising (i) 1,000,000,000 Class A ordinary shares, (ii) 4,000,000,000 Class B ordinary shares. As of the date of this prospectus, (i)            Class A ordinary shares, and (ii)            Class B ordinary shares are issued and outstanding.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adopt, subject to the approval of the existing shareholders, an amended and restated memorandum and articles of association, which will become effective upon completion of this offering and replace the current memorandum and articles of association in its entirety immediately prior to the completion of this offering. Our authorized share capital immediately prior to the completion of the offering will be US$50,000 divided into 5,000,000,000 ordinary shares with a par value of US$0.00001 each, comprising (i) 1,000,000,000 Class A ordinary shares, (ii) 4,000,000,000 Class B ordinary shares. We will issue            Class B ordinary shares represented by ADSs in this offering. All options, regardless of grant dates, will entitle holders to an equivalent number of ordinary shares once the vesting and exercising conditions are met.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summaries of material provisions of our post-offering amended and restated memorandum and articles of association and the Companies Act insofar as they relate to the material terms of our ordinary shares that we expect will become effective immediately prior to the completion of this offering.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General.    </w:t>
      </w:r>
      <w:r>
        <w:rPr>
          <w:rFonts w:ascii="Times New Roman PS Std;serif" w:hAnsi="Times New Roman PS Std;serif"/>
          <w:b w:val="false"/>
          <w:i w:val="false"/>
          <w:caps w:val="false"/>
          <w:smallCaps w:val="false"/>
          <w:sz w:val="20"/>
        </w:rPr>
        <w:t>Our ordinary shares are divided into Class A ordinary shares and Class B ordinary shares. 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transfer their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Conversion.    </w:t>
      </w:r>
      <w:r>
        <w:rPr>
          <w:rFonts w:ascii="Times New Roman PS Std;serif" w:hAnsi="Times New Roman PS Std;serif"/>
          <w:b w:val="false"/>
          <w:i w:val="false"/>
          <w:caps w:val="false"/>
          <w:smallCaps w:val="false"/>
          <w:sz w:val="20"/>
        </w:rPr>
        <w:t>Class A ordinary shares may be converted into the same number of Class B ordinary shares by the holders thereof at any time, while Class B ordinary shares cannot be converted into Class A ordinary shares under any circumstances. Upon any sale, transfer, assignment or disposition of Class A ordinary shares by a holder thereof to any person other than holders of Class A ordinary shares or their affiliates, such Class A ordinary shares shall be automatically and immediately converted into the same number of Class B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Dividends.    </w:t>
      </w:r>
      <w:r>
        <w:rPr>
          <w:rFonts w:ascii="Times New Roman PS Std;serif" w:hAnsi="Times New Roman PS Std;serif"/>
          <w:b w:val="false"/>
          <w:i w:val="false"/>
          <w:caps w:val="false"/>
          <w:smallCaps w:val="false"/>
          <w:sz w:val="20"/>
        </w:rPr>
        <w:t>Subject to the Companies Act, our directors may declare dividends in any currency to be 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also pay interim dividends, whenever our financial position, in the opinion of our directors, justifies such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deduct from any dividend or bonus payable to any shareholder all sums of money (if any) presently payable by such shareholder to us on account of calls or otherwise.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Voting Rights.    </w:t>
      </w:r>
      <w:r>
        <w:rPr>
          <w:rFonts w:ascii="Times New Roman PS Std;serif" w:hAnsi="Times New Roman PS Std;serif"/>
          <w:b w:val="false"/>
          <w:i w:val="false"/>
          <w:caps w:val="false"/>
          <w:smallCaps w:val="false"/>
          <w:sz w:val="20"/>
        </w:rPr>
        <w:t>On a show of hands each shareholder is entitled to one vote or, on a poll, each shareholder is entitled to one vote for ordinary share,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poll may be demanded by the chairman of such meeting or any shareholder present in person or by proxy.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shareholder shall be entitled to vote or be reckoned in a quorum, in respect of any share, unless such shareholder is duly registered as our shareholder and all calls or instalments due by such shareholder to us have been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Transfer of Ordinary Shares.    </w:t>
      </w:r>
      <w:r>
        <w:rPr>
          <w:rFonts w:ascii="Times New Roman PS Std;serif" w:hAnsi="Times New Roman PS Std;serif"/>
          <w:b w:val="false"/>
          <w:i w:val="false"/>
          <w:caps w:val="false"/>
          <w:smallCaps w:val="false"/>
          <w:sz w:val="20"/>
        </w:rPr>
        <w:t>Subject to any applicable restrictions set forth in our articles of association,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or in another form that our directors may approve.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decline to register any transfer of any share which is not paid up or on which we have a lien. Our directors may also decline to register any transfer of any share unless: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lodged with us and is accompanied by the certificate for the shares to which it relates and such other evidence as our directors may reasonably require to show the right of the transferor to make the transfer;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in respect of only one class of share;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properly stamped (in circumstances where stamping is required);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fee of such maximum sum as the Nasdaq may determine to be payable or such lesser sum as our directors may from time to time require is paid to us in respect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Liquidation.    </w:t>
      </w:r>
      <w:r>
        <w:rPr>
          <w:rFonts w:ascii="Times New Roman PS Std;serif" w:hAnsi="Times New Roman PS Std;serif"/>
          <w:b w:val="false"/>
          <w:i w:val="false"/>
          <w:caps w:val="false"/>
          <w:smallCaps w:val="false"/>
          <w:sz w:val="20"/>
        </w:rPr>
        <w:t>Subject to any future shares which are issued with specific rights, (1) if we are wound up and the assets available for distribution 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Calls on Ordinary Shares and Forfeiture of Ordinary Shares.    </w:t>
      </w:r>
      <w:r>
        <w:rPr>
          <w:rFonts w:ascii="Times New Roman PS Std;serif" w:hAnsi="Times New Roman PS Std;serif"/>
          <w:b w:val="false"/>
          <w:i w:val="false"/>
          <w:caps w:val="false"/>
          <w:smallCaps w:val="false"/>
          <w:sz w:val="20"/>
        </w:rPr>
        <w:t>Subject to our memorandum and articles of association and to the terms of allotment our board of directors may from time to time make calls upon shareholders for any amounts unpaid on their ordinary shares in a notice served to such shareholders at least 14 clear days prior to the specified time of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that have been called upon and remain unpaid are subject to forfeiture.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Redemption, Repurchase and Surrender of Ordinary Shares.    </w:t>
      </w:r>
      <w:r>
        <w:rPr>
          <w:rFonts w:ascii="Times New Roman PS Std;serif" w:hAnsi="Times New Roman PS Std;serif"/>
          <w:b w:val="false"/>
          <w:i w:val="false"/>
          <w:caps w:val="false"/>
          <w:smallCaps w:val="false"/>
          <w:sz w:val="20"/>
        </w:rPr>
        <w:t>We are empowered by the Companies Act and our amended and restated articles of association to purchase our own shares, subject to certain restrictions.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only exercise this power on our behalf, subject to the Companies Act, our memorandum and articles of association and to any applicable requirements imposed from time to time by the Nasdaq, the Securities and Exchange Commission, or by any other recognized stock exchange on which our securities are listed.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Variations of Rights of Shares.    </w:t>
      </w:r>
      <w:r>
        <w:rPr>
          <w:rFonts w:ascii="Times New Roman PS Std;serif" w:hAnsi="Times New Roman PS Std;serif"/>
          <w:b w:val="false"/>
          <w:i w:val="false"/>
          <w:caps w:val="false"/>
          <w:smallCaps w:val="false"/>
          <w:sz w:val="20"/>
        </w:rPr>
        <w:t>If at any time, our share capital is divided into different classes of 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xml:space="preserve"> with such existing class of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Inspection of Books and Records.    </w:t>
      </w:r>
      <w:r>
        <w:rPr>
          <w:rFonts w:ascii="Times New Roman PS Std;serif" w:hAnsi="Times New Roman PS Std;serif"/>
          <w:b w:val="false"/>
          <w:i w:val="false"/>
          <w:caps w:val="false"/>
          <w:smallCaps w:val="false"/>
          <w:sz w:val="20"/>
        </w:rPr>
        <w:t>Holders of our ordinary shares have no general right under Cayman Islands law to inspect or obtain copies of our 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 See “Where You Can Find 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Issuance of Additional Shares.    </w:t>
      </w:r>
      <w:r>
        <w:rPr>
          <w:rFonts w:ascii="Times New Roman PS Std;serif" w:hAnsi="Times New Roman PS Std;serif"/>
          <w:b w:val="false"/>
          <w:i w:val="false"/>
          <w:caps w:val="false"/>
          <w:smallCaps w:val="false"/>
          <w:sz w:val="20"/>
        </w:rPr>
        <w:t>Our post-offering amended and restated memorandum of association authorizes our board of directors to issue additional ordinary shares from time to time as our board of directors shall determine, to the extent of available authorized but unissued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of the series;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shares of the series;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dividend rights, dividend rates, conversion rights, voting rights;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rights and terms of redemption and liquidation preferences.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may issue preferred shares without action by our shareholders to the extent authorized but unissued. Issuance of these shares may dilute the voting power of holders of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Anti-Takeover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Provisions.    </w:t>
      </w:r>
      <w:r>
        <w:rPr>
          <w:rFonts w:ascii="Times New Roman PS Std;serif" w:hAnsi="Times New Roman PS Std;serif"/>
          <w:b w:val="false"/>
          <w:i w:val="false"/>
          <w:caps w:val="false"/>
          <w:smallCaps w:val="false"/>
          <w:sz w:val="20"/>
        </w:rPr>
        <w:t>Some provisions of our post-offering amended and restated memorandum and articles of association may discourage, 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 of Members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 Our directors will maintain one register of members, at the office of [            ], Cayman Islands, which provides us with corporate administrative services. We will perform the procedures necessary to register the shares in the register of members as required in “PART III — Distribution of Capital and Liability of Members of Companies and Associations” of the Companies Act, and will ensure that the entries on the register of members are made without any delay.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be included in our register of members as the only holder of the common shares underlying the ADSs in this offering. The shares underlying the ADSs are not shares in bearer form, but are in registered form and are “non-negotiable” or “registered” shares in which case the shares underlying the ADSs can only be transferred on the books of the company in accordance with Section 166 of the Companies Act. In the event that we fail to update our register of members, the recourse of investors is directly to the depositary under the terms of the deposit agreement, which is governed by New York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have recourse against us under the terms of the deposit agreement, and also will hold a share certificate evidencing the depositary as the registered holder of shares underlying the ADSs. Further, Section 46 of the Companies Act provides members.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we fail to update our register of member, the depositary, as the aggrieved party, may apply for an order with the courts of the Cayman Islands for the rectification of the register.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Differences in Corporate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Companies Act differs from laws applicable to United States corporations and their shareholders. Set forth below is a summary of the significant differences between the provisions of the Companies Act applicable to us and the laws applicable to United States corporations and companies incorporated in the State of Delaware.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Mergers and Similar Arrangements.    </w:t>
      </w:r>
      <w:r>
        <w:rPr>
          <w:rFonts w:ascii="Times New Roman PS Std;serif" w:hAnsi="Times New Roman PS Std;serif"/>
          <w:b w:val="false"/>
          <w:i w:val="false"/>
          <w:caps w:val="false"/>
          <w:smallCaps w:val="false"/>
          <w:sz w:val="20"/>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statutory provisions as to the required majority vote have been met;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arrangement is such that may be reasonably approved by an intelligent and honest man of that class acting in respect of his interest;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arrangement is not one that would more properly be sanctioned under some other provision of the Companies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Shareholders’ Suits.    </w:t>
      </w:r>
      <w:r>
        <w:rPr>
          <w:rFonts w:ascii="Times New Roman PS Std;serif" w:hAnsi="Times New Roman PS Std;serif"/>
          <w:b w:val="false"/>
          <w:i w:val="false"/>
          <w:caps w:val="false"/>
          <w:smallCaps w:val="false"/>
          <w:sz w:val="20"/>
        </w:rPr>
        <w:t xml:space="preserve">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PS Std;serif" w:hAnsi="Times New Roman PS Std;serif"/>
          <w:b w:val="false"/>
          <w:i/>
          <w:caps w:val="false"/>
          <w:smallCaps w:val="false"/>
          <w:sz w:val="20"/>
        </w:rPr>
        <w:t>Foss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Harbottle </w:t>
      </w:r>
      <w:r>
        <w:rPr>
          <w:rFonts w:ascii="Times New Roman PS Std;serif" w:hAnsi="Times New Roman PS Std;serif"/>
          <w:b w:val="false"/>
          <w:i w:val="false"/>
          <w:caps w:val="false"/>
          <w:smallCaps w:val="false"/>
          <w:sz w:val="20"/>
        </w:rPr>
        <w:t>and the exceptions thereto) so that a non-controlling shareholder may be permitted to commence a class action against or derivative actions in the name of our company to challenge actions where: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company acts or proposes to act illegally or ultra vires;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act complained of, although not ultra vires, could only be effected duly if authorized by more than a simple majority vote that has not been obtained;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those who control our company are perpetrating a “fraud on the minority.”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Indemnification of Directors and Executive Officers and Limitation of Liability.    </w:t>
      </w:r>
      <w:r>
        <w:rPr>
          <w:rFonts w:ascii="Times New Roman PS Std;serif" w:hAnsi="Times New Roman PS Std;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of 1933, as amended, or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Directors’ Fiduciary Duties.    </w:t>
      </w:r>
      <w:r>
        <w:rPr>
          <w:rFonts w:ascii="Times New Roman PS Std;serif" w:hAnsi="Times New Roman PS Std;serif"/>
          <w:b w:val="false"/>
          <w:i w:val="false"/>
          <w:caps w:val="false"/>
          <w:smallCaps w:val="false"/>
          <w:sz w:val="20"/>
        </w:rPr>
        <w:t xml:space="preserve">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Shareholder Action by Written Consent.    </w:t>
      </w:r>
      <w:r>
        <w:rPr>
          <w:rFonts w:ascii="Times New Roman PS Std;serif" w:hAnsi="Times New Roman PS Std;serif"/>
          <w:b w:val="false"/>
          <w:i w:val="false"/>
          <w:caps w:val="false"/>
          <w:smallCaps w:val="false"/>
          <w:sz w:val="20"/>
        </w:rPr>
        <w:t>Under the Delaware General Corporation Law, a corporation 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 Our post-offering amended and restated memorandum and articles of association do not allow shareholders to act by written resolutions.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Shareholder Proposals.    </w:t>
      </w:r>
      <w:r>
        <w:rPr>
          <w:rFonts w:ascii="Times New Roman PS Std;serif" w:hAnsi="Times New Roman PS Std;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Cumulative Voting.    </w:t>
      </w:r>
      <w:r>
        <w:rPr>
          <w:rFonts w:ascii="Times New Roman PS Std;serif" w:hAnsi="Times New Roman PS Std;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Removal of Directors.    </w:t>
      </w:r>
      <w:r>
        <w:rPr>
          <w:rFonts w:ascii="Times New Roman PS Std;serif" w:hAnsi="Times New Roman PS Std;serif"/>
          <w:b w:val="false"/>
          <w:i w:val="false"/>
          <w:caps w:val="false"/>
          <w:smallCaps w:val="false"/>
          <w:sz w:val="20"/>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Transactions with Interested Shareholders.    </w:t>
      </w:r>
      <w:r>
        <w:rPr>
          <w:rFonts w:ascii="Times New Roman PS Std;serif" w:hAnsi="Times New Roman PS Std;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Dissolution; Winding up.    </w:t>
      </w:r>
      <w:r>
        <w:rPr>
          <w:rFonts w:ascii="Times New Roman PS Std;serif" w:hAnsi="Times New Roman PS Std;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issued and outstanding shares. Delaware law allows a Delaware corporation to include in its certificate of incorporation a supermajority voting requirement in connection with dissolutions initiated by the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Variation of Rights of Shares.    </w:t>
      </w:r>
      <w:r>
        <w:rPr>
          <w:rFonts w:ascii="Times New Roman PS Std;serif" w:hAnsi="Times New Roman PS Std;serif"/>
          <w:b w:val="false"/>
          <w:i w:val="false"/>
          <w:caps w:val="false"/>
          <w:smallCaps w:val="false"/>
          <w:sz w:val="20"/>
        </w:rPr>
        <w:t>Under the Delaware General Corporation Law, a corporation may vary the rights of a class of shares with the approval of a majority of the issued and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Amendment of Governing Documents.    </w:t>
      </w:r>
      <w:r>
        <w:rPr>
          <w:rFonts w:ascii="Times New Roman PS Std;serif" w:hAnsi="Times New Roman PS Std;serif"/>
          <w:b w:val="false"/>
          <w:i w:val="false"/>
          <w:caps w:val="false"/>
          <w:smallCaps w:val="false"/>
          <w:sz w:val="20"/>
        </w:rPr>
        <w:t>Under the Delaware General Corporation Law, a corporation’s governing documents may be amended with the approval of a majority of the issued and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Rights of Nonresident or Foreign Shareholders.    </w:t>
      </w:r>
      <w:r>
        <w:rPr>
          <w:rFonts w:ascii="Times New Roman PS Std;serif" w:hAnsi="Times New Roman PS Std;serif"/>
          <w:b w:val="false"/>
          <w:i w:val="false"/>
          <w:caps w:val="false"/>
          <w:smallCaps w:val="false"/>
          <w:sz w:val="20"/>
        </w:rPr>
        <w:t>There are no limitations imposed by our post-offering amended and restated 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History of Securities Issuance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12, 2023, we issued one Class A ordinary share at par value US$0.00001 to the initial subscriber and such share was transferred to Trident Digital Tech Ltd, an entity owned by our founder, chairman of board of directors and chief executive officer, Mr. Soon Huat Lim, on the same day. On the same day, we issued an additional 49,999,999 Class A ordinary shares to Trident Digital Tech Ltd, at par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12, 2023, we issued an aggregate of 275,705,000 Class B ordinary shares, to Trident Group Holdings Ltd and Tri Wealth Ltd, entities owned by Mr. Lim, at par value of US$0.00001 each.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we issued 10,000,000 Class B ordinary shares to our chief technology officer, Mr. Poh Kiong Tan, at par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we issued 5,000,000 Class B ordinary shares to Trident Verse Ltd, an entity owned by our chief financial officer, Ms. Haiyan Huang, at par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as part of our reorganization in preparation for our financing and listing opportunities outside Singapore, we issued an aggregate of 159,295,000 Class B ordinary shares in the aggregate consideration of approximately US$7,500,000 to certain original shareholders of our operating subsidiaries in Singapore.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
      <w:bookmarkEnd w:id="21"/>
      <w:r>
        <w:rPr>
          <w:rFonts w:ascii="Times New Roman PS Std;serif" w:hAnsi="Times New Roman PS Std;serif"/>
          <w:b/>
          <w:i w:val="false"/>
          <w:caps w:val="false"/>
          <w:smallCaps w:val="false"/>
          <w:sz w:val="20"/>
        </w:rPr>
        <w:t>[DESCRIPTION OF AMERICAN DEPOSITARY SHARES</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has agreed to act as the depositary bank for the American Depositary Shares.             ’s depositary offices are located at            .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 keep the securities on deposit. In this case, the custodian is            , located at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appointed            as depositary bank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Please refer to Registration Number 333-             when retrieving such copy.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ADS represents the right to receive, and to exercise the beneficial ownership interests in, ordinary shares that are on deposit with and held under the name of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bank. As an ADS holder you appoint the depositary bank to act on your behalf in certain circumstances. The deposit agreement and the ADRs are governed by New York law. However, our obligations to the holders of ordinary shares will continue to be governed by the laws of the Cayman Islands, which may be different from the laws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applicable laws and regulations may require you to satisfy reporting requirements and obtain regulatory approvals in certain circumstances. You are solely responsible for complying with such reporting requirements and obtaining such approvals. None of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an owner of ADSs, we will not treat you as one of our shareholders and you will not have direct shareholder rights. The depositary bank will hold on your behalf the shareholder rights attached to the ordinary shares underlying your ADSs. As an owner of ADSs you will be able to exercise the shareholders rights for the ordinary shares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maximum extent permitted by applicable law, the registration of the ordinary shares in the name of the depositary bank or the custodian shall vest in the depositary bank or the custodian. The record ownership in the applicable ordinary shares with the beneficial ownership rights and interests in such ordinary shares shall be at all times vested with the beneficial owners of the ADSs representing the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 and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Distributions of Cash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make a cash distribution for the securities on deposit with the custodian, we will deposit the funds with the custodian. Upon receipt of confirmation of the deposit of the requisite funds, the depositary bank will arrange for the funds to be converted into U.S. dollars and for the distribution of the U.S. dollars to the holders, subject to the laws and regulations of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under the terms of the deposit agreement will make the distribution of cash net of the fees, expenses, taxes and governmental charges payable.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Distributions of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Whenever we make a free distribution of ordinary shares for the securities on deposit with the custodian, we will deposit the applicable number of ordinary shares with the custodian. Upon receipt of confirmation of such deposit, the depositary bank will either distribute to holders new ADSs representing the ordinary shares deposited or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modify the ADS-to-ordinary share ratio, in which case each ADS you hold will represent rights and interests in the additional ordinary shares so deposited. Only new ADSs will be distributed. Fractional entitlements will be sold and the proceeds of such sale will be distributed as in the case of a cash distribution.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under the terms of the deposit agreement will make the distribution of new ADSs or the modification of the ADS-to-ordinary share ratio upon a distribution of ordinary shares net of the fees, expenses, taxes and governmental charges payable. In order to pay such taxes or governmental charges, the depositary bank may sell all or a portion of the new ordinary shares so distributed.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such distribution of new ADSs will be made if it would violate a law (i.e., the U.S. securities laws) or if it is not operationally practicable. If the depositary bank does not distribute new ADSs as described above, it may sell the ordinary shares received upon the terms described in the deposit agreement and will distribute the proceeds of the sale as in the case of a distribution of cash.</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Distributions of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intend to distribute rights to purchase additional ordinary shares, we will give prior notice to the depositary bank and we will assist the depositary bank in determining whether it is lawful and reasonably practicable to distribute rights to purchase additional ADSs to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purchase new ordinary shares other than in the form of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depositary bank will </w:t>
      </w:r>
      <w:r>
        <w:rPr>
          <w:rFonts w:ascii="Times New Roman PS Std;serif" w:hAnsi="Times New Roman PS Std;serif"/>
          <w:b w:val="false"/>
          <w:i/>
          <w:caps w:val="false"/>
          <w:smallCaps w:val="false"/>
          <w:sz w:val="20"/>
        </w:rPr>
        <w:t xml:space="preserve">not </w:t>
      </w:r>
      <w:r>
        <w:rPr>
          <w:rFonts w:ascii="Times New Roman PS Std;serif" w:hAnsi="Times New Roman PS Std;serif"/>
          <w:b w:val="false"/>
          <w:i w:val="false"/>
          <w:caps w:val="false"/>
          <w:smallCaps w:val="false"/>
          <w:sz w:val="20"/>
        </w:rPr>
        <w:t>distribute the rights to you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timely request that the rights be distributed to you or we request that the rights not be distributed to you;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fail to deliver satisfactory documents to the depositary bank;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not reasonably practicable to distribute the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Elective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election is not made available to you, you will receive either cash or additional ADSs, depending on what a shareholder in the Cayman Islands would receive upon failing to make an election, as more fully described in the deposit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intend to make a distribution of property other than cash, ordinary shares or rights to purchase additional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it is reasonably practicable to distribute such property to you and if we provide all of the documentation contemplated in the deposit agreement, the depositary bank will distribute the property to the holders in a manner it deems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not distribute the property to you and will sell the property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request that the property be distributed to you or if we ask that the property not be distributed to you;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deliver satisfactory documents to the depositary bank;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bank determines that all or a portion of the distribution to you is not reasonably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proceeds of such a sale will be distributed to holders as in the case of a cash distribution.</w:t>
      </w:r>
    </w:p>
    <w:p>
      <w:pPr>
        <w:pStyle w:val="TextBody"/>
        <w:keepNext w:val="false"/>
        <w:pageBreakBefore w:val="false"/>
        <w:widowControl/>
        <w:pBdr/>
        <w:bidi w:val="0"/>
        <w:spacing w:before="160" w:after="283"/>
        <w:ind w:left="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Redemption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custodian will be instructed to surrender the shares being redeemed against payment of the applicable redemption price. The depositary bank will convert the redemption funds received into U.S. dollars upon the terms of the deposit agreement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pro rata basis, as the depositary bank may determine.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Affecting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such change were to occur, your ADSs would, to the extent permitted by law, represent the right to receive the property received or exchanged in respect of the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bank may not lawfully distribute such property to you, the depositary bank may sell such property and distribute the net proceeds to you as in the case of a cash distribution.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Issuance of ADSs upon Deposit of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this offering, the ordinary shares being offered pursuant to this prospectus will be deposited by us with the custodian. Upon receipt of confirmation of such deposit, the depositary bank will issue ADSs to the underwriters named in this prospectus. Upon receipt of confirmation of such deposit, the depositary bank will issue ADSs to the underwriters named in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closing of this offering, the depositary bank may create ADSs on your behalf if you or your broker deposit ordinary shares with the custodian. The depositary bank will deliver these ADSs to the person you indicate only after you pay any applicable issuance fees and any charges and taxes payable for the transfer of the ordinary shares to the custodian. Your ability to deposit ordinary shares and receive ADSs may be limited by U.S. and Cayman Islands legal considerations applicable at the time of deposit.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ADSs may be delayed until the depositary bank or the custodian receives confirmation that all required approvals have been given and that the ordinary shares have been duly transferred to the custodian. The depositary bank will only issue ADSs in whole numbers.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you make a deposit of ordinary shares, you will be responsible for transferring good and valid title to the depositary bank. As such, you will be deemed to represent and warrant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ordinary shares are duly authorized, validly issued, fully paid, non-assessable and legally obtained.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preemptive (and similar) rights, if any, with respect to such ordinary shares have been validly waived or exercised.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are duly authorized to deposit the ordinary shares.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ordinary shares presented for deposit have not been stripped of any rights or entitlements.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of your representations or warranties is incorrect in any way, the depositary bank and we may, at your cost and expense, take any actions necessary to correct the consequences of the misrepresentations.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Combination and Split Up of ADRs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ADR holder, you will be entitled to transfer, combine or split up your ADRs and the ADSs evidenced thereby. For transfers of ADRs, you will have to surrender the ADRs to be transferred to the depositary bank and must: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ensure that the surrendered ADR is properly endorsed or otherwise in proper form for transfer;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such proof of identity and genuineness of signatures as the depositary bank deems appropriate;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any transfer stamps required by the State of New York or the United States;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pay all applicable fees, charges, expenses, taxes and other government charges payable by ADR holders pursuant to the terms of the deposit agreement, upon the transfer of ADRs.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Withdrawal of ordinary shares Upon Cancellation of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holder of ADSs, you will be entitled to present your ADSs to the depositary bank for cancellation and then receive the corresponding number of underlying ordinary shares at the custodian’s offices. Your ability to withdraw the ordinary shares held in respect of the ADSs may be limited by U.S. and Cayman Islands considerations applicable at the time of withdrawal. In order to withdraw the ordinary shares represented by your ADSs, you will be required to pay to the depositary bank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ADSs registered in your name, the depositary bank may ask you to provide proof of identity and genuineness of any signature and such other documents as the depositary bank may deem appropriate before it will cancel your ADSs. The withdrawal of the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have the right to withdraw the securities represented by your ADSs at any time except for: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Temporary delays that may arise because (i) the transfer books for the ordinary shares or ADSs are closed, or (ii) ordinary shares are immobilized on account of a shareholders’ meeting or a payment of dividends.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Obligations to pay fees, taxes and similar charges.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imposed because of laws or regulations applicable to ADSs or the withdrawal of securities on deposit.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may not be modified to impair your right to withdraw the securities represented by your ADSs except to comply with mandatory provisions of law.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holder, you generally have the right under the deposit agreement to instruct the depositary bank to exercise the voting rights for the ordinary shares represented by your ADSs. The voting rights of holders of ordinary shares are described in “Description of Share Capital — Voting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our request, the depositary bank will distribute to you any notice of shareholders’ meetings received from us, together with information explaining how to instruct the depositary bank to exercise the voting rights of the securities represented by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depositary bank timely receives voting instructions from a holder of ADSs, it will endeavor to vote the securities (in person or by proxy) represented by the holder’s ADSs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 xml:space="preserve">In the event of voting by show of hands, </w:t>
      </w:r>
      <w:r>
        <w:rPr>
          <w:rFonts w:ascii="Times New Roman PS Std;serif" w:hAnsi="Times New Roman PS Std;serif"/>
          <w:b w:val="false"/>
          <w:i w:val="false"/>
          <w:caps w:val="false"/>
          <w:smallCaps w:val="false"/>
          <w:sz w:val="20"/>
        </w:rPr>
        <w:t>the depositary bank will vote (or cause the custodian to vote) all ordinary shares held on deposit at that time in accordance with the voting instructions received from a majority of holders of ADSs who provide timely voting instructions.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 xml:space="preserve">In the event of voting by poll, </w:t>
      </w:r>
      <w:r>
        <w:rPr>
          <w:rFonts w:ascii="Times New Roman PS Std;serif" w:hAnsi="Times New Roman PS Std;serif"/>
          <w:b w:val="false"/>
          <w:i w:val="false"/>
          <w:caps w:val="false"/>
          <w:smallCaps w:val="false"/>
          <w:sz w:val="20"/>
        </w:rPr>
        <w:t>the depositary bank will vote (or cause the Custodian to vote) the ordinary shares held on deposit in accordance with the voting instructions received from the holders of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for which no voting instructions have been received will not be voted (except as otherwise contemplated herein).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Fees and Charges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ADS holder, you will be required to pay the following fees under the terms of the deposit agreement:</w:t>
      </w:r>
    </w:p>
    <w:tbl>
      <w:tblPr>
        <w:tblW w:w="10205" w:type="dxa"/>
        <w:jc w:val="left"/>
        <w:tblInd w:w="0" w:type="dxa"/>
        <w:tblLayout w:type="fixed"/>
        <w:tblCellMar>
          <w:top w:w="0" w:type="dxa"/>
          <w:left w:w="0" w:type="dxa"/>
          <w:bottom w:w="0" w:type="dxa"/>
          <w:right w:w="0" w:type="dxa"/>
        </w:tblCellMar>
      </w:tblPr>
      <w:tblGrid>
        <w:gridCol w:w="5720"/>
        <w:gridCol w:w="146"/>
        <w:gridCol w:w="4339"/>
      </w:tblGrid>
      <w:tr>
        <w:trPr/>
        <w:tc>
          <w:tcPr>
            <w:tcW w:w="572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Service</w:t>
            </w:r>
          </w:p>
        </w:tc>
        <w:tc>
          <w:tcPr>
            <w:tcW w:w="146" w:type="dxa"/>
            <w:tcBorders/>
            <w:vAlign w:val="bottom"/>
          </w:tcPr>
          <w:p>
            <w:pPr>
              <w:pStyle w:val="TableContents"/>
              <w:bidi w:val="0"/>
              <w:spacing w:before="0" w:after="283"/>
              <w:jc w:val="left"/>
              <w:rPr/>
            </w:pPr>
            <w:r>
              <w:rPr/>
              <w:t> </w:t>
            </w:r>
          </w:p>
        </w:tc>
        <w:tc>
          <w:tcPr>
            <w:tcW w:w="433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Fees</w:t>
            </w:r>
          </w:p>
        </w:tc>
      </w:tr>
      <w:tr>
        <w:trPr/>
        <w:tc>
          <w:tcPr>
            <w:tcW w:w="5720"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Issuance of ADSs upon deposit of shares (excluding issuances as a result of distributions of shares)</w:t>
            </w:r>
          </w:p>
        </w:tc>
        <w:tc>
          <w:tcPr>
            <w:tcW w:w="146" w:type="dxa"/>
            <w:tcBorders/>
          </w:tcPr>
          <w:p>
            <w:pPr>
              <w:pStyle w:val="TableContents"/>
              <w:bidi w:val="0"/>
              <w:spacing w:before="0" w:after="283"/>
              <w:jc w:val="left"/>
              <w:rPr/>
            </w:pPr>
            <w:r>
              <w:rPr/>
              <w:t> </w:t>
            </w:r>
          </w:p>
        </w:tc>
        <w:tc>
          <w:tcPr>
            <w:tcW w:w="433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US$0.05 per ADS issued</w:t>
            </w:r>
          </w:p>
        </w:tc>
      </w:tr>
      <w:tr>
        <w:trPr/>
        <w:tc>
          <w:tcPr>
            <w:tcW w:w="5720"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Cancellation of ADSs</w:t>
            </w:r>
          </w:p>
        </w:tc>
        <w:tc>
          <w:tcPr>
            <w:tcW w:w="146" w:type="dxa"/>
            <w:tcBorders/>
          </w:tcPr>
          <w:p>
            <w:pPr>
              <w:pStyle w:val="TableContents"/>
              <w:bidi w:val="0"/>
              <w:spacing w:before="0" w:after="283"/>
              <w:jc w:val="left"/>
              <w:rPr/>
            </w:pPr>
            <w:r>
              <w:rPr/>
              <w:t> </w:t>
            </w:r>
          </w:p>
        </w:tc>
        <w:tc>
          <w:tcPr>
            <w:tcW w:w="433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US$0.05 per ADS canceled</w:t>
            </w:r>
          </w:p>
        </w:tc>
      </w:tr>
      <w:tr>
        <w:trPr/>
        <w:tc>
          <w:tcPr>
            <w:tcW w:w="5720"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 of cash dividends or other cash distributions (i.e., sale of rights and other entitlements)</w:t>
            </w:r>
          </w:p>
        </w:tc>
        <w:tc>
          <w:tcPr>
            <w:tcW w:w="146" w:type="dxa"/>
            <w:tcBorders/>
          </w:tcPr>
          <w:p>
            <w:pPr>
              <w:pStyle w:val="TableContents"/>
              <w:bidi w:val="0"/>
              <w:spacing w:before="0" w:after="283"/>
              <w:jc w:val="left"/>
              <w:rPr/>
            </w:pPr>
            <w:r>
              <w:rPr/>
              <w:t> </w:t>
            </w:r>
          </w:p>
        </w:tc>
        <w:tc>
          <w:tcPr>
            <w:tcW w:w="433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US$0.05 per ADS held</w:t>
            </w:r>
          </w:p>
        </w:tc>
      </w:tr>
      <w:tr>
        <w:trPr/>
        <w:tc>
          <w:tcPr>
            <w:tcW w:w="5720"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 of ADSs pursuant to (i) stock dividends or other free stock distributions, or (ii) exercise of rights to purchase additional ADSs</w:t>
            </w:r>
          </w:p>
        </w:tc>
        <w:tc>
          <w:tcPr>
            <w:tcW w:w="146" w:type="dxa"/>
            <w:tcBorders/>
          </w:tcPr>
          <w:p>
            <w:pPr>
              <w:pStyle w:val="TableContents"/>
              <w:bidi w:val="0"/>
              <w:spacing w:before="0" w:after="283"/>
              <w:jc w:val="left"/>
              <w:rPr/>
            </w:pPr>
            <w:r>
              <w:rPr/>
              <w:t> </w:t>
            </w:r>
          </w:p>
        </w:tc>
        <w:tc>
          <w:tcPr>
            <w:tcW w:w="433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US$0.05 per ADS held</w:t>
            </w:r>
          </w:p>
        </w:tc>
      </w:tr>
      <w:tr>
        <w:trPr/>
        <w:tc>
          <w:tcPr>
            <w:tcW w:w="5720"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 of securities other than ADSs or rights to purchase additional ADSs (i.e., spin-off shares)</w:t>
            </w:r>
          </w:p>
        </w:tc>
        <w:tc>
          <w:tcPr>
            <w:tcW w:w="146" w:type="dxa"/>
            <w:tcBorders/>
          </w:tcPr>
          <w:p>
            <w:pPr>
              <w:pStyle w:val="TableContents"/>
              <w:bidi w:val="0"/>
              <w:spacing w:before="0" w:after="283"/>
              <w:jc w:val="left"/>
              <w:rPr/>
            </w:pPr>
            <w:r>
              <w:rPr/>
              <w:t> </w:t>
            </w:r>
          </w:p>
        </w:tc>
        <w:tc>
          <w:tcPr>
            <w:tcW w:w="433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US$0.05 per ADS held</w:t>
            </w:r>
          </w:p>
        </w:tc>
      </w:tr>
      <w:tr>
        <w:trPr/>
        <w:tc>
          <w:tcPr>
            <w:tcW w:w="5720"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ADS Services</w:t>
            </w:r>
          </w:p>
        </w:tc>
        <w:tc>
          <w:tcPr>
            <w:tcW w:w="146" w:type="dxa"/>
            <w:tcBorders/>
          </w:tcPr>
          <w:p>
            <w:pPr>
              <w:pStyle w:val="TableContents"/>
              <w:bidi w:val="0"/>
              <w:spacing w:before="0" w:after="283"/>
              <w:jc w:val="left"/>
              <w:rPr/>
            </w:pPr>
            <w:r>
              <w:rPr/>
              <w:t> </w:t>
            </w:r>
          </w:p>
        </w:tc>
        <w:tc>
          <w:tcPr>
            <w:tcW w:w="433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US$0.05 per ADS held on the applicable record date(s) established by the depositary bank</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ADS holder you will also be responsible to pay certain charges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taxes (including applicable interest and penalties) and other governmental charges;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cable, telex and facsimile transmission and delivery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expenses and charges incurred by the depositary bank in the conversion of foreign currency;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fees and expenses incurred by the depositary bank in connection with compliance with exchange control regulations and other regulatory requirements applicable to ordinary shares, ADSs and ADRs;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fees and expenses incurred by the depositary bank, the custodian, or any nominee in connection with the servicing or delivery of deposited property.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 fees and charges payable upon (i) deposit of ordinary shares against issuance of ADSs and (ii) surrender of ADSs for cancellation and withdrawal of ordinary shares are charged to the person to whom the ADSs are delivered (in the case of ADS issuances) and to the person who delivers the ADSs for cancellation (in the case of ADS cancellations). In the case of ADSs issued by the depositary bank into DTC or presented to the depositary bank via DTC, the ADS issuance and cancellation fees and charges may be deducted from distributions made through DTC, and may be charged to the DTC participant(s) receiving the ADSs or the DTC participant(s) surrendering the ADSs for cancellation,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ADS fees and charges (such as the ADS service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Amendments and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agree with the depositary bank to modify the deposit agreement at any time without your consent. We undertake to give holders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Books of Depositary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maintain in New York facilities to record and process the issuance, cancellation, combination, split-up and transfer of ADSs. These facilities may be closed from time to time, to the extent not prohibited by law.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Limitations on Obligations and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limits our obligations and the depositary bank’s obligations to you. Please note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are obligated only to take the actions specifically stated in the deposit agreement without negligence or bad faith.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bank disclaims any liability for any failure to carry out voting instructions, for any manner in which a vote is cast or for the effect of any vote, provided it acts in good faith and in accordance with the terms of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will not be obligated to perform any act that is inconsistent with the terms of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Incorporation, or any provision of or governing the securities on deposit, or by reason of any act of God or war or other circumstances beyond our control.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disclaim any liability by reason of any exercise of, or failure to exercise, any discretion provided for in the deposit agreement or in our Articles of Incorporation or in any provisions of or governing the securities on deposit.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also disclaim liability for the inability by a holder to benefit from any distribution, offering, right or other benefit that is made available to holders of ordinary shares but is not, under the terms of the deposit agreement, made available to you.</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may rely without any liability upon any written notice, request or other document believed to be genuine and to have been signed or presented by the proper parties.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also disclaim liability for any consequential or punitive damages for any breach of the terms of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disclaimer of any Securities Act liability is intended by any provision of the deposit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Pre-Release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deposit agreement, the depositary bank may issue to broker/dealers ADSs before receiving a deposit of ordinary shares or release ordinary shares to broker/dealers before receiving ADSs for cancellation. These transactions are commonly referred to as pre-release transactions, and are entered into between the depositary bank and the applicable broker/dealer. The deposit agreement limits the aggregate size of pre-release transactions (not to exceed 30% of the ordinary shares on deposit in the aggregate) and imposes a number of conditions on such transactions (i.e., the need to receive collateral, the type of collateral required, the representations required from brokers, etc.). The depositary bank may retain the compensation received from the pre-release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fulfilling legal obligations. You are required to indemnify us, the depositary bank and the custodian for any claims with respect to taxes based on any tax benefit obtained for you.</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Foreign Currency Conversion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conversion of foreign currency is not practical or lawful, or if any required approvals are denied or not obtainable at a reasonable cost or within a reasonable period, the depositary bank may take the following actions in its discretion: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Convert the foreign currency to the extent practical and lawful and distribute the U.S. dollars to the holders for whom the conversion and distribution is lawful and practical.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Distribute the foreign currency to holders for whom the distribution is lawful and practical.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 the foreign currency (without liability for interest) for the applicable 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Governing Law/Waiver of Jury Trial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and the ADRs will be interpreted in accordance with the laws of the State of New York. The rights of holders of ordinary shares (including ordinary shares represented by ADSs) are governed by the laws of the Cayman Islands.]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8"/>
      <w:bookmarkEnd w:id="22"/>
      <w:r>
        <w:rPr>
          <w:rFonts w:ascii="Times New Roman PS Std;serif" w:hAnsi="Times New Roman PS Std;serif"/>
          <w:b/>
          <w:i w:val="false"/>
          <w:caps w:val="false"/>
          <w:smallCaps w:val="false"/>
          <w:sz w:val="20"/>
        </w:rPr>
        <w:t>SHARES ELIGIBLE FOR FUTURE SALE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this offering, we will have            ADSs outstanding, representing             Class B ordinary shares, or approximately [        ]% of our outstanding ordinary shares, assuming the underwriters do not exercise their over-allotment option to purchase additional ADSs. All of the 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While we intend to list the ADSs on the Nasdaq Global Market, we cannot assure you that a regular trading market will develop in the ADSs. We do not expect that a trading market will develop in our ordinary shares not represented by the ADSs.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that we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any ADSs, our ordinary shares or securities convertible into or exchangeable or exercisable for any ADSs or our ordinary shares, enter into any swap or other arrangement that transfers to another, in whole or in part, any of the economic consequences of ownership of the ADSs or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and executive officers, our existing shareholders and holders of share-based awards] have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ADSs, our ordinary shares or securities convertible into or exchangeable or exercisable for any ADSs or our ordinary shares, or enter into any swap or other arrangement that transfers to another, in whole or in part, any of the economic consequences of ownership of the ADSs,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144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1% of the then outstanding ordinary shares, in the form of ADSs or otherwise, which will equal approximately            ordinary shares immediately after this offering, assuming the underwriters do not exercise their option to purchase additional ADSs;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trading volume of our ordinary shares in the form of ADSs or otherwise, on the Nasdaq Global Market, during the four calendar weeks preceding the date on which notice of the sale is filed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Affiliates who sell restricted securities under Rule 144 may not solicit orders or arrange for the solicitation of orders, and they are also subject to certain requirements relating to manner of sale, notice and the availability of current public information about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701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7"/>
      <w:bookmarkEnd w:id="23"/>
      <w:r>
        <w:rPr>
          <w:rFonts w:ascii="Times New Roman PS Std;serif" w:hAnsi="Times New Roman PS Std;serif"/>
          <w:b/>
          <w:i w:val="false"/>
          <w:caps w:val="false"/>
          <w:smallCaps w:val="false"/>
          <w:sz w:val="20"/>
        </w:rPr>
        <w:t>TAXATION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summary of material Cayman Islands, Singapore, and United States federal income tax consequences of an investment in our ADSs or ordinary shares is based upon laws and relevant interpretations thereof in effect as of the date of this prospectus, all of which are subject to change. This summary does not deal with all possible tax consequences relating to an investment in our ADSs or ordinary shares, such as the tax consequences under state, local and other tax laws.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 Taxation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dividends and capital in respect of the shares will not be subject to taxation in the Cayman Islands and no withholding will be required on the payment of a dividend or capital to any holder of our ADSs or ordinary shares, nor will gains derived from the disposal of our ADSs or ordinary shares be subject to Cayman Islands income or corporation tax.</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Singapore Taxation Considerations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Singapore-tax resident companies are currently under the one-tier corporate tax system, or one-tier system.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one-tier system, the income tax paid by a tax resident company is a final tax and its distributable profits can be distributed to shareholders as tax exempt (one-tier) dividends. Such dividends are tax exempt in the hands of a shareholder, regardless of the tax residence status, shareholding level or legal form of the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dividends received in respect of the ordinary shares by either a resident or non-resident of Singapore are not subject to Singapore income tax (whether by withholding or otherwise), on the basis that such a resident or non-resident of Singapore is a tax resident of Singapore and under the one-tier system.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shareholders are advised to consult their own tax advisers to take into account the tax laws of their respective countries of residence and the existence of any agreement for the avoidance of double taxation which their country of residence may have with Singapore.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Gains on Disposal of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does not currently impose tax on capital gains. Gains arising from the disposal of the shares may be construed to be of an income nature and subject to Singapore income tax, especially if they arise from activities which may be regarded as the carrying on of a trade or business in Singapore. Such gains may also be considered income in nature, even if they do not arise from an activity in the ordinary course of trade or business or an ordinary incident of some other business activity, if the shares were purchased with the intention or purpose of making a profit by sale rather than holding for long-term investment purposes in Singapore. Conversely, gains from disposition of the shares in Singapore, if considered as capital gains rather than income by the Inland Revenue Authority of Singapore (“</w:t>
      </w:r>
      <w:r>
        <w:rPr>
          <w:rFonts w:ascii="Times New Roman PS Std;serif" w:hAnsi="Times New Roman PS Std;serif"/>
          <w:b/>
          <w:i w:val="false"/>
          <w:caps w:val="false"/>
          <w:smallCaps w:val="false"/>
          <w:sz w:val="20"/>
        </w:rPr>
        <w:t>IRAS</w:t>
      </w:r>
      <w:r>
        <w:rPr>
          <w:rFonts w:ascii="Times New Roman PS Std;serif" w:hAnsi="Times New Roman PS Std;serif"/>
          <w:b w:val="false"/>
          <w:i w:val="false"/>
          <w:caps w:val="false"/>
          <w:smallCaps w:val="false"/>
          <w:sz w:val="20"/>
        </w:rPr>
        <w:t>”), are not taxable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specific laws or regulations which deal with the characterization of whether a gain is income or capital in nature. The characterization of gains arising from the sale of our shares will depend primarily on the facts and circumstances (commonly referred to as the “badges of trade”) of each shareholder.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specified exceptions, Section 13W of the Income Tax Act 1947 (2020 Rev Ed) (“</w:t>
      </w:r>
      <w:r>
        <w:rPr>
          <w:rFonts w:ascii="Times New Roman PS Std;serif" w:hAnsi="Times New Roman PS Std;serif"/>
          <w:b/>
          <w:i w:val="false"/>
          <w:caps w:val="false"/>
          <w:smallCaps w:val="false"/>
          <w:sz w:val="20"/>
        </w:rPr>
        <w:t>SITA</w:t>
      </w:r>
      <w:r>
        <w:rPr>
          <w:rFonts w:ascii="Times New Roman PS Std;serif" w:hAnsi="Times New Roman PS Std;serif"/>
          <w:b w:val="false"/>
          <w:i w:val="false"/>
          <w:caps w:val="false"/>
          <w:smallCaps w:val="false"/>
          <w:sz w:val="20"/>
        </w:rPr>
        <w:t>”) provides for certainty on the non-taxability of gains derived by a corporate taxpayer from the disposal of ordinary shares during the period from June 1, 2012 to December 31, 2027 (both dates inclusive) where: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divesting company had legally and beneficially held a minimum shareholding of 20% of the ordinary shares of the company whose shares are being disposed;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divesting company had maintained the minimum 20% shareholding for a continuous period of at least 24 months immediately prior to the disposal.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above-mentioned “safe harbor rules” prescribed under Section 13W of SITA will not apply to a divesting company under certain scenarios. These include, but are not limited to, the divesting company that is in the business of trading or holding Singapore immovable properties (excluding property development), where the shares are not listed on a stock exchange in Singapore or elsewhere, the divesting company whose gains or profits from the disposal of ordinary shares are included as part of its income based on the provisions of section 26 of the SITA, disposal of shares by a partnership, limited partnership or limited liability partnership where one or more of the partners is a company or are companies, etc.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who apply, or who are required to apply, the Singapore Financial Reporting Standard 39 — Financial Instruments: Recognition and Measurement, or SFRS(I) 1-39; the Singapore Financial Reporting Standard 109 — Financial Instruments, or FRS 109; or the Singapore Financial Reporting Standard (International) 9 — Financial Instruments, or SFRS(I) 9, may for the purposes of Singapore income tax be required to recognize gains or losses in respect of financial instruments (not being gains or losses in the nature of capital) in accordance with SFRS(I) 1-39, FRS 109 or SFRS(I) 9 (as the case may be) (as modified by the applicable provisions of Singapore income tax law) even where no sale or disposal of the shares is made.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34A of the SITA provides of the tax treatment for financial instruments in accordance with FRS 39 (subject to certain exceptions and “opt-out” provisions) for taxpayers who are required to comply with FRS 39 for financial reporting purposes. IRAS has also issued a circular entitled “Income Tax Implications Arising from the Adoption of FRS 39 — Financial Instruments: Recognition and Measurement (Second Edition).” FRS 109 or SFRS(I) 9 (as the case may be) is mandatorily effective for annual periods beginning on or after 1 January 2018, replacing FRS 39. Section 34AA of the SITA requires taxpayers who comply or who are required to comply with FRS 109 or SFRS(I) 9 (as the case may be) for financial reporting purposes to calculate their profit, loss or expense for Singapore income tax purposes in respect of financial instruments in accordance with FRS 109 or SFRS(I) 9 (as the case may be), subject to certain exceptions. The IRAS has also issued a circular entitled “Income Tax: Income Tax Treatment Arising from Adoption of FRS 109 — Financial Instruments (Third Edition).”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who may be subject to the above-mentioned tax treatments, including under Sections 34A or 34AA of the SITA, should consult their accounting and tax advisers regarding the Singapore income tax consequences of their acquisition, holding and disposal of the shares.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Stamp Duty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stamp duty payable on the subscription and issuance of the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 to a transfer of the ordinary shares, no stamp duty is payable if no instrument of transfer is executed or if the instrument of transfer is executed outside Singapore and not received in Singapore. Stamp duty will be payable if there is an instrument (including an electronic instrument) for the transfer of our shares which is either executed in Singapore or executed outside Singapore and received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instrument of transfer is executed in Singapore, stamp duty must be paid within 14 days of the execution of the instrument of transfer. Where the instrument of transfer is executed outside Singapore and received in Singapore, stamp duty must be paid within 30 days of receipt of the instrument of transfer in Singapore. An electronic instrument that is executed outside Singapore is treated as received in Singapore in any of the following scenarios: (i) it is retrieved or accessed by a person in Singapore; (ii) an electronic copy of it is stored on a device (including a computer) and brought into Singapore; or (iii) an electronic copy of it is stored on a computer in Singapore.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stamp duty on an instrument of transfer of shares of a non-property owning Singapore company is payable at the rate of 0.2% of the consideration for, or market value of, the shares, whichever is higher. Stamp duty is borne by the purchaser unless there is an agreement to the contrary.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Estate Duty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estate duty was abolished with respect to all deaths occurring on or after 15 February 2008.</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Goods and Services Tax (“GST”)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sale of the shares by a GST-registered investor belonging in Singapore for GST purposes to another person belonging in Singapore is an exempt supply not subject to GST. Any input GST (for example, GST on brokerage) incurred by the GST-registered investor in connection with the making of an exempt supply is generally not recoverable from the Singapore Comptroller of GST and will become an additional cost to the investor unless the investor satisfies certain conditions prescribed under the GST legislation or satisfies certain GST concessions.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shares are sold by a GST-registered investor in the course of or furtherance of a business carried on by such investor contractually to and for the direct benefit of a person belonging outside Singapore, the sale should generally, subject to satisfaction of certain conditions, be considered a taxable supply subject to GST at 0%. Any input GST (for example, GST on brokerage) incurred by the GST-registered investor in making such a supply in the course of or furtherance of a business may be fully recoverable from the Singapore Comptroller of GST. Investors should seek their own tax advice on the recoverability of GST incurred on expenses in connection with the purchase and sale of the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Services consisting of arranging, brokering, underwriting or advising on the issue, allotment or transfer of ownership of the shares rendered by a GST-registered person to an investor belonging in Singapore for GST purposes in connection with the investor’s purchase, sale or holding of the shares will be subject to GST at the standard rate of 8% with effect from 1 January 2023, and from 8% to 9% with effect from 1 January 2024. Similar services rendered by a GST registered person contractually to an investor belonging outside Singapore and for the direct benefit of such an investor or a GST registered person belonging in Singapore should generally, subject to the satisfaction of certain conditions, be subject to GST at 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 Federal Income Taxation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describes the material United States federal income tax consequences to a United States Holder (as defined below), under current law, of an investment in our ADSs or ordinary shares. This discussion is based on the federal income tax laws of the United States as of the date of this prospectus, including the United States Internal Revenue Code of 1986, as amended, or the Code, existing and proposed Treasury regulations promulgated thereunder, judicial authority, published administrative positions of the IRS and other applicable authorities, all as of the date of this prospectus. All of the foregoing authorities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This summary does not discuss the so-called Medicare tax on net investment income, any federal non-income tax laws, including the federal estate or gift tax laws, or the laws of any state, local or non-United States taxing jurisdiction.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applies only to a United States Holder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financial institutions;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estate investment trusts;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 or dealers in stocks and securities, or currencies;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are required to use a mark-to-market method of accounting;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former citizens or residents of the United States subject to Section 877 of the Code;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entities subject to the United States anti-inversion rules;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organizations and entities;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subject to the alternative minimum tax provisions of the Code;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whose functional currency is other than the United States dollar;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ADSs or ordinary shares as part of a straddle, hedging, conversion or integrated transaction;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ADSs or ordinary shares through a bank, financial institution or other entity, or a branch thereof, located, organized or resident outside the United States;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actually or constructively own 10% or more of the total combined voting power of all classes of our voting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acquired ADSs or ordinary shares pursuant to the exercise of an employee stock option or otherwise as compensation;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partnerships or other pass-through entities, or persons holding ADSs or ordinary shares through such entities.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or arrangement treated as a partnership for United States federal income tax purposes) holds our ADSs or ordinary shares, the tax treatment of a partner in the partnership generally will depend upon the status of the partner and the activities of the partnership. A partner in a partnership holding our ADSs or ordinary shares should consult its own tax advisors regarding the tax consequences of holding our ADSs or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following discussion is for informational purposes only and is not a substitute for careful tax planning and advice. Investors considering the purchase of ADSs or ordinary shares should consult their own tax advisors with respect to the application of the United States federal income tax laws to their particular situations, as well as any tax consequences arising under the Medicare tax on net investment income, any federal non-income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tax laws, including the federal estate or gift tax laws, or the laws of any state, local or non-United</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States taxing jurisdiction and under any applicable tax treaty.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discussion below, a “United States Holder” is a beneficial owner of our ADSs or ordinary shares that is, for United States federal income tax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who is a citizen or resident of the United States;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for United States federal income tax purposes) created or organized in or under the laws of the United States, any state thereof or the District of Columbia;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United States federal income taxation regardless of its source;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discussion below assumes that the representations contained in the deposit agreement and any related agreement is true and that the obligations in such agreements will be complied with in accordance with their terms.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Treasury Department and the IRS have expressed concerns that intermediaries in the chain of ownership between the holder of an ADS and the issuer of the security underlying the ADS may be taking actions that are inconsistent with the beneficial ownership of the underlying security (for example, a pre-release of ADSs to persons that do not have beneficial ownership of the securities underlying the ADSs). Such actions may be inconsistent with the claiming of the reduced rate of tax applicable to certain dividends received by non-corporate United States Holders of ADSs, including individual United States Holders, and the claiming of foreign tax credits by United States Holders of ADSs. Accordingly, among other things, the availability of foreign tax credits or the reduced tax rate for dividends received by non-corporate United States Holders, each discussed below, could be affected by actions taken by intermediaries in the chain of ownership between the holder of an ADS and our company, if as a result of such actions, the holders of ADSs are not properly treated as beneficial owners of ordinary shares.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Passive Foreign Investment Company Considerations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our current and projected income and assets, the expected proceeds from this offering, and projections as to the market price of our ADSs immediately following this offering,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 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ADSs may cause us to be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anticipated market capitalization immediately following the close of this offering. Among 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for any year during which a U.S. Holder holds our ADSs or ordinary shares, we generally will continue to be treated as a PFIC for all succeeding years during which such U.S. Holder holds our ADSs or ordinary shares unless, in such case, we cease to be treated as a PFIC and such U.S. Holder makes a deemed sole election.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cash distributions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ordinary shares will not be eligible for the dividends received deduction allowed to corporations in respect of dividends-received from U.S. corporations.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Individuals and other non-corporate U.S. Holders may be subject to tax on any such dividends at the lower capital gain tax rate applicable to “qualified dividend income,” provided that certain conditions are satisfied, including that (i) our ADSs or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 (iii) certain holding period requirements are met. We intend to list the ADSs on the Nasdaq Global Market. Provided that this listing is approved, we believe that the ADSs should generally be considered to be readily tradeable on an established securities market in the United States. There can be no assurance that the ADSs will continue to be considered readily tradable on an established securities market in later years. Because the ordinary shares will not be listed on a U.S. exchange, we do not believe that dividends received with respect to ordinary shares that are not represented by ADSs will be treated as qualified dividends. U.S. Holders are urged to consult their tax advisors regarding the availability of the lower rate for dividends paid with respect to the ADSs or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U.S. foreign tax credit purposes, dividends paid on our ADSs or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 or Other Disposition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will generally recognize gain or loss upon the sale or other disposition of ADSs or ordinary shares in an amount equal to the difference between the amount realized upon the disposition and the holder’s adjusted tax basis in such ADSs or ordinary shares. Such gain or loss will generally be capital gain or loss. Any such capital gain or loss will be long term if the ADSs or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ADSs or ordinary shares, including the applicability of any tax treaty and the availability of the foreign tax credit under its particular circumstances.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Passive Foreign Investment Company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excess distribution or gain will be allocated ratably over the U.S. Holder’s holding period for the ADSs or ordinary shares;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the current taxable year and any taxable years in the U.S. Holder’s holding period prior to the first taxable year in which we are classified as a PFIC (each, a “pre-PFIC year”), will be taxable as ordinary income;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alternative to the foregoing rules, a U.S. Holder of “marketable stock” (as defined below) in a PFIC may make a mark-to-market election with respect to such stock.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ADSs, but not our ordinary shares, will be treated as marketable stock upon their listing on the Nasdaq Global Market. We anticipate that our ADSs should qualify as being regularly traded, but no assurances may be given in this regard.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U.S. Holder owns our ADSs or ordinary shares during any taxable year that we are a PFIC, the holder must generally file an annual IRS Form 8621. You should consult your tax advisor regarding the U.S. federal income tax consequences of owning and disposing of our ADSs or ordinary shares if we are or become a PFIC.</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6"/>
      <w:bookmarkEnd w:id="24"/>
      <w:r>
        <w:rPr>
          <w:rFonts w:ascii="Times New Roman PS Std;serif" w:hAnsi="Times New Roman PS Std;serif"/>
          <w:b/>
          <w:i w:val="false"/>
          <w:caps w:val="false"/>
          <w:smallCaps w:val="false"/>
          <w:sz w:val="20"/>
        </w:rPr>
        <w:t>UNDERWRITING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enter into an underwriting agreement with US Tiger Securities, Inc., or the “</w:t>
      </w:r>
      <w:r>
        <w:rPr>
          <w:rFonts w:ascii="Times New Roman PS Std;serif" w:hAnsi="Times New Roman PS Std;serif"/>
          <w:b/>
          <w:i w:val="false"/>
          <w:caps w:val="false"/>
          <w:smallCaps w:val="false"/>
          <w:sz w:val="20"/>
        </w:rPr>
        <w:t>Underwriter</w:t>
      </w:r>
      <w:r>
        <w:rPr>
          <w:rFonts w:ascii="Times New Roman PS Std;serif" w:hAnsi="Times New Roman PS Std;serif"/>
          <w:b w:val="false"/>
          <w:i w:val="false"/>
          <w:caps w:val="false"/>
          <w:smallCaps w:val="false"/>
          <w:sz w:val="20"/>
        </w:rPr>
        <w:t>.” The Underwriter has agreed to purchase, and we have agreed to sell to it, the number of our ADSs at the initial public offering price, less the underwriting discounts and commissions, as set forth on the cover page of this prospectus and as indicated below:</w:t>
      </w:r>
    </w:p>
    <w:tbl>
      <w:tblPr>
        <w:tblW w:w="3868" w:type="dxa"/>
        <w:jc w:val="left"/>
        <w:tblInd w:w="0" w:type="dxa"/>
        <w:tblLayout w:type="fixed"/>
        <w:tblCellMar>
          <w:top w:w="0" w:type="dxa"/>
          <w:left w:w="0" w:type="dxa"/>
          <w:bottom w:w="0" w:type="dxa"/>
          <w:right w:w="0" w:type="dxa"/>
        </w:tblCellMar>
      </w:tblPr>
      <w:tblGrid>
        <w:gridCol w:w="2431"/>
        <w:gridCol w:w="146"/>
        <w:gridCol w:w="1291"/>
      </w:tblGrid>
      <w:tr>
        <w:trPr/>
        <w:tc>
          <w:tcPr>
            <w:tcW w:w="24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Underwriter</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ADSs</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Tiger Securities, Inc.</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2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is offering the ADSs subject to its acceptance of the ADSs from us and subject to prior sale. The underwriting agreement provides that the obligations of the Underwriter to pay for and accept delivery of the ADSs offered by this prospectus are subject to the approval of certain legal matters by its counsel and to other conditions. The Underwriter is obligated to take and pay for all of the ADSs offered by this prospectus if any such ADSs are taken. However, the Underwriter is not required to take or pay for the ADSs covered by the Underwriter’s option to purchase additional ADSs described below.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Over-Allotment Option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granted to the Underwriter an option (“</w:t>
      </w:r>
      <w:r>
        <w:rPr>
          <w:rFonts w:ascii="Times New Roman PS Std;serif" w:hAnsi="Times New Roman PS Std;serif"/>
          <w:b/>
          <w:i w:val="false"/>
          <w:caps w:val="false"/>
          <w:smallCaps w:val="false"/>
          <w:sz w:val="20"/>
        </w:rPr>
        <w:t>Over-Allotment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Option</w:t>
      </w:r>
      <w:r>
        <w:rPr>
          <w:rFonts w:ascii="Times New Roman PS Std;serif" w:hAnsi="Times New Roman PS Std;serif"/>
          <w:b w:val="false"/>
          <w:i w:val="false"/>
          <w:caps w:val="false"/>
          <w:smallCaps w:val="false"/>
          <w:sz w:val="20"/>
        </w:rPr>
        <w:t>”), exercisable for 45 days after the closing of this offering to purchase up to [            ] additional ADSs at the initial public offering price listed on the cover page of this prospectus, less underwriting discounts and commissions. Such additional ADSs represent 15% of the total amount sold in this offering. The Underwriter may exercise this Over-Allotment Option solely for the purpose of covering over-allotments, if any, made in connection with this offering. To the extent the Over-Allotment Option is exercised, the Underwriter will become obligated, subject to certain conditions, to purchase about the same percentage of the additional ADSs as the number listed next to the Underwriter’s name in the preceding table.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will offer the ADSs to the public at the initial public offering price set forth on the cover of this prospectus. After this offering, the initial public offering price, concession and reallowance to dealers may be reduced by the Underwriter. No change in those terms will change the amount of proceeds to be received by us as set forth on the cover of this prospectus. The ADSs are offered by the Underwriter as stated herein, subject to receipt and acceptance by the Underwriter and subject to its right to reject any order in whole or in part.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Discounts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underwriting discounts and commissions are equal to 6% of the initial public offering price set forth on the cover of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per ADS and total initial public offering price, underwriting discounts and commissions, and proceeds before expenses to us. These amounts are shown assuming both no exercise and full exercise of the Underwriter’s option to purchase up to [            ] additional ADSs.</w:t>
      </w:r>
    </w:p>
    <w:tbl>
      <w:tblPr>
        <w:tblW w:w="10205" w:type="dxa"/>
        <w:jc w:val="left"/>
        <w:tblInd w:w="0" w:type="dxa"/>
        <w:tblLayout w:type="fixed"/>
        <w:tblCellMar>
          <w:top w:w="0" w:type="dxa"/>
          <w:left w:w="0" w:type="dxa"/>
          <w:bottom w:w="0" w:type="dxa"/>
          <w:right w:w="0" w:type="dxa"/>
        </w:tblCellMar>
      </w:tblPr>
      <w:tblGrid>
        <w:gridCol w:w="5146"/>
        <w:gridCol w:w="146"/>
        <w:gridCol w:w="1359"/>
        <w:gridCol w:w="146"/>
        <w:gridCol w:w="1607"/>
        <w:gridCol w:w="146"/>
        <w:gridCol w:w="1655"/>
      </w:tblGrid>
      <w:tr>
        <w:trPr/>
        <w:tc>
          <w:tcPr>
            <w:tcW w:w="5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5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ADS</w:t>
            </w:r>
          </w:p>
        </w:tc>
        <w:tc>
          <w:tcPr>
            <w:tcW w:w="146" w:type="dxa"/>
            <w:tcBorders/>
            <w:vAlign w:val="bottom"/>
          </w:tcPr>
          <w:p>
            <w:pPr>
              <w:pStyle w:val="TableContents"/>
              <w:bidi w:val="0"/>
              <w:spacing w:before="0" w:after="283"/>
              <w:jc w:val="left"/>
              <w:rPr/>
            </w:pPr>
            <w:r>
              <w:rPr/>
              <w:t> </w:t>
            </w:r>
          </w:p>
        </w:tc>
        <w:tc>
          <w:tcPr>
            <w:tcW w:w="16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Without</w:t>
              <w:br/>
              <w:t>Exercise of</w:t>
              <w:br/>
              <w:t>Over- allotment</w:t>
              <w:br/>
              <w:t>Option</w:t>
            </w:r>
          </w:p>
        </w:tc>
        <w:tc>
          <w:tcPr>
            <w:tcW w:w="146" w:type="dxa"/>
            <w:tcBorders/>
            <w:vAlign w:val="bottom"/>
          </w:tcPr>
          <w:p>
            <w:pPr>
              <w:pStyle w:val="TableContents"/>
              <w:bidi w:val="0"/>
              <w:spacing w:before="0" w:after="283"/>
              <w:jc w:val="left"/>
              <w:rPr/>
            </w:pPr>
            <w:r>
              <w:rPr/>
              <w:t> </w:t>
            </w:r>
          </w:p>
        </w:tc>
        <w:tc>
          <w:tcPr>
            <w:tcW w:w="165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With Full</w:t>
              <w:br/>
              <w:t>Exercise of</w:t>
              <w:br/>
              <w:t>Over- allotment</w:t>
              <w:br/>
              <w:t>Option</w:t>
            </w:r>
          </w:p>
        </w:tc>
      </w:tr>
      <w:tr>
        <w:trPr/>
        <w:tc>
          <w:tcPr>
            <w:tcW w:w="5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public offering price</w:t>
            </w:r>
          </w:p>
        </w:tc>
        <w:tc>
          <w:tcPr>
            <w:tcW w:w="146"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46" w:type="dxa"/>
            <w:tcBorders/>
            <w:shd w:fill="CCEEFF" w:val="clear"/>
            <w:vAlign w:val="bottom"/>
          </w:tcPr>
          <w:p>
            <w:pPr>
              <w:pStyle w:val="TableContents"/>
              <w:bidi w:val="0"/>
              <w:spacing w:before="0" w:after="283"/>
              <w:jc w:val="left"/>
              <w:rPr/>
            </w:pPr>
            <w:r>
              <w:rPr/>
              <w:t> </w:t>
            </w:r>
          </w:p>
        </w:tc>
        <w:tc>
          <w:tcPr>
            <w:tcW w:w="16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left"/>
              <w:rPr/>
            </w:pPr>
            <w:r>
              <w:rPr/>
              <w:t> </w:t>
            </w:r>
          </w:p>
        </w:tc>
      </w:tr>
      <w:tr>
        <w:trPr/>
        <w:tc>
          <w:tcPr>
            <w:tcW w:w="5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discounts and commissions to be paid by us</w:t>
            </w:r>
          </w:p>
        </w:tc>
        <w:tc>
          <w:tcPr>
            <w:tcW w:w="146" w:type="dxa"/>
            <w:tcBorders/>
            <w:vAlign w:val="bottom"/>
          </w:tcPr>
          <w:p>
            <w:pPr>
              <w:pStyle w:val="TableContents"/>
              <w:bidi w:val="0"/>
              <w:spacing w:before="0" w:after="283"/>
              <w:jc w:val="left"/>
              <w:rPr/>
            </w:pPr>
            <w:r>
              <w:rPr/>
              <w:t> </w:t>
            </w:r>
          </w:p>
        </w:tc>
        <w:tc>
          <w:tcPr>
            <w:tcW w:w="135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46"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left"/>
              <w:rPr/>
            </w:pPr>
            <w:r>
              <w:rPr/>
              <w:t> </w:t>
            </w:r>
          </w:p>
        </w:tc>
      </w:tr>
      <w:tr>
        <w:trPr/>
        <w:tc>
          <w:tcPr>
            <w:tcW w:w="5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before expenses, to us</w:t>
            </w:r>
          </w:p>
        </w:tc>
        <w:tc>
          <w:tcPr>
            <w:tcW w:w="146"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46" w:type="dxa"/>
            <w:tcBorders/>
            <w:shd w:fill="CCEEFF" w:val="clear"/>
            <w:vAlign w:val="bottom"/>
          </w:tcPr>
          <w:p>
            <w:pPr>
              <w:pStyle w:val="TableContents"/>
              <w:bidi w:val="0"/>
              <w:spacing w:before="0" w:after="283"/>
              <w:jc w:val="left"/>
              <w:rPr/>
            </w:pPr>
            <w:r>
              <w:rPr/>
              <w:t> </w:t>
            </w:r>
          </w:p>
        </w:tc>
        <w:tc>
          <w:tcPr>
            <w:tcW w:w="16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also pay to the Underwriter by deduction from the net proceeds of this offering, a non-accountable expense allowance equal to one percent (1%) of the gross proceeds received by us from the sale of our ADSs.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reimburse the Underwriter for its reasonable out-of-pocket accountable expenses (including but not limited to reasonable and documented travel costs, legal fees, due diligence fees, and other expenses and disbursements, incurred in connection with its services for the purpose of the offering regardless of whether the offering is successfully closed) up to a maximum of US$200,000 for out-of-pocket accountable expenses. In addition, we have agreed to pay to the Underwriter upon closing of this offering a non-accountable expense allowance equal to one percent (1%) of the gross proceeds derived from the sale of the ADSs in this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pay all reasonable, necessary and accountable out-of-pocket expenses relating to the offering, including but not limited to: (i) the costs of preparing, printing and filing the registration statement with the SEC, amendments and supplements thereto, and post effective amendments, as well as the filing with FINRA, and payment of all necessary fees in connection therewith and the printing of a sufficient quantity of preliminary and final prospectuses as the Underwriter may reasonably request; (ii) the costs of preparing, printing and delivering exhibits thereto, in such quantities as Underwriter may reasonably request; (iii) all fees, expenses and disbursements relating to the registration, qualification or exemption of securities offered under the securities laws of foreign jurisdictions designated by Underwriter; (iv) the fees of counsel(s) and accountants for the Company, including fees associated with any blue sky filings where applicable; (v) fees associated with the Company’s transfer agent; and (vi) fees, if necessary, associated with translation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total expenses of the offering payable by us, excluding the underwriting discounts and commissions and non-accountable expense allowance, will be approximately US$[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indemnify the Underwriter against certain liabilities, including liabilities under the Securities Act and liabilities arising from breaches of representations and warranties contained in the underwriting agreement, or to contribute to payments that the Underwriter may be required to make in respect of those liabilities.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officers, directors and principal shareholders (defined as owners of 5% or more of our ordinary shares, provided that the Underwriter may in its discretion require a lower percentage threshold) have agreed, subject to certain exceptions, to a six month “lock-up” period from the effective date of the registration statement of which this prospectus forms a part with respect to the ordinary shares that they beneficially own, including the issuance of shares upon the exercise of convertible securities and options that are currently outstanding or which may be issued. This means that, for a period of six months following the closing of the offering, such persons may not offer, sell, pledge or otherwise dispose of these securities without the prior written consent of the Underwriter.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has no present intention to waive or shorten the lock-up period; however, the terms of the lock-up agreements may be waived at its discretion. In determining whether to waive the terms of the lock-up agreements, the Underwriter may base its decision on its assessment of the relative strengths of the securities markets and companies similar to ours in general, and the trading pattern of, and demand for, our securities in general.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Pricing of the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this offering, there has been no public market for our ADS or our ordinary shares. The initial public offering price of the shares has been negotiated between us and the Underwriter. Among the factors considered in determining the initial public offering price of the shares, in addition to the prevailing market conditions, are our historical performance, estimates of our business potential and earnings prospects, an assessment of our management and the consideration of the above factors in relation to market valuation of companies in related businesses.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Electronic Offer, Sale and Distribution of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prospectus in electronic format may be made available on the websites maintained by the Underwriter or selling group members, if any, participating in this offering and the Underwriter may distribute prospectuses electronically. The Underwriter may agree to allocate a number of ADSs to selling group members for sale to their online brokerage account holders. The ADSs to be sold pursuant to internet distributions will be allocated on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 and should not be relied upon by investors.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Price Stabilization, Short Positions and Penalty Bids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offering, the Underwriter may engage in transactions that stabilize, maintain or otherwise affect the price of our ADSs. Specifically, the Underwriter may sell more shares than they are obligated to purchase under the underwriting agreement, creating a short position. A short sale is covered if the short position is no greater than the number of shares available for purchase by the Underwriter under option to purchase additional shares. The Underwriter can close out a covered short sale by exercising the option to purchase additional shares or purchasing shares in the open market. In determining the source of shares to close out a covered short sale, the Underwriter will consider, among other things, the open market price of shares compared to the price available under the option to purchase additional shares. The Underwriter may also sell shares in excess of the option to purchase additional shares, creating a naked short position. The Underwriter must close out any naked short position by purchasing shares in the open market. A naked short position is more likely to be created if the Underwriter is concerned that there may be downward pressure on the price of the shares in the open market after pricing that could adversely affect investors who purchase in the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may also impose a penalty bid. This occurs when a particular Underwriter or dealer repays selling concessions allowed to it for distributing our ADSs in this offering because such Underwriter repurchases those shares in stabilizing or short covering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may also impose a penalty bid. This occurs when a particular Underwriter or dealer repays selling concessions allowed to it for distributing our ADSs in this offering because such Underwriter repurchases those shares in stabilizing or short covering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Finally, the Underwriter may bid for, and purchase, our ADSs in market making transactions, including “passive” market making transactions as described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activities may stabilize or maintain the market price of our ADSs at a price that is higher than the price that might otherwise exist in the absence of these activities. The Underwriter is not required to engage in these activities, and may discontinue any of these activities at any time without notice. These transactions may be effected on the Nasdaq Global Market, in the over-the-counter market, or otherwise.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Passive Market Making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offering, the Underwriter may engage in passive market making transactions in our ADSs on the Nasdaq Global Market in accordance with Rule 103 of Regulation M under the Exchange Act, during a period before the commencement of offers or sales of the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Conflicts of Interest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and its affiliates may, from time to time, engage in transactions with and perform services for us in the ordinary course of their business for which they may receive customary fees and reimbursement of expenses. 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our Company.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Relationships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is a full service financial institution engaged in various activities, which may include the sales and trading of securities, commercial and investment banking, advisory, investment management, investment research, principal investment, hedging, market making, financing, brokerage and other financial and non-financial activities and services. The Underwriter may in the future perform a variety of such activities and services for us and for persons or entities with relationships with us for which they received or will receive customary fees, commissions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the ordinary course of their business activities, the Underwriter, its affiliates, directors, officers and employees may at any time purchase, sell or hold a broad array of investments and actively trade debt and equity securities (or related derivative securities) and other financial instruments (including bank loans) for their own account and for the accounts of their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investments and securities activities may involve assets, securities and/or instruments of ours or our affiliates. The Underwriter and its affiliates, directors, officers and employees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Selling Restrictions outside the United States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Australia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not a product disclosure statement, prospectus or other type of disclosure document for the purposes of Corporations Act 2001 (Commonwealth of Australia) (the “Act”) and does not purport to include the information required of a product disclosure statement, prospectus or other disclosure document under Chapter 6D.2 of the Act. No product disclosure statement, prospectus, disclosure document, offering material or advertisement in relation to the offer of the ADSs has been or will be lodged with the Australian Securities and Investments Commission or the Australian Securities Exchange.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(1) the offer of the ADSs under this prospectus may only be made to persons: (i) to whom it is lawful to offer the ADSs without disclosure to investors under Chapter 6D.2 of the Act under one or more exemptions set out in Section 708 of the Act, and (ii) who are “wholesale clients” as that term is defined in section 761G of the Act, (2) this prospectus may only be made available in Australia to persons as set forth in clause (1) above, and (3) by accepting this offer, the offeree represents that the offeree is such a person as set forth in clause (1) above, and the offeree agrees not to sell or offer for sale any of the ADSs sold to the offeree within 12 months after their issue except as otherwise permitted under the Act.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Canada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United Kingdom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only being distributed to and is only directed at persons in the United Kingdom that are qualified investors within the meaning of Article 2(1)(e) of the Prospectus Directive that are also (i) to investment professionals falling within Article 19(5) of the Financial Services and Markets Act 2000 (Financial Promotion) Order 2005 within, and/or (ii) high net worth entities, and other persons to whom it may lawfully be communicated, falling with Article 49(2)(a) to (d) (all such persons together being referred to as “relevant persons”).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and its contents are confidential and should not be distributed, published or reproduced (in whole or in part) or disclosed by recipients to any other persons in the United Kingdom. Any person in the United Kingdom who is not a relevant person should not act or rely on this prospectus or any of its contents.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Malaysia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have not been and may not be approved by the securities commission Malaysia, or SC, and this document has not been and will not be registered as a prospectus with the SC under the Malaysian capital markets and services act of 2007, or CMSA. Accordingly, no securities or offer for subscription or purchase of securities or invitation to subscribe for or purchase securities are being made to any person in or from within Malaysia under this document except to persons falling within any of paragraphs 2(g)(i) to (xi) of schedule 5 of the CMSA and distributed only by a holder of a capital markets services license who carries on the business of dealing in securities and subject to the issuer having lodged this prospectus with the SC within seven days from the date of the distribution of this prospectus in Malaysia. The distribution in Malaysia of this document is subject to Malaysian laws. Save as aforementioned, no action has been taken in Malaysia under its securities laws in respect of this document. This document does not constitute and may not be used for the purpose of a public offering or an issue, offer for subscription or purchase, invitation to subscribe for or purchase any securities requiring the approval of the SC or the registration of a prospectus with the SC under the CMSA.</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2001 (2020 Rev Ed)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ADSs are subscribed or purchased under Section 275 of the SFA by a relevant person which 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(which is not an accredited investor (as defined in Section 4A of the SFA)) the sole business of which is to hold investments and the entire share capital of which is owned by one or more individuals, each of whom is an accredited investor;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(where the trustee is not an accredited investor) whose sole purpose is to hold investments and each beneficiary of the trust is an individual who is an accredited investor,</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an institutional investor or to a relevant person defined in Section 275(2) of the SFA, or to any person arising from an offer referred to in Section 275(1A) or Section 276(4)(c)(ii) of the SFA;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where no consideration is or will be given for the transfer;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where the transfer is by operation of law;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specified in Section 276(7) of the SFA;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specified in Regulation 37A of the Securities and Futures (Offers of Investments) (Securities and Securities-based Derivatives Contracts) Regulations 2018.</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Singapore SFA Product Classification:</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In accordance with Section 309B of the SFA, the Company has determined, and hereby notifies all relevant persons (as defined under Section 309A(1) of the SFA), that the ADSs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are prescribed capital markets products (as defined in the Securities and Futures (Capital Market Products) Regulations 2018 of Singapore) and Excluded Investment Products (as defined in MAS Notice SFA 04-N12: Notice on the Sale of Investment Products and MAS Notice FAA-N16: Notice on Recommendations on Investment Products)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People’s Republic of China</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not be circulated or distributed in China and the ADSs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Hong Kong</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our ADSs be issued or may be in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ADSs which are or are intended to be disposed of only to persons outside Hong Kong or only to “professional investors” within the meaning of the Securities and Futures Ordinance (Cap. 571, Laws of Hong Kong) and any rules made thereunder.</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Taiwan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have not been and will not be registered with the Financial Supervisory Commission of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Indonesia</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Vietnam</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Thailand</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Korea</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Japan</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offered in this prospectus have not been and will not be registered under the Financial Instruments and Exchange Law of Japan. The ADSs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New Zealand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has not been registered, filed with, or approved by any New Zealand regulatory authority under the Financial Markets Conduct Act 2013 (New Zealand) (“FMCA”). This document is not a product disclosure statement under New Zealand law and is not required to, and may not, contain all the information that a product disclosure statement under New Zealand law is required to contain. The Securities are not being offered or sold in New Zealand (or allotted with a view to being offered for sale in New Zealand) other than to a person who is a “wholesale investor” within the meaning of clause 3(2) of Schedule 1 of the FMCA — that is, a person who:</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an “investment business” within the meaning of clause 37 of Schedule 1 of the FMCA;</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meets the “investment activity criteria” specified in clause 38 of Schedule 1 of the FMCA;</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“large” within the meaning of clause 39 of Schedule 1 of the FMCA; or</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a “government agency” within the meaning of clause 40 of Schedule 1 of the FMCA. The Securities are not being offered or sold to retail investors in New Zealand.</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European Economic Area</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units or otherwise making them available to retail investors in the EEA has been prepared and therefore offering or selling the units or otherwise making them available to any retail investor in the EEA may be unlawful under the PRIIPs Regulation.</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Cayman Islands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offer or invitation, whether directly or indirectly, may be made to the public in the Cayman Islands to subscribe for our securities.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5"/>
      <w:bookmarkEnd w:id="25"/>
      <w:r>
        <w:rPr>
          <w:rFonts w:ascii="Times New Roman PS Std;serif" w:hAnsi="Times New Roman PS Std;serif"/>
          <w:b/>
          <w:i w:val="false"/>
          <w:caps w:val="false"/>
          <w:smallCaps w:val="false"/>
          <w:sz w:val="20"/>
        </w:rPr>
        <w:t>EXPENSES RELATED TO THIS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stock exchange application and listing fee, all amounts are estimates.</w:t>
      </w:r>
    </w:p>
    <w:tbl>
      <w:tblPr>
        <w:tblW w:w="5083" w:type="dxa"/>
        <w:jc w:val="left"/>
        <w:tblInd w:w="0" w:type="dxa"/>
        <w:tblLayout w:type="fixed"/>
        <w:tblCellMar>
          <w:top w:w="0" w:type="dxa"/>
          <w:left w:w="0" w:type="dxa"/>
          <w:bottom w:w="0" w:type="dxa"/>
          <w:right w:w="0" w:type="dxa"/>
        </w:tblCellMar>
      </w:tblPr>
      <w:tblGrid>
        <w:gridCol w:w="4351"/>
        <w:gridCol w:w="146"/>
        <w:gridCol w:w="586"/>
      </w:tblGrid>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Registration Fee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FINRA Filing Fee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Exchange Application and Listing Fee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Printing and Engraving Expenses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Fees and Expenses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5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4"/>
      <w:bookmarkEnd w:id="26"/>
      <w:r>
        <w:rPr>
          <w:rFonts w:ascii="Times New Roman PS Std;serif" w:hAnsi="Times New Roman PS Std;serif"/>
          <w:b/>
          <w:i w:val="false"/>
          <w:caps w:val="false"/>
          <w:smallCaps w:val="false"/>
          <w:sz w:val="20"/>
        </w:rPr>
        <w:t>LEGAL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Hogan Lovells is representing us with respect to certain legal matters as to the United States federal and New York State law. Carmel, Milazzo &amp; Feil LLP is representing the underwriters with respect to certain legal matters as to the United States federal and New York State law. The validity of the ordinary shares represented by the ADSs offered in this offering and Maples and Calder (Hong Kong) LLP will pass upon other certain legal matters as to Cayman Islands law for us. Resource Law LLC (in alliance with Reed Smith) will pass upon certain legal matters as to Singapore law for us. Hogan Lovells and Carmel, Milazzo &amp; Feil LLP may rely upon Maples and Calder (Hong Kong) LLP with respect to matters governed by Cayman Islands law and Resource Law LLC (in alliance with Reed Smith) with respect to matters governed by the Singapore law.</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3"/>
      <w:bookmarkEnd w:id="27"/>
      <w:r>
        <w:rPr>
          <w:rFonts w:ascii="Times New Roman PS Std;serif" w:hAnsi="Times New Roman PS Std;serif"/>
          <w:b/>
          <w:i w:val="false"/>
          <w:caps w:val="false"/>
          <w:smallCaps w:val="false"/>
          <w:sz w:val="20"/>
        </w:rPr>
        <w:t>EXPERTS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as of December 31, 2021 and 2022, and for each of the two years in the period ended December 31, 2022, appearing in this prospectus and registration statement have been audited by Marcum Asia CPAs LLP, an independent registered public accounting firm, as set forth in its report thereon appearing elsewhere herein, and are included in reliance upon such report given on the authority of such firm as experts in accounting and auditing.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office of Marcum Asia CPAs LLP is located at 7 Pennsylvania Plaza Suite 830, New York, NY 10001, United States.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2"/>
      <w:bookmarkEnd w:id="28"/>
      <w:r>
        <w:rPr>
          <w:rFonts w:ascii="Times New Roman PS Std;serif" w:hAnsi="Times New Roman PS Std;serif"/>
          <w:b/>
          <w:i w:val="false"/>
          <w:caps w:val="false"/>
          <w:smallCaps w:val="false"/>
          <w:sz w:val="20"/>
        </w:rPr>
        <w:t>WHERE YOU CAN FIND 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a registration statement on Form F-1, including relevant exhibits, with the SEC under the Securities Act with respect to the underlying Class B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periodic reporting and other information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or inspected and copied at the public reference facilities maintained by the SEC at 100 F Street, N.E., Washington, D.C. 20549. You can request copies of documents, upon payment of a duplicating fee, by writing to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1"/>
      <w:bookmarkEnd w:id="29"/>
      <w:r>
        <w:rPr>
          <w:rFonts w:ascii="Times New Roman PS Std;serif" w:hAnsi="Times New Roman PS Std;serif"/>
          <w:b/>
          <w:i w:val="false"/>
          <w:caps w:val="false"/>
          <w:smallCaps w:val="false"/>
          <w:sz w:val="20"/>
        </w:rPr>
        <w:t>TRIDENT DIGITAL TECH HOLDINGS LTD</w:t>
        <w:br/>
        <w:t>INDEX TO CONSOLIDATED FINANCIAL STATEMENTS</w:t>
      </w:r>
    </w:p>
    <w:tbl>
      <w:tblPr>
        <w:tblW w:w="10205" w:type="dxa"/>
        <w:jc w:val="left"/>
        <w:tblInd w:w="0" w:type="dxa"/>
        <w:tblLayout w:type="fixed"/>
        <w:tblCellMar>
          <w:top w:w="0" w:type="dxa"/>
          <w:left w:w="0" w:type="dxa"/>
          <w:bottom w:w="0" w:type="dxa"/>
          <w:right w:w="0" w:type="dxa"/>
        </w:tblCellMar>
      </w:tblPr>
      <w:tblGrid>
        <w:gridCol w:w="9163"/>
        <w:gridCol w:w="146"/>
        <w:gridCol w:w="896"/>
      </w:tblGrid>
      <w:tr>
        <w:trPr/>
        <w:tc>
          <w:tcPr>
            <w:tcW w:w="916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PAGE(S)</w:t>
            </w:r>
          </w:p>
        </w:tc>
      </w:tr>
      <w:tr>
        <w:trPr/>
        <w:tc>
          <w:tcPr>
            <w:tcW w:w="91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FINANCIAL STATEMENTS FOR THE YEARS ENDED DECEMBER 31, 2022 AND 2021</w:t>
            </w:r>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left"/>
              <w:rPr/>
            </w:pPr>
            <w:r>
              <w:rPr/>
              <w:t> </w:t>
            </w:r>
          </w:p>
        </w:tc>
      </w:tr>
      <w:tr>
        <w:trPr/>
        <w:tc>
          <w:tcPr>
            <w:tcW w:w="9163" w:type="dxa"/>
            <w:tcBorders/>
            <w:vAlign w:val="bottom"/>
          </w:tcPr>
          <w:p>
            <w:pPr>
              <w:pStyle w:val="TableContents"/>
              <w:keepNext w:val="false"/>
              <w:widowControl/>
              <w:pBdr/>
              <w:bidi w:val="0"/>
              <w:spacing w:before="0" w:after="283"/>
              <w:ind w:left="200" w:right="0" w:hanging="200"/>
              <w:jc w:val="left"/>
              <w:rPr/>
            </w:pPr>
            <w:hyperlink w:anchor="T701">
              <w:r>
                <w:rPr>
                  <w:rStyle w:val="InternetLink"/>
                  <w:rFonts w:ascii="Times New Roman PS Std;serif" w:hAnsi="Times New Roman PS Std;serif"/>
                  <w:b w:val="false"/>
                  <w:i w:val="false"/>
                  <w:caps w:val="false"/>
                  <w:smallCaps w:val="false"/>
                  <w:sz w:val="20"/>
                </w:rPr>
                <w:t>REPORT OF INDEPENDENT REGISTERED PUBLIC ACCOUNTING FIRM (PCAOB ID: 5395)</w:t>
              </w:r>
            </w:hyperlink>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163" w:type="dxa"/>
            <w:tcBorders/>
            <w:shd w:fill="CCEEFF" w:val="clear"/>
            <w:vAlign w:val="bottom"/>
          </w:tcPr>
          <w:p>
            <w:pPr>
              <w:pStyle w:val="TableContents"/>
              <w:keepNext w:val="false"/>
              <w:widowControl/>
              <w:pBdr/>
              <w:bidi w:val="0"/>
              <w:spacing w:before="0" w:after="283"/>
              <w:ind w:left="200" w:right="0" w:hanging="200"/>
              <w:jc w:val="left"/>
              <w:rPr/>
            </w:pPr>
            <w:hyperlink w:anchor="T702">
              <w:r>
                <w:rPr>
                  <w:rStyle w:val="InternetLink"/>
                  <w:rFonts w:ascii="Times New Roman PS Std;serif" w:hAnsi="Times New Roman PS Std;serif"/>
                  <w:b w:val="false"/>
                  <w:i w:val="false"/>
                  <w:caps w:val="false"/>
                  <w:smallCaps w:val="false"/>
                  <w:sz w:val="20"/>
                </w:rPr>
                <w:t>CONSOLIDATED BALANCE SHEETS AS OF DECEMBER 31, 2022 AND 2021</w:t>
              </w:r>
            </w:hyperlink>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163" w:type="dxa"/>
            <w:tcBorders/>
            <w:vAlign w:val="bottom"/>
          </w:tcPr>
          <w:p>
            <w:pPr>
              <w:pStyle w:val="TableContents"/>
              <w:keepNext w:val="false"/>
              <w:widowControl/>
              <w:pBdr/>
              <w:bidi w:val="0"/>
              <w:spacing w:before="0" w:after="283"/>
              <w:ind w:left="200" w:right="0" w:hanging="200"/>
              <w:jc w:val="left"/>
              <w:rPr/>
            </w:pPr>
            <w:hyperlink w:anchor="T703">
              <w:r>
                <w:rPr>
                  <w:rStyle w:val="InternetLink"/>
                  <w:rFonts w:ascii="Times New Roman PS Std;serif" w:hAnsi="Times New Roman PS Std;serif"/>
                  <w:b w:val="false"/>
                  <w:i w:val="false"/>
                  <w:caps w:val="false"/>
                  <w:smallCaps w:val="false"/>
                  <w:sz w:val="20"/>
                </w:rPr>
                <w:t>CONSOLIDATED STATEMENTS OF OPERATIONS AND COMPREHENSIVE (LOSS)/INCOME FOR THE YEARS ENDED DECEMBER 31, 2022 AND 2021</w:t>
              </w:r>
            </w:hyperlink>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163" w:type="dxa"/>
            <w:tcBorders/>
            <w:shd w:fill="CCEEFF" w:val="clear"/>
            <w:vAlign w:val="bottom"/>
          </w:tcPr>
          <w:p>
            <w:pPr>
              <w:pStyle w:val="TableContents"/>
              <w:keepNext w:val="false"/>
              <w:widowControl/>
              <w:pBdr/>
              <w:bidi w:val="0"/>
              <w:spacing w:before="0" w:after="283"/>
              <w:ind w:left="200" w:right="0" w:hanging="200"/>
              <w:jc w:val="left"/>
              <w:rPr/>
            </w:pPr>
            <w:hyperlink w:anchor="T704">
              <w:r>
                <w:rPr>
                  <w:rStyle w:val="InternetLink"/>
                  <w:rFonts w:ascii="Times New Roman PS Std;serif" w:hAnsi="Times New Roman PS Std;serif"/>
                  <w:b w:val="false"/>
                  <w:i w:val="false"/>
                  <w:caps w:val="false"/>
                  <w:smallCaps w:val="false"/>
                  <w:sz w:val="20"/>
                </w:rPr>
                <w:t>CONSOLIDATED STATEMENTS OF CHANGES IN EQUITY/(DEFICIT) FOR THE YEARS ENDED DECEMBER 31, 2022 AND 2021</w:t>
              </w:r>
            </w:hyperlink>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163" w:type="dxa"/>
            <w:tcBorders/>
            <w:vAlign w:val="bottom"/>
          </w:tcPr>
          <w:p>
            <w:pPr>
              <w:pStyle w:val="TableContents"/>
              <w:keepNext w:val="false"/>
              <w:widowControl/>
              <w:pBdr/>
              <w:bidi w:val="0"/>
              <w:spacing w:before="0" w:after="283"/>
              <w:ind w:left="200" w:right="0" w:hanging="200"/>
              <w:jc w:val="left"/>
              <w:rPr/>
            </w:pPr>
            <w:hyperlink w:anchor="T705">
              <w:r>
                <w:rPr>
                  <w:rStyle w:val="InternetLink"/>
                  <w:rFonts w:ascii="Times New Roman PS Std;serif" w:hAnsi="Times New Roman PS Std;serif"/>
                  <w:b w:val="false"/>
                  <w:i w:val="false"/>
                  <w:caps w:val="false"/>
                  <w:smallCaps w:val="false"/>
                  <w:sz w:val="20"/>
                </w:rPr>
                <w:t>CONSOLIDATED STATEMENTS OF CASH FLOWS FOR THE YEARS ENDED DECEMBER 31, 2022 AND 2021</w:t>
              </w:r>
            </w:hyperlink>
          </w:p>
        </w:tc>
        <w:tc>
          <w:tcPr>
            <w:tcW w:w="146" w:type="dxa"/>
            <w:tcBorders/>
            <w:vAlign w:val="bottom"/>
          </w:tcPr>
          <w:p>
            <w:pPr>
              <w:pStyle w:val="TableContents"/>
              <w:bidi w:val="0"/>
              <w:spacing w:before="0" w:after="283"/>
              <w:jc w:val="left"/>
              <w:rPr/>
            </w:pPr>
            <w:r>
              <w:rPr/>
              <w:t> </w:t>
            </w:r>
          </w:p>
        </w:tc>
        <w:tc>
          <w:tcPr>
            <w:tcW w:w="8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r>
        <w:trPr/>
        <w:tc>
          <w:tcPr>
            <w:tcW w:w="9163" w:type="dxa"/>
            <w:tcBorders/>
            <w:shd w:fill="CCEEFF" w:val="clear"/>
            <w:vAlign w:val="bottom"/>
          </w:tcPr>
          <w:p>
            <w:pPr>
              <w:pStyle w:val="TableContents"/>
              <w:keepNext w:val="false"/>
              <w:widowControl/>
              <w:pBdr/>
              <w:bidi w:val="0"/>
              <w:spacing w:before="0" w:after="283"/>
              <w:ind w:left="200" w:right="0" w:hanging="200"/>
              <w:jc w:val="left"/>
              <w:rPr/>
            </w:pPr>
            <w:hyperlink w:anchor="T706">
              <w:r>
                <w:rPr>
                  <w:rStyle w:val="InternetLink"/>
                  <w:rFonts w:ascii="Times New Roman PS Std;serif" w:hAnsi="Times New Roman PS Std;serif"/>
                  <w:b w:val="false"/>
                  <w:i w:val="false"/>
                  <w:caps w:val="false"/>
                  <w:smallCaps w:val="false"/>
                  <w:sz w:val="20"/>
                </w:rPr>
                <w:t>NOTES TO CONSOLIDATED FINANCIAL STATEMENTS</w:t>
              </w:r>
            </w:hyperlink>
          </w:p>
        </w:tc>
        <w:tc>
          <w:tcPr>
            <w:tcW w:w="146"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701"/>
      <w:bookmarkEnd w:id="30"/>
      <w:r>
        <w:rPr>
          <w:rFonts w:ascii="Times New Roman PS Std;serif" w:hAnsi="Times New Roman PS Std;serif"/>
          <w:b/>
          <w:i w:val="false"/>
          <w:caps w:val="false"/>
          <w:smallCaps w:val="false"/>
          <w:sz w:val="20"/>
        </w:rPr>
        <w:t>REPORT OF INDEPENDENT REGISTERED PUBLIC ACCOUNTING FIRM</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and Board of Directors of Trident Digital Tech Holdings Ltd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Trident Digital Tech Holdings Ltd (the “Company”) as of December 31, 2022 and 2021, the related consolidated statements of operations and comprehensive (loss)/income, changes in equity/(deficit)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 PS Std;serif" w:hAnsi="Times New Roman PS Std;serif"/>
          <w:b/>
          <w:i w:val="false"/>
          <w:caps w:val="false"/>
          <w:smallCaps w:val="false"/>
          <w:sz w:val="20"/>
        </w:rPr>
        <w:t>s</w:t>
      </w:r>
      <w:r>
        <w:rPr>
          <w:rFonts w:ascii="Times New Roman PS Std;serif" w:hAnsi="Times New Roman PS Std;serif"/>
          <w:b w:val="false"/>
          <w:i w:val="false"/>
          <w:caps w:val="false"/>
          <w:smallCaps w:val="false"/>
          <w:sz w:val="20"/>
        </w:rPr>
        <w:t xml:space="preserve">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Marcum Asia CPAs LLP</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2023.</w:t>
      </w:r>
    </w:p>
    <w:p>
      <w:pPr>
        <w:pStyle w:val="TextBody"/>
        <w:keepNext w:val="fals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Beijing, China</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7,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702"/>
      <w:bookmarkEnd w:id="31"/>
      <w:r>
        <w:rPr>
          <w:rFonts w:ascii="Times New Roman PS Std;serif" w:hAnsi="Times New Roman PS Std;serif"/>
          <w:b/>
          <w:i w:val="false"/>
          <w:caps w:val="false"/>
          <w:smallCaps w:val="false"/>
          <w:sz w:val="20"/>
        </w:rPr>
        <w:t>TRIDENT DIGITAL TECH HOLDINGS LTD</w:t>
        <w:br/>
        <w:t>CONSOLIDATED BALANCE SHEETS</w:t>
        <w:br/>
        <w:t>(In U.S. dollars, except for share and per share data, or otherwise noted)</w:t>
      </w:r>
    </w:p>
    <w:tbl>
      <w:tblPr>
        <w:tblW w:w="10205" w:type="dxa"/>
        <w:jc w:val="left"/>
        <w:tblInd w:w="0" w:type="dxa"/>
        <w:tblLayout w:type="fixed"/>
        <w:tblCellMar>
          <w:top w:w="0" w:type="dxa"/>
          <w:left w:w="0" w:type="dxa"/>
          <w:bottom w:w="0" w:type="dxa"/>
          <w:right w:w="0" w:type="dxa"/>
        </w:tblCellMar>
      </w:tblPr>
      <w:tblGrid>
        <w:gridCol w:w="6727"/>
        <w:gridCol w:w="146"/>
        <w:gridCol w:w="241"/>
        <w:gridCol w:w="1291"/>
        <w:gridCol w:w="196"/>
        <w:gridCol w:w="146"/>
        <w:gridCol w:w="241"/>
        <w:gridCol w:w="991"/>
        <w:gridCol w:w="226"/>
      </w:tblGrid>
      <w:tr>
        <w:trPr/>
        <w:tc>
          <w:tcPr>
            <w:tcW w:w="672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4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1,403,172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422,242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106,718</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47,659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1,494,082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36,550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1,600,800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84,209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long-term borrowings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135,360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218,225</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51,867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654,063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192,935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due to related parties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526,263</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63,753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fees advance from a shareholder</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524,560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303,730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54,678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current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277,699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24,215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payable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28,108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2,639,900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424,656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498,572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34,340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non-current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1,190,287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1,688,859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46,676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4,328,759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471,332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(par value $0.00001 per share; 1,000,000,000 Class A ordinary shares authorized, 50,000,000 and 50,000,000 Class A ordinary shares issued and outstanding as of December 31, 2022 and 2021, respectively; 4,000,000,000 Class B ordinary shares authorized, 360,205,000 and 360,205,000 Class B ordinary shares issued and outstanding as of December 31, 2022 and 2021, respectively.)*</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receivable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(deficit)/earnings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(1,323,341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35,349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(37,788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703"/>
      <w:bookmarkEnd w:id="32"/>
      <w:r>
        <w:rPr>
          <w:rFonts w:ascii="Times New Roman PS Std;serif" w:hAnsi="Times New Roman PS Std;serif"/>
          <w:b/>
          <w:i w:val="false"/>
          <w:caps w:val="false"/>
          <w:smallCaps w:val="false"/>
          <w:sz w:val="20"/>
        </w:rPr>
        <w:t>TRIDENT DIGITAL TECH HOLDINGS LTD</w:t>
        <w:br/>
        <w:t>CONSOLIDATED STATEMENTS OF OPERATIONS AND COMPREHENSIVE (LOSS)/INCOME</w:t>
        <w:br/>
        <w:t>(In U.S. dollars, except for share and per share data, or otherwise noted)</w:t>
      </w:r>
    </w:p>
    <w:tbl>
      <w:tblPr>
        <w:tblW w:w="10205" w:type="dxa"/>
        <w:jc w:val="left"/>
        <w:tblInd w:w="0" w:type="dxa"/>
        <w:tblLayout w:type="fixed"/>
        <w:tblCellMar>
          <w:top w:w="0" w:type="dxa"/>
          <w:left w:w="0" w:type="dxa"/>
          <w:bottom w:w="0" w:type="dxa"/>
          <w:right w:w="0" w:type="dxa"/>
        </w:tblCellMar>
      </w:tblPr>
      <w:tblGrid>
        <w:gridCol w:w="6382"/>
        <w:gridCol w:w="146"/>
        <w:gridCol w:w="241"/>
        <w:gridCol w:w="1306"/>
        <w:gridCol w:w="196"/>
        <w:gridCol w:w="146"/>
        <w:gridCol w:w="241"/>
        <w:gridCol w:w="1306"/>
        <w:gridCol w:w="241"/>
      </w:tblGrid>
      <w:tr>
        <w:trPr/>
        <w:tc>
          <w:tcPr>
            <w:tcW w:w="63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657,092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19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(456,645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200,447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(123,533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(174,377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(297,910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expenses,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136,576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156,220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131,790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155,475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(Loss)/Income before income tax expense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29,967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(loss)/income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(1,166,971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29,661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 basic and diluted*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earnings per ordinary share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704"/>
      <w:bookmarkEnd w:id="33"/>
      <w:r>
        <w:rPr>
          <w:rFonts w:ascii="Times New Roman PS Std;serif" w:hAnsi="Times New Roman PS Std;serif"/>
          <w:b/>
          <w:i w:val="false"/>
          <w:caps w:val="false"/>
          <w:smallCaps w:val="false"/>
          <w:sz w:val="20"/>
        </w:rPr>
        <w:t>TRIDENT DIGITAL TECH HOLDINGS LTD</w:t>
        <w:br/>
        <w:t>CONSOLIDATED STATEMENTS OF CHANGES IN EQUITY/(DEFICIT)</w:t>
        <w:br/>
        <w:t>(In U.S. dollars, except for share and per share data, or otherwise noted)</w:t>
      </w:r>
    </w:p>
    <w:tbl>
      <w:tblPr>
        <w:tblW w:w="12490" w:type="dxa"/>
        <w:jc w:val="left"/>
        <w:tblInd w:w="0" w:type="dxa"/>
        <w:tblLayout w:type="fixed"/>
        <w:tblCellMar>
          <w:top w:w="0" w:type="dxa"/>
          <w:left w:w="0" w:type="dxa"/>
          <w:bottom w:w="0" w:type="dxa"/>
          <w:right w:w="0" w:type="dxa"/>
        </w:tblCellMar>
      </w:tblPr>
      <w:tblGrid>
        <w:gridCol w:w="1526"/>
        <w:gridCol w:w="146"/>
        <w:gridCol w:w="1471"/>
        <w:gridCol w:w="146"/>
        <w:gridCol w:w="241"/>
        <w:gridCol w:w="721"/>
        <w:gridCol w:w="146"/>
        <w:gridCol w:w="1136"/>
        <w:gridCol w:w="275"/>
        <w:gridCol w:w="146"/>
        <w:gridCol w:w="253"/>
        <w:gridCol w:w="903"/>
        <w:gridCol w:w="146"/>
        <w:gridCol w:w="241"/>
        <w:gridCol w:w="1291"/>
        <w:gridCol w:w="196"/>
        <w:gridCol w:w="146"/>
        <w:gridCol w:w="251"/>
        <w:gridCol w:w="985"/>
        <w:gridCol w:w="205"/>
        <w:gridCol w:w="146"/>
        <w:gridCol w:w="241"/>
        <w:gridCol w:w="1291"/>
        <w:gridCol w:w="241"/>
      </w:tblGrid>
      <w:tr>
        <w:trPr/>
        <w:tc>
          <w:tcPr>
            <w:tcW w:w="1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7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Ordinary share</w:t>
            </w:r>
          </w:p>
        </w:tc>
        <w:tc>
          <w:tcPr>
            <w:tcW w:w="146" w:type="dxa"/>
            <w:tcBorders/>
            <w:vAlign w:val="bottom"/>
          </w:tcPr>
          <w:p>
            <w:pPr>
              <w:pStyle w:val="TableContents"/>
              <w:bidi w:val="0"/>
              <w:spacing w:before="0" w:after="283"/>
              <w:jc w:val="left"/>
              <w:rPr/>
            </w:pPr>
            <w:r>
              <w:rPr/>
              <w:t> </w:t>
            </w:r>
          </w:p>
        </w:tc>
        <w:tc>
          <w:tcPr>
            <w:tcW w:w="141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Subscription </w:t>
              <w:br/>
              <w:t>receivable</w:t>
            </w:r>
          </w:p>
        </w:tc>
        <w:tc>
          <w:tcPr>
            <w:tcW w:w="146" w:type="dxa"/>
            <w:vMerge w:val="restart"/>
            <w:tcBorders/>
            <w:vAlign w:val="bottom"/>
          </w:tcPr>
          <w:p>
            <w:pPr>
              <w:pStyle w:val="TableContents"/>
              <w:bidi w:val="0"/>
              <w:spacing w:before="0" w:after="283"/>
              <w:jc w:val="left"/>
              <w:rPr/>
            </w:pPr>
            <w:r>
              <w:rPr/>
              <w:t> </w:t>
            </w:r>
          </w:p>
        </w:tc>
        <w:tc>
          <w:tcPr>
            <w:tcW w:w="1156"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paid-in </w:t>
              <w:br/>
              <w:t>capita</w:t>
            </w:r>
          </w:p>
        </w:tc>
        <w:tc>
          <w:tcPr>
            <w:tcW w:w="146" w:type="dxa"/>
            <w:vMerge w:val="restart"/>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earnings/</w:t>
              <w:br/>
              <w:t>(deficit)</w:t>
            </w:r>
          </w:p>
        </w:tc>
        <w:tc>
          <w:tcPr>
            <w:tcW w:w="146" w:type="dxa"/>
            <w:vMerge w:val="restart"/>
            <w:tcBorders/>
            <w:vAlign w:val="bottom"/>
          </w:tcPr>
          <w:p>
            <w:pPr>
              <w:pStyle w:val="TableContents"/>
              <w:bidi w:val="0"/>
              <w:spacing w:before="0" w:after="283"/>
              <w:jc w:val="left"/>
              <w:rPr/>
            </w:pPr>
            <w:r>
              <w:rPr/>
              <w:t> </w:t>
            </w:r>
          </w:p>
        </w:tc>
        <w:tc>
          <w:tcPr>
            <w:tcW w:w="144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other loss</w:t>
            </w:r>
          </w:p>
        </w:tc>
        <w:tc>
          <w:tcPr>
            <w:tcW w:w="146" w:type="dxa"/>
            <w:vMerge w:val="restart"/>
            <w:tcBorders/>
            <w:vAlign w:val="bottom"/>
          </w:tcPr>
          <w:p>
            <w:pPr>
              <w:pStyle w:val="TableContents"/>
              <w:bidi w:val="0"/>
              <w:spacing w:before="0" w:after="283"/>
              <w:jc w:val="left"/>
              <w:rPr/>
            </w:pPr>
            <w:r>
              <w:rPr/>
              <w:t> </w:t>
            </w:r>
          </w:p>
        </w:tc>
        <w:tc>
          <w:tcPr>
            <w:tcW w:w="177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Company’s </w:t>
              <w:br/>
              <w:t>equity/(deficit)</w:t>
            </w:r>
          </w:p>
        </w:tc>
      </w:tr>
      <w:tr>
        <w:trPr/>
        <w:tc>
          <w:tcPr>
            <w:tcW w:w="1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w:t>
            </w:r>
          </w:p>
        </w:tc>
        <w:tc>
          <w:tcPr>
            <w:tcW w:w="146" w:type="dxa"/>
            <w:tcBorders/>
            <w:vAlign w:val="bottom"/>
          </w:tcPr>
          <w:p>
            <w:pPr>
              <w:pStyle w:val="TableContents"/>
              <w:bidi w:val="0"/>
              <w:spacing w:before="0" w:after="283"/>
              <w:jc w:val="left"/>
              <w:rPr/>
            </w:pPr>
            <w:r>
              <w:rPr/>
              <w:t> </w:t>
            </w:r>
          </w:p>
        </w:tc>
        <w:tc>
          <w:tcPr>
            <w:tcW w:w="9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41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5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73" w:type="dxa"/>
            <w:gridSpan w:val="3"/>
            <w:vMerge w:val="continue"/>
            <w:tcBorders/>
            <w:vAlign w:val="bottom"/>
          </w:tcPr>
          <w:p>
            <w:pPr>
              <w:pStyle w:val="Normal"/>
              <w:bidi w:val="0"/>
              <w:jc w:val="left"/>
              <w:rPr/>
            </w:pPr>
            <w:r>
              <w:rPr/>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2020</w:t>
            </w:r>
          </w:p>
        </w:tc>
        <w:tc>
          <w:tcPr>
            <w:tcW w:w="146" w:type="dxa"/>
            <w:tcBorders/>
            <w:shd w:fill="CCEEFF" w:val="clear"/>
            <w:vAlign w:val="bottom"/>
          </w:tcPr>
          <w:p>
            <w:pPr>
              <w:pStyle w:val="TableContents"/>
              <w:bidi w:val="0"/>
              <w:spacing w:before="0" w:after="283"/>
              <w:jc w:val="left"/>
              <w:rPr/>
            </w:pPr>
            <w:r>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410,205,000</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146" w:type="dxa"/>
            <w:tcBorders/>
            <w:shd w:fill="CCEEFF" w:val="clear"/>
            <w:vAlign w:val="bottom"/>
          </w:tcPr>
          <w:p>
            <w:pPr>
              <w:pStyle w:val="TableContents"/>
              <w:bidi w:val="0"/>
              <w:spacing w:before="0" w:after="283"/>
              <w:jc w:val="left"/>
              <w:rPr/>
            </w:pPr>
            <w:r>
              <w:rPr/>
              <w:t> </w:t>
            </w:r>
          </w:p>
        </w:tc>
        <w:tc>
          <w:tcPr>
            <w:tcW w:w="11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2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5,382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8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5,458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29,967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29,967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0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2021</w:t>
            </w:r>
          </w:p>
        </w:tc>
        <w:tc>
          <w:tcPr>
            <w:tcW w:w="146" w:type="dxa"/>
            <w:tcBorders/>
            <w:vAlign w:val="bottom"/>
          </w:tcPr>
          <w:p>
            <w:pPr>
              <w:pStyle w:val="TableContents"/>
              <w:bidi w:val="0"/>
              <w:spacing w:before="0" w:after="283"/>
              <w:jc w:val="left"/>
              <w:rPr/>
            </w:pPr>
            <w:r>
              <w:rPr/>
              <w:t> </w:t>
            </w:r>
          </w:p>
        </w:tc>
        <w:tc>
          <w:tcPr>
            <w:tcW w:w="14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410,205,000</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146" w:type="dxa"/>
            <w:tcBorders/>
            <w:vAlign w:val="bottom"/>
          </w:tcPr>
          <w:p>
            <w:pPr>
              <w:pStyle w:val="TableContents"/>
              <w:bidi w:val="0"/>
              <w:spacing w:before="0" w:after="283"/>
              <w:jc w:val="left"/>
              <w:rPr/>
            </w:pPr>
            <w:r>
              <w:rPr/>
              <w:t> </w:t>
            </w:r>
          </w:p>
        </w:tc>
        <w:tc>
          <w:tcPr>
            <w:tcW w:w="11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2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5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0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35,349</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8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(306</w:t>
            </w:r>
          </w:p>
        </w:tc>
        <w:tc>
          <w:tcPr>
            <w:tcW w:w="20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(1,129,489</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(1,129,489</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32,164</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distribution</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20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2022</w:t>
            </w:r>
          </w:p>
        </w:tc>
        <w:tc>
          <w:tcPr>
            <w:tcW w:w="146" w:type="dxa"/>
            <w:tcBorders/>
            <w:shd w:fill="CCEEFF" w:val="clear"/>
            <w:vAlign w:val="bottom"/>
          </w:tcPr>
          <w:p>
            <w:pPr>
              <w:pStyle w:val="TableContents"/>
              <w:bidi w:val="0"/>
              <w:spacing w:before="0" w:after="283"/>
              <w:jc w:val="left"/>
              <w:rPr/>
            </w:pPr>
            <w:r>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410,205,000</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146" w:type="dxa"/>
            <w:tcBorders/>
            <w:shd w:fill="CCEEFF" w:val="clear"/>
            <w:vAlign w:val="bottom"/>
          </w:tcPr>
          <w:p>
            <w:pPr>
              <w:pStyle w:val="TableContents"/>
              <w:bidi w:val="0"/>
              <w:spacing w:before="0" w:after="283"/>
              <w:jc w:val="left"/>
              <w:rPr/>
            </w:pPr>
            <w:r>
              <w:rPr/>
              <w:t> </w:t>
            </w:r>
          </w:p>
        </w:tc>
        <w:tc>
          <w:tcPr>
            <w:tcW w:w="11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t>
            </w:r>
          </w:p>
        </w:tc>
        <w:tc>
          <w:tcPr>
            <w:tcW w:w="9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32,240</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(1,323,341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8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(37,788</w:t>
            </w:r>
          </w:p>
        </w:tc>
        <w:tc>
          <w:tcPr>
            <w:tcW w:w="20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705"/>
      <w:bookmarkEnd w:id="34"/>
      <w:r>
        <w:rPr>
          <w:rFonts w:ascii="Times New Roman PS Std;serif" w:hAnsi="Times New Roman PS Std;serif"/>
          <w:b/>
          <w:i w:val="false"/>
          <w:caps w:val="false"/>
          <w:smallCaps w:val="false"/>
          <w:sz w:val="20"/>
        </w:rPr>
        <w:t>TRIDENT DIGITAL TECH HOLDINGS LTD</w:t>
        <w:br/>
        <w:t>CONSOLIDATED STATEMENTS OF CASH FLOWS</w:t>
        <w:br/>
        <w:t>(In U.S. dollars, except for share and per share data, or otherwise noted)</w:t>
      </w:r>
    </w:p>
    <w:tbl>
      <w:tblPr>
        <w:tblW w:w="10205" w:type="dxa"/>
        <w:jc w:val="left"/>
        <w:tblInd w:w="0" w:type="dxa"/>
        <w:tblLayout w:type="fixed"/>
        <w:tblCellMar>
          <w:top w:w="0" w:type="dxa"/>
          <w:left w:w="0" w:type="dxa"/>
          <w:bottom w:w="0" w:type="dxa"/>
          <w:right w:w="0" w:type="dxa"/>
        </w:tblCellMar>
      </w:tblPr>
      <w:tblGrid>
        <w:gridCol w:w="6952"/>
        <w:gridCol w:w="146"/>
        <w:gridCol w:w="226"/>
        <w:gridCol w:w="1141"/>
        <w:gridCol w:w="181"/>
        <w:gridCol w:w="146"/>
        <w:gridCol w:w="226"/>
        <w:gridCol w:w="961"/>
        <w:gridCol w:w="226"/>
      </w:tblGrid>
      <w:tr>
        <w:trPr/>
        <w:tc>
          <w:tcPr>
            <w:tcW w:w="69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0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(1,129,489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29,967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in)/provided by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16,867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Amortisation of right-of-use asset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101,099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benefit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assets and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71,232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(111,981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166,358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51,491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461,128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192,935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(28,108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27,869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(10,399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30,445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(127,196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249,052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54,678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244,100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and equipment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fees advance from a shareholder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524,560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distribution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long-term bank loans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652,789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48,370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of long-term bank loans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(79,067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from related parties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748,533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44,650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loans from related parties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(239,357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66,030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255,956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17,637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year</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CASH FLOW INFORMATION: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paid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48,978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17,813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disclosures of non-cash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Obtaining right-of-use assets in exchange for operating lease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1,561,203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42,510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 (Note 11)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706"/>
      <w:bookmarkEnd w:id="35"/>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 AND PRINCIPAL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Holdings Ltd (the “Company”) and its subsidiaries (collectively referred to as the “Group”) are principally engaged in the provision of business consulting service and IT customization solutions in the Republic of Singapore (the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incorporated under the law of Cayman Islands as an exempted company with limited liability on June 12,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Quality Zone Technologies Pte. Ltd. (“QZT”), was incorporated on December 3, 2014 in Singapore. It is engaged in providing branding &amp; marketing consulting service, IT customization development service and CRM product sale.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Pte. Ltd. (“Trident”) was incorporated on May 10, 2022 in Singapore. It has not started business as of December 31, 2022.</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anticipation of an initial public offering (“IPO”) of its equity securities, the Company undertook a reorganization (the “Reorganization”), which involved in following steps: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3, 2023, the Company acquired 100% of the equity interests in QZT from its original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QZT acquired 100% of the equity interests in Trident from its original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on July 4, 2023, the Company became the ultimate holding company of QZT and Trident, which were all controlled by the same shareholder before and after the Reorganization.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consolidation of the Company and its subsidiaries has been accounted for at historical cost and prepared on the basis as if the Reorganization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SUMMARY OF SIGNIFICANT ACCOUNTING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Basis of presentation and principles of consolidation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Use of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 and expenses during the reported periods in the consolidated financial statements and accompanying notes. Significant accounting estimates include, but not limited to, the allowance for receivable, the recoverability of long-lived assets and accounting for deferred income taxes and valuation allowance for deferred tax assets. Changes in facts and circumstances may result in revised estimates. Actual results could differ from those estimates, and as such, differences may be material to the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     Cash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consist of cash in bank and cash on hand. The Group’s demand deposits are held at financial institutions, which have original maturities of less than three months and are unrestricted as to withdrawal and use.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is stated at the original amount less an allowance for doubtful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is recognized in the period when the Group has rendered services to its customers and when its right to consideration is unconditional. The amounts due are stated at their net estimated realizable value. The Group reviews the accounts receivable on a periodic basis and makes general and specific allowances when there is doubt as to the collectability of individual balances. The Group considers factors in assessing the collectability of its receivables, such as historical bad debts, changes in customers’ payment patterns, credit-worthiness and financial condition of the customers, current economic trends and other specific circumstances related to the accounts. An allowance for doubtful accounts is recorded in the period in which a loss is determined to be probable. Accounts receivable balances are written off after all collection efforts have been exhausted.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provision of allowance for doubtful accounts as of December 31,2022 and 2021.</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     Property and equipment,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tbl>
      <w:tblPr>
        <w:tblW w:w="5548" w:type="dxa"/>
        <w:jc w:val="left"/>
        <w:tblInd w:w="0" w:type="dxa"/>
        <w:tblLayout w:type="fixed"/>
        <w:tblCellMar>
          <w:top w:w="0" w:type="dxa"/>
          <w:left w:w="0" w:type="dxa"/>
          <w:bottom w:w="0" w:type="dxa"/>
          <w:right w:w="0" w:type="dxa"/>
        </w:tblCellMar>
      </w:tblPr>
      <w:tblGrid>
        <w:gridCol w:w="3001"/>
        <w:gridCol w:w="146"/>
        <w:gridCol w:w="2401"/>
      </w:tblGrid>
      <w:tr>
        <w:trPr/>
        <w:tc>
          <w:tcPr>
            <w:tcW w:w="30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Category</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 useful lives</w:t>
            </w:r>
          </w:p>
        </w:tc>
      </w:tr>
      <w:tr>
        <w:trPr/>
        <w:tc>
          <w:tcPr>
            <w:tcW w:w="30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Vehicle</w:t>
            </w:r>
          </w:p>
        </w:tc>
        <w:tc>
          <w:tcPr>
            <w:tcW w:w="146" w:type="dxa"/>
            <w:tcBorders/>
            <w:shd w:fill="CCEEFF" w:val="clear"/>
          </w:tcPr>
          <w:p>
            <w:pPr>
              <w:pStyle w:val="TableContents"/>
              <w:bidi w:val="0"/>
              <w:spacing w:before="0" w:after="283"/>
              <w:jc w:val="left"/>
              <w:rPr/>
            </w:pPr>
            <w:r>
              <w:rPr/>
              <w:t> </w:t>
            </w:r>
          </w:p>
        </w:tc>
        <w:tc>
          <w:tcPr>
            <w:tcW w:w="2401"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30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electric equipment</w:t>
            </w:r>
          </w:p>
        </w:tc>
        <w:tc>
          <w:tcPr>
            <w:tcW w:w="146" w:type="dxa"/>
            <w:tcBorders/>
          </w:tcPr>
          <w:p>
            <w:pPr>
              <w:pStyle w:val="TableContents"/>
              <w:bidi w:val="0"/>
              <w:spacing w:before="0" w:after="283"/>
              <w:jc w:val="left"/>
              <w:rPr/>
            </w:pPr>
            <w:r>
              <w:rPr/>
              <w:t> </w:t>
            </w:r>
          </w:p>
        </w:tc>
        <w:tc>
          <w:tcPr>
            <w:tcW w:w="2401"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years</w:t>
            </w:r>
          </w:p>
        </w:tc>
      </w:tr>
      <w:tr>
        <w:trPr/>
        <w:tc>
          <w:tcPr>
            <w:tcW w:w="30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w:t>
            </w:r>
          </w:p>
        </w:tc>
        <w:tc>
          <w:tcPr>
            <w:tcW w:w="146" w:type="dxa"/>
            <w:tcBorders/>
            <w:shd w:fill="CCEEFF" w:val="clear"/>
          </w:tcPr>
          <w:p>
            <w:pPr>
              <w:pStyle w:val="TableContents"/>
              <w:bidi w:val="0"/>
              <w:spacing w:before="0" w:after="283"/>
              <w:jc w:val="left"/>
              <w:rPr/>
            </w:pPr>
            <w:r>
              <w:rPr/>
              <w:t> </w:t>
            </w:r>
          </w:p>
        </w:tc>
        <w:tc>
          <w:tcPr>
            <w:tcW w:w="2401"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income.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     Operating leases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adopted ASC 842 on January 1, 2021.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 for short-term leases on a straight-line basis over the lease term.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Right-of-use assets represent the Group’s right to use an underlying asset for the lease term and lease liabilities represent the Group’s obligation to make lease payments arising from the lease. Right-of-use assets and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 lease payments. The operating lease right-of-use assets also include lease payments made before commencement and exclude lease incentives.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leases offices space under non-cancellable operating leases. The Group considers those renewal or termination options that are reasonably certain to be exercised in the determination of the lease term and initial measurement of right of use assets and lease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determines whether a contract is or contains a lease at inception of the contract and whether that lease meets the classification criteria of a finance or operating lease.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the Group had no long-term leases that were classified as a financing lease, and the Group’s lease contracts only contain fixed lease payments and do not contain any residual value guarantee.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lease agreements do not contain any material residual value guarantees or material restrictive covenants.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    Impairment of long-lived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impairment of long-lived assets was recognized for the years ended December 31, 2022 and 2021.</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    Fair value measurement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inputs to the valuation methodology are quoted prices (unadjusted) for identical assets or liabilities in active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inputs to the valuation methodology are unobservable.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of the Group primarily consist of cash, accounts receivable, advance to suppliers, amounts due from related parties, prepaid expenses and other current assets, accounts payable, borrowings, amounts due to related parties, accrued expenses and other current liabilities. The carrying amounts of the Group’s financial instruments, including cash, accounts receivable, accounts payable, borrowings, amounts due to related parties, other payables, approximate their fair values because of their short-term nature.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     Revenue recognition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derives its revenues principally from providing business consulting service and IT customization service.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recognition policies for each type of revenue stream are as follows: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Business consulting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IT customization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IT consulting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provides a series of IT consulting service which is interrelated as one promise to develop customized software solutions.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revenue is recognized at a point in time when the customized software solution is successfully completed, delivered and accepted by customers.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Management software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offers a range of management software solutions to customers via an annual subscription-based model,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 payment is made by the customers in advance, and not subject to any variable consideration, refund, cancellation or termination provision. No significant financing component, noncash payment identified in the arrangements with customers.</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Revenue by categories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disaggregates the Group’s revenue categories for the years ended December 31, 2022 and 2021:</w:t>
      </w:r>
    </w:p>
    <w:tbl>
      <w:tblPr>
        <w:tblW w:w="6162" w:type="dxa"/>
        <w:jc w:val="left"/>
        <w:tblInd w:w="0" w:type="dxa"/>
        <w:tblLayout w:type="fixed"/>
        <w:tblCellMar>
          <w:top w:w="0" w:type="dxa"/>
          <w:left w:w="0" w:type="dxa"/>
          <w:bottom w:w="0" w:type="dxa"/>
          <w:right w:w="0" w:type="dxa"/>
        </w:tblCellMar>
      </w:tblPr>
      <w:tblGrid>
        <w:gridCol w:w="3151"/>
        <w:gridCol w:w="146"/>
        <w:gridCol w:w="241"/>
        <w:gridCol w:w="1201"/>
        <w:gridCol w:w="146"/>
        <w:gridCol w:w="241"/>
        <w:gridCol w:w="1036"/>
      </w:tblGrid>
      <w:tr>
        <w:trPr/>
        <w:tc>
          <w:tcPr>
            <w:tcW w:w="31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6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consulting service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629,434</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260,455</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 customization</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633,465</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396,637</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IT consulting</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522,013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396,637</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Management software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111,452</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1,262,899</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657,092</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Contract balances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as a contract asset and amortized to cost in a pattern that matches the timing of the revenue recognition of the related contract. The Group’s contract assets were $268,509, nil and nil as of December 31, 2022, 2021 and January 1, 2021,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 of each reporting period. The Group’s deferred revenue was $192,935 and nil as of January 1, 2022 and 2021, respectively. The revenue recognized for the year end December 31, 2022 and 2021 that was included in the contract liability balance at the beginning of the period were $173,852 and nil, respectively. All unsatisfied performance obligation will be performed within the next twelve months and no significant financing component is involved.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accounts receivable and deferred revenue, the Group had no other material contract assets or contract liabilities recorded on its consolidated balance sheets as of December 31, 2022 and 2021.</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     Costs of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mainly comprised of direct labor costs, service fee paid to service suppliers, commission cost and generic cost.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    Income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December 31, 2022 and 2021. Thus, management decided to record all of the valuation allowance. Valuation allowance amounted to $238,081 and $30,974 as of December 31, 2022 and 2021, respectively. While the Group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did not accrue any liability, interest or penalties related to uncertain tax positions in its provision for income taxes line of its consolidated statements of income for the years ended December 31, 2022 and 2021, respectively. The Company will recognize interest and penalties, if any, related to unrecognized tax benefits on the income tax expense line in the accompanying consolidated statement of operations. Accrued interest and penalties will be included on the related tax liability line in the consolidated balance sheet.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expect that its assessment regarding unrecognized tax positions will materially change over the next 12 months.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     Goods and services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products and services sold in the Singapore are subject to a goods and services tax (“GST”). The products and services sold to the customers outside of Singapore are not subject to a GST. GST taxes are presented as a reduction of revenue. The GST are based on gross sales price. GST rate is generally 7% in Singapore. Entities that are GST general taxpayers are allowed to offset qualified input GST paid to suppliers against their output GST liabilities. Net GST balance between input GST and output GST is recorded in tax payable.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   Employee benefits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full-time employees of the Group are entitled to the government mandated defined contribution plan. The Group is required to accrue and pay for these benefits based on certain percentages of the employees’ respective salaries, subject to certain ceilings, in accordance with the relevant government regulations, and make cash contributions to the government mandated defined contribution plan. Total expenses for the plans were $78,445 and $38,526 for the years ended December 31, 2022 and 2021, respectively.</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    Foreign currency transactions and translations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of foreign currencies into US$1 have been made at the following exchange rates for the respective periods:</w:t>
      </w:r>
    </w:p>
    <w:tbl>
      <w:tblPr>
        <w:tblW w:w="7091" w:type="dxa"/>
        <w:jc w:val="left"/>
        <w:tblInd w:w="0" w:type="dxa"/>
        <w:tblLayout w:type="fixed"/>
        <w:tblCellMar>
          <w:top w:w="0" w:type="dxa"/>
          <w:left w:w="0" w:type="dxa"/>
          <w:bottom w:w="0" w:type="dxa"/>
          <w:right w:w="0" w:type="dxa"/>
        </w:tblCellMar>
      </w:tblPr>
      <w:tblGrid>
        <w:gridCol w:w="4831"/>
        <w:gridCol w:w="146"/>
        <w:gridCol w:w="940"/>
        <w:gridCol w:w="179"/>
        <w:gridCol w:w="995"/>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4"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79"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sheet items, except for equity accounts</w:t>
            </w:r>
          </w:p>
        </w:tc>
        <w:tc>
          <w:tcPr>
            <w:tcW w:w="146"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1.3404</w:t>
            </w:r>
          </w:p>
        </w:tc>
        <w:tc>
          <w:tcPr>
            <w:tcW w:w="179"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1.3520</w:t>
            </w:r>
          </w:p>
        </w:tc>
      </w:tr>
    </w:tbl>
    <w:tbl>
      <w:tblPr>
        <w:tblW w:w="10205" w:type="dxa"/>
        <w:jc w:val="left"/>
        <w:tblInd w:w="0" w:type="dxa"/>
        <w:tblLayout w:type="fixed"/>
        <w:tblCellMar>
          <w:top w:w="0" w:type="dxa"/>
          <w:left w:w="0" w:type="dxa"/>
          <w:bottom w:w="0" w:type="dxa"/>
          <w:right w:w="0" w:type="dxa"/>
        </w:tblCellMar>
      </w:tblPr>
      <w:tblGrid>
        <w:gridCol w:w="7876"/>
        <w:gridCol w:w="146"/>
        <w:gridCol w:w="970"/>
        <w:gridCol w:w="184"/>
        <w:gridCol w:w="1029"/>
      </w:tblGrid>
      <w:tr>
        <w:trPr/>
        <w:tc>
          <w:tcPr>
            <w:tcW w:w="78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8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7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84" w:type="dxa"/>
            <w:tcBorders/>
            <w:vAlign w:val="bottom"/>
          </w:tcPr>
          <w:p>
            <w:pPr>
              <w:pStyle w:val="TableContents"/>
              <w:bidi w:val="0"/>
              <w:spacing w:before="0" w:after="283"/>
              <w:jc w:val="left"/>
              <w:rPr/>
            </w:pPr>
            <w:r>
              <w:rPr/>
              <w:t> </w:t>
            </w:r>
          </w:p>
        </w:tc>
        <w:tc>
          <w:tcPr>
            <w:tcW w:w="102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Items in the statements of income and comprehensive income, and statements of cash flows</w:t>
            </w:r>
          </w:p>
        </w:tc>
        <w:tc>
          <w:tcPr>
            <w:tcW w:w="146"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1.3787</w:t>
            </w:r>
          </w:p>
        </w:tc>
        <w:tc>
          <w:tcPr>
            <w:tcW w:w="184"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1.3438</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    Comprehensive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Comprehensive income consists of two components, net income and other comprehensive income. The foreign currency translation gain or loss resulting from translation of the financial statements expressed in SGD to USD is reported in other comprehensive income in the consolidated statements of income and comprehensive income.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    Loss/income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loss/income per share is computed by dividing net loss/income attributable to ordinary shareholders, taking into consideration the deemed dividends to preferred shareholders (if any), by the weighted average number of ordinary shares outstanding during the year using the two-class method. Under the two-class method, net loss/income is allocated between ordinary shares and other participating securities based on their participating rights. Shares issuable for little to no consideration upon the satisfaction of certain conditions are considered as outstanding shares and included in the computation of basic loss/income per share as of the date that all necessary conditions have been satisfied. Net loss/income are not allocated to other participating securities if based on their contractual terms they are not obligated to share the losses.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loss/income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are not included in the denominator of the diluted loss per share calculation when inclusion of such share would be anti-dilutive. There were no dilutive ordinary share equivalents outstanding during the fiscal years ended December 31, 2022 and 2021.</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    Segment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uses the management approach in determining its operating segments. The Group’s chief operating decision maker (“CODM”) identified as the Group’s Chief Executive Officer, relies upon the consolidated results of operations as a whole when making decisions about allocating resources and assessing the performance of the Group. As a result of the assessment made by CODM, the Group has only one reportable segment. The Group does not distinguish between markets or segments for the purpose of internal reporting. As all of the Group’s revenues were generated from customers in SG, no geographical segments are presented.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     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     Recent accounting pronouncements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The Group does not opt out of extended transition period for complying with any new or revised financial accounting standards. Therefore, the Group’s financial statements may not be comparable to companies that comply with public company effective dates.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June 2016, the FASB issued ASU No. 2016-13, “Financial Instruments — Credit Losses (Topic 326)”, which will require the measurement of all expected credit losses for financial assets held at the reporting date based on historical experience, current conditions, and reasonable and supportable forecasts. Subsequently, the FASB issued ASU No. 2018-19, Codification Improvements to Topic 326, to clarify that receivables arising from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leases are within the scope of lease accounting standards. Further, the FASB issued ASU No. 2020-04, ASU 2020-05, ASU 2020-10, ASU 2020-11 and ASU 2021-02 to provide additional guidance on the credit losses standard. For all other entities, the amendments for ASU 2016-13 are effective for fiscal years beginning after December 15, 2022, including interim periods within those fiscal years, with early adoption permitted. Adoption of the ASUs is on a modified retrospective basis. The Group will adopt ASU 2016-13 from January 1, 2023. The Group is in the process of evaluating the effect of the adoption of this ASU.</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balance sheets, statements of income and comprehensive income and statements of cash flows.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consisted of the following:</w:t>
      </w:r>
    </w:p>
    <w:tbl>
      <w:tblPr>
        <w:tblW w:w="5697" w:type="dxa"/>
        <w:jc w:val="left"/>
        <w:tblInd w:w="0" w:type="dxa"/>
        <w:tblLayout w:type="fixed"/>
        <w:tblCellMar>
          <w:top w:w="0" w:type="dxa"/>
          <w:left w:w="0" w:type="dxa"/>
          <w:bottom w:w="0" w:type="dxa"/>
          <w:right w:w="0" w:type="dxa"/>
        </w:tblCellMar>
      </w:tblPr>
      <w:tblGrid>
        <w:gridCol w:w="3256"/>
        <w:gridCol w:w="146"/>
        <w:gridCol w:w="226"/>
        <w:gridCol w:w="766"/>
        <w:gridCol w:w="146"/>
        <w:gridCol w:w="226"/>
        <w:gridCol w:w="931"/>
      </w:tblGrid>
      <w:tr>
        <w:trPr/>
        <w:tc>
          <w:tcPr>
            <w:tcW w:w="32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32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recorded nil bad debt expense for the years ended December 31, 2022 and 2021.</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PREPAID EXPENSES AND OTHER CURRENT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current assets consisted of the following:</w:t>
      </w:r>
    </w:p>
    <w:tbl>
      <w:tblPr>
        <w:tblW w:w="7272" w:type="dxa"/>
        <w:jc w:val="left"/>
        <w:tblInd w:w="0" w:type="dxa"/>
        <w:tblLayout w:type="fixed"/>
        <w:tblCellMar>
          <w:top w:w="0" w:type="dxa"/>
          <w:left w:w="0" w:type="dxa"/>
          <w:bottom w:w="0" w:type="dxa"/>
          <w:right w:w="0" w:type="dxa"/>
        </w:tblCellMar>
      </w:tblPr>
      <w:tblGrid>
        <w:gridCol w:w="4831"/>
        <w:gridCol w:w="146"/>
        <w:gridCol w:w="226"/>
        <w:gridCol w:w="886"/>
        <w:gridCol w:w="146"/>
        <w:gridCol w:w="226"/>
        <w:gridCol w:w="811"/>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8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66,719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4,697</w:t>
            </w:r>
          </w:p>
        </w:tc>
      </w:tr>
      <w:tr>
        <w:trPr/>
        <w:tc>
          <w:tcPr>
            <w:tcW w:w="48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prepayment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32,538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8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42,594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25,173</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prepaid expenses and other current assets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PROPERTY AND EQUIPMENT,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consisted of the following:</w:t>
      </w:r>
    </w:p>
    <w:tbl>
      <w:tblPr>
        <w:tblW w:w="7377" w:type="dxa"/>
        <w:jc w:val="left"/>
        <w:tblInd w:w="0" w:type="dxa"/>
        <w:tblLayout w:type="fixed"/>
        <w:tblCellMar>
          <w:top w:w="0" w:type="dxa"/>
          <w:left w:w="0" w:type="dxa"/>
          <w:bottom w:w="0" w:type="dxa"/>
          <w:right w:w="0" w:type="dxa"/>
        </w:tblCellMar>
      </w:tblPr>
      <w:tblGrid>
        <w:gridCol w:w="4936"/>
        <w:gridCol w:w="146"/>
        <w:gridCol w:w="226"/>
        <w:gridCol w:w="886"/>
        <w:gridCol w:w="146"/>
        <w:gridCol w:w="226"/>
        <w:gridCol w:w="811"/>
      </w:tblGrid>
      <w:tr>
        <w:trPr/>
        <w:tc>
          <w:tcPr>
            <w:tcW w:w="49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Vehicle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22,091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21,901</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electric equipment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47,531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6,858</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59,822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24,231</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129,444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52,990</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 and amortization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22,726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106,718</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47,659</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PROPERTY AND EQUIPMENT, NET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were $16,867 and $5,363 for the years ended December 31, 2022 and 2021,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did not record any impairment charge for the years ended December 31, 2022 and 2021.</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ACCRUED EXPENSES AND OTHER CURRENT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 consisted of the following:</w:t>
      </w:r>
    </w:p>
    <w:tbl>
      <w:tblPr>
        <w:tblW w:w="7572" w:type="dxa"/>
        <w:jc w:val="left"/>
        <w:tblInd w:w="0" w:type="dxa"/>
        <w:tblLayout w:type="fixed"/>
        <w:tblCellMar>
          <w:top w:w="0" w:type="dxa"/>
          <w:left w:w="0" w:type="dxa"/>
          <w:bottom w:w="0" w:type="dxa"/>
          <w:right w:w="0" w:type="dxa"/>
        </w:tblCellMar>
      </w:tblPr>
      <w:tblGrid>
        <w:gridCol w:w="5131"/>
        <w:gridCol w:w="146"/>
        <w:gridCol w:w="226"/>
        <w:gridCol w:w="886"/>
        <w:gridCol w:w="146"/>
        <w:gridCol w:w="226"/>
        <w:gridCol w:w="811"/>
      </w:tblGrid>
      <w:tr>
        <w:trPr/>
        <w:tc>
          <w:tcPr>
            <w:tcW w:w="51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51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GST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23,386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23,774</w:t>
            </w:r>
          </w:p>
        </w:tc>
      </w:tr>
      <w:tr>
        <w:trPr/>
        <w:tc>
          <w:tcPr>
            <w:tcW w:w="5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120,185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30,904</w:t>
            </w:r>
          </w:p>
        </w:tc>
      </w:tr>
      <w:tr>
        <w:trPr/>
        <w:tc>
          <w:tcPr>
            <w:tcW w:w="5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payables(1)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160,159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5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accrued expenses and other current liabilities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303,730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54,678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mainly consisted of reimbursement payable to employees and miscellaneous fees payable to third parties.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SUBSCRIPTION FEES ADVANCE FROM A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has received $499,990 (reflected as $524,560 at year end due to exchange rate) from Stone Wealth in advance on July 5, 2022 and recognized as equity when the Group complete its reorganization and by issuing 24,795,000 Class B Ordinary Shares on July 4, 2023.</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LEASES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lease cost recognized in the Group’s consolidated and combined statements of operations and comprehensive loss is as follows:</w:t>
      </w:r>
    </w:p>
    <w:tbl>
      <w:tblPr>
        <w:tblW w:w="8292" w:type="dxa"/>
        <w:jc w:val="left"/>
        <w:tblInd w:w="0" w:type="dxa"/>
        <w:tblLayout w:type="fixed"/>
        <w:tblCellMar>
          <w:top w:w="0" w:type="dxa"/>
          <w:left w:w="0" w:type="dxa"/>
          <w:bottom w:w="0" w:type="dxa"/>
          <w:right w:w="0" w:type="dxa"/>
        </w:tblCellMar>
      </w:tblPr>
      <w:tblGrid>
        <w:gridCol w:w="5851"/>
        <w:gridCol w:w="146"/>
        <w:gridCol w:w="226"/>
        <w:gridCol w:w="886"/>
        <w:gridCol w:w="146"/>
        <w:gridCol w:w="226"/>
        <w:gridCol w:w="811"/>
      </w:tblGrid>
      <w:tr>
        <w:trPr/>
        <w:tc>
          <w:tcPr>
            <w:tcW w:w="58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5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leases cost excluding short-term rental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151,752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8,335</w:t>
            </w:r>
          </w:p>
        </w:tc>
      </w:tr>
      <w:tr>
        <w:trPr/>
        <w:tc>
          <w:tcPr>
            <w:tcW w:w="5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 cost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14,883</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153,565</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23,218</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the weighted average remaining lease term was 4.53 years and 1.50 years, respectively, and the weighted average discount rate was 5.0% and 2.5% for the Group’s operating leases, respectively.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LEASES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maturity of lease liabilities under operating leases as of December 31, 2022:</w:t>
      </w:r>
    </w:p>
    <w:tbl>
      <w:tblPr>
        <w:tblW w:w="5294" w:type="dxa"/>
        <w:jc w:val="left"/>
        <w:tblInd w:w="0" w:type="dxa"/>
        <w:tblLayout w:type="fixed"/>
        <w:tblCellMar>
          <w:top w:w="0" w:type="dxa"/>
          <w:left w:w="0" w:type="dxa"/>
          <w:bottom w:w="0" w:type="dxa"/>
          <w:right w:w="0" w:type="dxa"/>
        </w:tblCellMar>
      </w:tblPr>
      <w:tblGrid>
        <w:gridCol w:w="3676"/>
        <w:gridCol w:w="146"/>
        <w:gridCol w:w="226"/>
        <w:gridCol w:w="1246"/>
      </w:tblGrid>
      <w:tr>
        <w:trPr/>
        <w:tc>
          <w:tcPr>
            <w:tcW w:w="36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 ending December 31,</w:t>
            </w:r>
          </w:p>
        </w:tc>
        <w:tc>
          <w:tcPr>
            <w:tcW w:w="146"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Operating </w:t>
              <w:br/>
              <w:t>Leases</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345,255</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227,798</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lease payments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1,649,507</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181,521</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1,467,986</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277,699</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portion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1,190,287</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TAXATION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incorporated in the Cayman Islands. Under the current laws of the Cayman Islands, the Company is not subject to income or capital gains taxes. In addition, dividend payments are not subject to withholdings tax in the Cayman Islands.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Pte. Ltd. and Quality Zone Technologies Pte. Ltd. are located in Singapore and are subject to 17% statutory income tax rate with respect to the profit generated from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tax provision consisted of the following components:</w:t>
      </w:r>
    </w:p>
    <w:tbl>
      <w:tblPr>
        <w:tblW w:w="6416" w:type="dxa"/>
        <w:jc w:val="left"/>
        <w:tblInd w:w="0" w:type="dxa"/>
        <w:tblLayout w:type="fixed"/>
        <w:tblCellMar>
          <w:top w:w="0" w:type="dxa"/>
          <w:left w:w="0" w:type="dxa"/>
          <w:bottom w:w="0" w:type="dxa"/>
          <w:right w:w="0" w:type="dxa"/>
        </w:tblCellMar>
      </w:tblPr>
      <w:tblGrid>
        <w:gridCol w:w="4006"/>
        <w:gridCol w:w="146"/>
        <w:gridCol w:w="249"/>
        <w:gridCol w:w="712"/>
        <w:gridCol w:w="160"/>
        <w:gridCol w:w="249"/>
        <w:gridCol w:w="894"/>
      </w:tblGrid>
      <w:tr>
        <w:trPr/>
        <w:tc>
          <w:tcPr>
            <w:tcW w:w="40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6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4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60" w:type="dxa"/>
            <w:tcBorders/>
            <w:vAlign w:val="bottom"/>
          </w:tcPr>
          <w:p>
            <w:pPr>
              <w:pStyle w:val="TableContents"/>
              <w:bidi w:val="0"/>
              <w:spacing w:before="0" w:after="283"/>
              <w:jc w:val="left"/>
              <w:rPr/>
            </w:pPr>
            <w:r>
              <w:rPr/>
              <w:t> </w:t>
            </w:r>
          </w:p>
        </w:tc>
        <w:tc>
          <w:tcPr>
            <w:tcW w:w="114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income tax expenses</w:t>
            </w:r>
          </w:p>
        </w:tc>
        <w:tc>
          <w:tcPr>
            <w:tcW w:w="14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r>
      <w:tr>
        <w:trPr/>
        <w:tc>
          <w:tcPr>
            <w:tcW w:w="4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tax (benefit) expenses</w:t>
            </w:r>
          </w:p>
        </w:tc>
        <w:tc>
          <w:tcPr>
            <w:tcW w:w="146"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0"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income tax expenses</w:t>
            </w:r>
          </w:p>
        </w:tc>
        <w:tc>
          <w:tcPr>
            <w:tcW w:w="146" w:type="dxa"/>
            <w:tcBorders/>
            <w:shd w:fill="CCEEFF" w:val="clear"/>
            <w:vAlign w:val="bottom"/>
          </w:tcPr>
          <w:p>
            <w:pPr>
              <w:pStyle w:val="TableContents"/>
              <w:bidi w:val="0"/>
              <w:spacing w:before="0" w:after="283"/>
              <w:jc w:val="left"/>
              <w:rPr/>
            </w:pPr>
            <w:r>
              <w:rPr/>
              <w:t> </w:t>
            </w:r>
          </w:p>
        </w:tc>
        <w:tc>
          <w:tcPr>
            <w:tcW w:w="24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60" w:type="dxa"/>
            <w:tcBorders/>
            <w:shd w:fill="CCEEFF" w:val="clear"/>
            <w:vAlign w:val="bottom"/>
          </w:tcPr>
          <w:p>
            <w:pPr>
              <w:pStyle w:val="TableContents"/>
              <w:bidi w:val="0"/>
              <w:spacing w:before="0" w:after="283"/>
              <w:jc w:val="left"/>
              <w:rPr/>
            </w:pPr>
            <w:r>
              <w:rPr/>
              <w:t> </w:t>
            </w:r>
          </w:p>
        </w:tc>
        <w:tc>
          <w:tcPr>
            <w:tcW w:w="24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TAXATION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between the Group’s actual provision for income taxes and the provision at the SG, mainland statutory rate is as follows:</w:t>
      </w:r>
    </w:p>
    <w:tbl>
      <w:tblPr>
        <w:tblW w:w="8594" w:type="dxa"/>
        <w:jc w:val="left"/>
        <w:tblInd w:w="0" w:type="dxa"/>
        <w:tblLayout w:type="fixed"/>
        <w:tblCellMar>
          <w:top w:w="0" w:type="dxa"/>
          <w:left w:w="0" w:type="dxa"/>
          <w:bottom w:w="0" w:type="dxa"/>
          <w:right w:w="0" w:type="dxa"/>
        </w:tblCellMar>
      </w:tblPr>
      <w:tblGrid>
        <w:gridCol w:w="5251"/>
        <w:gridCol w:w="146"/>
        <w:gridCol w:w="226"/>
        <w:gridCol w:w="1141"/>
        <w:gridCol w:w="286"/>
        <w:gridCol w:w="146"/>
        <w:gridCol w:w="226"/>
        <w:gridCol w:w="841"/>
        <w:gridCol w:w="331"/>
      </w:tblGrid>
      <w:tr>
        <w:trPr/>
        <w:tc>
          <w:tcPr>
            <w:tcW w:w="52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9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52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39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before income taxes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 computed at statutory EIT rate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(191,198</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9,862</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Reconciling items: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Non-taxable 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(1,411</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1,398</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201,092</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31,163</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Singapore tax rebate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(5,410</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(12,967</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tax rates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the significant components of the deferred tax assets are summarized below:</w:t>
      </w:r>
    </w:p>
    <w:tbl>
      <w:tblPr>
        <w:tblW w:w="8519" w:type="dxa"/>
        <w:jc w:val="left"/>
        <w:tblInd w:w="0" w:type="dxa"/>
        <w:tblLayout w:type="fixed"/>
        <w:tblCellMar>
          <w:top w:w="0" w:type="dxa"/>
          <w:left w:w="0" w:type="dxa"/>
          <w:bottom w:w="0" w:type="dxa"/>
          <w:right w:w="0" w:type="dxa"/>
        </w:tblCellMar>
      </w:tblPr>
      <w:tblGrid>
        <w:gridCol w:w="5371"/>
        <w:gridCol w:w="146"/>
        <w:gridCol w:w="241"/>
        <w:gridCol w:w="1081"/>
        <w:gridCol w:w="196"/>
        <w:gridCol w:w="146"/>
        <w:gridCol w:w="241"/>
        <w:gridCol w:w="856"/>
        <w:gridCol w:w="241"/>
      </w:tblGrid>
      <w:tr>
        <w:trPr/>
        <w:tc>
          <w:tcPr>
            <w:tcW w:w="53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3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 carried forward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164,313</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249,558</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6,214</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111,191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32,798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 gross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525,062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39,012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(238,081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(30,974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 net of valuation allowance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286,981</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8,038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(22,686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(253,994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(286,981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(8,038</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Deferred tax assets (liability)</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roll forward of valuation allowances of deferred tax assets were as follows:</w:t>
      </w:r>
    </w:p>
    <w:tbl>
      <w:tblPr>
        <w:tblW w:w="6748" w:type="dxa"/>
        <w:jc w:val="left"/>
        <w:tblInd w:w="0" w:type="dxa"/>
        <w:tblLayout w:type="fixed"/>
        <w:tblCellMar>
          <w:top w:w="0" w:type="dxa"/>
          <w:left w:w="0" w:type="dxa"/>
          <w:bottom w:w="0" w:type="dxa"/>
          <w:right w:w="0" w:type="dxa"/>
        </w:tblCellMar>
      </w:tblPr>
      <w:tblGrid>
        <w:gridCol w:w="4126"/>
        <w:gridCol w:w="146"/>
        <w:gridCol w:w="226"/>
        <w:gridCol w:w="886"/>
        <w:gridCol w:w="146"/>
        <w:gridCol w:w="226"/>
        <w:gridCol w:w="766"/>
        <w:gridCol w:w="226"/>
      </w:tblGrid>
      <w:tr>
        <w:trPr/>
        <w:tc>
          <w:tcPr>
            <w:tcW w:w="4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7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beginning of year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30,974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 of valuation allowance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201,092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31,163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end of year</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238,081</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30,974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TAXATION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Uncertain tax positions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evaluates each uncertain tax position (including the potential application of interest and penalties) based on the technical merits, and measure the unrecognized benefits associated with the tax positions. As of December 31, 2022 and 2021, the Group did not have any significant unrecognized uncertain tax positions. The Group did not incur interest and penalties tax for the years ended December 31, 2022 and 2021. As of December 31, 2022, the tax years ended December 31, 2018 to 2022 for the Group’s Singapore subsidiaries remain open for statutory examination by any applicable tax authorities.</w:t>
      </w:r>
    </w:p>
    <w:p>
      <w:pPr>
        <w:pStyle w:val="TextBody"/>
        <w:keepNext w:val="true"/>
        <w:pageBreakBefore w:val="false"/>
        <w:widowControl/>
        <w:pBdr/>
        <w:bidi w:val="0"/>
        <w:spacing w:before="20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BORROWINGS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summary of the borrowings is as following:</w:t>
      </w:r>
    </w:p>
    <w:tbl>
      <w:tblPr>
        <w:tblW w:w="13642" w:type="dxa"/>
        <w:jc w:val="left"/>
        <w:tblInd w:w="0" w:type="dxa"/>
        <w:tblLayout w:type="fixed"/>
        <w:tblCellMar>
          <w:top w:w="0" w:type="dxa"/>
          <w:left w:w="0" w:type="dxa"/>
          <w:bottom w:w="0" w:type="dxa"/>
          <w:right w:w="0" w:type="dxa"/>
        </w:tblCellMar>
      </w:tblPr>
      <w:tblGrid>
        <w:gridCol w:w="3496"/>
        <w:gridCol w:w="146"/>
        <w:gridCol w:w="545"/>
        <w:gridCol w:w="281"/>
        <w:gridCol w:w="146"/>
        <w:gridCol w:w="1651"/>
        <w:gridCol w:w="146"/>
        <w:gridCol w:w="1651"/>
        <w:gridCol w:w="146"/>
        <w:gridCol w:w="931"/>
        <w:gridCol w:w="146"/>
        <w:gridCol w:w="901"/>
        <w:gridCol w:w="146"/>
        <w:gridCol w:w="1126"/>
        <w:gridCol w:w="146"/>
        <w:gridCol w:w="781"/>
        <w:gridCol w:w="146"/>
        <w:gridCol w:w="1111"/>
      </w:tblGrid>
      <w:tr>
        <w:trPr/>
        <w:tc>
          <w:tcPr>
            <w:tcW w:w="34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As of December 31, </w:t>
              <w:br/>
              <w:t>2022</w:t>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As of December 31, </w:t>
              <w:br/>
              <w:t>2021</w:t>
            </w:r>
          </w:p>
        </w:tc>
      </w:tr>
      <w:tr>
        <w:trPr/>
        <w:tc>
          <w:tcPr>
            <w:tcW w:w="3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Bank and other financial institution</w:t>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Annual </w:t>
              <w:br/>
              <w:t xml:space="preserve">Interest </w:t>
              <w:br/>
              <w:t>Rate</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Start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Maturity</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Principal</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w:t>
              <w:br/>
              <w:t>term</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Long-term </w:t>
              <w:br/>
              <w:t xml:space="preserve">(current </w:t>
              <w:br/>
              <w:t>portions)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w:t>
              <w:br/>
              <w:t>term</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Long-term </w:t>
              <w:br/>
              <w:t xml:space="preserve">(current </w:t>
              <w:br/>
              <w:t>portions)</w:t>
            </w:r>
          </w:p>
        </w:tc>
      </w:tr>
      <w:tr>
        <w:trPr/>
        <w:tc>
          <w:tcPr>
            <w:tcW w:w="3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r>
      <w:tr>
        <w:trPr/>
        <w:tc>
          <w:tcPr>
            <w:tcW w:w="3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OCBC Bank</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w:t>
            </w:r>
          </w:p>
        </w:tc>
        <w:tc>
          <w:tcPr>
            <w:tcW w:w="2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2021</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2026</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22,189</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10,043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14,372</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4,304</w:t>
            </w:r>
          </w:p>
        </w:tc>
      </w:tr>
      <w:tr>
        <w:trPr/>
        <w:tc>
          <w:tcPr>
            <w:tcW w:w="3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OCBC Bank</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4.25</w:t>
            </w:r>
          </w:p>
        </w:tc>
        <w:tc>
          <w:tcPr>
            <w:tcW w:w="2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2021</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2026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25,888</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5,046</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19,968</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4,796</w:t>
            </w:r>
          </w:p>
        </w:tc>
      </w:tr>
      <w:tr>
        <w:trPr/>
        <w:tc>
          <w:tcPr>
            <w:tcW w:w="3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UOB Bank</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w:t>
            </w:r>
          </w:p>
        </w:tc>
        <w:tc>
          <w:tcPr>
            <w:tcW w:w="2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2022</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2027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373,023</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256,862</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70,622</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Maybank Singapore Limited</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w:t>
            </w:r>
          </w:p>
        </w:tc>
        <w:tc>
          <w:tcPr>
            <w:tcW w:w="2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2022</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2027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298,418</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216,573</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55,243</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4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719,518</w:t>
            </w:r>
          </w:p>
        </w:tc>
        <w:tc>
          <w:tcPr>
            <w:tcW w:w="146" w:type="dxa"/>
            <w:tcBorders/>
            <w:shd w:fill="CCEEFF" w:val="clear"/>
            <w:vAlign w:val="bottom"/>
          </w:tcPr>
          <w:p>
            <w:pPr>
              <w:pStyle w:val="TableContents"/>
              <w:bidi w:val="0"/>
              <w:spacing w:before="0" w:after="283"/>
              <w:jc w:val="left"/>
              <w:rPr/>
            </w:pPr>
            <w:r>
              <w:rPr/>
              <w:t> </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498,572</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135,360</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34,340</w:t>
            </w:r>
          </w:p>
        </w:tc>
        <w:tc>
          <w:tcPr>
            <w:tcW w:w="146" w:type="dxa"/>
            <w:tcBorders/>
            <w:shd w:fill="CCEEFF" w:val="clear"/>
            <w:vAlign w:val="bottom"/>
          </w:tcPr>
          <w:p>
            <w:pPr>
              <w:pStyle w:val="TableContents"/>
              <w:bidi w:val="0"/>
              <w:spacing w:before="0" w:after="283"/>
              <w:jc w:val="left"/>
              <w:rPr/>
            </w:pPr>
            <w:r>
              <w:rPr/>
              <w:t> </w:t>
            </w:r>
          </w:p>
        </w:tc>
        <w:tc>
          <w:tcPr>
            <w:tcW w:w="11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9,100</w:t>
            </w:r>
          </w:p>
        </w:tc>
      </w:tr>
    </w:tbl>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expenses were $17,813 and $745 for the years ended December 31, 2022 and 2021, respectively.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borrowings above are guaranteed by the Group’s shareholders, Poh Kiong Tan.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Debt Maturities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contractual maturities of the Group’s borrowings as of December 31, 2022 were as follows:</w:t>
      </w:r>
    </w:p>
    <w:tbl>
      <w:tblPr>
        <w:tblW w:w="2729" w:type="dxa"/>
        <w:jc w:val="left"/>
        <w:tblInd w:w="0" w:type="dxa"/>
        <w:tblLayout w:type="fixed"/>
        <w:tblCellMar>
          <w:top w:w="0" w:type="dxa"/>
          <w:left w:w="0" w:type="dxa"/>
          <w:bottom w:w="0" w:type="dxa"/>
          <w:right w:w="0" w:type="dxa"/>
        </w:tblCellMar>
      </w:tblPr>
      <w:tblGrid>
        <w:gridCol w:w="1426"/>
        <w:gridCol w:w="146"/>
        <w:gridCol w:w="226"/>
        <w:gridCol w:w="931"/>
      </w:tblGrid>
      <w:tr>
        <w:trPr/>
        <w:tc>
          <w:tcPr>
            <w:tcW w:w="142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1 year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135,360</w:t>
            </w:r>
          </w:p>
        </w:tc>
      </w:tr>
      <w:tr>
        <w:trPr/>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 2 years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141,403</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 3 years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147,713</w:t>
            </w:r>
          </w:p>
        </w:tc>
      </w:tr>
      <w:tr>
        <w:trPr/>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 4 years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148,901</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 5 years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60,555</w:t>
            </w:r>
          </w:p>
        </w:tc>
      </w:tr>
      <w:tr>
        <w:trPr/>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633,932</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Other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consisted of the following:</w:t>
      </w:r>
    </w:p>
    <w:tbl>
      <w:tblPr>
        <w:tblW w:w="9177" w:type="dxa"/>
        <w:jc w:val="left"/>
        <w:tblInd w:w="0" w:type="dxa"/>
        <w:tblLayout w:type="fixed"/>
        <w:tblCellMar>
          <w:top w:w="0" w:type="dxa"/>
          <w:left w:w="0" w:type="dxa"/>
          <w:bottom w:w="0" w:type="dxa"/>
          <w:right w:w="0" w:type="dxa"/>
        </w:tblCellMar>
      </w:tblPr>
      <w:tblGrid>
        <w:gridCol w:w="6616"/>
        <w:gridCol w:w="146"/>
        <w:gridCol w:w="226"/>
        <w:gridCol w:w="886"/>
        <w:gridCol w:w="146"/>
        <w:gridCol w:w="226"/>
        <w:gridCol w:w="931"/>
      </w:tblGrid>
      <w:tr>
        <w:trPr/>
        <w:tc>
          <w:tcPr>
            <w:tcW w:w="661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1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r>
      <w:tr>
        <w:trPr/>
        <w:tc>
          <w:tcPr>
            <w:tcW w:w="66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subsidies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75,371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73,888</w:t>
            </w:r>
          </w:p>
        </w:tc>
      </w:tr>
      <w:tr>
        <w:trPr/>
        <w:tc>
          <w:tcPr>
            <w:tcW w:w="6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Non-refundable service fee from terminated consulting projects(1)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50,047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Referral commission(2)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75,633</w:t>
            </w:r>
          </w:p>
        </w:tc>
      </w:tr>
      <w:tr>
        <w:trPr/>
        <w:tc>
          <w:tcPr>
            <w:tcW w:w="6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6,699</w:t>
            </w:r>
          </w:p>
        </w:tc>
      </w:tr>
      <w:tr>
        <w:trPr/>
        <w:tc>
          <w:tcPr>
            <w:tcW w:w="6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136,576</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156,220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Pursuant to sales contracts, the Group has the right to terminate the project in the situation of non-payment from customers for up to two or four weeks from the billed invoice due date and no refund will be provided to customers. The Group record the received projects fees as other income when the project has been determined as terminated.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Group record referral fees as other income when other consulting services providers successfully engaged by customer and paid the Group referral fee.</w:t>
      </w:r>
    </w:p>
    <w:p>
      <w:pPr>
        <w:pStyle w:val="TextBody"/>
        <w:keepNext w:val="true"/>
        <w:pageBreakBefore w:val="false"/>
        <w:widowControl/>
        <w:pBdr/>
        <w:bidi w:val="0"/>
        <w:spacing w:before="20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RELATED PARTY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list of related parties which the Group has transactions with:</w:t>
      </w:r>
    </w:p>
    <w:tbl>
      <w:tblPr>
        <w:tblW w:w="8500" w:type="dxa"/>
        <w:jc w:val="left"/>
        <w:tblInd w:w="0" w:type="dxa"/>
        <w:tblLayout w:type="fixed"/>
        <w:tblCellMar>
          <w:top w:w="0" w:type="dxa"/>
          <w:left w:w="0" w:type="dxa"/>
          <w:bottom w:w="0" w:type="dxa"/>
          <w:right w:w="0" w:type="dxa"/>
        </w:tblCellMar>
      </w:tblPr>
      <w:tblGrid>
        <w:gridCol w:w="526"/>
        <w:gridCol w:w="146"/>
        <w:gridCol w:w="2911"/>
        <w:gridCol w:w="146"/>
        <w:gridCol w:w="4771"/>
      </w:tblGrid>
      <w:tr>
        <w:trPr/>
        <w:tc>
          <w:tcPr>
            <w:tcW w:w="5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w:t>
            </w:r>
          </w:p>
        </w:tc>
        <w:tc>
          <w:tcPr>
            <w:tcW w:w="146" w:type="dxa"/>
            <w:tcBorders/>
            <w:vAlign w:val="bottom"/>
          </w:tcPr>
          <w:p>
            <w:pPr>
              <w:pStyle w:val="TableContents"/>
              <w:bidi w:val="0"/>
              <w:spacing w:before="0" w:after="283"/>
              <w:jc w:val="left"/>
              <w:rPr/>
            </w:pPr>
            <w:r>
              <w:rPr/>
              <w:t> </w:t>
            </w:r>
          </w:p>
        </w:tc>
        <w:tc>
          <w:tcPr>
            <w:tcW w:w="29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Related Parties</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 with the Group</w:t>
            </w:r>
          </w:p>
        </w:tc>
      </w:tr>
      <w:tr>
        <w:trPr/>
        <w:tc>
          <w:tcPr>
            <w:tcW w:w="52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Founder, Chairman, Chief Executive Officer</w:t>
            </w:r>
          </w:p>
        </w:tc>
      </w:tr>
      <w:tr>
        <w:trPr/>
        <w:tc>
          <w:tcPr>
            <w:tcW w:w="52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r>
        <w:trPr/>
        <w:tc>
          <w:tcPr>
            <w:tcW w:w="52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Consultancy Pte. Ltd.</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equity interests owned by Soon Huat Lim</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to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 consisted of the following for the periods indicated:</w:t>
      </w:r>
    </w:p>
    <w:tbl>
      <w:tblPr>
        <w:tblW w:w="5862" w:type="dxa"/>
        <w:jc w:val="left"/>
        <w:tblInd w:w="0" w:type="dxa"/>
        <w:tblLayout w:type="fixed"/>
        <w:tblCellMar>
          <w:top w:w="0" w:type="dxa"/>
          <w:left w:w="0" w:type="dxa"/>
          <w:bottom w:w="0" w:type="dxa"/>
          <w:right w:w="0" w:type="dxa"/>
        </w:tblCellMar>
      </w:tblPr>
      <w:tblGrid>
        <w:gridCol w:w="3196"/>
        <w:gridCol w:w="146"/>
        <w:gridCol w:w="241"/>
        <w:gridCol w:w="991"/>
        <w:gridCol w:w="146"/>
        <w:gridCol w:w="241"/>
        <w:gridCol w:w="901"/>
      </w:tblGrid>
      <w:tr>
        <w:trPr/>
        <w:tc>
          <w:tcPr>
            <w:tcW w:w="31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2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31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Tan(1)</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11,491</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63,753</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Lim(2)</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Consultancy Pte. Ltd.(3)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513,280</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526,263</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63,753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represented loan from this related party for the Group’s daily operation with no fixed term of repayment and interest, and expense paid on behalf of the Group.</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 represented loan from this related party.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balance represented interest-free loan from this related party for the Group’s daily operation at maturity within three months, offset by loan to this related party.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0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RELATED PARTY TRANSACTIONS </w:t>
      </w:r>
      <w:r>
        <w:rPr>
          <w:rFonts w:ascii="Times New Roman PS Std;serif" w:hAnsi="Times New Roman PS Std;serif"/>
          <w:b w:val="false"/>
          <w:i w:val="false"/>
          <w:caps w:val="false"/>
          <w:smallCaps w:val="false"/>
          <w:sz w:val="20"/>
        </w:rPr>
        <w:t>(cont.)</w:t>
      </w:r>
    </w:p>
    <w:tbl>
      <w:tblPr>
        <w:tblW w:w="6852" w:type="dxa"/>
        <w:jc w:val="left"/>
        <w:tblInd w:w="0" w:type="dxa"/>
        <w:tblLayout w:type="fixed"/>
        <w:tblCellMar>
          <w:top w:w="0" w:type="dxa"/>
          <w:left w:w="0" w:type="dxa"/>
          <w:bottom w:w="0" w:type="dxa"/>
          <w:right w:w="0" w:type="dxa"/>
        </w:tblCellMar>
      </w:tblPr>
      <w:tblGrid>
        <w:gridCol w:w="4411"/>
        <w:gridCol w:w="146"/>
        <w:gridCol w:w="226"/>
        <w:gridCol w:w="886"/>
        <w:gridCol w:w="146"/>
        <w:gridCol w:w="226"/>
        <w:gridCol w:w="811"/>
      </w:tblGrid>
      <w:tr>
        <w:trPr/>
        <w:tc>
          <w:tcPr>
            <w:tcW w:w="4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Related party transactions</w:t>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4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Nature</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Poh Kiong Tan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87,039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44,650</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 party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87,039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22,325</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paid on behalf of the Group</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26,897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43,376</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Soon Huat Lim</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Deemed dividend(2)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Trident Consultancy Pte. Ltd.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 party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152,318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660,043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from loan to a related party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21,760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the year ended December 31, 2022, QZT received contribution from Poh Kiong Tan. The contribution was implemented to reduce the outstanding balance due to Poh Kiong Tan by $36,266.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year ended December 31, 2022, QZT declared dividend to Soon Huat Lim.</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established as an exempted company under the laws of Cayman Islands on June 12, 2023. The authorized number of Ordinary Shares was 5,000,000,000 with par value of $0.00001 per share, of which, 1,000,000,000 are designated as Class A Ordinary Shares and 4,000,000,000 are designated as Class B Ordinary Shares. The Company issued 410,205,000 shares to the shareholders at par value $0.00001 per share, among which, 50,000,000 Class A ordinary shares and 360,205,000 Class B ordinary shares issued and outstanding as of December 31, 2022 and 2021, respectively. The Company has retroactively restated all shares and per share data for all periods presented.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Class A Ordinary Shares and Class B Ordinary Shares have the same rights except for voting and conversion rights. In respect of matters requiring a shareholder vote, each holder of Class A Ordinary Shares will be entitled to sixty votes per one Class A Ordinary Share and each holder of Class B Ordinary Shares will be entitled to one vote per one Class B Ordinary Share. Each Class A Ordinary Share shall be convertible into one fully paid and non-assessable Class B Ordinary Share at the option of the Class A Holder at any time upon written notice to the transfer agent of the Company. In no event shall Class B Ordinary Shares be convertible into Class A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subscription receivable on the consolidated balance sheets represented the unrecovered consideration of the nil and 410,205,000 ordinary shares issued by the Company.</w:t>
      </w:r>
    </w:p>
    <w:p>
      <w:pPr>
        <w:pStyle w:val="TextBody"/>
        <w:keepNext w:val="true"/>
        <w:pageBreakBefore w:val="false"/>
        <w:widowControl/>
        <w:pBdr/>
        <w:bidi w:val="0"/>
        <w:spacing w:before="20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CONCENTRATION OF CREDIT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0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CONCENTRATION OF CREDIT RISK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single customers who represented 10% or more of the Group’s total revenue.</w:t>
      </w:r>
    </w:p>
    <w:tbl>
      <w:tblPr>
        <w:tblW w:w="6281" w:type="dxa"/>
        <w:jc w:val="left"/>
        <w:tblInd w:w="0" w:type="dxa"/>
        <w:tblLayout w:type="fixed"/>
        <w:tblCellMar>
          <w:top w:w="0" w:type="dxa"/>
          <w:left w:w="0" w:type="dxa"/>
          <w:bottom w:w="0" w:type="dxa"/>
          <w:right w:w="0" w:type="dxa"/>
        </w:tblCellMar>
      </w:tblPr>
      <w:tblGrid>
        <w:gridCol w:w="4021"/>
        <w:gridCol w:w="146"/>
        <w:gridCol w:w="880"/>
        <w:gridCol w:w="217"/>
        <w:gridCol w:w="518"/>
        <w:gridCol w:w="499"/>
      </w:tblGrid>
      <w:tr>
        <w:trPr/>
        <w:tc>
          <w:tcPr>
            <w:tcW w:w="4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4"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17" w:type="dxa"/>
            <w:tcBorders/>
            <w:vAlign w:val="bottom"/>
          </w:tcPr>
          <w:p>
            <w:pPr>
              <w:pStyle w:val="TableContents"/>
              <w:bidi w:val="0"/>
              <w:spacing w:before="0" w:after="283"/>
              <w:jc w:val="left"/>
              <w:rPr/>
            </w:pPr>
            <w:r>
              <w:rPr/>
              <w:t> </w:t>
            </w:r>
          </w:p>
        </w:tc>
        <w:tc>
          <w:tcPr>
            <w:tcW w:w="10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the Group’s total revenue</w:t>
            </w:r>
          </w:p>
        </w:tc>
        <w:tc>
          <w:tcPr>
            <w:tcW w:w="146"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vAlign w:val="bottom"/>
          </w:tcPr>
          <w:p>
            <w:pPr>
              <w:pStyle w:val="TableContents"/>
              <w:bidi w:val="0"/>
              <w:spacing w:before="0" w:after="283"/>
              <w:jc w:val="left"/>
              <w:rPr/>
            </w:pPr>
            <w:r>
              <w:rPr/>
              <w:t> </w:t>
            </w:r>
          </w:p>
        </w:tc>
        <w:tc>
          <w:tcPr>
            <w:tcW w:w="8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7" w:type="dxa"/>
            <w:tcBorders/>
            <w:vAlign w:val="bottom"/>
          </w:tcPr>
          <w:p>
            <w:pPr>
              <w:pStyle w:val="TableContents"/>
              <w:bidi w:val="0"/>
              <w:spacing w:before="0" w:after="283"/>
              <w:jc w:val="left"/>
              <w:rPr/>
            </w:pPr>
            <w:r>
              <w:rPr/>
              <w:t> </w:t>
            </w:r>
          </w:p>
        </w:tc>
        <w:tc>
          <w:tcPr>
            <w:tcW w:w="51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9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7"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9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88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7" w:type="dxa"/>
            <w:tcBorders/>
            <w:vAlign w:val="bottom"/>
          </w:tcPr>
          <w:p>
            <w:pPr>
              <w:pStyle w:val="TableContents"/>
              <w:bidi w:val="0"/>
              <w:spacing w:before="0" w:after="283"/>
              <w:jc w:val="left"/>
              <w:rPr/>
            </w:pPr>
            <w:r>
              <w:rPr/>
              <w:t> </w:t>
            </w:r>
          </w:p>
        </w:tc>
        <w:tc>
          <w:tcPr>
            <w:tcW w:w="51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49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Represent percentage less than 10%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single customers who represented 10% or more of the Group’s total accounts receivable:</w:t>
      </w:r>
    </w:p>
    <w:tbl>
      <w:tblPr>
        <w:tblW w:w="6925" w:type="dxa"/>
        <w:jc w:val="left"/>
        <w:tblInd w:w="0" w:type="dxa"/>
        <w:tblLayout w:type="fixed"/>
        <w:tblCellMar>
          <w:top w:w="0" w:type="dxa"/>
          <w:left w:w="0" w:type="dxa"/>
          <w:bottom w:w="0" w:type="dxa"/>
          <w:right w:w="0" w:type="dxa"/>
        </w:tblCellMar>
      </w:tblPr>
      <w:tblGrid>
        <w:gridCol w:w="4666"/>
        <w:gridCol w:w="146"/>
        <w:gridCol w:w="502"/>
        <w:gridCol w:w="415"/>
        <w:gridCol w:w="212"/>
        <w:gridCol w:w="502"/>
        <w:gridCol w:w="482"/>
      </w:tblGrid>
      <w:tr>
        <w:trPr/>
        <w:tc>
          <w:tcPr>
            <w:tcW w:w="46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6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12" w:type="dxa"/>
            <w:tcBorders/>
            <w:vAlign w:val="bottom"/>
          </w:tcPr>
          <w:p>
            <w:pPr>
              <w:pStyle w:val="TableContents"/>
              <w:bidi w:val="0"/>
              <w:spacing w:before="0" w:after="283"/>
              <w:jc w:val="left"/>
              <w:rPr/>
            </w:pPr>
            <w:r>
              <w:rPr/>
              <w:t> </w:t>
            </w:r>
          </w:p>
        </w:tc>
        <w:tc>
          <w:tcPr>
            <w:tcW w:w="98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the Group’s accounts receivable</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1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2"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48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8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2"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8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8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E</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41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2"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F</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41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50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41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2" w:type="dxa"/>
            <w:tcBorders/>
            <w:vAlign w:val="bottom"/>
          </w:tcPr>
          <w:p>
            <w:pPr>
              <w:pStyle w:val="TableContents"/>
              <w:bidi w:val="0"/>
              <w:spacing w:before="0" w:after="283"/>
              <w:jc w:val="left"/>
              <w:rPr/>
            </w:pPr>
            <w:r>
              <w:rPr/>
              <w:t> </w:t>
            </w:r>
          </w:p>
        </w:tc>
        <w:tc>
          <w:tcPr>
            <w:tcW w:w="50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48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COMMITMENTS AND CONTINGENCIES</w:t>
      </w:r>
    </w:p>
    <w:p>
      <w:pPr>
        <w:pStyle w:val="TextBody"/>
        <w:keepNext w:val="true"/>
        <w:pageBreakBefore w:val="false"/>
        <w:widowControl/>
        <w:pBdr/>
        <w:bidi w:val="0"/>
        <w:spacing w:before="16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SUBSEQUENT EVENTS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After this transaction, Soon Tai Lee became a shareholder of the Group and Soon Huat Lim still remain as ultimate controller of the Group. The Group has collected the consideration on January 26, 2023.</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After this transaction, Yat Hong Lo became a shareholder of the Group and Soon Huat Lim still remain as ultimate controller of the Group. The Group has collected all the consideration on June 16, 2023.</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evaluated subsequent events through the date of issuance of the consolidated financial statements, except for the events mentioned above the Group did not identify any subsequent events with material financial impact on the Group’s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NOT REQUIRED IN PROSPECTUS</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6. INDEMNIFICATION OF DIRECTORS AND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post-offering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form of indemnification agreements filed as Exhibit 10.2 to this registration statement, we will agree to indemnify our directors and executive officers against certain liabilities and expenses incurred by such persons in connection with claims made by reason of their being such a director or executive officer.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form of underwriting agreement to be filed as Exhibit 1.1 to this registration statement will also provide indemnification for us and our officers and directors for certain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7. RECENT SALES OF UNREGISTERED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past three years, we have issued the following securities. We believe that each of the following issuances was exempt from registration under the Securities Act pursuant to Section 4(a)(2) of the Securities Act regarding transactions not involving a public offering or in reliance on Regulation S under the Securities Act regarding sales by an issuer in offshore transactions. No underwriters were involved in these issuances of securities.</w:t>
      </w:r>
    </w:p>
    <w:tbl>
      <w:tblPr>
        <w:tblW w:w="10205" w:type="dxa"/>
        <w:jc w:val="left"/>
        <w:tblInd w:w="0" w:type="dxa"/>
        <w:tblLayout w:type="fixed"/>
        <w:tblCellMar>
          <w:top w:w="0" w:type="dxa"/>
          <w:left w:w="0" w:type="dxa"/>
          <w:bottom w:w="0" w:type="dxa"/>
          <w:right w:w="0" w:type="dxa"/>
        </w:tblCellMar>
      </w:tblPr>
      <w:tblGrid>
        <w:gridCol w:w="4660"/>
        <w:gridCol w:w="146"/>
        <w:gridCol w:w="1361"/>
        <w:gridCol w:w="146"/>
        <w:gridCol w:w="2123"/>
        <w:gridCol w:w="146"/>
        <w:gridCol w:w="1623"/>
      </w:tblGrid>
      <w:tr>
        <w:trPr/>
        <w:tc>
          <w:tcPr>
            <w:tcW w:w="46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Securities/Purchaser</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Date of </w:t>
              <w:br/>
              <w:t>Issuance</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Securities</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Consideration</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Ordinary Shares</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left"/>
              <w:rPr/>
            </w:pPr>
            <w:r>
              <w:rPr/>
              <w:t> </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Sertus Nominees (Cayman) Limited</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0.00001</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Ltd</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49,999,999</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US$ 499.99999</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B Ordinary Shares</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left"/>
              <w:rPr/>
            </w:pPr>
            <w:r>
              <w:rPr/>
              <w:t> </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Group Holdings Ltd</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150,000,000</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1,500</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 Wealth Ltd</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125,705,000</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1,257.05</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Tai Lee</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75,000,000</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3,000,000</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Yat Hong Lo</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25,000,000</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4,000,000</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Stone Wealth Compound Fund SPC</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24,795,000</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499,990</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Alpha Plus Investment Consulting Company Pte. Ltd.</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24,500,000</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245</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100</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Shisong Mai</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100</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Verse Ltd</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5,000,000</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50</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8. EXHIBITS AND FINANCIAL STATEMENT SCHEDULES.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Exhibits: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Exhibit Index beginning on page II-4 of this registration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Financial Statement Schedules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Schedules have been omitted because the information required to be set forth therein is not applicable or is shown in the consolidated financial statements and the related notes thereto.</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9. UNDERTAKINGS.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 to file a post-effective amendment to the registration statement to include any financial statements required by Item 8.A of Form 20-F at the start of any delayed offering or throughout a continuous offering.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Any other communication that is an offer in the offering made by the undersigned registrant to the purchaser.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960" w:right="0" w:hanging="96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r>
    </w:p>
    <w:p>
      <w:pPr>
        <w:pStyle w:val="TextBody"/>
        <w:keepNext w:val="true"/>
        <w:pageBreakBefore w:val="false"/>
        <w:widowControl/>
        <w:pBdr/>
        <w:bidi w:val="0"/>
        <w:spacing w:before="240" w:after="283"/>
        <w:ind w:left="48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tbl>
      <w:tblPr>
        <w:tblW w:w="10205" w:type="dxa"/>
        <w:jc w:val="left"/>
        <w:tblInd w:w="0" w:type="dxa"/>
        <w:tblLayout w:type="fixed"/>
        <w:tblCellMar>
          <w:top w:w="0" w:type="dxa"/>
          <w:left w:w="0" w:type="dxa"/>
          <w:bottom w:w="0" w:type="dxa"/>
          <w:right w:w="0" w:type="dxa"/>
        </w:tblCellMar>
      </w:tblPr>
      <w:tblGrid>
        <w:gridCol w:w="1404"/>
        <w:gridCol w:w="146"/>
        <w:gridCol w:w="8655"/>
      </w:tblGrid>
      <w:tr>
        <w:trPr/>
        <w:tc>
          <w:tcPr>
            <w:tcW w:w="14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Number</w:t>
            </w:r>
          </w:p>
        </w:tc>
        <w:tc>
          <w:tcPr>
            <w:tcW w:w="146" w:type="dxa"/>
            <w:tcBorders/>
            <w:vAlign w:val="bottom"/>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 of Documents</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Underwriting Agreement</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Memorandum and Articles of Association of the Registrant, as currently in effect</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Amended and Restated Memorandum and Articles of Association of the Registrant, as effective immediately prior to the completion of this offering</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Registrant’s Specimen American Depositary Receipt (included in Exhibit 4.3)</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Registrant’s Specimen Certificate for Class B ordinary shares</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Deposit Agreement between the Registrant, the depositary and holders of the American Depositary Receipts</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Maples and Calder (Hong Kong) LLP regarding the validity of the Class B ordinary shares being registered</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Maples and Calder (Hong Kong) LLP regarding certain Cayman Island tax matters (included in Exhibit 5.1)</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Opinion of Resource Law LLC (in alliance with Reed Smith) regarding certain Singapore tax matters </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Indemnification Agreement between the Registrant and its directors and executive officers</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Employment Agreement, between the Registrant and its executive officers</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 Equity Incentive Plan</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Subsidiaries of the Registrant</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Marcum Asia CPAs LLP, Independent Registered Public Accounting Firm</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Maples and Calder (Hong Kong) LLP (included in Exhibit 5.1)</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Resource Law LLC (in alliance with Reed Smith) (included in Exhibit 8.2)</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Powers of Attorney (included on signature page)</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Code of Business Conduct and Ethics of the Registrant </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Frost &amp; Sullivan</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To be filed by amendment</w:t>
      </w:r>
    </w:p>
    <w:p>
      <w:pPr>
        <w:pStyle w:val="TextBody"/>
        <w:keepNext w:val="false"/>
        <w:pageBreakBefore w:val="false"/>
        <w:widowControl/>
        <w:pBdr/>
        <w:bidi w:val="0"/>
        <w:spacing w:before="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Previously filed.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Singapore, on [            ], 2023.</w:t>
      </w:r>
    </w:p>
    <w:tbl>
      <w:tblPr>
        <w:tblW w:w="4056" w:type="dxa"/>
        <w:jc w:val="left"/>
        <w:tblInd w:w="0" w:type="dxa"/>
        <w:tblLayout w:type="fixed"/>
        <w:tblCellMar>
          <w:top w:w="0" w:type="dxa"/>
          <w:left w:w="0" w:type="dxa"/>
          <w:bottom w:w="0" w:type="dxa"/>
          <w:right w:w="0" w:type="dxa"/>
        </w:tblCellMar>
      </w:tblPr>
      <w:tblGrid>
        <w:gridCol w:w="161"/>
        <w:gridCol w:w="146"/>
        <w:gridCol w:w="1158"/>
        <w:gridCol w:w="401"/>
        <w:gridCol w:w="2190"/>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49" w:type="dxa"/>
            <w:gridSpan w:val="3"/>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401" w:type="dxa"/>
            <w:tcBorders/>
            <w:vAlign w:val="bottom"/>
          </w:tcPr>
          <w:p>
            <w:pPr>
              <w:pStyle w:val="TableContents"/>
              <w:bidi w:val="0"/>
              <w:spacing w:before="0" w:after="283"/>
              <w:jc w:val="left"/>
              <w:rPr/>
            </w:pPr>
            <w:r>
              <w:rPr/>
              <w:t> </w:t>
            </w:r>
          </w:p>
        </w:tc>
        <w:tc>
          <w:tcPr>
            <w:tcW w:w="2190"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2190"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2190"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OF ATTORNEY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person whose signature appears below constitutes and appoints [            ] and [            ] as attorneys-in-fact with full power of substitution, for him or her in any and all capacities, to do any and all acts and all things and to execute any and all instruments which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this Registration Statement has been signed by the following persons in the capacities and on the dates indicated.</w:t>
      </w:r>
    </w:p>
    <w:tbl>
      <w:tblPr>
        <w:tblW w:w="6400" w:type="dxa"/>
        <w:jc w:val="left"/>
        <w:tblInd w:w="0" w:type="dxa"/>
        <w:tblLayout w:type="fixed"/>
        <w:tblCellMar>
          <w:top w:w="0" w:type="dxa"/>
          <w:left w:w="0" w:type="dxa"/>
          <w:bottom w:w="0" w:type="dxa"/>
          <w:right w:w="0" w:type="dxa"/>
        </w:tblCellMar>
      </w:tblPr>
      <w:tblGrid>
        <w:gridCol w:w="1696"/>
        <w:gridCol w:w="146"/>
        <w:gridCol w:w="3061"/>
        <w:gridCol w:w="146"/>
        <w:gridCol w:w="1351"/>
      </w:tblGrid>
      <w:tr>
        <w:trPr/>
        <w:tc>
          <w:tcPr>
            <w:tcW w:w="16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30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1696" w:type="dxa"/>
            <w:tcBorders/>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306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tcPr>
          <w:p>
            <w:pPr>
              <w:pStyle w:val="TableContents"/>
              <w:bidi w:val="0"/>
              <w:spacing w:before="0" w:after="283"/>
              <w:jc w:val="left"/>
              <w:rPr/>
            </w:pPr>
            <w:r>
              <w:rPr/>
              <w:t> </w:t>
            </w:r>
          </w:p>
        </w:tc>
        <w:tc>
          <w:tcPr>
            <w:tcW w:w="1351" w:type="dxa"/>
            <w:tcBorders/>
          </w:tcPr>
          <w:p>
            <w:pPr>
              <w:pStyle w:val="TableContents"/>
              <w:keepNext w:val="false"/>
              <w:widowControl/>
              <w:pBdr/>
              <w:bidi w:val="0"/>
              <w:spacing w:before="16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 2023</w:t>
            </w:r>
          </w:p>
        </w:tc>
      </w:tr>
      <w:tr>
        <w:trPr/>
        <w:tc>
          <w:tcPr>
            <w:tcW w:w="169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            ]</w:t>
            </w:r>
          </w:p>
        </w:tc>
        <w:tc>
          <w:tcPr>
            <w:tcW w:w="146" w:type="dxa"/>
            <w:tcBorders/>
          </w:tcPr>
          <w:p>
            <w:pPr>
              <w:pStyle w:val="TableContents"/>
              <w:bidi w:val="0"/>
              <w:spacing w:before="0" w:after="283"/>
              <w:jc w:val="left"/>
              <w:rPr/>
            </w:pPr>
            <w:r>
              <w:rPr/>
              <w:t> </w:t>
            </w:r>
          </w:p>
        </w:tc>
        <w:tc>
          <w:tcPr>
            <w:tcW w:w="30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executive officer)</w:t>
            </w:r>
          </w:p>
        </w:tc>
        <w:tc>
          <w:tcPr>
            <w:tcW w:w="146" w:type="dxa"/>
            <w:tcBorders/>
          </w:tcPr>
          <w:p>
            <w:pPr>
              <w:pStyle w:val="TableContents"/>
              <w:bidi w:val="0"/>
              <w:spacing w:before="0" w:after="283"/>
              <w:jc w:val="left"/>
              <w:rPr/>
            </w:pPr>
            <w:r>
              <w:rPr/>
              <w:t> </w:t>
            </w:r>
          </w:p>
        </w:tc>
        <w:tc>
          <w:tcPr>
            <w:tcW w:w="1351" w:type="dxa"/>
            <w:tcBorders/>
          </w:tcPr>
          <w:p>
            <w:pPr>
              <w:pStyle w:val="TableContents"/>
              <w:bidi w:val="0"/>
              <w:spacing w:before="0" w:after="283"/>
              <w:jc w:val="left"/>
              <w:rPr/>
            </w:pPr>
            <w:r>
              <w:rPr/>
              <w:t> </w:t>
            </w:r>
          </w:p>
        </w:tc>
      </w:tr>
      <w:tr>
        <w:trPr/>
        <w:tc>
          <w:tcPr>
            <w:tcW w:w="1696" w:type="dxa"/>
            <w:tcBorders/>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306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tcPr>
          <w:p>
            <w:pPr>
              <w:pStyle w:val="TableContents"/>
              <w:bidi w:val="0"/>
              <w:spacing w:before="0" w:after="283"/>
              <w:jc w:val="left"/>
              <w:rPr/>
            </w:pPr>
            <w:r>
              <w:rPr/>
              <w:t> </w:t>
            </w:r>
          </w:p>
        </w:tc>
        <w:tc>
          <w:tcPr>
            <w:tcW w:w="1351" w:type="dxa"/>
            <w:tcBorders/>
          </w:tcPr>
          <w:p>
            <w:pPr>
              <w:pStyle w:val="TableContents"/>
              <w:bidi w:val="0"/>
              <w:spacing w:before="0" w:after="283"/>
              <w:jc w:val="left"/>
              <w:rPr/>
            </w:pPr>
            <w:r>
              <w:rPr/>
              <w:t> </w:t>
            </w:r>
          </w:p>
        </w:tc>
      </w:tr>
      <w:tr>
        <w:trPr/>
        <w:tc>
          <w:tcPr>
            <w:tcW w:w="169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            ]</w:t>
            </w:r>
          </w:p>
        </w:tc>
        <w:tc>
          <w:tcPr>
            <w:tcW w:w="146" w:type="dxa"/>
            <w:tcBorders/>
          </w:tcPr>
          <w:p>
            <w:pPr>
              <w:pStyle w:val="TableContents"/>
              <w:bidi w:val="0"/>
              <w:spacing w:before="0" w:after="283"/>
              <w:jc w:val="left"/>
              <w:rPr/>
            </w:pPr>
            <w:r>
              <w:rPr/>
              <w:t> </w:t>
            </w:r>
          </w:p>
        </w:tc>
        <w:tc>
          <w:tcPr>
            <w:tcW w:w="30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(principal financial officer and </w:t>
              <w:br/>
              <w:t>principal accounting officer)</w:t>
            </w:r>
          </w:p>
        </w:tc>
        <w:tc>
          <w:tcPr>
            <w:tcW w:w="146" w:type="dxa"/>
            <w:tcBorders/>
          </w:tcPr>
          <w:p>
            <w:pPr>
              <w:pStyle w:val="TableContents"/>
              <w:bidi w:val="0"/>
              <w:spacing w:before="0" w:after="283"/>
              <w:jc w:val="left"/>
              <w:rPr/>
            </w:pPr>
            <w:r>
              <w:rPr/>
              <w:t> </w:t>
            </w:r>
          </w:p>
        </w:tc>
        <w:tc>
          <w:tcPr>
            <w:tcW w:w="1351" w:type="dxa"/>
            <w:tcBorders/>
          </w:tcPr>
          <w:p>
            <w:pPr>
              <w:pStyle w:val="TableContents"/>
              <w:keepNext w:val="false"/>
              <w:widowControl/>
              <w:pBdr/>
              <w:bidi w:val="0"/>
              <w:spacing w:before="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 2023</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 OF AUTHORIZED REPRESENTATIVE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Securities Act of 1933, as amended, the undersigned, the duly authorized representative in the United States of Trident Digital Tech Holdings Ltd, has signed this registration statement or amendment thereto in [            ], United States on [            ], 2023.</w:t>
      </w:r>
    </w:p>
    <w:tbl>
      <w:tblPr>
        <w:tblW w:w="3907" w:type="dxa"/>
        <w:jc w:val="left"/>
        <w:tblInd w:w="0" w:type="dxa"/>
        <w:tblLayout w:type="fixed"/>
        <w:tblCellMar>
          <w:top w:w="0" w:type="dxa"/>
          <w:left w:w="0" w:type="dxa"/>
          <w:bottom w:w="0" w:type="dxa"/>
          <w:right w:w="0" w:type="dxa"/>
        </w:tblCellMar>
      </w:tblPr>
      <w:tblGrid>
        <w:gridCol w:w="161"/>
        <w:gridCol w:w="146"/>
        <w:gridCol w:w="1044"/>
        <w:gridCol w:w="421"/>
        <w:gridCol w:w="2135"/>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00" w:type="dxa"/>
            <w:gridSpan w:val="3"/>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U.S. Representative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421"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II-6</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151</Pages>
  <Words>85052</Words>
  <Characters>457929</Characters>
  <CharactersWithSpaces>546285</CharactersWithSpaces>
  <Paragraphs>6174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