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8"/>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24, 2026</w:t>
            </w: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Registration No. 333-</w:t>
            </w:r>
          </w:p>
        </w:tc>
      </w:tr>
      <w:tr>
        <w:trPr>
          <w:trHeight w:val="243"/>
        </w:trPr>
        <w:tc>
          <w:tcPr>
            <w:tcW w:w="94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r>
      <w:tr>
        <w:trPr>
          <w:trHeight w:val="20"/>
        </w:trPr>
        <w:tc>
          <w:tcPr>
            <w:tcW w:w="9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390"/>
        </w:trPr>
        <w:tc>
          <w:tcPr>
            <w:tcW w:w="9480" w:type="dxa"/>
            <w:vAlign w:val="bottom"/>
          </w:tcPr>
          <w:p>
            <w:pPr>
              <w:jc w:val="center"/>
              <w:ind w:left="1667"/>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1760" w:type="dxa"/>
            <w:vAlign w:val="bottom"/>
          </w:tcPr>
          <w:p>
            <w:pPr>
              <w:spacing w:after="0"/>
              <w:rPr>
                <w:sz w:val="24"/>
                <w:szCs w:val="24"/>
                <w:color w:val="auto"/>
              </w:rPr>
            </w:pPr>
          </w:p>
        </w:tc>
      </w:tr>
      <w:tr>
        <w:trPr>
          <w:trHeight w:val="216"/>
        </w:trPr>
        <w:tc>
          <w:tcPr>
            <w:tcW w:w="9480" w:type="dxa"/>
            <w:vAlign w:val="bottom"/>
          </w:tcPr>
          <w:p>
            <w:pPr>
              <w:jc w:val="center"/>
              <w:ind w:left="1687"/>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1760" w:type="dxa"/>
            <w:vAlign w:val="bottom"/>
          </w:tcPr>
          <w:p>
            <w:pPr>
              <w:spacing w:after="0"/>
              <w:rPr>
                <w:sz w:val="18"/>
                <w:szCs w:val="18"/>
                <w:color w:val="auto"/>
              </w:rPr>
            </w:pPr>
          </w:p>
        </w:tc>
      </w:tr>
      <w:tr>
        <w:trPr>
          <w:trHeight w:val="238"/>
        </w:trPr>
        <w:tc>
          <w:tcPr>
            <w:tcW w:w="9480" w:type="dxa"/>
            <w:vAlign w:val="bottom"/>
          </w:tcPr>
          <w:p>
            <w:pPr>
              <w:jc w:val="center"/>
              <w:ind w:left="1727"/>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w:t>
            </w:r>
          </w:p>
        </w:tc>
        <w:tc>
          <w:tcPr>
            <w:tcW w:w="1760" w:type="dxa"/>
            <w:vAlign w:val="bottom"/>
          </w:tcPr>
          <w:p>
            <w:pPr>
              <w:spacing w:after="0"/>
              <w:rPr>
                <w:sz w:val="20"/>
                <w:szCs w:val="20"/>
                <w:color w:val="auto"/>
              </w:rPr>
            </w:pPr>
          </w:p>
        </w:tc>
      </w:tr>
      <w:tr>
        <w:trPr>
          <w:trHeight w:val="410"/>
        </w:trPr>
        <w:tc>
          <w:tcPr>
            <w:tcW w:w="9480" w:type="dxa"/>
            <w:vAlign w:val="bottom"/>
          </w:tcPr>
          <w:p>
            <w:pPr>
              <w:jc w:val="center"/>
              <w:ind w:left="1687"/>
              <w:spacing w:after="0"/>
              <w:rPr>
                <w:sz w:val="20"/>
                <w:szCs w:val="20"/>
                <w:color w:val="auto"/>
              </w:rPr>
            </w:pPr>
            <w:r>
              <w:rPr>
                <w:rFonts w:ascii="Times New Roman" w:cs="Times New Roman" w:eastAsia="Times New Roman" w:hAnsi="Times New Roman"/>
                <w:sz w:val="18"/>
                <w:szCs w:val="18"/>
                <w:b w:val="1"/>
                <w:bCs w:val="1"/>
                <w:color w:val="auto"/>
              </w:rPr>
              <w:t>FORM F-6</w:t>
            </w:r>
          </w:p>
        </w:tc>
        <w:tc>
          <w:tcPr>
            <w:tcW w:w="1760" w:type="dxa"/>
            <w:vAlign w:val="bottom"/>
          </w:tcPr>
          <w:p>
            <w:pPr>
              <w:spacing w:after="0"/>
              <w:rPr>
                <w:sz w:val="24"/>
                <w:szCs w:val="24"/>
                <w:color w:val="auto"/>
              </w:rPr>
            </w:pPr>
          </w:p>
        </w:tc>
      </w:tr>
      <w:tr>
        <w:trPr>
          <w:trHeight w:val="216"/>
        </w:trPr>
        <w:tc>
          <w:tcPr>
            <w:tcW w:w="9480" w:type="dxa"/>
            <w:vAlign w:val="bottom"/>
          </w:tcPr>
          <w:p>
            <w:pPr>
              <w:jc w:val="center"/>
              <w:ind w:left="1687"/>
              <w:spacing w:after="0"/>
              <w:rPr>
                <w:sz w:val="20"/>
                <w:szCs w:val="20"/>
                <w:color w:val="auto"/>
              </w:rPr>
            </w:pPr>
            <w:r>
              <w:rPr>
                <w:rFonts w:ascii="Times New Roman" w:cs="Times New Roman" w:eastAsia="Times New Roman" w:hAnsi="Times New Roman"/>
                <w:sz w:val="18"/>
                <w:szCs w:val="18"/>
                <w:b w:val="1"/>
                <w:bCs w:val="1"/>
                <w:color w:val="auto"/>
                <w:w w:val="98"/>
              </w:rPr>
              <w:t>REGISTRATION STATEMENT</w:t>
            </w:r>
          </w:p>
        </w:tc>
        <w:tc>
          <w:tcPr>
            <w:tcW w:w="1760" w:type="dxa"/>
            <w:vAlign w:val="bottom"/>
          </w:tcPr>
          <w:p>
            <w:pPr>
              <w:spacing w:after="0"/>
              <w:rPr>
                <w:sz w:val="18"/>
                <w:szCs w:val="18"/>
                <w:color w:val="auto"/>
              </w:rPr>
            </w:pPr>
          </w:p>
        </w:tc>
      </w:tr>
      <w:tr>
        <w:trPr>
          <w:trHeight w:val="216"/>
        </w:trPr>
        <w:tc>
          <w:tcPr>
            <w:tcW w:w="9480" w:type="dxa"/>
            <w:vAlign w:val="bottom"/>
          </w:tcPr>
          <w:p>
            <w:pPr>
              <w:jc w:val="center"/>
              <w:ind w:left="1667"/>
              <w:spacing w:after="0"/>
              <w:rPr>
                <w:sz w:val="20"/>
                <w:szCs w:val="20"/>
                <w:color w:val="auto"/>
              </w:rPr>
            </w:pPr>
            <w:r>
              <w:rPr>
                <w:rFonts w:ascii="Times New Roman" w:cs="Times New Roman" w:eastAsia="Times New Roman" w:hAnsi="Times New Roman"/>
                <w:sz w:val="18"/>
                <w:szCs w:val="18"/>
                <w:b w:val="1"/>
                <w:bCs w:val="1"/>
                <w:color w:val="auto"/>
                <w:w w:val="99"/>
              </w:rPr>
              <w:t>UNDER</w:t>
            </w:r>
          </w:p>
        </w:tc>
        <w:tc>
          <w:tcPr>
            <w:tcW w:w="1760" w:type="dxa"/>
            <w:vAlign w:val="bottom"/>
          </w:tcPr>
          <w:p>
            <w:pPr>
              <w:spacing w:after="0"/>
              <w:rPr>
                <w:sz w:val="18"/>
                <w:szCs w:val="18"/>
                <w:color w:val="auto"/>
              </w:rPr>
            </w:pPr>
          </w:p>
        </w:tc>
      </w:tr>
      <w:tr>
        <w:trPr>
          <w:trHeight w:val="216"/>
        </w:trPr>
        <w:tc>
          <w:tcPr>
            <w:tcW w:w="9480" w:type="dxa"/>
            <w:vAlign w:val="bottom"/>
          </w:tcPr>
          <w:p>
            <w:pPr>
              <w:jc w:val="center"/>
              <w:ind w:left="1667"/>
              <w:spacing w:after="0"/>
              <w:rPr>
                <w:sz w:val="20"/>
                <w:szCs w:val="20"/>
                <w:color w:val="auto"/>
              </w:rPr>
            </w:pPr>
            <w:r>
              <w:rPr>
                <w:rFonts w:ascii="Times New Roman" w:cs="Times New Roman" w:eastAsia="Times New Roman" w:hAnsi="Times New Roman"/>
                <w:sz w:val="18"/>
                <w:szCs w:val="18"/>
                <w:b w:val="1"/>
                <w:bCs w:val="1"/>
                <w:color w:val="auto"/>
                <w:w w:val="99"/>
              </w:rPr>
              <w:t>THE SECURITIES ACT OF 1933 FOR AMERICAN DEPOSITARY SHARES EVIDENCED BY</w:t>
            </w:r>
          </w:p>
        </w:tc>
        <w:tc>
          <w:tcPr>
            <w:tcW w:w="1760" w:type="dxa"/>
            <w:vAlign w:val="bottom"/>
          </w:tcPr>
          <w:p>
            <w:pPr>
              <w:spacing w:after="0"/>
              <w:rPr>
                <w:sz w:val="18"/>
                <w:szCs w:val="18"/>
                <w:color w:val="auto"/>
              </w:rPr>
            </w:pPr>
          </w:p>
        </w:tc>
      </w:tr>
      <w:tr>
        <w:trPr>
          <w:trHeight w:val="216"/>
        </w:trPr>
        <w:tc>
          <w:tcPr>
            <w:tcW w:w="9480" w:type="dxa"/>
            <w:vAlign w:val="bottom"/>
          </w:tcPr>
          <w:p>
            <w:pPr>
              <w:jc w:val="center"/>
              <w:ind w:left="1667"/>
              <w:spacing w:after="0"/>
              <w:rPr>
                <w:sz w:val="20"/>
                <w:szCs w:val="20"/>
                <w:color w:val="auto"/>
              </w:rPr>
            </w:pPr>
            <w:r>
              <w:rPr>
                <w:rFonts w:ascii="Times New Roman" w:cs="Times New Roman" w:eastAsia="Times New Roman" w:hAnsi="Times New Roman"/>
                <w:sz w:val="18"/>
                <w:szCs w:val="18"/>
                <w:b w:val="1"/>
                <w:bCs w:val="1"/>
                <w:color w:val="auto"/>
                <w:w w:val="99"/>
              </w:rPr>
              <w:t>AMERICAN DEPOSITARY RECEIPTS</w:t>
            </w:r>
          </w:p>
        </w:tc>
        <w:tc>
          <w:tcPr>
            <w:tcW w:w="1760" w:type="dxa"/>
            <w:vAlign w:val="bottom"/>
          </w:tcPr>
          <w:p>
            <w:pPr>
              <w:spacing w:after="0"/>
              <w:rPr>
                <w:sz w:val="18"/>
                <w:szCs w:val="18"/>
                <w:color w:val="auto"/>
              </w:rPr>
            </w:pPr>
          </w:p>
        </w:tc>
      </w:tr>
      <w:tr>
        <w:trPr>
          <w:trHeight w:val="238"/>
        </w:trPr>
        <w:tc>
          <w:tcPr>
            <w:tcW w:w="9480" w:type="dxa"/>
            <w:vAlign w:val="bottom"/>
          </w:tcPr>
          <w:p>
            <w:pPr>
              <w:jc w:val="center"/>
              <w:ind w:left="1727"/>
              <w:spacing w:after="0"/>
              <w:rPr>
                <w:sz w:val="20"/>
                <w:szCs w:val="20"/>
                <w:color w:val="auto"/>
              </w:rPr>
            </w:pPr>
            <w:r>
              <w:rPr>
                <w:rFonts w:ascii="Times New Roman" w:cs="Times New Roman" w:eastAsia="Times New Roman" w:hAnsi="Times New Roman"/>
                <w:sz w:val="18"/>
                <w:szCs w:val="18"/>
                <w:b w:val="1"/>
                <w:bCs w:val="1"/>
                <w:color w:val="auto"/>
                <w:w w:val="99"/>
              </w:rPr>
              <w:t>_______________</w:t>
            </w:r>
          </w:p>
        </w:tc>
        <w:tc>
          <w:tcPr>
            <w:tcW w:w="1760" w:type="dxa"/>
            <w:vAlign w:val="bottom"/>
          </w:tcPr>
          <w:p>
            <w:pPr>
              <w:spacing w:after="0"/>
              <w:rPr>
                <w:sz w:val="20"/>
                <w:szCs w:val="20"/>
                <w:color w:val="auto"/>
              </w:rPr>
            </w:pPr>
          </w:p>
        </w:tc>
      </w:tr>
      <w:tr>
        <w:trPr>
          <w:trHeight w:val="562"/>
        </w:trPr>
        <w:tc>
          <w:tcPr>
            <w:tcW w:w="9480" w:type="dxa"/>
            <w:vAlign w:val="bottom"/>
          </w:tcPr>
          <w:p>
            <w:pPr>
              <w:jc w:val="center"/>
              <w:ind w:left="1667"/>
              <w:spacing w:after="0"/>
              <w:rPr>
                <w:sz w:val="20"/>
                <w:szCs w:val="20"/>
                <w:color w:val="auto"/>
              </w:rPr>
            </w:pPr>
            <w:r>
              <w:rPr>
                <w:rFonts w:ascii="Times New Roman" w:cs="Times New Roman" w:eastAsia="Times New Roman" w:hAnsi="Times New Roman"/>
                <w:sz w:val="32"/>
                <w:szCs w:val="32"/>
                <w:b w:val="1"/>
                <w:bCs w:val="1"/>
                <w:color w:val="auto"/>
              </w:rPr>
              <w:t>TRIDENT DIGITAL TECH HOLDINGS LTD</w:t>
            </w:r>
          </w:p>
        </w:tc>
        <w:tc>
          <w:tcPr>
            <w:tcW w:w="1760" w:type="dxa"/>
            <w:vAlign w:val="bottom"/>
          </w:tcPr>
          <w:p>
            <w:pPr>
              <w:spacing w:after="0"/>
              <w:rPr>
                <w:sz w:val="24"/>
                <w:szCs w:val="24"/>
                <w:color w:val="auto"/>
              </w:rPr>
            </w:pPr>
          </w:p>
        </w:tc>
      </w:tr>
      <w:tr>
        <w:trPr>
          <w:trHeight w:val="216"/>
        </w:trPr>
        <w:tc>
          <w:tcPr>
            <w:tcW w:w="9480" w:type="dxa"/>
            <w:vAlign w:val="bottom"/>
          </w:tcPr>
          <w:p>
            <w:pPr>
              <w:jc w:val="center"/>
              <w:ind w:left="1667"/>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tc>
        <w:tc>
          <w:tcPr>
            <w:tcW w:w="1760" w:type="dxa"/>
            <w:vAlign w:val="bottom"/>
          </w:tcPr>
          <w:p>
            <w:pPr>
              <w:spacing w:after="0"/>
              <w:rPr>
                <w:sz w:val="18"/>
                <w:szCs w:val="18"/>
                <w:color w:val="auto"/>
              </w:rPr>
            </w:pPr>
          </w:p>
        </w:tc>
      </w:tr>
      <w:tr>
        <w:trPr>
          <w:trHeight w:val="234"/>
        </w:trPr>
        <w:tc>
          <w:tcPr>
            <w:tcW w:w="9480" w:type="dxa"/>
            <w:vAlign w:val="bottom"/>
          </w:tcPr>
          <w:p>
            <w:pPr>
              <w:jc w:val="center"/>
              <w:ind w:left="1727"/>
              <w:spacing w:after="0"/>
              <w:rPr>
                <w:sz w:val="20"/>
                <w:szCs w:val="20"/>
                <w:color w:val="auto"/>
              </w:rPr>
            </w:pPr>
            <w:r>
              <w:rPr>
                <w:rFonts w:ascii="Times New Roman" w:cs="Times New Roman" w:eastAsia="Times New Roman" w:hAnsi="Times New Roman"/>
                <w:sz w:val="18"/>
                <w:szCs w:val="18"/>
                <w:color w:val="auto"/>
                <w:w w:val="99"/>
              </w:rPr>
              <w:t>_______________</w:t>
            </w:r>
          </w:p>
        </w:tc>
        <w:tc>
          <w:tcPr>
            <w:tcW w:w="1760" w:type="dxa"/>
            <w:vAlign w:val="bottom"/>
          </w:tcPr>
          <w:p>
            <w:pPr>
              <w:spacing w:after="0"/>
              <w:rPr>
                <w:sz w:val="20"/>
                <w:szCs w:val="20"/>
                <w:color w:val="auto"/>
              </w:rPr>
            </w:pPr>
          </w:p>
        </w:tc>
      </w:tr>
      <w:tr>
        <w:trPr>
          <w:trHeight w:val="414"/>
        </w:trPr>
        <w:tc>
          <w:tcPr>
            <w:tcW w:w="9480" w:type="dxa"/>
            <w:vAlign w:val="bottom"/>
          </w:tcPr>
          <w:p>
            <w:pPr>
              <w:jc w:val="center"/>
              <w:ind w:left="1667"/>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16"/>
        </w:trPr>
        <w:tc>
          <w:tcPr>
            <w:tcW w:w="9480" w:type="dxa"/>
            <w:vAlign w:val="bottom"/>
          </w:tcPr>
          <w:p>
            <w:pPr>
              <w:jc w:val="center"/>
              <w:ind w:left="1667"/>
              <w:spacing w:after="0"/>
              <w:rPr>
                <w:sz w:val="20"/>
                <w:szCs w:val="20"/>
                <w:color w:val="auto"/>
              </w:rPr>
            </w:pPr>
            <w:r>
              <w:rPr>
                <w:rFonts w:ascii="Times New Roman" w:cs="Times New Roman" w:eastAsia="Times New Roman" w:hAnsi="Times New Roman"/>
                <w:sz w:val="18"/>
                <w:szCs w:val="18"/>
                <w:color w:val="auto"/>
                <w:w w:val="99"/>
              </w:rPr>
              <w:t>(Translation of issuer’s name into English)</w:t>
            </w:r>
          </w:p>
        </w:tc>
        <w:tc>
          <w:tcPr>
            <w:tcW w:w="1760" w:type="dxa"/>
            <w:vAlign w:val="bottom"/>
          </w:tcPr>
          <w:p>
            <w:pPr>
              <w:spacing w:after="0"/>
              <w:rPr>
                <w:sz w:val="18"/>
                <w:szCs w:val="18"/>
                <w:color w:val="auto"/>
              </w:rPr>
            </w:pPr>
          </w:p>
        </w:tc>
      </w:tr>
      <w:tr>
        <w:trPr>
          <w:trHeight w:val="234"/>
        </w:trPr>
        <w:tc>
          <w:tcPr>
            <w:tcW w:w="9480" w:type="dxa"/>
            <w:vAlign w:val="bottom"/>
          </w:tcPr>
          <w:p>
            <w:pPr>
              <w:jc w:val="center"/>
              <w:ind w:left="1667"/>
              <w:spacing w:after="0"/>
              <w:rPr>
                <w:sz w:val="20"/>
                <w:szCs w:val="20"/>
                <w:color w:val="auto"/>
              </w:rPr>
            </w:pPr>
            <w:r>
              <w:rPr>
                <w:rFonts w:ascii="Times New Roman" w:cs="Times New Roman" w:eastAsia="Times New Roman" w:hAnsi="Times New Roman"/>
                <w:sz w:val="18"/>
                <w:szCs w:val="18"/>
                <w:color w:val="auto"/>
              </w:rPr>
              <w:t>_______________</w:t>
            </w:r>
          </w:p>
        </w:tc>
        <w:tc>
          <w:tcPr>
            <w:tcW w:w="1760" w:type="dxa"/>
            <w:vAlign w:val="bottom"/>
          </w:tcPr>
          <w:p>
            <w:pPr>
              <w:spacing w:after="0"/>
              <w:rPr>
                <w:sz w:val="20"/>
                <w:szCs w:val="20"/>
                <w:color w:val="auto"/>
              </w:rPr>
            </w:pPr>
          </w:p>
        </w:tc>
      </w:tr>
      <w:tr>
        <w:trPr>
          <w:trHeight w:val="410"/>
        </w:trPr>
        <w:tc>
          <w:tcPr>
            <w:tcW w:w="9480" w:type="dxa"/>
            <w:vAlign w:val="bottom"/>
          </w:tcPr>
          <w:p>
            <w:pPr>
              <w:jc w:val="center"/>
              <w:ind w:left="1667"/>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1760" w:type="dxa"/>
            <w:vAlign w:val="bottom"/>
          </w:tcPr>
          <w:p>
            <w:pPr>
              <w:spacing w:after="0"/>
              <w:rPr>
                <w:sz w:val="24"/>
                <w:szCs w:val="24"/>
                <w:color w:val="auto"/>
              </w:rPr>
            </w:pPr>
          </w:p>
        </w:tc>
      </w:tr>
      <w:tr>
        <w:trPr>
          <w:trHeight w:val="220"/>
        </w:trPr>
        <w:tc>
          <w:tcPr>
            <w:tcW w:w="9480" w:type="dxa"/>
            <w:vAlign w:val="bottom"/>
          </w:tcPr>
          <w:p>
            <w:pPr>
              <w:jc w:val="center"/>
              <w:ind w:left="1667"/>
              <w:spacing w:after="0"/>
              <w:rPr>
                <w:sz w:val="20"/>
                <w:szCs w:val="20"/>
                <w:color w:val="auto"/>
              </w:rPr>
            </w:pPr>
            <w:r>
              <w:rPr>
                <w:rFonts w:ascii="Times New Roman" w:cs="Times New Roman" w:eastAsia="Times New Roman" w:hAnsi="Times New Roman"/>
                <w:sz w:val="18"/>
                <w:szCs w:val="18"/>
                <w:color w:val="auto"/>
                <w:w w:val="99"/>
              </w:rPr>
              <w:t>(Jurisdiction of incorporation or organization of issuer</w:t>
            </w:r>
            <w:r>
              <w:rPr>
                <w:rFonts w:ascii="Times New Roman" w:cs="Times New Roman" w:eastAsia="Times New Roman" w:hAnsi="Times New Roman"/>
                <w:sz w:val="18"/>
                <w:szCs w:val="18"/>
                <w:b w:val="1"/>
                <w:bCs w:val="1"/>
                <w:color w:val="auto"/>
                <w:w w:val="99"/>
              </w:rPr>
              <w:t>)</w:t>
            </w:r>
          </w:p>
        </w:tc>
        <w:tc>
          <w:tcPr>
            <w:tcW w:w="1760" w:type="dxa"/>
            <w:vAlign w:val="bottom"/>
          </w:tcPr>
          <w:p>
            <w:pPr>
              <w:spacing w:after="0"/>
              <w:rPr>
                <w:sz w:val="19"/>
                <w:szCs w:val="19"/>
                <w:color w:val="auto"/>
              </w:rPr>
            </w:pPr>
          </w:p>
        </w:tc>
      </w:tr>
      <w:tr>
        <w:trPr>
          <w:trHeight w:val="234"/>
        </w:trPr>
        <w:tc>
          <w:tcPr>
            <w:tcW w:w="9480" w:type="dxa"/>
            <w:vAlign w:val="bottom"/>
          </w:tcPr>
          <w:p>
            <w:pPr>
              <w:jc w:val="center"/>
              <w:ind w:left="1727"/>
              <w:spacing w:after="0"/>
              <w:rPr>
                <w:sz w:val="20"/>
                <w:szCs w:val="20"/>
                <w:color w:val="auto"/>
              </w:rPr>
            </w:pPr>
            <w:r>
              <w:rPr>
                <w:rFonts w:ascii="Times New Roman" w:cs="Times New Roman" w:eastAsia="Times New Roman" w:hAnsi="Times New Roman"/>
                <w:sz w:val="18"/>
                <w:szCs w:val="18"/>
                <w:color w:val="auto"/>
                <w:w w:val="99"/>
              </w:rPr>
              <w:t>__________________________________</w:t>
            </w:r>
          </w:p>
        </w:tc>
        <w:tc>
          <w:tcPr>
            <w:tcW w:w="1760" w:type="dxa"/>
            <w:vAlign w:val="bottom"/>
          </w:tcPr>
          <w:p>
            <w:pPr>
              <w:spacing w:after="0"/>
              <w:rPr>
                <w:sz w:val="20"/>
                <w:szCs w:val="20"/>
                <w:color w:val="auto"/>
              </w:rPr>
            </w:pPr>
          </w:p>
        </w:tc>
      </w:tr>
      <w:tr>
        <w:trPr>
          <w:trHeight w:val="410"/>
        </w:trPr>
        <w:tc>
          <w:tcPr>
            <w:tcW w:w="9480" w:type="dxa"/>
            <w:vAlign w:val="bottom"/>
          </w:tcPr>
          <w:p>
            <w:pPr>
              <w:jc w:val="center"/>
              <w:ind w:left="1667"/>
              <w:spacing w:after="0"/>
              <w:rPr>
                <w:sz w:val="20"/>
                <w:szCs w:val="20"/>
                <w:color w:val="auto"/>
              </w:rPr>
            </w:pPr>
            <w:r>
              <w:rPr>
                <w:rFonts w:ascii="Times New Roman" w:cs="Times New Roman" w:eastAsia="Times New Roman" w:hAnsi="Times New Roman"/>
                <w:sz w:val="18"/>
                <w:szCs w:val="18"/>
                <w:b w:val="1"/>
                <w:bCs w:val="1"/>
                <w:color w:val="auto"/>
              </w:rPr>
              <w:t>CITIBANK, N.A.</w:t>
            </w:r>
          </w:p>
        </w:tc>
        <w:tc>
          <w:tcPr>
            <w:tcW w:w="1760" w:type="dxa"/>
            <w:vAlign w:val="bottom"/>
          </w:tcPr>
          <w:p>
            <w:pPr>
              <w:spacing w:after="0"/>
              <w:rPr>
                <w:sz w:val="24"/>
                <w:szCs w:val="24"/>
                <w:color w:val="auto"/>
              </w:rPr>
            </w:pPr>
          </w:p>
        </w:tc>
      </w:tr>
      <w:tr>
        <w:trPr>
          <w:trHeight w:val="220"/>
        </w:trPr>
        <w:tc>
          <w:tcPr>
            <w:tcW w:w="9480" w:type="dxa"/>
            <w:vAlign w:val="bottom"/>
          </w:tcPr>
          <w:p>
            <w:pPr>
              <w:jc w:val="center"/>
              <w:ind w:left="1687"/>
              <w:spacing w:after="0"/>
              <w:rPr>
                <w:sz w:val="20"/>
                <w:szCs w:val="20"/>
                <w:color w:val="auto"/>
              </w:rPr>
            </w:pPr>
            <w:r>
              <w:rPr>
                <w:rFonts w:ascii="Times New Roman" w:cs="Times New Roman" w:eastAsia="Times New Roman" w:hAnsi="Times New Roman"/>
                <w:sz w:val="18"/>
                <w:szCs w:val="18"/>
                <w:color w:val="auto"/>
                <w:w w:val="99"/>
              </w:rPr>
              <w:t>(Exact name of depositary as specified in its charter</w:t>
            </w:r>
            <w:r>
              <w:rPr>
                <w:rFonts w:ascii="Times New Roman" w:cs="Times New Roman" w:eastAsia="Times New Roman" w:hAnsi="Times New Roman"/>
                <w:sz w:val="18"/>
                <w:szCs w:val="18"/>
                <w:b w:val="1"/>
                <w:bCs w:val="1"/>
                <w:color w:val="auto"/>
                <w:w w:val="99"/>
              </w:rPr>
              <w:t>)</w:t>
            </w:r>
          </w:p>
        </w:tc>
        <w:tc>
          <w:tcPr>
            <w:tcW w:w="1760" w:type="dxa"/>
            <w:vAlign w:val="bottom"/>
          </w:tcPr>
          <w:p>
            <w:pPr>
              <w:spacing w:after="0"/>
              <w:rPr>
                <w:sz w:val="19"/>
                <w:szCs w:val="19"/>
                <w:color w:val="auto"/>
              </w:rPr>
            </w:pPr>
          </w:p>
        </w:tc>
      </w:tr>
      <w:tr>
        <w:trPr>
          <w:trHeight w:val="234"/>
        </w:trPr>
        <w:tc>
          <w:tcPr>
            <w:tcW w:w="9480" w:type="dxa"/>
            <w:vAlign w:val="bottom"/>
          </w:tcPr>
          <w:p>
            <w:pPr>
              <w:jc w:val="center"/>
              <w:ind w:left="1727"/>
              <w:spacing w:after="0"/>
              <w:rPr>
                <w:sz w:val="20"/>
                <w:szCs w:val="20"/>
                <w:color w:val="auto"/>
              </w:rPr>
            </w:pPr>
            <w:r>
              <w:rPr>
                <w:rFonts w:ascii="Times New Roman" w:cs="Times New Roman" w:eastAsia="Times New Roman" w:hAnsi="Times New Roman"/>
                <w:sz w:val="18"/>
                <w:szCs w:val="18"/>
                <w:color w:val="auto"/>
                <w:w w:val="99"/>
              </w:rPr>
              <w:t>_______________</w:t>
            </w:r>
          </w:p>
        </w:tc>
        <w:tc>
          <w:tcPr>
            <w:tcW w:w="17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6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color w:val="auto"/>
              </w:rPr>
              <w:t>_______________</w:t>
            </w: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4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Cogency Global Inc.</w:t>
            </w: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122 East 42nd Street, 18th Floor</w:t>
            </w: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4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New York, NY 10168</w:t>
            </w: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 221-0102</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0" w:type="dxa"/>
            <w:vAlign w:val="bottom"/>
            <w:gridSpan w:val="7"/>
          </w:tcPr>
          <w:p>
            <w:pPr>
              <w:jc w:val="center"/>
              <w:ind w:left="791"/>
              <w:spacing w:after="0"/>
              <w:rPr>
                <w:sz w:val="20"/>
                <w:szCs w:val="20"/>
                <w:color w:val="auto"/>
              </w:rPr>
            </w:pPr>
            <w:r>
              <w:rPr>
                <w:rFonts w:ascii="Times New Roman" w:cs="Times New Roman" w:eastAsia="Times New Roman" w:hAnsi="Times New Roman"/>
                <w:sz w:val="18"/>
                <w:szCs w:val="18"/>
                <w:color w:val="auto"/>
                <w:w w:val="99"/>
              </w:rPr>
              <w:t>(Address, including zip code, and telephone number, including area code, of agent for service)</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80" w:type="dxa"/>
            <w:vAlign w:val="bottom"/>
            <w:gridSpan w:val="6"/>
          </w:tcPr>
          <w:p>
            <w:pPr>
              <w:jc w:val="center"/>
              <w:ind w:left="2946"/>
              <w:spacing w:after="0"/>
              <w:rPr>
                <w:sz w:val="20"/>
                <w:szCs w:val="20"/>
                <w:color w:val="auto"/>
              </w:rPr>
            </w:pPr>
            <w:r>
              <w:rPr>
                <w:rFonts w:ascii="Times New Roman" w:cs="Times New Roman" w:eastAsia="Times New Roman" w:hAnsi="Times New Roman"/>
                <w:sz w:val="18"/>
                <w:szCs w:val="18"/>
                <w:color w:val="auto"/>
                <w:w w:val="99"/>
              </w:rPr>
              <w:t>__________________________________</w:t>
            </w: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80" w:type="dxa"/>
            <w:vAlign w:val="bottom"/>
            <w:gridSpan w:val="3"/>
            <w:vMerge w:val="restart"/>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9"/>
              </w:rPr>
              <w:t>Stephanie Tang, Esq.</w:t>
            </w:r>
          </w:p>
        </w:tc>
        <w:tc>
          <w:tcPr>
            <w:tcW w:w="16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Copies to:</w:t>
            </w:r>
          </w:p>
        </w:tc>
        <w:tc>
          <w:tcPr>
            <w:tcW w:w="3340" w:type="dxa"/>
            <w:vAlign w:val="bottom"/>
            <w:gridSpan w:val="3"/>
            <w:vMerge w:val="restart"/>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Herman H. Raspé, Esq.</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80" w:type="dxa"/>
            <w:vAlign w:val="bottom"/>
            <w:gridSpan w:val="3"/>
            <w:vMerge w:val="continue"/>
          </w:tcPr>
          <w:p>
            <w:pPr>
              <w:spacing w:after="0"/>
              <w:rPr>
                <w:sz w:val="16"/>
                <w:szCs w:val="16"/>
                <w:color w:val="auto"/>
              </w:rPr>
            </w:pPr>
          </w:p>
        </w:tc>
        <w:tc>
          <w:tcPr>
            <w:tcW w:w="1680" w:type="dxa"/>
            <w:vAlign w:val="bottom"/>
          </w:tcPr>
          <w:p>
            <w:pPr>
              <w:spacing w:after="0"/>
              <w:rPr>
                <w:sz w:val="16"/>
                <w:szCs w:val="16"/>
                <w:color w:val="auto"/>
              </w:rPr>
            </w:pPr>
          </w:p>
        </w:tc>
        <w:tc>
          <w:tcPr>
            <w:tcW w:w="3340" w:type="dxa"/>
            <w:vAlign w:val="bottom"/>
            <w:gridSpan w:val="3"/>
            <w:vMerge w:val="continue"/>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b w:val="1"/>
                <w:bCs w:val="1"/>
                <w:color w:val="auto"/>
                <w:w w:val="99"/>
              </w:rPr>
              <w:t>Hogan Lovells</w:t>
            </w:r>
          </w:p>
        </w:tc>
        <w:tc>
          <w:tcPr>
            <w:tcW w:w="1680" w:type="dxa"/>
            <w:vAlign w:val="bottom"/>
          </w:tcPr>
          <w:p>
            <w:pPr>
              <w:spacing w:after="0"/>
              <w:rPr>
                <w:sz w:val="18"/>
                <w:szCs w:val="18"/>
                <w:color w:val="auto"/>
              </w:rPr>
            </w:pPr>
          </w:p>
        </w:tc>
        <w:tc>
          <w:tcPr>
            <w:tcW w:w="334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Jean-Claude Lanza, Esq.</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780" w:type="dxa"/>
            <w:vAlign w:val="bottom"/>
            <w:gridSpan w:val="3"/>
          </w:tcPr>
          <w:p>
            <w:pPr>
              <w:jc w:val="center"/>
              <w:ind w:left="191"/>
              <w:spacing w:after="0" w:line="225" w:lineRule="exact"/>
              <w:rPr>
                <w:sz w:val="20"/>
                <w:szCs w:val="20"/>
                <w:color w:val="auto"/>
              </w:rPr>
            </w:pPr>
            <w:r>
              <w:rPr>
                <w:rFonts w:ascii="Times New Roman" w:cs="Times New Roman" w:eastAsia="Times New Roman" w:hAnsi="Times New Roman"/>
                <w:sz w:val="16"/>
                <w:szCs w:val="16"/>
                <w:b w:val="1"/>
                <w:bCs w:val="1"/>
                <w:color w:val="auto"/>
              </w:rPr>
              <w:t>11</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6"/>
                <w:szCs w:val="16"/>
                <w:b w:val="1"/>
                <w:bCs w:val="1"/>
                <w:color w:val="auto"/>
              </w:rPr>
              <w:t xml:space="preserve"> Floor, One Pacific Place</w:t>
            </w:r>
          </w:p>
        </w:tc>
        <w:tc>
          <w:tcPr>
            <w:tcW w:w="1680" w:type="dxa"/>
            <w:vAlign w:val="bottom"/>
          </w:tcPr>
          <w:p>
            <w:pPr>
              <w:spacing w:after="0"/>
              <w:rPr>
                <w:sz w:val="19"/>
                <w:szCs w:val="19"/>
                <w:color w:val="auto"/>
              </w:rPr>
            </w:pPr>
          </w:p>
        </w:tc>
        <w:tc>
          <w:tcPr>
            <w:tcW w:w="5000" w:type="dxa"/>
            <w:vAlign w:val="bottom"/>
            <w:gridSpan w:val="4"/>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Patterson Belknap Webb &amp; Tyler LLP</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w w:val="99"/>
              </w:rPr>
              <w:t>88 Queensway Road</w:t>
            </w:r>
          </w:p>
        </w:tc>
        <w:tc>
          <w:tcPr>
            <w:tcW w:w="1680" w:type="dxa"/>
            <w:vAlign w:val="bottom"/>
          </w:tcPr>
          <w:p>
            <w:pPr>
              <w:spacing w:after="0"/>
              <w:rPr>
                <w:sz w:val="18"/>
                <w:szCs w:val="18"/>
                <w:color w:val="auto"/>
              </w:rPr>
            </w:pPr>
          </w:p>
        </w:tc>
        <w:tc>
          <w:tcPr>
            <w:tcW w:w="334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1133 Avenue of the Americas</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w w:val="99"/>
              </w:rPr>
              <w:t>Hong Kong</w:t>
            </w:r>
          </w:p>
        </w:tc>
        <w:tc>
          <w:tcPr>
            <w:tcW w:w="1680" w:type="dxa"/>
            <w:vAlign w:val="bottom"/>
          </w:tcPr>
          <w:p>
            <w:pPr>
              <w:spacing w:after="0"/>
              <w:rPr>
                <w:sz w:val="18"/>
                <w:szCs w:val="18"/>
                <w:color w:val="auto"/>
              </w:rPr>
            </w:pPr>
          </w:p>
        </w:tc>
        <w:tc>
          <w:tcPr>
            <w:tcW w:w="334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7"/>
              </w:rPr>
              <w:t>New York, New York 10036</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20" w:type="dxa"/>
            <w:vAlign w:val="bottom"/>
            <w:gridSpan w:val="4"/>
          </w:tcPr>
          <w:p>
            <w:pPr>
              <w:jc w:val="center"/>
              <w:ind w:left="626"/>
              <w:spacing w:after="0"/>
              <w:rPr>
                <w:sz w:val="20"/>
                <w:szCs w:val="20"/>
                <w:color w:val="auto"/>
              </w:rPr>
            </w:pPr>
            <w:r>
              <w:rPr>
                <w:rFonts w:ascii="Times New Roman" w:cs="Times New Roman" w:eastAsia="Times New Roman" w:hAnsi="Times New Roman"/>
                <w:sz w:val="18"/>
                <w:szCs w:val="18"/>
                <w:b w:val="1"/>
                <w:bCs w:val="1"/>
                <w:color w:val="auto"/>
                <w:w w:val="99"/>
              </w:rPr>
              <w:t>+852 2219 0888</w:t>
            </w:r>
          </w:p>
        </w:tc>
        <w:tc>
          <w:tcPr>
            <w:tcW w:w="1680" w:type="dxa"/>
            <w:vAlign w:val="bottom"/>
          </w:tcPr>
          <w:p>
            <w:pPr>
              <w:spacing w:after="0"/>
              <w:rPr>
                <w:sz w:val="21"/>
                <w:szCs w:val="21"/>
                <w:color w:val="auto"/>
              </w:rPr>
            </w:pPr>
          </w:p>
        </w:tc>
        <w:tc>
          <w:tcPr>
            <w:tcW w:w="334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212-336-2301</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gridSpan w:val="6"/>
          </w:tcPr>
          <w:p>
            <w:pPr>
              <w:jc w:val="right"/>
              <w:ind w:right="370"/>
              <w:spacing w:after="0"/>
              <w:rPr>
                <w:sz w:val="20"/>
                <w:szCs w:val="20"/>
                <w:color w:val="auto"/>
              </w:rPr>
            </w:pPr>
            <w:r>
              <w:rPr>
                <w:rFonts w:ascii="Times New Roman" w:cs="Times New Roman" w:eastAsia="Times New Roman" w:hAnsi="Times New Roman"/>
                <w:sz w:val="22"/>
                <w:szCs w:val="22"/>
                <w:color w:val="auto"/>
              </w:rPr>
              <w:t>__________________________________</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3440" w:type="dxa"/>
            <w:vAlign w:val="bottom"/>
            <w:gridSpan w:val="3"/>
          </w:tcPr>
          <w:p>
            <w:pPr>
              <w:ind w:left="14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40" w:type="dxa"/>
            <w:vAlign w:val="bottom"/>
            <w:gridSpan w:val="3"/>
          </w:tcPr>
          <w:p>
            <w:pPr>
              <w:ind w:left="14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8000" w:type="dxa"/>
            <w:vAlign w:val="bottom"/>
            <w:gridSpan w:val="9"/>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80" w:type="dxa"/>
            <w:vAlign w:val="bottom"/>
            <w:gridSpan w:val="6"/>
          </w:tcPr>
          <w:p>
            <w:pPr>
              <w:jc w:val="center"/>
              <w:ind w:left="2946"/>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w:t>
            </w: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1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780" w:type="dxa"/>
            <w:vAlign w:val="bottom"/>
            <w:tcBorders>
              <w:right w:val="single" w:sz="8" w:color="auto"/>
            </w:tcBorders>
            <w:gridSpan w:val="3"/>
          </w:tcPr>
          <w:p>
            <w:pPr>
              <w:jc w:val="center"/>
              <w:ind w:right="690"/>
              <w:spacing w:after="0" w:line="191" w:lineRule="exact"/>
              <w:rPr>
                <w:sz w:val="20"/>
                <w:szCs w:val="20"/>
                <w:color w:val="auto"/>
              </w:rPr>
            </w:pPr>
            <w:r>
              <w:rPr>
                <w:rFonts w:ascii="Times New Roman" w:cs="Times New Roman" w:eastAsia="Times New Roman" w:hAnsi="Times New Roman"/>
                <w:sz w:val="18"/>
                <w:szCs w:val="18"/>
                <w:color w:val="auto"/>
                <w:w w:val="99"/>
              </w:rPr>
              <w:t>Title of Each Class of</w:t>
            </w: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Amount to be</w:t>
            </w: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Proposed Maximum</w:t>
            </w:r>
          </w:p>
        </w:tc>
        <w:tc>
          <w:tcPr>
            <w:tcW w:w="80" w:type="dxa"/>
            <w:vAlign w:val="bottom"/>
          </w:tcPr>
          <w:p>
            <w:pPr>
              <w:spacing w:after="0"/>
              <w:rPr>
                <w:sz w:val="16"/>
                <w:szCs w:val="16"/>
                <w:color w:val="auto"/>
              </w:rPr>
            </w:pPr>
          </w:p>
        </w:tc>
        <w:tc>
          <w:tcPr>
            <w:tcW w:w="1580" w:type="dxa"/>
            <w:vAlign w:val="bottom"/>
            <w:tcBorders>
              <w:right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80" w:type="dxa"/>
            <w:vAlign w:val="bottom"/>
            <w:tcBorders>
              <w:right w:val="single" w:sz="8" w:color="auto"/>
            </w:tcBorders>
            <w:gridSpan w:val="3"/>
          </w:tcPr>
          <w:p>
            <w:pPr>
              <w:jc w:val="center"/>
              <w:ind w:right="690"/>
              <w:spacing w:after="0"/>
              <w:rPr>
                <w:sz w:val="20"/>
                <w:szCs w:val="20"/>
                <w:color w:val="auto"/>
              </w:rPr>
            </w:pPr>
            <w:r>
              <w:rPr>
                <w:rFonts w:ascii="Times New Roman" w:cs="Times New Roman" w:eastAsia="Times New Roman" w:hAnsi="Times New Roman"/>
                <w:sz w:val="18"/>
                <w:szCs w:val="18"/>
                <w:color w:val="auto"/>
                <w:w w:val="99"/>
              </w:rPr>
              <w:t>Securities to be Registered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Aggregate Price Per</w:t>
            </w:r>
          </w:p>
        </w:tc>
        <w:tc>
          <w:tcPr>
            <w:tcW w:w="80" w:type="dxa"/>
            <w:vAlign w:val="bottom"/>
          </w:tcPr>
          <w:p>
            <w:pPr>
              <w:spacing w:after="0"/>
              <w:rPr>
                <w:sz w:val="18"/>
                <w:szCs w:val="18"/>
                <w:color w:val="auto"/>
              </w:rPr>
            </w:pPr>
          </w:p>
        </w:tc>
        <w:tc>
          <w:tcPr>
            <w:tcW w:w="158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Aggregate Offering</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234"/>
        </w:trPr>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Unit*</w:t>
            </w: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Price**</w:t>
            </w: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560" w:type="dxa"/>
            <w:vAlign w:val="bottom"/>
            <w:tcBorders>
              <w:right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auto"/>
              </w:rPr>
              <w:t>American  Depositary  Shares  (“ADS(s)”),  each  ADS</w:t>
            </w:r>
          </w:p>
        </w:tc>
        <w:tc>
          <w:tcPr>
            <w:tcW w:w="16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5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representing the right to receive two hundred forty (240) Class</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100,000,000 ADSs</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80" w:type="dxa"/>
            <w:vAlign w:val="bottom"/>
          </w:tcPr>
          <w:p>
            <w:pPr>
              <w:spacing w:after="0"/>
              <w:rPr>
                <w:sz w:val="18"/>
                <w:szCs w:val="18"/>
                <w:color w:val="auto"/>
              </w:rPr>
            </w:pPr>
          </w:p>
        </w:tc>
        <w:tc>
          <w:tcPr>
            <w:tcW w:w="158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$5,000,000.00</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$690.50</w:t>
            </w:r>
          </w:p>
        </w:tc>
        <w:tc>
          <w:tcPr>
            <w:tcW w:w="0" w:type="dxa"/>
            <w:vAlign w:val="bottom"/>
          </w:tcPr>
          <w:p>
            <w:pPr>
              <w:spacing w:after="0"/>
              <w:rPr>
                <w:sz w:val="1"/>
                <w:szCs w:val="1"/>
                <w:color w:val="auto"/>
              </w:rPr>
            </w:pPr>
          </w:p>
        </w:tc>
      </w:tr>
      <w:tr>
        <w:trPr>
          <w:trHeight w:val="216"/>
        </w:trPr>
        <w:tc>
          <w:tcPr>
            <w:tcW w:w="456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B ordinary shares of Trident Digital Tech Holdings Ltd (the</w:t>
            </w:r>
          </w:p>
        </w:tc>
        <w:tc>
          <w:tcPr>
            <w:tcW w:w="1680" w:type="dxa"/>
            <w:vAlign w:val="bottom"/>
            <w:tcBorders>
              <w:right w:val="single" w:sz="8" w:color="auto"/>
            </w:tcBorders>
            <w:vMerge w:val="continue"/>
          </w:tcPr>
          <w:p>
            <w:pPr>
              <w:spacing w:after="0"/>
              <w:rPr>
                <w:sz w:val="18"/>
                <w:szCs w:val="18"/>
                <w:color w:val="auto"/>
              </w:rPr>
            </w:pPr>
          </w:p>
        </w:tc>
        <w:tc>
          <w:tcPr>
            <w:tcW w:w="168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right w:val="single" w:sz="8" w:color="auto"/>
            </w:tcBorders>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560" w:type="dxa"/>
            <w:vAlign w:val="bottom"/>
            <w:tcBorders>
              <w:right w:val="single" w:sz="8" w:color="auto"/>
            </w:tcBorders>
            <w:gridSpan w:val="6"/>
          </w:tcPr>
          <w:p>
            <w:pPr>
              <w:spacing w:after="0" w:line="194" w:lineRule="exact"/>
              <w:rPr>
                <w:sz w:val="20"/>
                <w:szCs w:val="20"/>
                <w:color w:val="auto"/>
              </w:rPr>
            </w:pPr>
            <w:r>
              <w:rPr>
                <w:rFonts w:ascii="Times New Roman" w:cs="Times New Roman" w:eastAsia="Times New Roman" w:hAnsi="Times New Roman"/>
                <w:sz w:val="18"/>
                <w:szCs w:val="18"/>
                <w:color w:val="auto"/>
              </w:rPr>
              <w:t>“Company”)</w:t>
            </w: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Each unit represents 100 ADSs.</w:t>
            </w: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80" w:right="720" w:hanging="572"/>
        <w:spacing w:after="0" w:line="258" w:lineRule="auto"/>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ectPr>
          <w:pgSz w:w="11900" w:h="16838" w:orient="portrait"/>
          <w:cols w:equalWidth="0" w:num="1">
            <w:col w:w="11240"/>
          </w:cols>
          <w:pgMar w:left="320" w:top="468" w:right="339" w:bottom="81" w:gutter="0" w:footer="0" w:header="0"/>
        </w:sectPr>
      </w:pPr>
    </w:p>
    <w:bookmarkStart w:id="1" w:name="page2"/>
    <w:bookmarkEnd w:id="1"/>
    <w:p>
      <w:pPr>
        <w:spacing w:after="0" w:line="258" w:lineRule="auto"/>
        <w:tabs>
          <w:tab w:leader="none" w:pos="5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180" w:right="199"/>
        <w:spacing w:after="0" w:line="282" w:lineRule="auto"/>
        <w:rPr>
          <w:sz w:val="20"/>
          <w:szCs w:val="20"/>
          <w:color w:val="auto"/>
        </w:rPr>
      </w:pPr>
      <w:r>
        <w:rPr>
          <w:rFonts w:ascii="Times New Roman" w:cs="Times New Roman" w:eastAsia="Times New Roman" w:hAnsi="Times New Roman"/>
          <w:sz w:val="18"/>
          <w:szCs w:val="18"/>
          <w:color w:val="auto"/>
        </w:rPr>
        <w:t>This Registration Statement on Form F-6 may be executed in any number of counterparts, each of which shall be deemed an original, and all of such counterparts together shall constitute one and the same instrument.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3" w:name="page4"/>
    <w:bookmarkEnd w:id="3"/>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INFORMATION REQUIRED IN PROSPECTUS</w:t>
      </w:r>
    </w:p>
    <w:p>
      <w:pPr>
        <w:spacing w:after="0" w:line="23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Cross Reference Sheet</w:t>
      </w:r>
    </w:p>
    <w:p>
      <w:pPr>
        <w:sectPr>
          <w:pgSz w:w="11900" w:h="16838" w:orient="portrait"/>
          <w:cols w:equalWidth="0" w:num="1">
            <w:col w:w="10760"/>
          </w:cols>
          <w:pgMar w:left="320" w:top="792" w:right="819" w:bottom="1440" w:gutter="0" w:footer="0" w:header="0"/>
        </w:sectPr>
      </w:pP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DESCRIPTION OF SECURITIES TO BE REGISTERED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Number and Caption</w:t>
      </w:r>
    </w:p>
    <w:p>
      <w:pPr>
        <w:spacing w:after="0" w:line="229"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Depositary and address of its principal executive office</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Receipts and identity of deposited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Deposit:</w:t>
      </w:r>
    </w:p>
    <w:p>
      <w:pPr>
        <w:spacing w:after="0" w:line="225" w:lineRule="exact"/>
        <w:rPr>
          <w:sz w:val="20"/>
          <w:szCs w:val="20"/>
          <w:color w:val="auto"/>
        </w:rPr>
      </w:pPr>
    </w:p>
    <w:p>
      <w:pPr>
        <w:ind w:left="1140" w:right="56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deposited securities represented by one American Depositary Share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voting, if any, the deposited securities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and distribution of dividends</w:t>
      </w:r>
    </w:p>
    <w:p>
      <w:pPr>
        <w:spacing w:after="0" w:line="225" w:lineRule="exact"/>
        <w:rPr>
          <w:rFonts w:ascii="Times New Roman" w:cs="Times New Roman" w:eastAsia="Times New Roman" w:hAnsi="Times New Roman"/>
          <w:sz w:val="18"/>
          <w:szCs w:val="18"/>
          <w:color w:val="auto"/>
        </w:rPr>
      </w:pPr>
    </w:p>
    <w:p>
      <w:pPr>
        <w:ind w:left="1140" w:right="42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transmission of notices, reports and proxy soliciting material</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exercise of rights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or sale of securities resulting from dividends, splits or plans of reorganization</w:t>
      </w:r>
    </w:p>
    <w:p>
      <w:pPr>
        <w:spacing w:after="0" w:line="161" w:lineRule="exact"/>
        <w:rPr>
          <w:rFonts w:ascii="Times New Roman" w:cs="Times New Roman" w:eastAsia="Times New Roman" w:hAnsi="Times New Roman"/>
          <w:sz w:val="18"/>
          <w:szCs w:val="18"/>
          <w:color w:val="auto"/>
        </w:rPr>
      </w:pPr>
    </w:p>
    <w:p>
      <w:pPr>
        <w:ind w:left="1140" w:right="72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extension or termination of the deposit agreement</w:t>
      </w:r>
    </w:p>
    <w:p>
      <w:pPr>
        <w:spacing w:after="0" w:line="161" w:lineRule="exact"/>
        <w:rPr>
          <w:rFonts w:ascii="Times New Roman" w:cs="Times New Roman" w:eastAsia="Times New Roman" w:hAnsi="Times New Roman"/>
          <w:sz w:val="18"/>
          <w:szCs w:val="18"/>
          <w:color w:val="auto"/>
        </w:rPr>
      </w:pPr>
    </w:p>
    <w:p>
      <w:pPr>
        <w:ind w:left="1140" w:right="12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Receipts to inspect the transfer books of the Depositary and the list of holders of ADSs</w:t>
      </w:r>
    </w:p>
    <w:p>
      <w:pPr>
        <w:spacing w:after="0" w:line="161"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upon the right to deposit or withdraw the underlying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Receipt (“</w:t>
      </w:r>
      <w:r>
        <w:rPr>
          <w:rFonts w:ascii="Times New Roman" w:cs="Times New Roman" w:eastAsia="Times New Roman" w:hAnsi="Times New Roman"/>
          <w:sz w:val="18"/>
          <w:szCs w:val="18"/>
          <w:b w:val="1"/>
          <w:bCs w:val="1"/>
          <w:u w:val="single" w:color="auto"/>
          <w:color w:val="auto"/>
        </w:rPr>
        <w:t>Receipt</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Filed Herewith as Prospectus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Introductory Article.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Top Center.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Upper right corner.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 (15).</w:t>
      </w:r>
    </w:p>
    <w:p>
      <w:pPr>
        <w:spacing w:after="0" w:line="225" w:lineRule="exact"/>
        <w:rPr>
          <w:sz w:val="20"/>
          <w:szCs w:val="20"/>
          <w:color w:val="auto"/>
        </w:rPr>
      </w:pPr>
    </w:p>
    <w:p>
      <w:pPr>
        <w:ind w:right="194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 (14);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 (18).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(17).</w:t>
      </w:r>
    </w:p>
    <w:p>
      <w:pPr>
        <w:spacing w:after="0" w:line="207" w:lineRule="exact"/>
        <w:rPr>
          <w:sz w:val="20"/>
          <w:szCs w:val="20"/>
          <w:color w:val="auto"/>
        </w:rPr>
      </w:pPr>
    </w:p>
    <w:p>
      <w:pPr>
        <w:ind w:right="122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Paragraphs (3) and (6);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Paragraphs (15) and (17).</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(23) and (24) (no provision for extensions).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 (14).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Paragraphs (2), (3), (4), (6), (7), (9) and (10).</w:t>
      </w:r>
    </w:p>
    <w:p>
      <w:pPr>
        <w:spacing w:after="0" w:line="479" w:lineRule="exact"/>
        <w:rPr>
          <w:sz w:val="20"/>
          <w:szCs w:val="20"/>
          <w:color w:val="auto"/>
        </w:rPr>
      </w:pPr>
    </w:p>
    <w:p>
      <w:pPr>
        <w:sectPr>
          <w:pgSz w:w="11900" w:h="16838" w:orient="portrait"/>
          <w:cols w:equalWidth="0" w:num="2">
            <w:col w:w="5620" w:space="580"/>
            <w:col w:w="4560"/>
          </w:cols>
          <w:pgMar w:left="320" w:top="792" w:right="819" w:bottom="1440" w:gutter="0" w:footer="0" w:header="0"/>
          <w:type w:val="continuous"/>
        </w:sectPr>
      </w:pPr>
    </w:p>
    <w:p>
      <w:pPr>
        <w:spacing w:after="0" w:line="8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9"/>
          <w:szCs w:val="19"/>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792" w:right="8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vMerge w:val="restart"/>
          </w:tcPr>
          <w:p>
            <w:pPr>
              <w:spacing w:after="0"/>
              <w:rPr>
                <w:sz w:val="17"/>
                <w:szCs w:val="17"/>
                <w:color w:val="auto"/>
              </w:rPr>
            </w:pPr>
          </w:p>
        </w:tc>
        <w:tc>
          <w:tcPr>
            <w:tcW w:w="33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c>
          <w:tcPr>
            <w:tcW w:w="0" w:type="dxa"/>
            <w:vAlign w:val="bottom"/>
          </w:tcPr>
          <w:p>
            <w:pPr>
              <w:spacing w:after="0"/>
              <w:rPr>
                <w:sz w:val="1"/>
                <w:szCs w:val="1"/>
                <w:color w:val="auto"/>
              </w:rPr>
            </w:pPr>
          </w:p>
        </w:tc>
      </w:tr>
      <w:tr>
        <w:trPr>
          <w:trHeight w:val="20"/>
        </w:trPr>
        <w:tc>
          <w:tcPr>
            <w:tcW w:w="2060" w:type="dxa"/>
            <w:vAlign w:val="bottom"/>
            <w:gridSpan w:val="3"/>
            <w:vMerge w:val="continue"/>
          </w:tcPr>
          <w:p>
            <w:pPr>
              <w:spacing w:after="0" w:line="20" w:lineRule="exact"/>
              <w:rPr>
                <w:sz w:val="1"/>
                <w:szCs w:val="1"/>
                <w:color w:val="auto"/>
              </w:rPr>
            </w:pPr>
          </w:p>
        </w:tc>
        <w:tc>
          <w:tcPr>
            <w:tcW w:w="41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140" w:type="dxa"/>
            <w:vAlign w:val="bottom"/>
            <w:vMerge w:val="continue"/>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Reverse of Receipt - Paragraphs (20) and (21).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on</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(11).</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2.</w:t>
            </w:r>
          </w:p>
        </w:tc>
        <w:tc>
          <w:tcPr>
            <w:tcW w:w="400" w:type="dxa"/>
            <w:vAlign w:val="bottom"/>
          </w:tcPr>
          <w:p>
            <w:pPr>
              <w:spacing w:after="0"/>
              <w:rPr>
                <w:sz w:val="24"/>
                <w:szCs w:val="24"/>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 xml:space="preserve">The Prospectus consists of the proposed form of American Depositary Receipt included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Amendment No. 1 to Deposit Agreement filed as Exhibit (a)(i) to this Registration Statement on Form F-6 and is incorporated herein by reference.</w:t>
      </w: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jc w:val="both"/>
        <w:ind w:left="1120" w:hanging="559"/>
        <w:spacing w:after="0" w:line="276"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Amendment No. 1 to Deposit Agreement, dated as of April 24, 2026, by and among Trident Digital Tech Holdings Ltd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Citibank, N.A., as depositary (the “</w:t>
      </w:r>
      <w:r>
        <w:rPr>
          <w:rFonts w:ascii="Times New Roman" w:cs="Times New Roman" w:eastAsia="Times New Roman" w:hAnsi="Times New Roman"/>
          <w:sz w:val="17"/>
          <w:szCs w:val="17"/>
          <w:u w:val="single" w:color="auto"/>
          <w:color w:val="auto"/>
        </w:rPr>
        <w:t>Depositary</w:t>
      </w:r>
      <w:r>
        <w:rPr>
          <w:rFonts w:ascii="Times New Roman" w:cs="Times New Roman" w:eastAsia="Times New Roman" w:hAnsi="Times New Roman"/>
          <w:sz w:val="17"/>
          <w:szCs w:val="17"/>
          <w:color w:val="auto"/>
        </w:rPr>
        <w:t>”), and all Holders and Beneficial Owners of American Depositary Shares issued thereunder.</w:t>
      </w:r>
    </w:p>
    <w:p>
      <w:pPr>
        <w:ind w:left="1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(a)(i).</w:t>
      </w:r>
    </w:p>
    <w:p>
      <w:pPr>
        <w:spacing w:after="0" w:line="121" w:lineRule="exact"/>
        <w:rPr>
          <w:sz w:val="20"/>
          <w:szCs w:val="20"/>
          <w:color w:val="auto"/>
        </w:rPr>
      </w:pPr>
    </w:p>
    <w:p>
      <w:pPr>
        <w:jc w:val="both"/>
        <w:ind w:left="1120"/>
        <w:spacing w:after="0" w:line="232" w:lineRule="auto"/>
        <w:rPr>
          <w:sz w:val="20"/>
          <w:szCs w:val="20"/>
          <w:color w:val="auto"/>
        </w:rPr>
      </w:pPr>
      <w:r>
        <w:rPr>
          <w:rFonts w:ascii="Times New Roman" w:cs="Times New Roman" w:eastAsia="Times New Roman" w:hAnsi="Times New Roman"/>
          <w:sz w:val="18"/>
          <w:szCs w:val="18"/>
          <w:color w:val="auto"/>
        </w:rPr>
        <w:t>(ii) Deposit Agreement, dated as of September 11, 2024, by and among the Company, the Depositary, and all Holders and Beneficial Owners of American Depositary Shares issued thereunder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Previously filed as Exhibit (a)(ii) to Post-Effective Amendment No. 1 to Registration Statement on Form F-6 (Reg. No. 333-275089), filed on April 7, 2026, and incorporated herein by reference.</w:t>
      </w:r>
    </w:p>
    <w:p>
      <w:pPr>
        <w:spacing w:after="0" w:line="198" w:lineRule="exact"/>
        <w:rPr>
          <w:sz w:val="20"/>
          <w:szCs w:val="20"/>
          <w:color w:val="auto"/>
        </w:rPr>
      </w:pPr>
    </w:p>
    <w:p>
      <w:pPr>
        <w:ind w:left="1120" w:right="20" w:hanging="559"/>
        <w:spacing w:after="0" w:line="292"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agreement to which the Depositary is a party relating to the issuance of the American Depositary Shares registered hereunder or the custody of the deposited securities represented thereby.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30" w:lineRule="exact"/>
        <w:rPr>
          <w:rFonts w:ascii="Times New Roman" w:cs="Times New Roman" w:eastAsia="Times New Roman" w:hAnsi="Times New Roman"/>
          <w:sz w:val="18"/>
          <w:szCs w:val="18"/>
          <w:color w:val="auto"/>
        </w:rPr>
      </w:pPr>
    </w:p>
    <w:p>
      <w:pPr>
        <w:ind w:left="1120" w:right="20" w:hanging="559"/>
        <w:spacing w:after="0" w:line="292"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14" w:lineRule="exact"/>
        <w:rPr>
          <w:rFonts w:ascii="Times New Roman" w:cs="Times New Roman" w:eastAsia="Times New Roman" w:hAnsi="Times New Roman"/>
          <w:sz w:val="18"/>
          <w:szCs w:val="18"/>
          <w:color w:val="auto"/>
        </w:rPr>
      </w:pPr>
    </w:p>
    <w:p>
      <w:pPr>
        <w:ind w:left="1120" w:hanging="559"/>
        <w:spacing w:after="0"/>
        <w:tabs>
          <w:tab w:leader="none" w:pos="112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Opinion of counsel for the Depositary as to the legality of the securities to be registered.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(d).</w:t>
      </w:r>
    </w:p>
    <w:p>
      <w:pPr>
        <w:spacing w:after="0" w:line="77" w:lineRule="exact"/>
        <w:rPr>
          <w:rFonts w:ascii="Times New Roman" w:cs="Times New Roman" w:eastAsia="Times New Roman" w:hAnsi="Times New Roman"/>
          <w:sz w:val="36"/>
          <w:szCs w:val="36"/>
          <w:color w:val="auto"/>
          <w:vertAlign w:val="superscript"/>
        </w:rPr>
      </w:pPr>
    </w:p>
    <w:p>
      <w:pPr>
        <w:ind w:left="1120" w:hanging="559"/>
        <w:spacing w:after="0" w:line="229" w:lineRule="auto"/>
        <w:tabs>
          <w:tab w:leader="none" w:pos="112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Certificate under Rule 466.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(e).</w:t>
      </w:r>
    </w:p>
    <w:p>
      <w:pPr>
        <w:spacing w:after="0" w:line="78" w:lineRule="exact"/>
        <w:rPr>
          <w:rFonts w:ascii="Times New Roman" w:cs="Times New Roman" w:eastAsia="Times New Roman" w:hAnsi="Times New Roman"/>
          <w:sz w:val="36"/>
          <w:szCs w:val="36"/>
          <w:color w:val="auto"/>
          <w:vertAlign w:val="superscript"/>
        </w:rPr>
      </w:pPr>
    </w:p>
    <w:p>
      <w:pPr>
        <w:ind w:left="1120" w:hanging="559"/>
        <w:spacing w:after="0" w:line="188" w:lineRule="auto"/>
        <w:tabs>
          <w:tab w:leader="none" w:pos="112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Powers of Attorney for certain officers and directors and the authorized representative of the Company.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Set forth on the signature pages hereto.</w:t>
      </w:r>
    </w:p>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jc w:val="both"/>
        <w:ind w:left="1120" w:hanging="559"/>
        <w:spacing w:after="0" w:line="266"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5" w:lineRule="exact"/>
        <w:rPr>
          <w:rFonts w:ascii="Times New Roman" w:cs="Times New Roman" w:eastAsia="Times New Roman" w:hAnsi="Times New Roman"/>
          <w:sz w:val="18"/>
          <w:szCs w:val="18"/>
          <w:color w:val="auto"/>
        </w:rPr>
      </w:pPr>
    </w:p>
    <w:p>
      <w:pPr>
        <w:jc w:val="both"/>
        <w:ind w:left="1120" w:hanging="559"/>
        <w:spacing w:after="0" w:line="261"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created by the Deposit Agreement, by and among Trident Digital Tech Holdings Ltd, Citibank, N.A., as depositary, and all Holders and Beneficial Owners of American Depositary Shares issued thereunder, as amended,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24th day of April, 2026.</w:t>
      </w:r>
    </w:p>
    <w:p>
      <w:pPr>
        <w:spacing w:after="0" w:line="18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Legal entity created by the Deposit Agreement under which</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the American Depositary Shares registered hereunder are to</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be issued, each American Depositary Share representing the</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right to receive two hundred forty (240) Class B ordinary</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shares of Trident Digital Tech Holdings Ltd</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CITIBANK, N.A., solely in its capacity as Depositary</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Leslie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Leslie DeLuca</w:t>
      </w:r>
    </w:p>
    <w:p>
      <w:pPr>
        <w:spacing w:after="0" w:line="23"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Trident Digital Tech Holdings Ltd certifies that it has reasonable grounds to believe that all the requirements for filing on Form F-6 are met and has duly caused this Registration Statement on Form F-6 to be signed on its behalf by the undersigned thereunto duly authorized, in Singapore on April 24, 2026.</w:t>
      </w:r>
    </w:p>
    <w:p>
      <w:pPr>
        <w:spacing w:after="0" w:line="17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POWERS OF ATTORNEY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Soon Huat Lim,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F-6 has been signed by the following persons in the following capacities on April 24, 2026.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3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Title</w:t>
            </w:r>
          </w:p>
        </w:tc>
        <w:tc>
          <w:tcPr>
            <w:tcW w:w="5840" w:type="dxa"/>
            <w:vAlign w:val="bottom"/>
          </w:tcPr>
          <w:p>
            <w:pPr>
              <w:spacing w:after="0"/>
              <w:rPr>
                <w:sz w:val="17"/>
                <w:szCs w:val="17"/>
                <w:color w:val="auto"/>
              </w:rPr>
            </w:pPr>
          </w:p>
        </w:tc>
      </w:tr>
      <w:tr>
        <w:trPr>
          <w:trHeight w:val="434"/>
        </w:trPr>
        <w:tc>
          <w:tcPr>
            <w:tcW w:w="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Soon Huat Lim</w:t>
            </w:r>
          </w:p>
        </w:tc>
        <w:tc>
          <w:tcPr>
            <w:tcW w:w="11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Soon Huat Lim</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Poh Kiong Tan</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Chief Technology Officer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Poh Kiong Tan</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How Teck Lim</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How Teck Lim</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Noi Keng Koh</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Noi Keng Koh</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Chwee Koh Chua</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Chwee Koh Chua</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395"/>
        </w:trPr>
        <w:tc>
          <w:tcPr>
            <w:tcW w:w="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Haiyan Huang</w:t>
            </w:r>
          </w:p>
        </w:tc>
        <w:tc>
          <w:tcPr>
            <w:tcW w:w="11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Haiyan Huang</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549"/>
        </w:trPr>
        <w:tc>
          <w:tcPr>
            <w:tcW w:w="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II-5</w:t>
            </w:r>
          </w:p>
        </w:tc>
      </w:tr>
    </w:tbl>
    <w:p>
      <w:pPr>
        <w:sectPr>
          <w:pgSz w:w="11900" w:h="16838" w:orient="portrait"/>
          <w:cols w:equalWidth="0" w:num="1">
            <w:col w:w="11240"/>
          </w:cols>
          <w:pgMar w:left="320" w:top="792" w:right="339" w:bottom="1440" w:gutter="0" w:footer="0" w:header="0"/>
        </w:sectPr>
      </w:pPr>
    </w:p>
    <w:bookmarkStart w:id="11" w:name="page12"/>
    <w:bookmarkEnd w:id="11"/>
    <w:p>
      <w:pPr>
        <w:ind w:left="1440"/>
        <w:spacing w:after="0"/>
        <w:rPr>
          <w:sz w:val="20"/>
          <w:szCs w:val="20"/>
          <w:color w:val="auto"/>
        </w:rPr>
      </w:pPr>
      <w:r>
        <w:rPr>
          <w:rFonts w:ascii="Times New Roman" w:cs="Times New Roman" w:eastAsia="Times New Roman" w:hAnsi="Times New Roman"/>
          <w:sz w:val="18"/>
          <w:szCs w:val="18"/>
          <w:b w:val="1"/>
          <w:bCs w:val="1"/>
          <w:u w:val="single" w:color="auto"/>
          <w:color w:val="auto"/>
        </w:rPr>
        <w:t>SIGNATURE OF AUTHORIZED REPRESENTATIVE OF THE REGISTRANT IN THE UNITED STATES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representative in the United States of Trident Digital Tech Holdings Ltd has signed this Registration Statement on Form F-6 in New York, New York on April 24,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2494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on behalf of Cogency Global Inc.</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30"/>
        </w:trPr>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58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820" w:type="dxa"/>
            <w:vAlign w:val="bottom"/>
          </w:tcPr>
          <w:p>
            <w:pPr>
              <w:spacing w:after="0"/>
              <w:rPr>
                <w:sz w:val="17"/>
                <w:szCs w:val="17"/>
                <w:color w:val="auto"/>
              </w:rPr>
            </w:pPr>
          </w:p>
        </w:tc>
        <w:tc>
          <w:tcPr>
            <w:tcW w:w="80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Document</w:t>
            </w:r>
          </w:p>
        </w:tc>
        <w:tc>
          <w:tcPr>
            <w:tcW w:w="324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7"/>
              </w:rPr>
              <w:t>Numbered Page</w:t>
            </w:r>
          </w:p>
        </w:tc>
      </w:tr>
      <w:tr>
        <w:trPr>
          <w:trHeight w:val="453"/>
        </w:trPr>
        <w:tc>
          <w:tcPr>
            <w:tcW w:w="14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rPr>
              <w:t>(a)(i)</w:t>
            </w: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Amendment No. 1 to Deposit Agreement</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198" w:lineRule="exact"/>
        <w:rPr>
          <w:sz w:val="20"/>
          <w:szCs w:val="20"/>
          <w:color w:val="auto"/>
        </w:rPr>
      </w:pPr>
    </w:p>
    <w:p>
      <w:pPr>
        <w:ind w:left="1400" w:hanging="1216"/>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counsel to the Depositary</w:t>
      </w:r>
    </w:p>
    <w:p>
      <w:pPr>
        <w:spacing w:after="0" w:line="225" w:lineRule="exact"/>
        <w:rPr>
          <w:rFonts w:ascii="Times New Roman" w:cs="Times New Roman" w:eastAsia="Times New Roman" w:hAnsi="Times New Roman"/>
          <w:sz w:val="18"/>
          <w:szCs w:val="18"/>
          <w:color w:val="auto"/>
        </w:rPr>
      </w:pPr>
    </w:p>
    <w:p>
      <w:pPr>
        <w:ind w:left="1400" w:hanging="1211"/>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466 Certificate</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99"/>
          </w:cols>
          <w:pgMar w:left="1160" w:top="783"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Depositary,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center"/>
        <w:ind w:left="2080" w:right="2079"/>
        <w:spacing w:after="0" w:line="255" w:lineRule="auto"/>
        <w:rPr>
          <w:sz w:val="20"/>
          <w:szCs w:val="20"/>
          <w:color w:val="auto"/>
        </w:rPr>
      </w:pPr>
      <w:r>
        <w:rPr>
          <w:rFonts w:ascii="Times New Roman" w:cs="Times New Roman" w:eastAsia="Times New Roman" w:hAnsi="Times New Roman"/>
          <w:sz w:val="18"/>
          <w:szCs w:val="18"/>
          <w:color w:val="auto"/>
        </w:rPr>
        <w:t>ALL HOLDERS AND BENEFICIAL OWNERS OF AMERICAN DEPOSITARY SHARES OUTSTANDING UNDER THE TERMS OF THE DEPOSIT AGREEMENT, DATED AS OF SEPTEMBER 11, 2024</w:t>
      </w:r>
    </w:p>
    <w:p>
      <w:pPr>
        <w:spacing w:after="0" w:line="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60" w:type="dxa"/>
            <w:vAlign w:val="bottom"/>
          </w:tcPr>
          <w:p>
            <w:pPr>
              <w:spacing w:after="0"/>
              <w:rPr>
                <w:sz w:val="17"/>
                <w:szCs w:val="17"/>
                <w:color w:val="auto"/>
              </w:rPr>
            </w:pPr>
          </w:p>
        </w:tc>
        <w:tc>
          <w:tcPr>
            <w:tcW w:w="2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7"/>
        </w:trPr>
        <w:tc>
          <w:tcPr>
            <w:tcW w:w="19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64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SECTION 1.01</w:t>
            </w: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SECTION 1.02</w:t>
            </w: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Effective Date</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900" w:type="dxa"/>
            <w:vAlign w:val="bottom"/>
            <w:gridSpan w:val="2"/>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AMENDMENTS TO DEPOSIT AGREEMENT</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SECTION 2.01</w:t>
            </w: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Deposit Agreement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SECTION 2.02   Amendments Binding on all Holders and Beneficial Owners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900" w:type="dxa"/>
            <w:vAlign w:val="bottom"/>
            <w:gridSpan w:val="2"/>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AMENDMENTS TO THE FORM OF ADR</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SECTION 3.01</w:t>
            </w: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ADR Amendments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SECTION 3.02</w:t>
            </w: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of Ratio</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900" w:type="dxa"/>
            <w:vAlign w:val="bottom"/>
            <w:gridSpan w:val="2"/>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REPRESENTATIONS AND WARRANTIES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SECTION 4.01   Representations and Warranties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6900" w:type="dxa"/>
            <w:vAlign w:val="bottom"/>
            <w:gridSpan w:val="2"/>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 MISCELLANEOUS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SECTION 5.01</w:t>
            </w: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New ADRs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SECTION 5.02   Notice of Amendment to Holders of ADSs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SECTION 5.03</w:t>
            </w: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Indemnification</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SECTION 5.04</w:t>
            </w: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Ratification</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SECTION 5.05</w:t>
            </w:r>
          </w:p>
        </w:tc>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SECTION 5.06</w:t>
            </w:r>
          </w:p>
        </w:tc>
        <w:tc>
          <w:tcPr>
            <w:tcW w:w="6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 FORM OF ADR</w:t>
            </w:r>
          </w:p>
        </w:tc>
        <w:tc>
          <w:tcPr>
            <w:tcW w:w="6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6900" w:type="dxa"/>
            <w:vAlign w:val="bottom"/>
            <w:gridSpan w:val="2"/>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 – FORM OF DEPOSITARY NOTICE</w:t>
            </w:r>
          </w:p>
        </w:tc>
        <w:tc>
          <w:tcPr>
            <w:tcW w:w="20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1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8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NO. 1 TO DEPOSIT AGREEMENT</w:t>
      </w:r>
    </w:p>
    <w:p>
      <w:pPr>
        <w:spacing w:after="0" w:line="225"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AMENDMENT NO. 1 TO DEPOSIT AGREEMENT dated as of April 24, 2026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by and among Trident Digital Tech Holdings Ltd, an exempted company incorporated with limited liability under the laws of the Cayman Islands,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 national banking association organized under the laws of the United States of America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issued pursuant to, and outstanding as of the date hereof under, the Deposit Agreement (as hereinafter defined).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 THAT: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Depositary entered into that certain Deposit Agreement, dated as of September 11, 2024 (as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for the creation of ADSs (as defined in the Deposit Agreement) representing the Shares (as defined in the Deposit Agreement) deposited thereunder and for the execution and delivery of American Depositary Receipts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in respect of the ADSs issued in certificated form; and</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(a) change the ADS-to-Share ratio from the existing ratio of one (1) ADS to eight (8) Shares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new ratio of one (1) ADS to two hundred forty (240) Shares; (b) amend the Deposit Agreement, the ADRs currently outstanding and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in each case pursuant to Section 6.1 of the Deposit Agreement, to reflect such changes; and (c) give notice thereof to all Holders (as defined in the Deposit Agreement) of ADSs.</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and the Depositary hereby agree to amend the Deposit Agreement, the ADRs currently outstanding and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as follows:</w:t>
      </w: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otherwise specified in this Amendment No. 1, all capitalized terms used, but not defined, herein shall have the meanings given to such terms in the Deposit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date set forth above and as of which this Amendment No. 1 shall become effective.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AMENDMENTS TO DEPOSIT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All references in the Deposit Agreement to the terms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shall, as of the Effective Date, refer to the Deposit Agreement, dated as of September 11, 2024, as amended by Amendment No. 1 to Deposit Agreement, dated as of April 24, 2026, and as further amended and supplemented after the Effective Date.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Amendments Binding on all Holders and Beneficial Owners</w:t>
      </w:r>
      <w:r>
        <w:rPr>
          <w:rFonts w:ascii="Times New Roman" w:cs="Times New Roman" w:eastAsia="Times New Roman" w:hAnsi="Times New Roman"/>
          <w:sz w:val="18"/>
          <w:szCs w:val="18"/>
          <w:color w:val="auto"/>
        </w:rPr>
        <w:t>. From and after the Effective Date, the Deposit Agreement, as amended by this Amendment No. 1, shall be binding on all Holders and Beneficial Owners of ADSs issued and outstanding as of the Effective Date and on all Holders and Beneficial Owners of ADSs issued after the Effective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AMENDMENTS TO THE FORM OF ADR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ADR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6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phrase in the top, right-hand corner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issued and outstanding under the terms of the Deposit Agreement is hereby amended as of the Effective Date by deleting such phrase in its entirety and inserting the following in its stead:</w:t>
      </w:r>
    </w:p>
    <w:p>
      <w:pPr>
        <w:spacing w:after="0" w:line="176" w:lineRule="exact"/>
        <w:rPr>
          <w:sz w:val="20"/>
          <w:szCs w:val="20"/>
          <w:color w:val="auto"/>
        </w:rPr>
      </w:pPr>
    </w:p>
    <w:p>
      <w:pPr>
        <w:ind w:left="1300" w:right="660"/>
        <w:spacing w:after="0" w:line="282" w:lineRule="auto"/>
        <w:rPr>
          <w:sz w:val="20"/>
          <w:szCs w:val="20"/>
          <w:color w:val="auto"/>
        </w:rPr>
      </w:pPr>
      <w:r>
        <w:rPr>
          <w:rFonts w:ascii="Times New Roman" w:cs="Times New Roman" w:eastAsia="Times New Roman" w:hAnsi="Times New Roman"/>
          <w:sz w:val="18"/>
          <w:szCs w:val="18"/>
          <w:color w:val="auto"/>
        </w:rPr>
        <w:t>“American Depositary Shares (each American Depositary Share representing the right to receive two hundred forty (240) fully paid Class B ordinary shares)”.</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ind w:firstLine="1304"/>
        <w:spacing w:after="0" w:line="266" w:lineRule="auto"/>
        <w:tabs>
          <w:tab w:leader="none" w:pos="15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second sentence of the introductory paragraph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issued and outstanding under the terms of the Deposit Agreement is hereby amended as of the Effective Date by deleting such sentence in its entirety and inserting the following in its stead:</w:t>
      </w:r>
    </w:p>
    <w:p>
      <w:pPr>
        <w:spacing w:after="0" w:line="176" w:lineRule="exact"/>
        <w:rPr>
          <w:sz w:val="20"/>
          <w:szCs w:val="20"/>
          <w:color w:val="auto"/>
        </w:rPr>
      </w:pPr>
    </w:p>
    <w:p>
      <w:pPr>
        <w:jc w:val="both"/>
        <w:ind w:left="1300" w:right="640"/>
        <w:spacing w:after="0" w:line="266" w:lineRule="auto"/>
        <w:rPr>
          <w:sz w:val="20"/>
          <w:szCs w:val="20"/>
          <w:color w:val="auto"/>
        </w:rPr>
      </w:pPr>
      <w:r>
        <w:rPr>
          <w:rFonts w:ascii="Times New Roman" w:cs="Times New Roman" w:eastAsia="Times New Roman" w:hAnsi="Times New Roman"/>
          <w:sz w:val="18"/>
          <w:szCs w:val="18"/>
          <w:color w:val="auto"/>
        </w:rPr>
        <w:t>“As of the date of issuance of this ADR, each one (1) ADS represents the right to receive two hundred forty (240) Shares deposited under the Deposit Agreement (as hereinafter defined) with the Custodian, which at the date of issuance of this ADR is Citibank, N.A. - Hong Kong (the “Custodian”).”</w:t>
      </w:r>
    </w:p>
    <w:p>
      <w:pPr>
        <w:spacing w:after="0" w:line="176" w:lineRule="exact"/>
        <w:rPr>
          <w:sz w:val="20"/>
          <w:szCs w:val="20"/>
          <w:color w:val="auto"/>
        </w:rPr>
      </w:pPr>
    </w:p>
    <w:p>
      <w:pPr>
        <w:jc w:val="both"/>
        <w:ind w:firstLine="1304"/>
        <w:spacing w:after="0" w:line="266" w:lineRule="auto"/>
        <w:tabs>
          <w:tab w:leader="none" w:pos="161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sentence of paragraph (1) of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issued and outstanding under the terms of the Deposit Agreement is hereby amended as of the Effective Date by deleting such sentence in its entirety and inserting the following in its stead:</w:t>
      </w:r>
    </w:p>
    <w:p>
      <w:pPr>
        <w:spacing w:after="0" w:line="176" w:lineRule="exact"/>
        <w:rPr>
          <w:sz w:val="20"/>
          <w:szCs w:val="20"/>
          <w:color w:val="auto"/>
        </w:rPr>
      </w:pPr>
    </w:p>
    <w:p>
      <w:pPr>
        <w:jc w:val="both"/>
        <w:ind w:left="1300" w:right="660"/>
        <w:spacing w:after="0" w:line="258" w:lineRule="auto"/>
        <w:rPr>
          <w:sz w:val="20"/>
          <w:szCs w:val="20"/>
          <w:color w:val="auto"/>
        </w:rPr>
      </w:pPr>
      <w:r>
        <w:rPr>
          <w:rFonts w:ascii="Times New Roman" w:cs="Times New Roman" w:eastAsia="Times New Roman" w:hAnsi="Times New Roman"/>
          <w:sz w:val="18"/>
          <w:szCs w:val="18"/>
          <w:color w:val="auto"/>
        </w:rPr>
        <w:t>“This American Depositary Receipt is one of an issue of American Depositary Receipts (“ADRs”), all issued and to be issued upon the terms and conditions set forth in the Deposit Agreement, dated as of September 11, 2024, and as amended by Amendment No. 1 to Deposit Agreement, dated as of April 24, 2026 (as so amended and as further amended and supplemented from time to time, the “Deposit Agreement”), by and among the Company, the Depositary and all Holders and Beneficial Owners from time to time of the ADSs issued thereunder.”</w:t>
      </w:r>
    </w:p>
    <w:p>
      <w:pPr>
        <w:spacing w:after="0" w:line="183"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Change of Ratio</w:t>
      </w:r>
      <w:r>
        <w:rPr>
          <w:rFonts w:ascii="Times New Roman" w:cs="Times New Roman" w:eastAsia="Times New Roman" w:hAnsi="Times New Roman"/>
          <w:sz w:val="18"/>
          <w:szCs w:val="18"/>
          <w:color w:val="auto"/>
        </w:rPr>
        <w:t xml:space="preserve">. All other references to the ADS-to-Share ratio made in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in each of the ADRs outstanding, as of the Effective Date, under the terms of the Deposit Agreement shall, as of the Effective Date, refer to the ADS-to-Share ratio of “one (1) ADS to two hundred forty (240) Shares.”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Depositary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and Beneficial Owners, that:</w:t>
      </w:r>
    </w:p>
    <w:p>
      <w:pPr>
        <w:spacing w:after="0" w:line="207" w:lineRule="exact"/>
        <w:rPr>
          <w:sz w:val="20"/>
          <w:szCs w:val="20"/>
          <w:color w:val="auto"/>
        </w:rPr>
      </w:pPr>
    </w:p>
    <w:p>
      <w:pPr>
        <w:jc w:val="both"/>
        <w:ind w:firstLine="1304"/>
        <w:spacing w:after="0" w:line="258" w:lineRule="auto"/>
        <w:tabs>
          <w:tab w:leader="none" w:pos="16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1, when executed and delivered by the Company, and the Deposit Agreement and all other documentation executed and delivered by the Company in connection therewith, will be and have been, respectively, duly and validly authorized, executed and delivered by the Company, and constitute the legal, valid and binding obligations of the Company, enforceable against the Company in accordance with their respective terms, subject to bankruptcy, insolvency, fraudulent transfer, moratorium and similar laws of general applicability relating to or affecting creditors’ rights and to general equity principles;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ensure the legality, validity, enforceability or admissibility into evidence of this Amendment No. 1 or the Deposit Agreement as amended hereby, or any other document furnished hereunder or thereunder in the Cayman Islands, neither of such agreements need to be filed or recorded with any court or other authority in the Cayman Islands, nor does any stamp or similar tax need be paid in the Cayman Islands on or in respect of such agreements; and</w:t>
      </w:r>
    </w:p>
    <w:p>
      <w:pPr>
        <w:spacing w:after="0" w:line="17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information provided to the Depositary by the Company in connection with this Amendment No. 1 is true, accurate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New ADRs</w:t>
      </w:r>
      <w:r>
        <w:rPr>
          <w:rFonts w:ascii="Times New Roman" w:cs="Times New Roman" w:eastAsia="Times New Roman" w:hAnsi="Times New Roman"/>
          <w:sz w:val="18"/>
          <w:szCs w:val="18"/>
          <w:color w:val="auto"/>
        </w:rPr>
        <w:t xml:space="preserve">. From and after the Effective Date, the Depositary shall arrange to have new ADRs printed to reflect the changes to the form of ADR effected by this Amendment No. 1. All ADRs issued hereunder after the Effective Date, once such new ADRs are available, whether upon the deposit of Shares or other Deposited Securities or upon the transfer, combination or split up of existing ADRs, shall be substantially in the form of the specimen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However, ADRs issued prior or subsequent to the date hereof, which do not reflect the changes to the form of ADR effected hereby, must be returned to the Depositary for exchange. The Depositary is authorized and directed to take any and all actions deemed necessary to effect the foregoing.</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 of Amendment to Holders of ADSs</w:t>
      </w:r>
      <w:r>
        <w:rPr>
          <w:rFonts w:ascii="Times New Roman" w:cs="Times New Roman" w:eastAsia="Times New Roman" w:hAnsi="Times New Roman"/>
          <w:sz w:val="18"/>
          <w:szCs w:val="18"/>
          <w:color w:val="auto"/>
        </w:rPr>
        <w:t xml:space="preserve">. The Depositary is hereby directed to send a notice informing the Holders of ADSs,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 of the terms of this Amendment No. 1; (ii) of the Effective Date of this Amendment No. 1; (iii) that the Holder of ADRs, if any, are requested to surrender their ADRs in exchange for new ADRs reflecting the changes effected by this Amendment No. 1, as provided in Section 5.01 hereof; and (iv) that copies of this Amendment No. 1 may be retrieved from the Commission’s website at www.sec.gov and may be obtained from the Depositary and the Company upon request.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to indemnify and hold harmless the Depositary (and any and all of its directors, employees, officers, and agents) for any and all liability it or they may incur as a result of the terms of this Amendment No. 1 and the transactions contemplated herein.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Except as expressly amended hereby, the terms, covenants and conditions of the Deposit Agreement as originally executed shall remain in full force and effect.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No. 1 shall be governed by and construed in accordance with the laws of the State of New York without reference to its principles of choice of law.</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No. 1 may be executed in any number of counterparts, each of which shall be deemed an original, and all of such counterparts together shall be deemed an original, and all such counterparts together shall constitute one and the same agreement.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[Reminder of page intentionally left blank. Signatures on following page.]</w:t>
      </w:r>
    </w:p>
    <w:p>
      <w:pPr>
        <w:spacing w:after="0" w:line="3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and the Depositary have caused this Amendment No. 1 to be executed by representatives thereunto duly authorized as of the date set forth above.</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3"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CITIBANK, N.A., as Depositary</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Leslie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Leslie DeLuca</w:t>
      </w:r>
    </w:p>
    <w:p>
      <w:pPr>
        <w:spacing w:after="0" w:line="23" w:lineRule="exact"/>
        <w:rPr>
          <w:sz w:val="20"/>
          <w:szCs w:val="20"/>
          <w:color w:val="auto"/>
        </w:rPr>
      </w:pPr>
    </w:p>
    <w:p>
      <w:pPr>
        <w:ind w:left="7320"/>
        <w:spacing w:after="0"/>
        <w:tabs>
          <w:tab w:leader="none" w:pos="7840" w:val="left"/>
        </w:tabs>
        <w:rPr>
          <w:sz w:val="20"/>
          <w:szCs w:val="20"/>
          <w:color w:val="auto"/>
        </w:rPr>
      </w:pPr>
      <w:r>
        <w:rPr>
          <w:rFonts w:ascii="Times New Roman" w:cs="Times New Roman" w:eastAsia="Times New Roman" w:hAnsi="Times New Roman"/>
          <w:sz w:val="18"/>
          <w:szCs w:val="18"/>
          <w:color w:val="auto"/>
        </w:rPr>
        <w:t>Title:</w:t>
        <w:tab/>
        <w:t>Attorney-in-Fact</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RECEIPT]</w:t>
      </w:r>
    </w:p>
    <w:p>
      <w:pPr>
        <w:spacing w:after="0" w:line="229" w:lineRule="exact"/>
        <w:rPr>
          <w:sz w:val="20"/>
          <w:szCs w:val="20"/>
          <w:color w:val="auto"/>
        </w:rPr>
      </w:pPr>
    </w:p>
    <w:p>
      <w:pPr>
        <w:spacing w:after="0"/>
        <w:tabs>
          <w:tab w:leader="none" w:pos="8760" w:val="left"/>
        </w:tabs>
        <w:rPr>
          <w:sz w:val="20"/>
          <w:szCs w:val="20"/>
          <w:color w:val="auto"/>
        </w:rPr>
      </w:pPr>
      <w:r>
        <w:rPr>
          <w:rFonts w:ascii="Times New Roman" w:cs="Times New Roman" w:eastAsia="Times New Roman" w:hAnsi="Times New Roman"/>
          <w:sz w:val="18"/>
          <w:szCs w:val="18"/>
          <w:color w:val="auto"/>
        </w:rPr>
        <w:t>Number: ___________</w:t>
      </w:r>
      <w:r>
        <w:rPr>
          <w:sz w:val="20"/>
          <w:szCs w:val="20"/>
          <w:color w:val="auto"/>
        </w:rPr>
        <w:tab/>
      </w:r>
      <w:r>
        <w:rPr>
          <w:rFonts w:ascii="Times New Roman" w:cs="Times New Roman" w:eastAsia="Times New Roman" w:hAnsi="Times New Roman"/>
          <w:sz w:val="18"/>
          <w:szCs w:val="18"/>
          <w:color w:val="auto"/>
        </w:rPr>
        <w:t>CUSIP NUMBER: ___________</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American Depositary Shares (each American</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Depositary Share representing the right to</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receive two hundred forty (240) fully paid</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Class B ordinary shares)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DEPOSITED ORDINARY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 “Depositary”), hereby certifies that _____________ is the owner of ______________ American Depositary Shares (hereinafter “ADS”) representing</w:t>
      </w:r>
    </w:p>
    <w:p>
      <w:pPr>
        <w:jc w:val="both"/>
        <w:spacing w:after="0" w:line="252" w:lineRule="auto"/>
        <w:rPr>
          <w:sz w:val="20"/>
          <w:szCs w:val="20"/>
          <w:color w:val="auto"/>
        </w:rPr>
      </w:pPr>
      <w:r>
        <w:rPr>
          <w:rFonts w:ascii="Times New Roman" w:cs="Times New Roman" w:eastAsia="Times New Roman" w:hAnsi="Times New Roman"/>
          <w:sz w:val="18"/>
          <w:szCs w:val="18"/>
          <w:color w:val="auto"/>
        </w:rPr>
        <w:t>deposited Class B ordinary shares, including evidence of rights to receive such Class B ordinary shares (the “Shares”), of TRIDENT DIGITAL TECH HOLDINGS LTD, an exempted company incorporated with limited liability under the laws of the Cayman Islands, and its successors (the “Company”). As of the date of issuance of this ADR, each one (1) ADS represents the right to receive two hundred forty (240) Shares deposited under the Deposit Agreement (as hereinafter defined) with the Custodian, which at the date of issuance of this ADR is Citibank, N.A. - Hong Kong (the “Custodian”). The ADS(s)-to-Share(s) ratio is subject to amendment as provided in Articles IV and VI of the Deposit Agreement. The Depositary’s Principal Office is located at 388 Greenwich Street, New York, New York 10013, U.S.A.</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ind w:firstLine="656"/>
        <w:spacing w:after="0" w:line="253" w:lineRule="auto"/>
        <w:tabs>
          <w:tab w:leader="none" w:pos="94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issued upon the terms and conditions set forth in the Deposit Agreement, dated as of September 11, 2024, and as amended by Amendment No. 1 to Deposit Agreement, dated as of April 24, 2026 (as so amended and as further amended and supplemented from time to time, the “Deposit Agreement”), by and among the Company, the Depositary and all Holders and Beneficial Owners from time to time of the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6" w:lineRule="exact"/>
        <w:rPr>
          <w:sz w:val="20"/>
          <w:szCs w:val="20"/>
          <w:color w:val="auto"/>
        </w:rPr>
      </w:pPr>
    </w:p>
    <w:p>
      <w:pPr>
        <w:jc w:val="both"/>
        <w:ind w:firstLine="656"/>
        <w:spacing w:after="0" w:line="253" w:lineRule="auto"/>
        <w:tabs>
          <w:tab w:leader="none" w:pos="948"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3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ADS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Articles of Association, and of any applicable laws and the rules of the applicable book entry settlement entity, and to any provisions of or governing the Deposited Securities, in each case as in effect at the time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Deposit Agreement, of this ADR evidencing the ADS so canceled, of the Articles of Association, of any applicable laws and of the rules of the applicable book entry settlement entity, and to the terms and conditions of or governing the Deposited Securities, in each case as in effect at the time thereof.</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jc w:val="both"/>
        <w:ind w:firstLine="656"/>
        <w:spacing w:after="0" w:line="254" w:lineRule="auto"/>
        <w:tabs>
          <w:tab w:leader="none" w:pos="94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this ADR (and of the ADSs represented hereby)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3" w:lineRule="exact"/>
        <w:rPr>
          <w:sz w:val="20"/>
          <w:szCs w:val="20"/>
          <w:color w:val="auto"/>
        </w:rPr>
      </w:pPr>
    </w:p>
    <w:p>
      <w:pPr>
        <w:jc w:val="both"/>
        <w:ind w:firstLine="8"/>
        <w:spacing w:after="0" w:line="255" w:lineRule="auto"/>
        <w:tabs>
          <w:tab w:leader="none" w:pos="2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181" w:lineRule="exact"/>
        <w:rPr>
          <w:rFonts w:ascii="Times New Roman" w:cs="Times New Roman" w:eastAsia="Times New Roman" w:hAnsi="Times New Roman"/>
          <w:sz w:val="18"/>
          <w:szCs w:val="18"/>
          <w:color w:val="auto"/>
        </w:rPr>
      </w:pPr>
    </w:p>
    <w:p>
      <w:pPr>
        <w:jc w:val="both"/>
        <w:ind w:firstLine="656"/>
        <w:spacing w:after="0" w:line="254" w:lineRule="auto"/>
        <w:tabs>
          <w:tab w:leader="none" w:pos="948"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ind w:firstLine="656"/>
        <w:spacing w:after="0" w:line="257" w:lineRule="auto"/>
        <w:tabs>
          <w:tab w:leader="none" w:pos="97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Beneficial Owner of the ADSs represented hereby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0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ADR or of the Deposit Agreement to the contrary,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61"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both"/>
        <w:ind w:firstLine="656"/>
        <w:spacing w:after="0" w:line="253" w:lineRule="auto"/>
        <w:tabs>
          <w:tab w:leader="none" w:pos="948"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0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078"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paragraph (25) and Section 7.8(a) of the Deposit Agreement, the delivery of any Deposited Property until such proof or other information is filed or such certifications are executed, or such representations and warranties are made or such other documentation or information are provided, in each case to the Depositary’s, the Registrar’s and the Company’s satisfaction.</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ind w:left="1100" w:hanging="444"/>
        <w:spacing w:after="0"/>
        <w:tabs>
          <w:tab w:leader="none" w:pos="11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ADS fees (some of which may be cumulative) are payable under the terms of the Deposit</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w:t>
      </w:r>
    </w:p>
    <w:p>
      <w:pPr>
        <w:spacing w:after="0" w:line="204" w:lineRule="exact"/>
        <w:rPr>
          <w:rFonts w:ascii="Times New Roman" w:cs="Times New Roman" w:eastAsia="Times New Roman" w:hAnsi="Times New Roman"/>
          <w:sz w:val="18"/>
          <w:szCs w:val="18"/>
          <w:b w:val="1"/>
          <w:bCs w:val="1"/>
          <w:color w:val="auto"/>
        </w:rPr>
      </w:pPr>
    </w:p>
    <w:p>
      <w:pPr>
        <w:jc w:val="both"/>
        <w:ind w:left="1300" w:hanging="401"/>
        <w:spacing w:after="0" w:line="267"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Issuance Fee</w:t>
      </w:r>
      <w:r>
        <w:rPr>
          <w:rFonts w:ascii="Times New Roman" w:cs="Times New Roman" w:eastAsia="Times New Roman" w:hAnsi="Times New Roman"/>
          <w:sz w:val="18"/>
          <w:szCs w:val="18"/>
          <w:color w:val="auto"/>
        </w:rPr>
        <w:t>: by any person for whom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73" w:lineRule="exact"/>
        <w:rPr>
          <w:rFonts w:ascii="Times New Roman" w:cs="Times New Roman" w:eastAsia="Times New Roman" w:hAnsi="Times New Roman"/>
          <w:sz w:val="18"/>
          <w:szCs w:val="18"/>
          <w:color w:val="auto"/>
        </w:rPr>
      </w:pPr>
    </w:p>
    <w:p>
      <w:pPr>
        <w:jc w:val="both"/>
        <w:ind w:left="1300" w:hanging="401"/>
        <w:spacing w:after="0" w:line="267"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for whom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175" w:lineRule="exact"/>
        <w:rPr>
          <w:rFonts w:ascii="Times New Roman" w:cs="Times New Roman" w:eastAsia="Times New Roman" w:hAnsi="Times New Roman"/>
          <w:sz w:val="18"/>
          <w:szCs w:val="18"/>
          <w:color w:val="auto"/>
        </w:rPr>
      </w:pPr>
    </w:p>
    <w:p>
      <w:pPr>
        <w:ind w:left="1300" w:hanging="401"/>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 entitlements);</w:t>
      </w:r>
    </w:p>
    <w:p>
      <w:pPr>
        <w:spacing w:after="0" w:line="161"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75"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financial instruments, including, without limitation,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 and contingent value rights);</w:t>
      </w:r>
    </w:p>
    <w:p>
      <w:pPr>
        <w:spacing w:after="0" w:line="175" w:lineRule="exact"/>
        <w:rPr>
          <w:rFonts w:ascii="Times New Roman" w:cs="Times New Roman" w:eastAsia="Times New Roman" w:hAnsi="Times New Roman"/>
          <w:sz w:val="18"/>
          <w:szCs w:val="18"/>
          <w:color w:val="auto"/>
        </w:rPr>
      </w:pPr>
    </w:p>
    <w:p>
      <w:pPr>
        <w:ind w:left="1300" w:right="20" w:hanging="401"/>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1" w:lineRule="exact"/>
        <w:rPr>
          <w:rFonts w:ascii="Times New Roman" w:cs="Times New Roman" w:eastAsia="Times New Roman" w:hAnsi="Times New Roman"/>
          <w:sz w:val="18"/>
          <w:szCs w:val="18"/>
          <w:color w:val="auto"/>
        </w:rPr>
      </w:pPr>
    </w:p>
    <w:p>
      <w:pPr>
        <w:ind w:left="1300" w:right="20" w:hanging="401"/>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by any Holder of ADS(s) being transferred or by any person to whom ADSs are transferred, a fee not in excess of U.S. $5.00 per 100 ADSs (or fraction thereof) transferred; and</w:t>
      </w:r>
    </w:p>
    <w:p>
      <w:pPr>
        <w:spacing w:after="0" w:line="161" w:lineRule="exact"/>
        <w:rPr>
          <w:rFonts w:ascii="Times New Roman" w:cs="Times New Roman" w:eastAsia="Times New Roman" w:hAnsi="Times New Roman"/>
          <w:sz w:val="18"/>
          <w:szCs w:val="18"/>
          <w:color w:val="auto"/>
        </w:rPr>
      </w:pPr>
    </w:p>
    <w:p>
      <w:pPr>
        <w:jc w:val="both"/>
        <w:ind w:left="1300" w:hanging="401"/>
        <w:spacing w:after="0" w:line="261"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conversion of Partial Entitlement ADSs for Full Entitlement ADSs, or upon conversion of Restricted ADSs into freely transferrable ADSs, and </w:t>
      </w:r>
      <w:r>
        <w:rPr>
          <w:rFonts w:ascii="Times New Roman" w:cs="Times New Roman" w:eastAsia="Times New Roman" w:hAnsi="Times New Roman"/>
          <w:sz w:val="18"/>
          <w:szCs w:val="18"/>
          <w:i w:val="1"/>
          <w:iCs w:val="1"/>
          <w:color w:val="auto"/>
        </w:rPr>
        <w:t>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versa</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76" w:lineRule="exact"/>
        <w:rPr>
          <w:sz w:val="20"/>
          <w:szCs w:val="20"/>
          <w:color w:val="auto"/>
        </w:rPr>
      </w:pPr>
    </w:p>
    <w:p>
      <w:pPr>
        <w:ind w:left="1300" w:hanging="401"/>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1300" w:hanging="401"/>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61" w:lineRule="exact"/>
        <w:rPr>
          <w:rFonts w:ascii="Times New Roman" w:cs="Times New Roman" w:eastAsia="Times New Roman" w:hAnsi="Times New Roman"/>
          <w:sz w:val="18"/>
          <w:szCs w:val="18"/>
          <w:color w:val="auto"/>
        </w:rPr>
      </w:pPr>
    </w:p>
    <w:p>
      <w:pPr>
        <w:jc w:val="both"/>
        <w:ind w:left="1300" w:hanging="401"/>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1300" w:right="20" w:hanging="401"/>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61" w:lineRule="exact"/>
        <w:rPr>
          <w:rFonts w:ascii="Times New Roman" w:cs="Times New Roman" w:eastAsia="Times New Roman" w:hAnsi="Times New Roman"/>
          <w:sz w:val="18"/>
          <w:szCs w:val="18"/>
          <w:color w:val="auto"/>
        </w:rPr>
      </w:pPr>
    </w:p>
    <w:p>
      <w:pPr>
        <w:ind w:left="1300" w:hanging="401"/>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ind w:firstLine="656"/>
        <w:spacing w:after="0" w:line="254" w:lineRule="auto"/>
        <w:tabs>
          <w:tab w:leader="none" w:pos="106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6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7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accordingly, is required to file or furnish certain reports with the Commission. These reports can be retrieved from the Commission’s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can be inspected and copied at the public reference facilities maintained by the Commission located (as of the date of the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of the Deposit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29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CITIBANK, N.A.</w:t>
            </w: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as Depositary</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w:t>
            </w:r>
          </w:p>
        </w:tc>
      </w:tr>
      <w:tr>
        <w:trPr>
          <w:trHeight w:val="228"/>
        </w:trPr>
        <w:tc>
          <w:tcPr>
            <w:tcW w:w="46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294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address of the Principal Office of the Depositary is 388 Greenwich Street, New York, New York 10013, U.S.A.</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03" w:lineRule="exact"/>
        <w:rPr>
          <w:sz w:val="20"/>
          <w:szCs w:val="20"/>
          <w:color w:val="auto"/>
        </w:rPr>
      </w:pPr>
    </w:p>
    <w:p>
      <w:pPr>
        <w:jc w:val="both"/>
        <w:ind w:firstLine="656"/>
        <w:spacing w:after="0" w:line="252" w:lineRule="auto"/>
        <w:tabs>
          <w:tab w:leader="none" w:pos="1051"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Upon the timely receipt by the Depositary of a notice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that it intends to make a distribution of a cash dividend or other cash distribution, the Depositary shall establish the ADS Record Date upon the terms described in Section 4.9 of the Deposit Agreement. Upon confirmation of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described in the Fee Schedule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both"/>
        <w:ind w:firstLine="1304"/>
        <w:spacing w:after="0" w:line="254" w:lineRule="auto"/>
        <w:tabs>
          <w:tab w:leader="none" w:pos="15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8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both"/>
        <w:ind w:firstLine="1304"/>
        <w:spacing w:after="0" w:line="252" w:lineRule="auto"/>
        <w:tabs>
          <w:tab w:leader="none" w:pos="15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Upon the timely receipt of a notice indicating that the Company wishes an elective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in 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reasonably satisfactory documentation within the terms of Section 5.7 of the Deposit Agreement. If the above conditions are satisfied, the Depositary shall, subject to the terms and conditions of the Deposit Agreement, establish the ADS Record Date upon the terms of Section 4.9 of the Deposit Agreement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the Cayman Islands in respect of the Shares for which no election is made, either (x) cash or (y) additional ADSs representing such additional Shares, in each case, upon the terms described in the Deposit Agreement. Nothing herein or in the Deposit Agreement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of Rights to Purchase Additional ADSs</w:t>
      </w:r>
      <w:r>
        <w:rPr>
          <w:rFonts w:ascii="Times New Roman" w:cs="Times New Roman" w:eastAsia="Times New Roman" w:hAnsi="Times New Roman"/>
          <w:sz w:val="18"/>
          <w:szCs w:val="18"/>
          <w:color w:val="auto"/>
        </w:rPr>
        <w:t>: Upon the timely receipt by the Depositary of a notice indicating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reasonably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jc w:val="both"/>
        <w:ind w:firstLine="1304"/>
        <w:spacing w:after="0" w:line="256" w:lineRule="auto"/>
        <w:tabs>
          <w:tab w:leader="none" w:pos="15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 other than Cash, Shares or Rights to Purchase Shares</w:t>
      </w:r>
      <w:r>
        <w:rPr>
          <w:rFonts w:ascii="Times New Roman" w:cs="Times New Roman" w:eastAsia="Times New Roman" w:hAnsi="Times New Roman"/>
          <w:sz w:val="18"/>
          <w:szCs w:val="18"/>
          <w:color w:val="auto"/>
        </w:rPr>
        <w:t>: Upon receipt of a notice indicating that the Company wishes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the documentation contemplated in the Deposit Agreement, and</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3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ind w:firstLine="1296"/>
        <w:spacing w:after="0" w:line="261"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w:t>
      </w:r>
    </w:p>
    <w:p>
      <w:pPr>
        <w:jc w:val="both"/>
        <w:ind w:firstLine="8"/>
        <w:spacing w:after="0" w:line="253" w:lineRule="auto"/>
        <w:tabs>
          <w:tab w:leader="none" w:pos="29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proceeds of such conversion received by the Depositary (net of applicable (a) fees and charges of, and expenses incurred by, the Depositary and (b) taxes) to the Holders as of the ADS Record Date upon the terms hereof and in the Deposit Agreement. If the Depositary is unable to sell such property, the Depositary may dispose of such property for the account of the Holders in any way it deems reasonably practicable under the circumstances.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jc w:val="both"/>
        <w:ind w:firstLine="656"/>
        <w:spacing w:after="0" w:line="252" w:lineRule="auto"/>
        <w:tabs>
          <w:tab w:leader="none" w:pos="106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timely receipt of notice from the Company that it intends to exercise its right of redemption in respect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Securities, and satisfactory documentation, and upon determining that such proposed redemption is practicable, the Depositary shall (to the extent practicable)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above, the Depositary shall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both"/>
        <w:ind w:firstLine="656"/>
        <w:spacing w:after="0" w:line="254" w:lineRule="auto"/>
        <w:tabs>
          <w:tab w:leader="none" w:pos="110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Subject to applicable law, the terms and conditions of this ADR and Sections 4.1 through 4.8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51"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of the Company as in effect on the date of the Deposit Agreement, a poll may be demanded by (a) the chairman of the meeting, or (b) any shareholder(s) present in person or by proxy and representing not less than 10% of the total voting rights of the shareholders present in person or by proxy on the resolution (excluding any shares held in treasury).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and the provisions of the Deposited Securities, to vote, or cause the Custodian to vote, the Deposited Securities (in person or by proxy) represented by such Holder’s ADSs as follows: (a) </w:t>
      </w:r>
      <w:r>
        <w:rPr>
          <w:rFonts w:ascii="Times New Roman" w:cs="Times New Roman" w:eastAsia="Times New Roman" w:hAnsi="Times New Roman"/>
          <w:sz w:val="18"/>
          <w:szCs w:val="18"/>
          <w:i w:val="1"/>
          <w:iCs w:val="1"/>
          <w:color w:val="auto"/>
        </w:rPr>
        <w:t>in the event voting takes place at a shareholders’ meeting by a show of hands,</w:t>
      </w:r>
      <w:r>
        <w:rPr>
          <w:rFonts w:ascii="Times New Roman" w:cs="Times New Roman" w:eastAsia="Times New Roman" w:hAnsi="Times New Roman"/>
          <w:sz w:val="18"/>
          <w:szCs w:val="18"/>
          <w:color w:val="auto"/>
        </w:rPr>
        <w:t xml:space="preserve"> the Depositary will instruct the Custodian to vote all Deposited Securities in accordance with such voting instructions received timely from a majority of the Holders of ADSs who provided voting instructions, and (b)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event voting takes place at a shareholders’ meeting by poll</w:t>
      </w:r>
      <w:r>
        <w:rPr>
          <w:rFonts w:ascii="Times New Roman" w:cs="Times New Roman" w:eastAsia="Times New Roman" w:hAnsi="Times New Roman"/>
          <w:sz w:val="18"/>
          <w:szCs w:val="18"/>
          <w:color w:val="auto"/>
        </w:rPr>
        <w:t>, the Depositary will instruct the Custodian to vote the Deposited Securities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or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this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in a form reasonably satisfactory to the Depositary addressing any actions requested to be taken if so requested by the Depositary.</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jc w:val="both"/>
        <w:ind w:firstLine="656"/>
        <w:spacing w:after="0" w:line="253" w:lineRule="auto"/>
        <w:tabs>
          <w:tab w:leader="none" w:pos="1092"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jc w:val="both"/>
        <w:ind w:firstLine="8"/>
        <w:spacing w:after="0" w:line="250" w:lineRule="auto"/>
        <w:tabs>
          <w:tab w:leader="none" w:pos="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w:t>
      </w:r>
    </w:p>
    <w:p>
      <w:pPr>
        <w:spacing w:after="0" w:line="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exchange exposure or loss incurred in connection with such sale, or (iii) any liability to the purchaser of such Deposited Property.</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both"/>
        <w:ind w:firstLine="656"/>
        <w:spacing w:after="0" w:line="252" w:lineRule="auto"/>
        <w:tabs>
          <w:tab w:leader="none" w:pos="103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do or perform any act or thing which is inconsistent with the provisions of the Deposit Agreement or incur any liability (to the extent not limited by paragraph (25) hereof)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86"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7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56"/>
        <w:spacing w:after="0" w:line="252" w:lineRule="auto"/>
        <w:tabs>
          <w:tab w:leader="none" w:pos="111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jc w:val="both"/>
        <w:ind w:firstLine="656"/>
        <w:spacing w:after="0" w:line="252" w:lineRule="auto"/>
        <w:tabs>
          <w:tab w:leader="none" w:pos="110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paragraph 23, and Section 6.1 of the Deposit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jc w:val="both"/>
        <w:ind w:firstLine="656"/>
        <w:spacing w:after="0" w:line="263" w:lineRule="auto"/>
        <w:tabs>
          <w:tab w:leader="none" w:pos="1065"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 distributing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such termination to the Holders of all ADSs then outstanding at least thirty (30) days prior to the date fixed in such notice for such termination. If</w:t>
      </w:r>
    </w:p>
    <w:p>
      <w:pPr>
        <w:jc w:val="both"/>
        <w:ind w:firstLine="8"/>
        <w:spacing w:after="0" w:line="250" w:lineRule="auto"/>
        <w:tabs>
          <w:tab w:leader="none" w:pos="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shall have expired after the Depositary shall have delivered to the Company a written notice of its election to resign, or (ii) 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3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fees and charges of, and reimbursement of the applicable expenses incurred by, the Depositary.</w:t>
      </w:r>
    </w:p>
    <w:p>
      <w:pPr>
        <w:spacing w:after="0" w:line="185" w:lineRule="exact"/>
        <w:rPr>
          <w:sz w:val="20"/>
          <w:szCs w:val="20"/>
          <w:color w:val="auto"/>
        </w:rPr>
      </w:pPr>
    </w:p>
    <w:p>
      <w:pPr>
        <w:jc w:val="both"/>
        <w:ind w:firstLine="656"/>
        <w:spacing w:after="0" w:line="268" w:lineRule="auto"/>
        <w:tabs>
          <w:tab w:leader="none" w:pos="10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Notwithstanding any provisions in this ADR or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75" w:lineRule="exact"/>
        <w:rPr>
          <w:sz w:val="20"/>
          <w:szCs w:val="20"/>
          <w:color w:val="auto"/>
        </w:rPr>
      </w:pPr>
    </w:p>
    <w:p>
      <w:pPr>
        <w:jc w:val="both"/>
        <w:ind w:firstLine="656"/>
        <w:spacing w:after="0" w:line="266" w:lineRule="auto"/>
        <w:tabs>
          <w:tab w:leader="none" w:pos="12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jc w:val="both"/>
        <w:ind w:firstLine="656"/>
        <w:spacing w:after="0" w:line="253" w:lineRule="auto"/>
        <w:tabs>
          <w:tab w:leader="none" w:pos="1078"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Third Party Beneficiaries/Acknowledgements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1" w:lineRule="auto"/>
        <w:tabs>
          <w:tab w:leader="none" w:pos="31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both"/>
        <w:ind w:firstLine="656"/>
        <w:spacing w:after="0" w:line="257" w:lineRule="auto"/>
        <w:tabs>
          <w:tab w:leader="none" w:pos="1051"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 Waiver of Jury Trial</w:t>
      </w:r>
      <w:r>
        <w:rPr>
          <w:rFonts w:ascii="Times New Roman" w:cs="Times New Roman" w:eastAsia="Times New Roman" w:hAnsi="Times New Roman"/>
          <w:sz w:val="18"/>
          <w:szCs w:val="18"/>
          <w:color w:val="auto"/>
        </w:rPr>
        <w:t>. The Deposit Agreement, the ADRs and the ADSs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 the within ADR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ADR on the books of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tc>
        <w:tc>
          <w:tcPr>
            <w:tcW w:w="18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57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4"/>
                <w:szCs w:val="24"/>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99"/>
              </w:rPr>
              <w:t>NOTICE: The signature of the Holder to this assignment must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correspond with the name as written upon the face of the</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within instrument in every particular, without alteration or</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enlargement or any change whatsoever.</w:t>
            </w: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4"/>
                <w:szCs w:val="24"/>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If the endorsement be executed by an attorney, executor,</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administrator, trustee or guardian, the person executing the</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endorsement must give his/her full title in such capacity and</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proper evidence of authority to act in such capacity, if not on</w:t>
            </w:r>
          </w:p>
        </w:tc>
        <w:tc>
          <w:tcPr>
            <w:tcW w:w="0" w:type="dxa"/>
            <w:vAlign w:val="bottom"/>
          </w:tcPr>
          <w:p>
            <w:pPr>
              <w:spacing w:after="0"/>
              <w:rPr>
                <w:sz w:val="1"/>
                <w:szCs w:val="1"/>
                <w:color w:val="auto"/>
              </w:rPr>
            </w:pPr>
          </w:p>
        </w:tc>
      </w:tr>
      <w:tr>
        <w:trPr>
          <w:trHeight w:val="234"/>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file with the Depositary, must be forwarded with this ADR.</w:t>
            </w:r>
          </w:p>
        </w:tc>
        <w:tc>
          <w:tcPr>
            <w:tcW w:w="0" w:type="dxa"/>
            <w:vAlign w:val="bottom"/>
          </w:tcPr>
          <w:p>
            <w:pPr>
              <w:spacing w:after="0"/>
              <w:rPr>
                <w:sz w:val="1"/>
                <w:szCs w:val="1"/>
                <w:color w:val="auto"/>
              </w:rPr>
            </w:pPr>
          </w:p>
        </w:tc>
      </w:tr>
      <w:tr>
        <w:trPr>
          <w:trHeight w:val="198"/>
        </w:trPr>
        <w:tc>
          <w:tcPr>
            <w:tcW w:w="54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576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8"/>
                <w:szCs w:val="18"/>
                <w:color w:val="auto"/>
              </w:rPr>
              <w:t>All  endorsements  or  assignments  of  ADRs  must  be</w:t>
            </w:r>
          </w:p>
        </w:tc>
        <w:tc>
          <w:tcPr>
            <w:tcW w:w="0" w:type="dxa"/>
            <w:vAlign w:val="bottom"/>
          </w:tcPr>
          <w:p>
            <w:pPr>
              <w:spacing w:after="0"/>
              <w:rPr>
                <w:sz w:val="1"/>
                <w:szCs w:val="1"/>
                <w:color w:val="auto"/>
              </w:rPr>
            </w:pPr>
          </w:p>
        </w:tc>
      </w:tr>
      <w:tr>
        <w:trPr>
          <w:trHeight w:val="198"/>
        </w:trPr>
        <w:tc>
          <w:tcPr>
            <w:tcW w:w="5480" w:type="dxa"/>
            <w:vAlign w:val="bottom"/>
          </w:tcPr>
          <w:p>
            <w:pPr>
              <w:spacing w:after="0"/>
              <w:rPr>
                <w:sz w:val="17"/>
                <w:szCs w:val="17"/>
                <w:color w:val="auto"/>
              </w:rPr>
            </w:pPr>
          </w:p>
        </w:tc>
        <w:tc>
          <w:tcPr>
            <w:tcW w:w="5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guaranteed by a member of a Medallion Signature Program</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approved by the Securities Transfer Association, Inc.</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Depositary Notice</w:t>
      </w:r>
    </w:p>
    <w:p>
      <w:pPr>
        <w:spacing w:after="0" w:line="22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u w:val="single" w:color="auto"/>
          <w:color w:val="auto"/>
        </w:rPr>
        <w:t>Updated Depositary Notice of ADS Ratio Change / Reverse Split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Holders of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of Trident Digital Tech Holdings Ltd</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0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Company:</w:t>
            </w:r>
          </w:p>
        </w:tc>
        <w:tc>
          <w:tcPr>
            <w:tcW w:w="6160" w:type="dxa"/>
            <w:vAlign w:val="bottom"/>
            <w:tcBorders>
              <w:top w:val="single" w:sz="8" w:color="auto"/>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Trident Digital Tech Holdings Ltd, an exempted company incorporated with limited</w:t>
            </w:r>
          </w:p>
        </w:tc>
      </w:tr>
      <w:tr>
        <w:trPr>
          <w:trHeight w:val="194"/>
        </w:trPr>
        <w:tc>
          <w:tcPr>
            <w:tcW w:w="5080" w:type="dxa"/>
            <w:vAlign w:val="bottom"/>
            <w:tcBorders>
              <w:left w:val="single" w:sz="8" w:color="auto"/>
              <w:right w:val="single" w:sz="8" w:color="auto"/>
            </w:tcBorders>
          </w:tcPr>
          <w:p>
            <w:pPr>
              <w:spacing w:after="0"/>
              <w:rPr>
                <w:sz w:val="16"/>
                <w:szCs w:val="16"/>
                <w:color w:val="auto"/>
              </w:rPr>
            </w:pPr>
          </w:p>
        </w:tc>
        <w:tc>
          <w:tcPr>
            <w:tcW w:w="6160" w:type="dxa"/>
            <w:vAlign w:val="bottom"/>
            <w:tcBorders>
              <w:right w:val="single" w:sz="8" w:color="auto"/>
            </w:tcBorders>
            <w:gridSpan w:val="9"/>
          </w:tcPr>
          <w:p>
            <w:pPr>
              <w:ind w:left="40"/>
              <w:spacing w:after="0" w:line="194" w:lineRule="exact"/>
              <w:rPr>
                <w:sz w:val="20"/>
                <w:szCs w:val="20"/>
                <w:color w:val="auto"/>
              </w:rPr>
            </w:pPr>
            <w:r>
              <w:rPr>
                <w:rFonts w:ascii="Times New Roman" w:cs="Times New Roman" w:eastAsia="Times New Roman" w:hAnsi="Times New Roman"/>
                <w:sz w:val="18"/>
                <w:szCs w:val="18"/>
                <w:color w:val="auto"/>
              </w:rPr>
              <w:t>liability under the laws of the Cayman Islands (the “Company”).</w:t>
            </w:r>
          </w:p>
        </w:tc>
      </w:tr>
      <w:tr>
        <w:trPr>
          <w:trHeight w:val="61"/>
        </w:trPr>
        <w:tc>
          <w:tcPr>
            <w:tcW w:w="5080" w:type="dxa"/>
            <w:vAlign w:val="bottom"/>
            <w:tcBorders>
              <w:left w:val="single" w:sz="8" w:color="auto"/>
              <w:bottom w:val="single" w:sz="8" w:color="auto"/>
              <w:right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640" w:type="dxa"/>
            <w:vAlign w:val="bottom"/>
            <w:tcBorders>
              <w:top w:val="single" w:sz="8" w:color="auto"/>
              <w:bottom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50"/>
        </w:trPr>
        <w:tc>
          <w:tcPr>
            <w:tcW w:w="5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Depositary:</w:t>
            </w:r>
          </w:p>
        </w:tc>
        <w:tc>
          <w:tcPr>
            <w:tcW w:w="616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Citibank, N.A.</w:t>
            </w:r>
          </w:p>
        </w:tc>
      </w:tr>
      <w:tr>
        <w:trPr>
          <w:trHeight w:val="40"/>
        </w:trPr>
        <w:tc>
          <w:tcPr>
            <w:tcW w:w="5080" w:type="dxa"/>
            <w:vAlign w:val="bottom"/>
            <w:tcBorders>
              <w:left w:val="single" w:sz="8" w:color="auto"/>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5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Custodian:</w:t>
            </w:r>
          </w:p>
        </w:tc>
        <w:tc>
          <w:tcPr>
            <w:tcW w:w="616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Citibank, N.A. – Hong Kong.</w:t>
            </w:r>
          </w:p>
        </w:tc>
      </w:tr>
      <w:tr>
        <w:trPr>
          <w:trHeight w:val="40"/>
        </w:trPr>
        <w:tc>
          <w:tcPr>
            <w:tcW w:w="5080" w:type="dxa"/>
            <w:vAlign w:val="bottom"/>
            <w:tcBorders>
              <w:left w:val="single" w:sz="8" w:color="auto"/>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09"/>
        </w:trPr>
        <w:tc>
          <w:tcPr>
            <w:tcW w:w="5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Deposited Securities:</w:t>
            </w:r>
          </w:p>
        </w:tc>
        <w:tc>
          <w:tcPr>
            <w:tcW w:w="616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Class B ordinary shares of the Company (the “Shares”).</w:t>
            </w:r>
          </w:p>
        </w:tc>
      </w:tr>
      <w:tr>
        <w:trPr>
          <w:trHeight w:val="61"/>
        </w:trPr>
        <w:tc>
          <w:tcPr>
            <w:tcW w:w="5080" w:type="dxa"/>
            <w:vAlign w:val="bottom"/>
            <w:tcBorders>
              <w:left w:val="single" w:sz="8" w:color="auto"/>
              <w:bottom w:val="single" w:sz="8" w:color="auto"/>
              <w:right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3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50"/>
        </w:trPr>
        <w:tc>
          <w:tcPr>
            <w:tcW w:w="5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ADS Symbol:</w:t>
            </w:r>
          </w:p>
        </w:tc>
        <w:tc>
          <w:tcPr>
            <w:tcW w:w="616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TDTH.*</w:t>
            </w:r>
          </w:p>
        </w:tc>
      </w:tr>
      <w:tr>
        <w:trPr>
          <w:trHeight w:val="40"/>
        </w:trPr>
        <w:tc>
          <w:tcPr>
            <w:tcW w:w="5080" w:type="dxa"/>
            <w:vAlign w:val="bottom"/>
            <w:tcBorders>
              <w:left w:val="single" w:sz="8" w:color="auto"/>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5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Existing ADS CUSIP No.:</w:t>
            </w:r>
          </w:p>
        </w:tc>
        <w:tc>
          <w:tcPr>
            <w:tcW w:w="616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89616X106.*</w:t>
            </w:r>
          </w:p>
        </w:tc>
      </w:tr>
      <w:tr>
        <w:trPr>
          <w:trHeight w:val="41"/>
        </w:trPr>
        <w:tc>
          <w:tcPr>
            <w:tcW w:w="5080" w:type="dxa"/>
            <w:vAlign w:val="bottom"/>
            <w:tcBorders>
              <w:left w:val="single" w:sz="8" w:color="auto"/>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5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ADS CUSIP No.:</w:t>
            </w:r>
          </w:p>
        </w:tc>
        <w:tc>
          <w:tcPr>
            <w:tcW w:w="616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89616X205.*</w:t>
            </w:r>
          </w:p>
        </w:tc>
      </w:tr>
      <w:tr>
        <w:trPr>
          <w:trHeight w:val="40"/>
        </w:trPr>
        <w:tc>
          <w:tcPr>
            <w:tcW w:w="5080" w:type="dxa"/>
            <w:vAlign w:val="bottom"/>
            <w:tcBorders>
              <w:left w:val="single" w:sz="8" w:color="auto"/>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5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Existing ADS ISIN:</w:t>
            </w:r>
          </w:p>
        </w:tc>
        <w:tc>
          <w:tcPr>
            <w:tcW w:w="616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US89616X1063.*</w:t>
            </w:r>
          </w:p>
        </w:tc>
      </w:tr>
      <w:tr>
        <w:trPr>
          <w:trHeight w:val="41"/>
        </w:trPr>
        <w:tc>
          <w:tcPr>
            <w:tcW w:w="5080" w:type="dxa"/>
            <w:vAlign w:val="bottom"/>
            <w:tcBorders>
              <w:left w:val="single" w:sz="8" w:color="auto"/>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5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ADS ISIN:</w:t>
            </w:r>
          </w:p>
        </w:tc>
        <w:tc>
          <w:tcPr>
            <w:tcW w:w="616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US89616X2053.*</w:t>
            </w:r>
          </w:p>
        </w:tc>
      </w:tr>
      <w:tr>
        <w:trPr>
          <w:trHeight w:val="40"/>
        </w:trPr>
        <w:tc>
          <w:tcPr>
            <w:tcW w:w="5080" w:type="dxa"/>
            <w:vAlign w:val="bottom"/>
            <w:tcBorders>
              <w:left w:val="single" w:sz="8" w:color="auto"/>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5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Existing ADS-to-Share Ratio:</w:t>
            </w:r>
          </w:p>
        </w:tc>
        <w:tc>
          <w:tcPr>
            <w:tcW w:w="616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Each ADS represents eight (8) Shares.</w:t>
            </w:r>
          </w:p>
        </w:tc>
      </w:tr>
      <w:tr>
        <w:trPr>
          <w:trHeight w:val="40"/>
        </w:trPr>
        <w:tc>
          <w:tcPr>
            <w:tcW w:w="5080" w:type="dxa"/>
            <w:vAlign w:val="bottom"/>
            <w:tcBorders>
              <w:left w:val="single" w:sz="8" w:color="auto"/>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50"/>
        </w:trPr>
        <w:tc>
          <w:tcPr>
            <w:tcW w:w="5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ADS-to-Share Ratio:</w:t>
            </w:r>
          </w:p>
        </w:tc>
        <w:tc>
          <w:tcPr>
            <w:tcW w:w="616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Each ADS will represent two hundred forty (240) Shares.</w:t>
            </w:r>
          </w:p>
        </w:tc>
      </w:tr>
      <w:tr>
        <w:trPr>
          <w:trHeight w:val="40"/>
        </w:trPr>
        <w:tc>
          <w:tcPr>
            <w:tcW w:w="5080" w:type="dxa"/>
            <w:vAlign w:val="bottom"/>
            <w:tcBorders>
              <w:left w:val="single" w:sz="8" w:color="auto"/>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2"/>
        </w:trPr>
        <w:tc>
          <w:tcPr>
            <w:tcW w:w="5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 Agreement:</w:t>
            </w:r>
          </w:p>
        </w:tc>
        <w:tc>
          <w:tcPr>
            <w:tcW w:w="616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Deposit Agreement, dated as of September 11, 2024, by and among the Company,</w:t>
            </w:r>
          </w:p>
        </w:tc>
      </w:tr>
      <w:tr>
        <w:trPr>
          <w:trHeight w:val="216"/>
        </w:trPr>
        <w:tc>
          <w:tcPr>
            <w:tcW w:w="508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the Depositary, and the Holders and Beneficial Owners of ADSs issued thereunder</w:t>
            </w:r>
          </w:p>
        </w:tc>
      </w:tr>
      <w:tr>
        <w:trPr>
          <w:trHeight w:val="194"/>
        </w:trPr>
        <w:tc>
          <w:tcPr>
            <w:tcW w:w="5080" w:type="dxa"/>
            <w:vAlign w:val="bottom"/>
            <w:tcBorders>
              <w:left w:val="single" w:sz="8" w:color="auto"/>
              <w:right w:val="single" w:sz="8" w:color="auto"/>
            </w:tcBorders>
          </w:tcPr>
          <w:p>
            <w:pPr>
              <w:spacing w:after="0"/>
              <w:rPr>
                <w:sz w:val="16"/>
                <w:szCs w:val="16"/>
                <w:color w:val="auto"/>
              </w:rPr>
            </w:pPr>
          </w:p>
        </w:tc>
        <w:tc>
          <w:tcPr>
            <w:tcW w:w="6160" w:type="dxa"/>
            <w:vAlign w:val="bottom"/>
            <w:tcBorders>
              <w:right w:val="single" w:sz="8" w:color="auto"/>
            </w:tcBorders>
            <w:gridSpan w:val="9"/>
          </w:tcPr>
          <w:p>
            <w:pPr>
              <w:ind w:left="40"/>
              <w:spacing w:after="0" w:line="194" w:lineRule="exact"/>
              <w:rPr>
                <w:sz w:val="20"/>
                <w:szCs w:val="20"/>
                <w:color w:val="auto"/>
              </w:rPr>
            </w:pPr>
            <w:r>
              <w:rPr>
                <w:rFonts w:ascii="Times New Roman" w:cs="Times New Roman" w:eastAsia="Times New Roman" w:hAnsi="Times New Roman"/>
                <w:sz w:val="18"/>
                <w:szCs w:val="18"/>
                <w:color w:val="auto"/>
              </w:rPr>
              <w:t>(the “Deposit Agreement”), and as proposed to be amended by Amendment No. 1</w:t>
            </w:r>
          </w:p>
        </w:tc>
      </w:tr>
      <w:tr>
        <w:trPr>
          <w:trHeight w:val="20"/>
        </w:trPr>
        <w:tc>
          <w:tcPr>
            <w:tcW w:w="5080" w:type="dxa"/>
            <w:vAlign w:val="bottom"/>
            <w:tcBorders>
              <w:left w:val="single" w:sz="8" w:color="auto"/>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720" w:type="dxa"/>
            <w:vAlign w:val="bottom"/>
            <w:tcBorders>
              <w:right w:val="single" w:sz="8" w:color="auto"/>
            </w:tcBorders>
            <w:gridSpan w:val="4"/>
          </w:tcPr>
          <w:p>
            <w:pPr>
              <w:spacing w:after="0" w:line="20" w:lineRule="exact"/>
              <w:rPr>
                <w:sz w:val="1"/>
                <w:szCs w:val="1"/>
                <w:color w:val="auto"/>
              </w:rPr>
            </w:pPr>
          </w:p>
        </w:tc>
      </w:tr>
      <w:tr>
        <w:trPr>
          <w:trHeight w:val="196"/>
        </w:trPr>
        <w:tc>
          <w:tcPr>
            <w:tcW w:w="5080" w:type="dxa"/>
            <w:vAlign w:val="bottom"/>
            <w:tcBorders>
              <w:left w:val="single" w:sz="8" w:color="auto"/>
              <w:right w:val="single" w:sz="8" w:color="auto"/>
            </w:tcBorders>
          </w:tcPr>
          <w:p>
            <w:pPr>
              <w:spacing w:after="0"/>
              <w:rPr>
                <w:sz w:val="17"/>
                <w:szCs w:val="17"/>
                <w:color w:val="auto"/>
              </w:rPr>
            </w:pPr>
          </w:p>
        </w:tc>
        <w:tc>
          <w:tcPr>
            <w:tcW w:w="6160" w:type="dxa"/>
            <w:vAlign w:val="bottom"/>
            <w:tcBorders>
              <w:right w:val="single" w:sz="8" w:color="auto"/>
            </w:tcBorders>
            <w:gridSpan w:val="9"/>
          </w:tcPr>
          <w:p>
            <w:pPr>
              <w:ind w:left="40"/>
              <w:spacing w:after="0" w:line="196" w:lineRule="exact"/>
              <w:rPr>
                <w:sz w:val="20"/>
                <w:szCs w:val="20"/>
                <w:color w:val="auto"/>
              </w:rPr>
            </w:pPr>
            <w:r>
              <w:rPr>
                <w:rFonts w:ascii="Times New Roman" w:cs="Times New Roman" w:eastAsia="Times New Roman" w:hAnsi="Times New Roman"/>
                <w:sz w:val="18"/>
                <w:szCs w:val="18"/>
                <w:color w:val="auto"/>
              </w:rPr>
              <w:t>to the Deposit Agreement ( “Amendment No. 1”).</w:t>
            </w:r>
          </w:p>
        </w:tc>
      </w:tr>
      <w:tr>
        <w:trPr>
          <w:trHeight w:val="61"/>
        </w:trPr>
        <w:tc>
          <w:tcPr>
            <w:tcW w:w="5080" w:type="dxa"/>
            <w:vAlign w:val="bottom"/>
            <w:tcBorders>
              <w:left w:val="single" w:sz="8" w:color="auto"/>
              <w:bottom w:val="single" w:sz="8" w:color="auto"/>
              <w:right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top w:val="single" w:sz="8" w:color="auto"/>
              <w:bottom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r>
      <w:tr>
        <w:trPr>
          <w:trHeight w:val="250"/>
        </w:trPr>
        <w:tc>
          <w:tcPr>
            <w:tcW w:w="5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Effective Date:</w:t>
            </w:r>
          </w:p>
        </w:tc>
        <w:tc>
          <w:tcPr>
            <w:tcW w:w="616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April 24, 2026.</w:t>
            </w:r>
          </w:p>
        </w:tc>
      </w:tr>
      <w:tr>
        <w:trPr>
          <w:trHeight w:val="40"/>
        </w:trPr>
        <w:tc>
          <w:tcPr>
            <w:tcW w:w="5080" w:type="dxa"/>
            <w:vAlign w:val="bottom"/>
            <w:tcBorders>
              <w:left w:val="single" w:sz="8" w:color="auto"/>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r>
        <w:trPr>
          <w:trHeight w:val="232"/>
        </w:trPr>
        <w:tc>
          <w:tcPr>
            <w:tcW w:w="5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ADS Books Closure to ADS Issuances and Cancellations:</w:t>
            </w:r>
          </w:p>
        </w:tc>
        <w:tc>
          <w:tcPr>
            <w:tcW w:w="616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April 15, 2026 (5:00 p.m. New York City time) until April 24, 2026 (5:00 p.m. New</w:t>
            </w:r>
          </w:p>
        </w:tc>
      </w:tr>
      <w:tr>
        <w:trPr>
          <w:trHeight w:val="234"/>
        </w:trPr>
        <w:tc>
          <w:tcPr>
            <w:tcW w:w="5080" w:type="dxa"/>
            <w:vAlign w:val="bottom"/>
            <w:tcBorders>
              <w:left w:val="single" w:sz="8" w:color="auto"/>
              <w:right w:val="single" w:sz="8" w:color="auto"/>
            </w:tcBorders>
          </w:tcPr>
          <w:p>
            <w:pPr>
              <w:spacing w:after="0"/>
              <w:rPr>
                <w:sz w:val="20"/>
                <w:szCs w:val="20"/>
                <w:color w:val="auto"/>
              </w:rPr>
            </w:pPr>
          </w:p>
        </w:tc>
        <w:tc>
          <w:tcPr>
            <w:tcW w:w="616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York City time).</w:t>
            </w:r>
          </w:p>
        </w:tc>
      </w:tr>
      <w:tr>
        <w:trPr>
          <w:trHeight w:val="40"/>
        </w:trPr>
        <w:tc>
          <w:tcPr>
            <w:tcW w:w="5080" w:type="dxa"/>
            <w:vAlign w:val="bottom"/>
            <w:tcBorders>
              <w:left w:val="single" w:sz="8" w:color="auto"/>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r>
    </w:tbl>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ADS symbol, ADS CUSIPs, and ADS ISINs are provided as a convenience only and without any liability for accuracy.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Depositary have agreed to change the Existing ADS-to-Share Ratio (the “</w:t>
      </w:r>
      <w:r>
        <w:rPr>
          <w:rFonts w:ascii="Times New Roman" w:cs="Times New Roman" w:eastAsia="Times New Roman" w:hAnsi="Times New Roman"/>
          <w:sz w:val="18"/>
          <w:szCs w:val="18"/>
          <w:u w:val="single" w:color="auto"/>
          <w:color w:val="auto"/>
        </w:rPr>
        <w:t>ADS Ratio Change</w:t>
      </w:r>
      <w:r>
        <w:rPr>
          <w:rFonts w:ascii="Times New Roman" w:cs="Times New Roman" w:eastAsia="Times New Roman" w:hAnsi="Times New Roman"/>
          <w:sz w:val="18"/>
          <w:szCs w:val="18"/>
          <w:color w:val="auto"/>
        </w:rPr>
        <w:t>”) as of the Effective Date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Existing ADS-to-Share Ratio:</w:t>
            </w:r>
          </w:p>
        </w:tc>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One (1)</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ADS to eight (8) Shares.</w:t>
            </w:r>
          </w:p>
        </w:tc>
      </w:tr>
      <w:tr>
        <w:trPr>
          <w:trHeight w:val="238"/>
        </w:trPr>
        <w:tc>
          <w:tcPr>
            <w:tcW w:w="34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New ADS-to-Share Ratio:</w:t>
            </w:r>
          </w:p>
        </w:tc>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One (1)</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ADS to two hundred forty (240) Shares.</w:t>
            </w:r>
          </w:p>
        </w:tc>
      </w:tr>
      <w:tr>
        <w:trPr>
          <w:trHeight w:val="567"/>
        </w:trPr>
        <w:tc>
          <w:tcPr>
            <w:tcW w:w="3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2"/>
                <w:szCs w:val="22"/>
                <w:color w:val="auto"/>
              </w:rPr>
              <w:t>B-1</w:t>
            </w:r>
          </w:p>
        </w:tc>
      </w:tr>
    </w:tbl>
    <w:p>
      <w:pPr>
        <w:sectPr>
          <w:pgSz w:w="11900" w:h="16838" w:orient="portrait"/>
          <w:cols w:equalWidth="0" w:num="1">
            <w:col w:w="11240"/>
          </w:cols>
          <w:pgMar w:left="320" w:top="792" w:right="339" w:bottom="1440" w:gutter="0" w:footer="0" w:header="0"/>
        </w:sectPr>
      </w:pPr>
    </w:p>
    <w:bookmarkStart w:id="49" w:name="page50"/>
    <w:bookmarkEnd w:id="4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the Effective Date for the ADS Ratio Change, each ADS will represent two hundred forty (240) Shares. Therefore, Holders of ADSs as of the Effective Date will be entitled to receive one (1) new ADS for every thirty (30) existing ADSs held as of the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ADS Ratio Change, the CUSIP number for the ADSs will change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Existing ADS CUSIP No.:</w:t>
            </w: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w w:val="98"/>
              </w:rPr>
              <w:t>89616X106.</w:t>
            </w:r>
          </w:p>
        </w:tc>
      </w:tr>
      <w:tr>
        <w:trPr>
          <w:trHeight w:val="238"/>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New ADS CUSIP No.:</w:t>
            </w:r>
          </w:p>
        </w:tc>
        <w:tc>
          <w:tcPr>
            <w:tcW w:w="15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w w:val="98"/>
              </w:rPr>
              <w:t>89616X205.</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ADS Ratio Change, Holders of ADSs, as of the Effective Date, will be charged a Depositary fee of $0.01 per ADS cancelled.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ADSs held in The Depository Trust Company (“DTC”)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do not need to take any action for existing ADSs held in DTC and by one of its participants (e.g., bank, broker, or other nominee). After the ADS Ratio Change, the new ADSs will be automatically credited to DTC in a mandatory exchange for existing ADSs and for distribution to DTC participants and their client accounts. DTC participants and their clients are not required to take any affirmative actions to exchange existing ADSs for new ADSs.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fractional ADSs will be issued. Cash in lieu of fractional entitlements to ADSs will be distributed at a rate based upon the net proceeds received by the Depositary for the sale of the aggregate of the fractional ADS entitlements.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has filed (x) a form of Amendment No. 1, and (y) a form of ADR that reflects the new ADS-to-Share ratio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cover of Post-Effective Amendment No. 1 to Registration Statement on Form F-6. A copy of the filing is available from the SEC’s website at www.sec.gov under Registration Number 333-275089.</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have any questions about the above amendment and exchange, please call Citibank ADR Shareholder Services at 1-877-248-4237. Copies of the Deposit Agreement and of Amendment No. 1 are available at the principal offices of the Depositary at 388 Greenwich Street, New York, NY 10013 and can also be retrieved from the SEC’s website at www.sec.gov under Registration Number 333-275089.</w:t>
      </w:r>
    </w:p>
    <w:p>
      <w:pPr>
        <w:spacing w:after="0" w:line="176" w:lineRule="exact"/>
        <w:rPr>
          <w:sz w:val="20"/>
          <w:szCs w:val="20"/>
          <w:color w:val="auto"/>
        </w:rPr>
      </w:pPr>
    </w:p>
    <w:p>
      <w:pPr>
        <w:spacing w:after="0"/>
        <w:tabs>
          <w:tab w:leader="none" w:pos="9140" w:val="left"/>
        </w:tabs>
        <w:rPr>
          <w:sz w:val="20"/>
          <w:szCs w:val="20"/>
          <w:color w:val="auto"/>
        </w:rPr>
      </w:pPr>
      <w:r>
        <w:rPr>
          <w:rFonts w:ascii="Times New Roman" w:cs="Times New Roman" w:eastAsia="Times New Roman" w:hAnsi="Times New Roman"/>
          <w:sz w:val="18"/>
          <w:szCs w:val="18"/>
          <w:color w:val="auto"/>
        </w:rPr>
        <w:t>April 20, 2026</w:t>
      </w:r>
      <w:r>
        <w:rPr>
          <w:sz w:val="20"/>
          <w:szCs w:val="20"/>
          <w:color w:val="auto"/>
        </w:rPr>
        <w:tab/>
      </w:r>
      <w:r>
        <w:rPr>
          <w:rFonts w:ascii="Times New Roman" w:cs="Times New Roman" w:eastAsia="Times New Roman" w:hAnsi="Times New Roman"/>
          <w:sz w:val="17"/>
          <w:szCs w:val="17"/>
          <w:color w:val="auto"/>
        </w:rPr>
        <w:t>Citibank, N.A. as Depositary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1014095</wp:posOffset>
            </wp:positionH>
            <wp:positionV relativeFrom="page">
              <wp:posOffset>243205</wp:posOffset>
            </wp:positionV>
            <wp:extent cx="5486400" cy="874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486400" cy="87439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We refer to the Registration Statement on Form F-6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be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by the legal entity created by the Deposit Agreement (as hereinafter defined) for the purpose of registering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100,000,000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to be issued under the Deposit Agreement, dated as of September 11, 2024, by and among Citibank, N.A., as Depositary, Trident Digital Tech Holdings Ltd, an exempted company incorporated with limited liability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Holders and Beneficial Owners (each as defined in the Deposit Agreement and hereinafter used as so defined) from time to time of ADSs issued thereunder, as amended by Amendment No. 1 to Deposit Agreement, dated as of April 24, 2026 (as so amended,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Each ADS will represent the right to receive, subject to the terms and conditions of the Deposit Agreement, Cayman Islands law and, if applicable, the American Depositary Receipt (“</w:t>
      </w:r>
      <w:r>
        <w:rPr>
          <w:rFonts w:ascii="Times New Roman" w:cs="Times New Roman" w:eastAsia="Times New Roman" w:hAnsi="Times New Roman"/>
          <w:sz w:val="18"/>
          <w:szCs w:val="18"/>
          <w:u w:val="single" w:color="auto"/>
          <w:color w:val="auto"/>
        </w:rPr>
        <w:t>ADR</w:t>
      </w:r>
      <w:r>
        <w:rPr>
          <w:rFonts w:ascii="Times New Roman" w:cs="Times New Roman" w:eastAsia="Times New Roman" w:hAnsi="Times New Roman"/>
          <w:sz w:val="18"/>
          <w:szCs w:val="18"/>
          <w:color w:val="auto"/>
        </w:rPr>
        <w:t>”) evidencing such ADS, two hundred forty (240) Class B ordinary shares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Nothing contained herein or in any document referred to herein is intended by this firm to be used, and the addressees hereof cannot use anything contained herein or in any document referred to herein, as tax advice.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Assuming that, at the time of their issuance, the Registration Statement will be effective, the Deposit Agreement will have been duly executed and delivered, and the Shares will have been legally issued, we are of the opinion that the ADSs, when issued in accordance with the terms of the Deposit Agreement and the Registration Statement, will be legally issued and will entitle the Holders to the rights specified in the Deposit Agreement and, if applicable, the ADR(s) evidencing the ADS(s).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17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PATTERSON BELKNAP WEBB &amp; TYLER LLP</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 Jean-Claude Lanza</w:t>
            </w:r>
          </w:p>
        </w:tc>
      </w:tr>
      <w:tr>
        <w:trPr>
          <w:trHeight w:val="228"/>
        </w:trPr>
        <w:tc>
          <w:tcPr>
            <w:tcW w:w="460" w:type="dxa"/>
            <w:vAlign w:val="bottom"/>
          </w:tcPr>
          <w:p>
            <w:pPr>
              <w:spacing w:after="0"/>
              <w:rPr>
                <w:sz w:val="19"/>
                <w:szCs w:val="19"/>
                <w:color w:val="auto"/>
              </w:rPr>
            </w:pPr>
          </w:p>
        </w:tc>
        <w:tc>
          <w:tcPr>
            <w:tcW w:w="3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 Member of the Firm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125730</wp:posOffset>
            </wp:positionV>
            <wp:extent cx="5469255" cy="7029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69255" cy="7029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Rule 466 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Citibank, N.A., represents and certifies the following:</w:t>
      </w:r>
    </w:p>
    <w:p>
      <w:pPr>
        <w:spacing w:after="0" w:line="225" w:lineRule="exact"/>
        <w:rPr>
          <w:sz w:val="20"/>
          <w:szCs w:val="20"/>
          <w:color w:val="auto"/>
        </w:rPr>
      </w:pPr>
    </w:p>
    <w:p>
      <w:pPr>
        <w:jc w:val="both"/>
        <w:ind w:left="1860" w:hanging="556"/>
        <w:spacing w:after="0" w:line="266" w:lineRule="auto"/>
        <w:tabs>
          <w:tab w:leader="none" w:pos="1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previously had filed a registration statement on Form F-6 (Registration No. 333-275089), which the U.S. Securities and Exchange Commission declared effective, with terms of deposit identical to the terms of deposit of this Form F-6 Registration Statement except for the number of shares each American Depositary Share represents; and</w:t>
      </w:r>
    </w:p>
    <w:p>
      <w:pPr>
        <w:spacing w:after="0" w:line="175"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ability to designate the date and time of effectiveness under Rule 466 has not been suspended.</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CITIBANK, N.A., as Depositary</w:t>
      </w:r>
    </w:p>
    <w:p>
      <w:pPr>
        <w:spacing w:after="0" w:line="225" w:lineRule="exact"/>
        <w:rPr>
          <w:sz w:val="20"/>
          <w:szCs w:val="20"/>
          <w:color w:val="auto"/>
        </w:rPr>
      </w:pPr>
    </w:p>
    <w:p>
      <w:pPr>
        <w:ind w:left="5960"/>
        <w:spacing w:after="0"/>
        <w:tabs>
          <w:tab w:leader="none" w:pos="6400" w:val="left"/>
        </w:tabs>
        <w:rPr>
          <w:sz w:val="20"/>
          <w:szCs w:val="20"/>
          <w:color w:val="auto"/>
        </w:rPr>
      </w:pPr>
      <w:r>
        <w:rPr>
          <w:rFonts w:ascii="Times New Roman" w:cs="Times New Roman" w:eastAsia="Times New Roman" w:hAnsi="Times New Roman"/>
          <w:sz w:val="18"/>
          <w:szCs w:val="18"/>
          <w:color w:val="auto"/>
        </w:rPr>
        <w:t>By:</w:t>
        <w:tab/>
        <w:t>/s/ Leslie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 Leslie DeLuca</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80"/>
      </w:cols>
      <w:pgMar w:left="320" w:top="36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lowerRoman"/>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1)"/>
      <w:numFmt w:val="lowerLetter"/>
      <w:start w:val="2"/>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Letter"/>
      <w:start w:val="4"/>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1)"/>
      <w:numFmt w:val="lowerLetter"/>
      <w:start w:val="2"/>
    </w:lvl>
  </w:abstractNum>
  <w:abstractNum w:abstractNumId="9">
    <w:nsid w:val="189A769B"/>
    <w:multiLevelType w:val="hybridMultilevel"/>
    <w:lvl w:ilvl="0">
      <w:lvlJc w:val="left"/>
      <w:lvlText w:val="(%1)"/>
      <w:numFmt w:val="lowerLetter"/>
      <w:start w:val="3"/>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lowerRoman"/>
      <w:start w:val="1"/>
    </w:lvl>
    <w:lvl w:ilvl="1">
      <w:lvlJc w:val="left"/>
      <w:lvlText w:val="(%2)"/>
      <w:numFmt w:val="decimal"/>
      <w:start w:val="2"/>
    </w:lvl>
  </w:abstractNum>
  <w:abstractNum w:abstractNumId="13">
    <w:nsid w:val="836C40E"/>
    <w:multiLevelType w:val="hybridMultilevel"/>
    <w:lvl w:ilvl="0">
      <w:lvlJc w:val="left"/>
      <w:lvlText w:val="(%1)"/>
      <w:numFmt w:val="lowerRoman"/>
      <w:start w:val="4"/>
    </w:lvl>
    <w:lvl w:ilvl="1">
      <w:lvlJc w:val="left"/>
      <w:lvlText w:val="%2"/>
      <w:numFmt w:val="decimal"/>
      <w:start w:val="1"/>
    </w:lvl>
  </w:abstractNum>
  <w:abstractNum w:abstractNumId="14">
    <w:nsid w:val="2901D82"/>
    <w:multiLevelType w:val="hybridMultilevel"/>
    <w:lvl w:ilvl="0">
      <w:lvlJc w:val="left"/>
      <w:lvlText w:val="(%1)"/>
      <w:numFmt w:val="decimal"/>
      <w:start w:val="3"/>
    </w:lvl>
  </w:abstractNum>
  <w:abstractNum w:abstractNumId="15">
    <w:nsid w:val="3A95F874"/>
    <w:multiLevelType w:val="hybridMultilevel"/>
    <w:lvl w:ilvl="0">
      <w:lvlJc w:val="left"/>
      <w:lvlText w:val="(%1)"/>
      <w:numFmt w:val="lowerRoman"/>
      <w:start w:val="2"/>
    </w:lvl>
    <w:lvl w:ilvl="1">
      <w:lvlJc w:val="left"/>
      <w:lvlText w:val="(%2)"/>
      <w:numFmt w:val="decimal"/>
      <w:start w:val="4"/>
    </w:lvl>
  </w:abstractNum>
  <w:abstractNum w:abstractNumId="16">
    <w:nsid w:val="8138641"/>
    <w:multiLevelType w:val="hybridMultilevel"/>
    <w:lvl w:ilvl="0">
      <w:lvlJc w:val="left"/>
      <w:lvlText w:val="(%1)"/>
      <w:numFmt w:val="decimal"/>
      <w:start w:val="5"/>
    </w:lvl>
  </w:abstractNum>
  <w:abstractNum w:abstractNumId="17">
    <w:nsid w:val="1E7FF521"/>
    <w:multiLevelType w:val="hybridMultilevel"/>
    <w:lvl w:ilvl="0">
      <w:lvlJc w:val="left"/>
      <w:lvlText w:val="(%1)"/>
      <w:numFmt w:val="decimal"/>
      <w:start w:val="8"/>
    </w:lvl>
  </w:abstractNum>
  <w:abstractNum w:abstractNumId="18">
    <w:nsid w:val="7C3DBD3D"/>
    <w:multiLevelType w:val="hybridMultilevel"/>
    <w:lvl w:ilvl="0">
      <w:lvlJc w:val="left"/>
      <w:lvlText w:val="(%1)"/>
      <w:numFmt w:val="decimal"/>
      <w:start w:val="11"/>
    </w:lvl>
    <w:lvl w:ilvl="1">
      <w:lvlJc w:val="left"/>
      <w:lvlText w:val="(%2)"/>
      <w:numFmt w:val="lowerRoman"/>
      <w:start w:val="1"/>
    </w:lvl>
  </w:abstractNum>
  <w:abstractNum w:abstractNumId="19">
    <w:nsid w:val="737B8DDC"/>
    <w:multiLevelType w:val="hybridMultilevel"/>
    <w:lvl w:ilvl="0">
      <w:lvlJc w:val="left"/>
      <w:lvlText w:val="(%1)"/>
      <w:numFmt w:val="lowerRoman"/>
      <w:start w:val="1"/>
    </w:lvl>
  </w:abstractNum>
  <w:abstractNum w:abstractNumId="20">
    <w:nsid w:val="6CEAF087"/>
    <w:multiLevelType w:val="hybridMultilevel"/>
    <w:lvl w:ilvl="0">
      <w:lvlJc w:val="left"/>
      <w:lvlText w:val="(%1)"/>
      <w:numFmt w:val="decimal"/>
      <w:start w:val="12"/>
    </w:lvl>
  </w:abstractNum>
  <w:abstractNum w:abstractNumId="21">
    <w:nsid w:val="22221A70"/>
    <w:multiLevelType w:val="hybridMultilevel"/>
    <w:lvl w:ilvl="0">
      <w:lvlJc w:val="left"/>
      <w:lvlText w:val="(%1)"/>
      <w:numFmt w:val="decimal"/>
      <w:start w:val="15"/>
    </w:lvl>
  </w:abstractNum>
  <w:abstractNum w:abstractNumId="22">
    <w:nsid w:val="4516DDE9"/>
    <w:multiLevelType w:val="hybridMultilevel"/>
    <w:lvl w:ilvl="0">
      <w:lvlJc w:val="left"/>
      <w:lvlText w:val="(%1)"/>
      <w:numFmt w:val="lowerLetter"/>
      <w:start w:val="2"/>
    </w:lvl>
  </w:abstractNum>
  <w:abstractNum w:abstractNumId="23">
    <w:nsid w:val="3006C83E"/>
    <w:multiLevelType w:val="hybridMultilevel"/>
    <w:lvl w:ilvl="0">
      <w:lvlJc w:val="left"/>
      <w:lvlText w:val="(%1)"/>
      <w:numFmt w:val="lowerLetter"/>
      <w:start w:val="3"/>
    </w:lvl>
  </w:abstractNum>
  <w:abstractNum w:abstractNumId="24">
    <w:nsid w:val="614FD4A1"/>
    <w:multiLevelType w:val="hybridMultilevel"/>
    <w:lvl w:ilvl="0">
      <w:lvlJc w:val="left"/>
      <w:lvlText w:val="%1"/>
      <w:numFmt w:val="lowerLetter"/>
      <w:start w:val="1"/>
    </w:lvl>
    <w:lvl w:ilvl="1">
      <w:lvlJc w:val="left"/>
      <w:lvlText w:val="(%2)"/>
      <w:numFmt w:val="lowerLetter"/>
      <w:start w:val="5"/>
    </w:lvl>
  </w:abstractNum>
  <w:abstractNum w:abstractNumId="25">
    <w:nsid w:val="419AC241"/>
    <w:multiLevelType w:val="hybridMultilevel"/>
    <w:lvl w:ilvl="0">
      <w:lvlJc w:val="left"/>
      <w:lvlText w:val="(%1)"/>
      <w:numFmt w:val="lowerLetter"/>
      <w:start w:val="61"/>
    </w:lvl>
    <w:lvl w:ilvl="1">
      <w:lvlJc w:val="left"/>
      <w:lvlText w:val="%2"/>
      <w:numFmt w:val="lowerLetter"/>
      <w:start w:val="1"/>
    </w:lvl>
  </w:abstractNum>
  <w:abstractNum w:abstractNumId="26">
    <w:nsid w:val="5577F8E1"/>
    <w:multiLevelType w:val="hybridMultilevel"/>
    <w:lvl w:ilvl="0">
      <w:lvlJc w:val="left"/>
      <w:lvlText w:val="(%1)"/>
      <w:numFmt w:val="lowerRoman"/>
      <w:start w:val="2"/>
    </w:lvl>
  </w:abstractNum>
  <w:abstractNum w:abstractNumId="27">
    <w:nsid w:val="440BADFC"/>
    <w:multiLevelType w:val="hybridMultilevel"/>
    <w:lvl w:ilvl="0">
      <w:lvlJc w:val="left"/>
      <w:lvlText w:val="(%1)"/>
      <w:numFmt w:val="decimal"/>
      <w:start w:val="16"/>
    </w:lvl>
  </w:abstractNum>
  <w:abstractNum w:abstractNumId="28">
    <w:nsid w:val="5072367"/>
    <w:multiLevelType w:val="hybridMultilevel"/>
    <w:lvl w:ilvl="0">
      <w:lvlJc w:val="left"/>
      <w:lvlText w:val="(%1)"/>
      <w:numFmt w:val="decimal"/>
      <w:start w:val="17"/>
    </w:lvl>
  </w:abstractNum>
  <w:abstractNum w:abstractNumId="29">
    <w:nsid w:val="3804823E"/>
    <w:multiLevelType w:val="hybridMultilevel"/>
    <w:lvl w:ilvl="0">
      <w:lvlJc w:val="left"/>
      <w:lvlText w:val="%1"/>
      <w:numFmt w:val="lowerRoman"/>
      <w:start w:val="1"/>
    </w:lvl>
    <w:lvl w:ilvl="1">
      <w:lvlJc w:val="left"/>
      <w:lvlText w:val="(%2)"/>
      <w:numFmt w:val="decimal"/>
      <w:start w:val="19"/>
    </w:lvl>
  </w:abstractNum>
  <w:abstractNum w:abstractNumId="30">
    <w:nsid w:val="77465F01"/>
    <w:multiLevelType w:val="hybridMultilevel"/>
    <w:lvl w:ilvl="0">
      <w:lvlJc w:val="left"/>
      <w:lvlText w:val="(%1)"/>
      <w:numFmt w:val="lowerRoman"/>
      <w:start w:val="2"/>
    </w:lvl>
    <w:lvl w:ilvl="1">
      <w:lvlJc w:val="left"/>
      <w:lvlText w:val="%2"/>
      <w:numFmt w:val="decimal"/>
      <w:start w:val="1"/>
    </w:lvl>
  </w:abstractNum>
  <w:abstractNum w:abstractNumId="31">
    <w:nsid w:val="7724C67E"/>
    <w:multiLevelType w:val="hybridMultilevel"/>
    <w:lvl w:ilvl="0">
      <w:lvlJc w:val="left"/>
      <w:lvlText w:val="(%1)"/>
      <w:numFmt w:val="lowerRoman"/>
      <w:start w:val="2"/>
    </w:lvl>
    <w:lvl w:ilvl="1">
      <w:lvlJc w:val="left"/>
      <w:lvlText w:val="%2"/>
      <w:numFmt w:val="decimal"/>
      <w:start w:val="1"/>
    </w:lvl>
  </w:abstractNum>
  <w:abstractNum w:abstractNumId="32">
    <w:nsid w:val="5C482A97"/>
    <w:multiLevelType w:val="hybridMultilevel"/>
    <w:lvl w:ilvl="0">
      <w:lvlJc w:val="left"/>
      <w:lvlText w:val="(%1)"/>
      <w:numFmt w:val="decimal"/>
      <w:start w:val="20"/>
    </w:lvl>
  </w:abstractNum>
  <w:abstractNum w:abstractNumId="33">
    <w:nsid w:val="2463B9EA"/>
    <w:multiLevelType w:val="hybridMultilevel"/>
    <w:lvl w:ilvl="0">
      <w:lvlJc w:val="left"/>
      <w:lvlText w:val="(%1)"/>
      <w:numFmt w:val="decimal"/>
      <w:start w:val="22"/>
    </w:lvl>
  </w:abstractNum>
  <w:abstractNum w:abstractNumId="34">
    <w:nsid w:val="5E884ADC"/>
    <w:multiLevelType w:val="hybridMultilevel"/>
    <w:lvl w:ilvl="0">
      <w:lvlJc w:val="left"/>
      <w:lvlText w:val="(%1)"/>
      <w:numFmt w:val="decimal"/>
      <w:start w:val="23"/>
    </w:lvl>
  </w:abstractNum>
  <w:abstractNum w:abstractNumId="35">
    <w:nsid w:val="51EAD36B"/>
    <w:multiLevelType w:val="hybridMultilevel"/>
    <w:lvl w:ilvl="0">
      <w:lvlJc w:val="left"/>
      <w:lvlText w:val="%1"/>
      <w:numFmt w:val="lowerRoman"/>
      <w:start w:val="1"/>
    </w:lvl>
    <w:lvl w:ilvl="1">
      <w:lvlJc w:val="left"/>
      <w:lvlText w:val="(%2)"/>
      <w:numFmt w:val="decimal"/>
      <w:start w:val="24"/>
    </w:lvl>
  </w:abstractNum>
  <w:abstractNum w:abstractNumId="36">
    <w:nsid w:val="2D517796"/>
    <w:multiLevelType w:val="hybridMultilevel"/>
    <w:lvl w:ilvl="0">
      <w:lvlJc w:val="left"/>
      <w:lvlText w:val="(%1)"/>
      <w:numFmt w:val="lowerRoman"/>
      <w:start w:val="1"/>
    </w:lvl>
    <w:lvl w:ilvl="1">
      <w:lvlJc w:val="left"/>
      <w:lvlText w:val="%2"/>
      <w:numFmt w:val="decimal"/>
      <w:start w:val="1"/>
    </w:lvl>
  </w:abstractNum>
  <w:abstractNum w:abstractNumId="37">
    <w:nsid w:val="580BD78F"/>
    <w:multiLevelType w:val="hybridMultilevel"/>
    <w:lvl w:ilvl="0">
      <w:lvlJc w:val="left"/>
      <w:lvlText w:val="(%1)"/>
      <w:numFmt w:val="decimal"/>
      <w:start w:val="25"/>
    </w:lvl>
  </w:abstractNum>
  <w:abstractNum w:abstractNumId="38">
    <w:nsid w:val="153EA438"/>
    <w:multiLevelType w:val="hybridMultilevel"/>
    <w:lvl w:ilvl="0">
      <w:lvlJc w:val="left"/>
      <w:lvlText w:val="(%1)"/>
      <w:numFmt w:val="lowerLetter"/>
      <w:start w:val="2"/>
    </w:lvl>
  </w:abstractNum>
  <w:abstractNum w:abstractNumId="39">
    <w:nsid w:val="3855585C"/>
    <w:multiLevelType w:val="hybridMultilevel"/>
    <w:lvl w:ilvl="0">
      <w:lvlJc w:val="left"/>
      <w:lvlText w:val="%1"/>
      <w:numFmt w:val="lowerRoman"/>
      <w:start w:val="1"/>
    </w:lvl>
    <w:lvl w:ilvl="1">
      <w:lvlJc w:val="left"/>
      <w:lvlText w:val="(%2)"/>
      <w:numFmt w:val="decimal"/>
      <w:start w:val="26"/>
    </w:lvl>
  </w:abstractNum>
  <w:abstractNum w:abstractNumId="40">
    <w:nsid w:val="70A64E2A"/>
    <w:multiLevelType w:val="hybridMultilevel"/>
    <w:lvl w:ilvl="0">
      <w:lvlJc w:val="left"/>
      <w:lvlText w:val="(%1)"/>
      <w:numFmt w:val="lowerRoman"/>
      <w:start w:val="4"/>
    </w:lvl>
    <w:lvl w:ilvl="1">
      <w:lvlJc w:val="left"/>
      <w:lvlText w:val="%2"/>
      <w:numFmt w:val="decimal"/>
      <w:start w:val="1"/>
    </w:lvl>
  </w:abstractNum>
  <w:abstractNum w:abstractNumId="41">
    <w:nsid w:val="6A2342EC"/>
    <w:multiLevelType w:val="hybridMultilevel"/>
    <w:lvl w:ilvl="0">
      <w:lvlJc w:val="left"/>
      <w:lvlText w:val="(%1)"/>
      <w:numFmt w:val="decimal"/>
      <w:start w:val="27"/>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2026-04-24T09:30:32Z</dcterms:created>
  <dcterms:modified xsi:type="dcterms:W3CDTF">2026-04-24T09:30:32Z</dcterms:modified>
</cp:coreProperties>
</file>