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3,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10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434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7389</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8"/>
        </w:trPr>
        <w:tc>
          <w:tcPr>
            <w:tcW w:w="3100" w:type="dxa"/>
            <w:vAlign w:val="bottom"/>
            <w:tcBorders>
              <w:top w:val="single" w:sz="8" w:color="auto"/>
            </w:tcBorders>
          </w:tcPr>
          <w:p>
            <w:pPr>
              <w:jc w:val="center"/>
              <w:ind w:left="43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5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5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6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29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3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6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7"/>
              </w:rPr>
              <w:t>Suntec Tower 3,</w:t>
            </w:r>
          </w:p>
        </w:tc>
        <w:tc>
          <w:tcPr>
            <w:tcW w:w="2940" w:type="dxa"/>
            <w:vAlign w:val="bottom"/>
          </w:tcPr>
          <w:p>
            <w:pPr>
              <w:spacing w:after="0"/>
              <w:rPr>
                <w:sz w:val="24"/>
                <w:szCs w:val="24"/>
                <w:color w:val="auto"/>
              </w:rPr>
            </w:pPr>
          </w:p>
        </w:tc>
      </w:tr>
      <w:tr>
        <w:trPr>
          <w:trHeight w:val="216"/>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8 Temasek Boulevard Road, #24-03</w:t>
            </w:r>
          </w:p>
        </w:tc>
        <w:tc>
          <w:tcPr>
            <w:tcW w:w="294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Singapore, 038988</w:t>
            </w:r>
          </w:p>
        </w:tc>
        <w:tc>
          <w:tcPr>
            <w:tcW w:w="2940" w:type="dxa"/>
            <w:vAlign w:val="bottom"/>
          </w:tcPr>
          <w:p>
            <w:pPr>
              <w:spacing w:after="0"/>
              <w:rPr>
                <w:sz w:val="18"/>
                <w:szCs w:val="18"/>
                <w:color w:val="auto"/>
              </w:rPr>
            </w:pPr>
          </w:p>
        </w:tc>
      </w:tr>
      <w:tr>
        <w:trPr>
          <w:trHeight w:val="220"/>
        </w:trPr>
        <w:tc>
          <w:tcPr>
            <w:tcW w:w="3100" w:type="dxa"/>
            <w:vAlign w:val="bottom"/>
          </w:tcPr>
          <w:p>
            <w:pPr>
              <w:spacing w:after="0"/>
              <w:rPr>
                <w:sz w:val="19"/>
                <w:szCs w:val="19"/>
                <w:color w:val="auto"/>
              </w:rPr>
            </w:pPr>
          </w:p>
        </w:tc>
        <w:tc>
          <w:tcPr>
            <w:tcW w:w="434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+65 6513 6868</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216"/>
        </w:trPr>
        <w:tc>
          <w:tcPr>
            <w:tcW w:w="3100" w:type="dxa"/>
            <w:vAlign w:val="bottom"/>
          </w:tcPr>
          <w:p>
            <w:pPr>
              <w:spacing w:after="0"/>
              <w:rPr>
                <w:sz w:val="18"/>
                <w:szCs w:val="18"/>
                <w:color w:val="auto"/>
              </w:rPr>
            </w:pPr>
          </w:p>
        </w:tc>
        <w:tc>
          <w:tcPr>
            <w:tcW w:w="520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(Address, Including Zip Code, and Telephone Number, Including</w:t>
            </w:r>
          </w:p>
        </w:tc>
        <w:tc>
          <w:tcPr>
            <w:tcW w:w="2940" w:type="dxa"/>
            <w:vAlign w:val="bottom"/>
          </w:tcPr>
          <w:p>
            <w:pPr>
              <w:spacing w:after="0"/>
              <w:rPr>
                <w:sz w:val="18"/>
                <w:szCs w:val="18"/>
                <w:color w:val="auto"/>
              </w:rPr>
            </w:pPr>
          </w:p>
        </w:tc>
      </w:tr>
      <w:tr>
        <w:trPr>
          <w:trHeight w:val="234"/>
        </w:trPr>
        <w:tc>
          <w:tcPr>
            <w:tcW w:w="3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8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color w:val="auto"/>
                <w:w w:val="99"/>
              </w:rPr>
              <w:t>Area Code, of Registrant’s Principal Executive Offices)</w:t>
            </w:r>
          </w:p>
        </w:tc>
        <w:tc>
          <w:tcPr>
            <w:tcW w:w="2940" w:type="dxa"/>
            <w:vAlign w:val="bottom"/>
          </w:tcPr>
          <w:p>
            <w:pPr>
              <w:spacing w:after="0"/>
              <w:rPr>
                <w:sz w:val="20"/>
                <w:szCs w:val="20"/>
                <w:color w:val="auto"/>
              </w:rPr>
            </w:pPr>
          </w:p>
        </w:tc>
      </w:tr>
      <w:tr>
        <w:trPr>
          <w:trHeight w:val="413"/>
        </w:trPr>
        <w:tc>
          <w:tcPr>
            <w:tcW w:w="3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Cogency Global Inc.</w:t>
            </w:r>
          </w:p>
        </w:tc>
        <w:tc>
          <w:tcPr>
            <w:tcW w:w="2940" w:type="dxa"/>
            <w:vAlign w:val="bottom"/>
          </w:tcPr>
          <w:p>
            <w:pPr>
              <w:spacing w:after="0"/>
              <w:rPr>
                <w:sz w:val="24"/>
                <w:szCs w:val="24"/>
                <w:color w:val="auto"/>
              </w:rPr>
            </w:pPr>
          </w:p>
        </w:tc>
      </w:tr>
      <w:tr>
        <w:trPr>
          <w:trHeight w:val="253"/>
        </w:trPr>
        <w:tc>
          <w:tcPr>
            <w:tcW w:w="3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60" w:type="dxa"/>
            <w:vAlign w:val="bottom"/>
            <w:gridSpan w:val="3"/>
          </w:tcPr>
          <w:p>
            <w:pPr>
              <w:jc w:val="center"/>
              <w:ind w:right="880"/>
              <w:spacing w:after="0" w:line="252" w:lineRule="exact"/>
              <w:rPr>
                <w:sz w:val="20"/>
                <w:szCs w:val="20"/>
                <w:color w:val="auto"/>
              </w:rPr>
            </w:pPr>
            <w:r>
              <w:rPr>
                <w:rFonts w:ascii="Times New Roman" w:cs="Times New Roman" w:eastAsia="Times New Roman" w:hAnsi="Times New Roman"/>
                <w:sz w:val="18"/>
                <w:szCs w:val="18"/>
                <w:b w:val="1"/>
                <w:bCs w:val="1"/>
                <w:color w:val="auto"/>
                <w:w w:val="96"/>
              </w:rPr>
              <w:t>122 East 42</w:t>
            </w:r>
            <w:r>
              <w:rPr>
                <w:rFonts w:ascii="Times New Roman" w:cs="Times New Roman" w:eastAsia="Times New Roman" w:hAnsi="Times New Roman"/>
                <w:sz w:val="29"/>
                <w:szCs w:val="29"/>
                <w:b w:val="1"/>
                <w:bCs w:val="1"/>
                <w:color w:val="auto"/>
                <w:w w:val="96"/>
                <w:vertAlign w:val="superscript"/>
              </w:rPr>
              <w:t>nd</w:t>
            </w:r>
            <w:r>
              <w:rPr>
                <w:rFonts w:ascii="Times New Roman" w:cs="Times New Roman" w:eastAsia="Times New Roman" w:hAnsi="Times New Roman"/>
                <w:sz w:val="18"/>
                <w:szCs w:val="18"/>
                <w:b w:val="1"/>
                <w:bCs w:val="1"/>
                <w:color w:val="auto"/>
                <w:w w:val="96"/>
              </w:rPr>
              <w:t xml:space="preserve"> Street, 18</w:t>
            </w:r>
            <w:r>
              <w:rPr>
                <w:rFonts w:ascii="Times New Roman" w:cs="Times New Roman" w:eastAsia="Times New Roman" w:hAnsi="Times New Roman"/>
                <w:sz w:val="29"/>
                <w:szCs w:val="29"/>
                <w:b w:val="1"/>
                <w:bCs w:val="1"/>
                <w:color w:val="auto"/>
                <w:w w:val="96"/>
                <w:vertAlign w:val="superscript"/>
              </w:rPr>
              <w:t>th</w:t>
            </w:r>
            <w:r>
              <w:rPr>
                <w:rFonts w:ascii="Times New Roman" w:cs="Times New Roman" w:eastAsia="Times New Roman" w:hAnsi="Times New Roman"/>
                <w:sz w:val="18"/>
                <w:szCs w:val="18"/>
                <w:b w:val="1"/>
                <w:bCs w:val="1"/>
                <w:color w:val="auto"/>
                <w:w w:val="96"/>
              </w:rPr>
              <w:t xml:space="preserve"> Floor</w:t>
            </w:r>
          </w:p>
        </w:tc>
        <w:tc>
          <w:tcPr>
            <w:tcW w:w="2940" w:type="dxa"/>
            <w:vAlign w:val="bottom"/>
          </w:tcPr>
          <w:p>
            <w:pPr>
              <w:spacing w:after="0"/>
              <w:rPr>
                <w:sz w:val="21"/>
                <w:szCs w:val="21"/>
                <w:color w:val="auto"/>
              </w:rPr>
            </w:pPr>
          </w:p>
        </w:tc>
      </w:tr>
      <w:tr>
        <w:trPr>
          <w:trHeight w:val="216"/>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8"/>
              </w:rPr>
              <w:t>New York, NY 10168</w:t>
            </w:r>
          </w:p>
        </w:tc>
        <w:tc>
          <w:tcPr>
            <w:tcW w:w="2940" w:type="dxa"/>
            <w:vAlign w:val="bottom"/>
          </w:tcPr>
          <w:p>
            <w:pPr>
              <w:spacing w:after="0"/>
              <w:rPr>
                <w:sz w:val="18"/>
                <w:szCs w:val="18"/>
                <w:color w:val="auto"/>
              </w:rPr>
            </w:pPr>
          </w:p>
        </w:tc>
      </w:tr>
      <w:tr>
        <w:trPr>
          <w:trHeight w:val="220"/>
        </w:trPr>
        <w:tc>
          <w:tcPr>
            <w:tcW w:w="3100" w:type="dxa"/>
            <w:vAlign w:val="bottom"/>
          </w:tcPr>
          <w:p>
            <w:pPr>
              <w:spacing w:after="0"/>
              <w:rPr>
                <w:sz w:val="19"/>
                <w:szCs w:val="19"/>
                <w:color w:val="auto"/>
              </w:rPr>
            </w:pPr>
          </w:p>
        </w:tc>
        <w:tc>
          <w:tcPr>
            <w:tcW w:w="434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(800) 221-0102</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216"/>
        </w:trPr>
        <w:tc>
          <w:tcPr>
            <w:tcW w:w="3100" w:type="dxa"/>
            <w:vAlign w:val="bottom"/>
          </w:tcPr>
          <w:p>
            <w:pPr>
              <w:spacing w:after="0"/>
              <w:rPr>
                <w:sz w:val="18"/>
                <w:szCs w:val="18"/>
                <w:color w:val="auto"/>
              </w:rPr>
            </w:pPr>
          </w:p>
        </w:tc>
        <w:tc>
          <w:tcPr>
            <w:tcW w:w="520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w w:val="99"/>
              </w:rPr>
              <w:t>(Name, Address, Including Zip Code, and Telephone Number,</w:t>
            </w:r>
          </w:p>
        </w:tc>
        <w:tc>
          <w:tcPr>
            <w:tcW w:w="2940" w:type="dxa"/>
            <w:vAlign w:val="bottom"/>
          </w:tcPr>
          <w:p>
            <w:pPr>
              <w:spacing w:after="0"/>
              <w:rPr>
                <w:sz w:val="18"/>
                <w:szCs w:val="18"/>
                <w:color w:val="auto"/>
              </w:rPr>
            </w:pPr>
          </w:p>
        </w:tc>
      </w:tr>
      <w:tr>
        <w:trPr>
          <w:trHeight w:val="234"/>
        </w:trPr>
        <w:tc>
          <w:tcPr>
            <w:tcW w:w="3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6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rPr>
              <w:t>Including Area Code, of Agent for Service)</w:t>
            </w:r>
          </w:p>
        </w:tc>
        <w:tc>
          <w:tcPr>
            <w:tcW w:w="2940" w:type="dxa"/>
            <w:vAlign w:val="bottom"/>
          </w:tcPr>
          <w:p>
            <w:pPr>
              <w:spacing w:after="0"/>
              <w:rPr>
                <w:sz w:val="20"/>
                <w:szCs w:val="20"/>
                <w:color w:val="auto"/>
              </w:rPr>
            </w:pPr>
          </w:p>
        </w:tc>
      </w:tr>
    </w:tbl>
    <w:p>
      <w:pPr>
        <w:spacing w:after="0" w:line="194" w:lineRule="exact"/>
        <w:rPr>
          <w:sz w:val="24"/>
          <w:szCs w:val="24"/>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 as soon as practicable after the effective date of this registration statement.</w:t>
      </w:r>
    </w:p>
    <w:p>
      <w:pPr>
        <w:spacing w:after="0" w:line="159"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184"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(2)(B) of the Securities Act. </w:t>
      </w:r>
      <w:r>
        <w:rPr>
          <w:rFonts w:ascii="MS PGothic" w:cs="MS PGothic" w:eastAsia="MS PGothic" w:hAnsi="MS PGothic"/>
          <w:sz w:val="18"/>
          <w:szCs w:val="18"/>
          <w:color w:val="auto"/>
        </w:rPr>
        <w:t>☐</w:t>
      </w:r>
    </w:p>
    <w:p>
      <w:pPr>
        <w:spacing w:after="0" w:line="212"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58" w:lineRule="exact"/>
        <w:rPr>
          <w:sz w:val="24"/>
          <w:szCs w:val="24"/>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This Registration Statement shall hereafter become effective in accordance with the provisions of section 8(a) of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FF0000"/>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0000"/>
        </w:rPr>
        <w:t>PRELIMINARY PROSPECTUS (Subject to Completion)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0000"/>
        </w:rPr>
        <w:t>Dated October 3, 2025.</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5" w:lineRule="exact"/>
        <w:rPr>
          <w:sz w:val="20"/>
          <w:szCs w:val="20"/>
          <w:color w:val="auto"/>
        </w:rPr>
      </w:pPr>
    </w:p>
    <w:p>
      <w:pPr>
        <w:ind w:left="1480"/>
        <w:spacing w:after="0"/>
        <w:tabs>
          <w:tab w:leader="none" w:pos="5160" w:val="left"/>
          <w:tab w:leader="none" w:pos="8300" w:val="left"/>
        </w:tabs>
        <w:rPr>
          <w:sz w:val="20"/>
          <w:szCs w:val="20"/>
          <w:color w:val="auto"/>
        </w:rPr>
      </w:pPr>
      <w:r>
        <w:rPr>
          <w:rFonts w:ascii="Times New Roman" w:cs="Times New Roman" w:eastAsia="Times New Roman" w:hAnsi="Times New Roman"/>
          <w:sz w:val="18"/>
          <w:szCs w:val="18"/>
          <w:b w:val="1"/>
          <w:bCs w:val="1"/>
          <w:color w:val="auto"/>
        </w:rPr>
        <w:t>Representing</w:t>
      </w:r>
      <w:r>
        <w:rPr>
          <w:sz w:val="20"/>
          <w:szCs w:val="20"/>
          <w:color w:val="auto"/>
        </w:rPr>
        <w:tab/>
      </w:r>
      <w:r>
        <w:rPr>
          <w:rFonts w:ascii="Times New Roman" w:cs="Times New Roman" w:eastAsia="Times New Roman" w:hAnsi="Times New Roman"/>
          <w:sz w:val="18"/>
          <w:szCs w:val="18"/>
          <w:color w:val="auto"/>
        </w:rPr>
        <w:t>338,376,122</w:t>
      </w:r>
      <w:r>
        <w:rPr>
          <w:sz w:val="20"/>
          <w:szCs w:val="20"/>
          <w:color w:val="auto"/>
        </w:rPr>
        <w:tab/>
      </w:r>
      <w:r>
        <w:rPr>
          <w:rFonts w:ascii="Times New Roman" w:cs="Times New Roman" w:eastAsia="Times New Roman" w:hAnsi="Times New Roman"/>
          <w:sz w:val="18"/>
          <w:szCs w:val="18"/>
          <w:b w:val="1"/>
          <w:bCs w:val="1"/>
          <w:color w:val="auto"/>
        </w:rPr>
        <w:t>Class B Ordinary Shares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relates to the resale, from time to time, of up to 338,376,122 Class B ordinary shares, par value US$0.00001 per share in the form of ADSs of Trident Digital Tech Holdings Ltd, by certain shareholders (collectively, the “Selling Shareholders” and each, a “Selling Shareholder”), consisting of: (i) 104,000,000 Class B ordinary shares issued to the Tongxin Shareholders (as defined below), (ii) 14,295,000 Class B ordinary shares issued to Streeterville (as defined below) and 71,475,408 Class B ordinary shares required to be registered for Streeterville, (as defined below) as “Additional Registrable Shares”) pursuant to the Streeterville SPA (as defined below), and (iii) 148,605,714 Class B ordinary shares issued to the PIPE Purchasers (as defined below). See “</w:t>
      </w:r>
      <w:r>
        <w:rPr>
          <w:rFonts w:ascii="Times New Roman" w:cs="Times New Roman" w:eastAsia="Times New Roman" w:hAnsi="Times New Roman"/>
          <w:sz w:val="18"/>
          <w:szCs w:val="18"/>
          <w:i w:val="1"/>
          <w:iCs w:val="1"/>
          <w:color w:val="auto"/>
        </w:rPr>
        <w:t>Selling Shareholders</w:t>
      </w:r>
      <w:r>
        <w:rPr>
          <w:rFonts w:ascii="Times New Roman" w:cs="Times New Roman" w:eastAsia="Times New Roman" w:hAnsi="Times New Roman"/>
          <w:sz w:val="18"/>
          <w:szCs w:val="18"/>
          <w:color w:val="auto"/>
        </w:rPr>
        <w:t>” beginning on page 12. Each ADS represents eight Class B ordinary shares, par value US$0.00001 per share.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not selling any securities under this prospectus and will not receive any of the proceeds from the sale of ADSs by the Selling Shareholders.</w:t>
      </w:r>
    </w:p>
    <w:p>
      <w:pPr>
        <w:spacing w:after="0" w:line="22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We will pay the expenses incurred in registering the ADSs to which this prospectus relates, including legal and accounting fees. See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ADSs are listed on the Nasdaq Capital Market under the symbol “TDTH.” On October 2, 2025, the closing price of our ADSs reported on the Nasdaq Capital Market was US$$0.9979.</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will be subject to reduced public company reporting requirements.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Investing in the ADSs involves risks. See “</w:t>
      </w:r>
      <w:r>
        <w:rPr>
          <w:rFonts w:ascii="Times New Roman" w:cs="Times New Roman" w:eastAsia="Times New Roman" w:hAnsi="Times New Roman"/>
          <w:sz w:val="18"/>
          <w:szCs w:val="18"/>
          <w:b w:val="1"/>
          <w:bCs w:val="1"/>
          <w:i w:val="1"/>
          <w:iCs w:val="1"/>
          <w:u w:val="single" w:color="auto"/>
          <w:color w:val="auto"/>
        </w:rPr>
        <w:t>Risk Factors</w:t>
      </w:r>
      <w:r>
        <w:rPr>
          <w:rFonts w:ascii="Times New Roman" w:cs="Times New Roman" w:eastAsia="Times New Roman" w:hAnsi="Times New Roman"/>
          <w:sz w:val="18"/>
          <w:szCs w:val="18"/>
          <w:b w:val="1"/>
          <w:bCs w:val="1"/>
          <w:color w:val="auto"/>
        </w:rPr>
        <w:t>” beginning on page 6.</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Prospectus dated October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80" w:type="dxa"/>
            <w:vAlign w:val="bottom"/>
          </w:tcPr>
          <w:p>
            <w:pPr>
              <w:spacing w:after="0"/>
              <w:rPr>
                <w:sz w:val="18"/>
                <w:szCs w:val="18"/>
                <w:color w:val="auto"/>
              </w:rPr>
            </w:pPr>
          </w:p>
        </w:tc>
      </w:tr>
      <w:tr>
        <w:trPr>
          <w:trHeight w:val="176"/>
        </w:trPr>
        <w:tc>
          <w:tcPr>
            <w:tcW w:w="45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INTRODUCTION</w:t>
            </w:r>
          </w:p>
        </w:tc>
        <w:tc>
          <w:tcPr>
            <w:tcW w:w="6680" w:type="dxa"/>
            <w:vAlign w:val="bottom"/>
            <w:shd w:val="clear" w:color="auto" w:fill="CCEEFF"/>
          </w:tcPr>
          <w:p>
            <w:pPr>
              <w:ind w:left="614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56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6680" w:type="dxa"/>
            <w:vAlign w:val="bottom"/>
          </w:tcPr>
          <w:p>
            <w:pPr>
              <w:jc w:val="center"/>
              <w:ind w:left="55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3300" w:type="dxa"/>
            <w:vAlign w:val="bottom"/>
            <w:tcBorders>
              <w:bottom w:val="single" w:sz="8" w:color="CCEEFF"/>
            </w:tcBorders>
            <w:gridSpan w:val="15"/>
            <w:shd w:val="clear" w:color="auto" w:fill="CCEEFF"/>
          </w:tcPr>
          <w:p>
            <w:pPr>
              <w:spacing w:after="0"/>
              <w:rPr>
                <w:sz w:val="17"/>
                <w:szCs w:val="17"/>
                <w:color w:val="auto"/>
              </w:rPr>
            </w:pPr>
          </w:p>
        </w:tc>
        <w:tc>
          <w:tcPr>
            <w:tcW w:w="6680" w:type="dxa"/>
            <w:vAlign w:val="bottom"/>
            <w:tcBorders>
              <w:bottom w:val="single" w:sz="8" w:color="CCEEFF"/>
            </w:tcBorders>
            <w:shd w:val="clear" w:color="auto" w:fill="CCEEFF"/>
          </w:tcPr>
          <w:p>
            <w:pPr>
              <w:jc w:val="center"/>
              <w:ind w:left="559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5"/>
        </w:trPr>
        <w:tc>
          <w:tcPr>
            <w:tcW w:w="456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6680" w:type="dxa"/>
            <w:vAlign w:val="bottom"/>
          </w:tcPr>
          <w:p>
            <w:pPr>
              <w:jc w:val="center"/>
              <w:ind w:left="55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76"/>
        </w:trPr>
        <w:tc>
          <w:tcPr>
            <w:tcW w:w="45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680" w:type="dxa"/>
            <w:vAlign w:val="bottom"/>
            <w:shd w:val="clear" w:color="auto" w:fill="CCEEFF"/>
          </w:tcPr>
          <w:p>
            <w:pPr>
              <w:jc w:val="center"/>
              <w:ind w:left="55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56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6680" w:type="dxa"/>
            <w:vAlign w:val="bottom"/>
          </w:tcPr>
          <w:p>
            <w:pPr>
              <w:jc w:val="center"/>
              <w:ind w:left="559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76"/>
        </w:trPr>
        <w:tc>
          <w:tcPr>
            <w:tcW w:w="45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6680" w:type="dxa"/>
            <w:vAlign w:val="bottom"/>
            <w:shd w:val="clear" w:color="auto" w:fill="CCEEFF"/>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56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THE TRANSACTIONS</w:t>
            </w:r>
          </w:p>
        </w:tc>
        <w:tc>
          <w:tcPr>
            <w:tcW w:w="6680" w:type="dxa"/>
            <w:vAlign w:val="bottom"/>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96"/>
        </w:trPr>
        <w:tc>
          <w:tcPr>
            <w:tcW w:w="45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SELLING SHAREHOLDERS</w:t>
            </w:r>
          </w:p>
        </w:tc>
        <w:tc>
          <w:tcPr>
            <w:tcW w:w="6680" w:type="dxa"/>
            <w:vAlign w:val="bottom"/>
            <w:shd w:val="clear" w:color="auto" w:fill="CCEEFF"/>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6"/>
        </w:trPr>
        <w:tc>
          <w:tcPr>
            <w:tcW w:w="222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340" w:type="dxa"/>
            <w:vAlign w:val="bottom"/>
            <w:tcBorders>
              <w:top w:val="single" w:sz="8" w:color="CCEEFF"/>
            </w:tcBorders>
            <w:gridSpan w:val="8"/>
          </w:tcPr>
          <w:p>
            <w:pPr>
              <w:spacing w:after="0"/>
              <w:rPr>
                <w:sz w:val="15"/>
                <w:szCs w:val="15"/>
                <w:color w:val="auto"/>
              </w:rPr>
            </w:pPr>
          </w:p>
        </w:tc>
        <w:tc>
          <w:tcPr>
            <w:tcW w:w="6680" w:type="dxa"/>
            <w:vAlign w:val="bottom"/>
            <w:tcBorders>
              <w:top w:val="single" w:sz="8" w:color="CCEEFF"/>
            </w:tcBorders>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SHARE CAPITAL</w:t>
            </w:r>
          </w:p>
        </w:tc>
        <w:tc>
          <w:tcPr>
            <w:tcW w:w="1680" w:type="dxa"/>
            <w:vAlign w:val="bottom"/>
            <w:tcBorders>
              <w:bottom w:val="single" w:sz="8" w:color="CCEEFF"/>
            </w:tcBorders>
            <w:gridSpan w:val="6"/>
            <w:shd w:val="clear" w:color="auto" w:fill="CCEEFF"/>
          </w:tcPr>
          <w:p>
            <w:pPr>
              <w:spacing w:after="0"/>
              <w:rPr>
                <w:sz w:val="17"/>
                <w:szCs w:val="17"/>
                <w:color w:val="auto"/>
              </w:rPr>
            </w:pPr>
          </w:p>
        </w:tc>
        <w:tc>
          <w:tcPr>
            <w:tcW w:w="6680" w:type="dxa"/>
            <w:vAlign w:val="bottom"/>
            <w:tcBorders>
              <w:bottom w:val="single" w:sz="8" w:color="CCEEFF"/>
            </w:tcBorders>
            <w:shd w:val="clear" w:color="auto" w:fill="CCEEFF"/>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6"/>
        </w:trPr>
        <w:tc>
          <w:tcPr>
            <w:tcW w:w="456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AMERICAN DEPOSITARY SHARES</w:t>
            </w:r>
          </w:p>
        </w:tc>
        <w:tc>
          <w:tcPr>
            <w:tcW w:w="6680" w:type="dxa"/>
            <w:vAlign w:val="bottom"/>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96"/>
        </w:trPr>
        <w:tc>
          <w:tcPr>
            <w:tcW w:w="340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EXPENSES RELATED TO THIS OFFERING</w:t>
            </w:r>
          </w:p>
        </w:tc>
        <w:tc>
          <w:tcPr>
            <w:tcW w:w="1160" w:type="dxa"/>
            <w:vAlign w:val="bottom"/>
            <w:tcBorders>
              <w:bottom w:val="single" w:sz="8" w:color="CCEEFF"/>
            </w:tcBorders>
            <w:gridSpan w:val="4"/>
            <w:shd w:val="clear" w:color="auto" w:fill="CCEEFF"/>
          </w:tcPr>
          <w:p>
            <w:pPr>
              <w:spacing w:after="0"/>
              <w:rPr>
                <w:sz w:val="17"/>
                <w:szCs w:val="17"/>
                <w:color w:val="auto"/>
              </w:rPr>
            </w:pPr>
          </w:p>
        </w:tc>
        <w:tc>
          <w:tcPr>
            <w:tcW w:w="6680" w:type="dxa"/>
            <w:vAlign w:val="bottom"/>
            <w:tcBorders>
              <w:bottom w:val="single" w:sz="8" w:color="CCEEFF"/>
            </w:tcBorders>
            <w:shd w:val="clear" w:color="auto" w:fill="CCEEFF"/>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5"/>
        </w:trPr>
        <w:tc>
          <w:tcPr>
            <w:tcW w:w="456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680" w:type="dxa"/>
            <w:vAlign w:val="bottom"/>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3780" w:type="dxa"/>
            <w:vAlign w:val="bottom"/>
            <w:tcBorders>
              <w:bottom w:val="single" w:sz="8" w:color="CCEEFF"/>
            </w:tcBorders>
            <w:gridSpan w:val="16"/>
            <w:shd w:val="clear" w:color="auto" w:fill="CCEEFF"/>
          </w:tcPr>
          <w:p>
            <w:pPr>
              <w:spacing w:after="0"/>
              <w:rPr>
                <w:sz w:val="17"/>
                <w:szCs w:val="17"/>
                <w:color w:val="auto"/>
              </w:rPr>
            </w:pPr>
          </w:p>
        </w:tc>
        <w:tc>
          <w:tcPr>
            <w:tcW w:w="6680" w:type="dxa"/>
            <w:vAlign w:val="bottom"/>
            <w:tcBorders>
              <w:bottom w:val="single" w:sz="8" w:color="CCEEFF"/>
            </w:tcBorders>
            <w:shd w:val="clear" w:color="auto" w:fill="CCEEFF"/>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6"/>
        </w:trPr>
        <w:tc>
          <w:tcPr>
            <w:tcW w:w="456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6680" w:type="dxa"/>
            <w:vAlign w:val="bottom"/>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76"/>
        </w:trPr>
        <w:tc>
          <w:tcPr>
            <w:tcW w:w="45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6680" w:type="dxa"/>
            <w:vAlign w:val="bottom"/>
            <w:shd w:val="clear" w:color="auto" w:fill="CCEEFF"/>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and a majority of our outstanding securities are owned by non-U.S. residents. Under the rules of the SEC, we are currently eligible for treatment as a “foreign private issuer.” As a foreign private issuer, we are not required to file periodic reports and financial statements with the SEC as frequently or as promptly as domestic registrants whose securities are registered under the Securities Exchange Act of 1934, as amended.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different from that contained or incorporated by reference in this prospectus. The Selling Shareholders are offering to sell, and seeking offers to buy, shares of our Class B ordinary shares only in jurisdictions where offers and sales are permitted. The information contained in this prospectus is accurate only as of the date of this prospectus, regardless of the time of delivery of this prospectus or of any sale of Class B ordinary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Except where the context otherwise requires and for purposes of this prospectus only:</w:t>
      </w:r>
    </w:p>
    <w:p>
      <w:pPr>
        <w:spacing w:after="0" w:line="225" w:lineRule="exact"/>
        <w:rPr>
          <w:sz w:val="20"/>
          <w:szCs w:val="20"/>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refer to our American depositary receipts that evidence our ADSs;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 to our American depositary shares, each of which represents eight Class B ordinary shares;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refers to our Class A ordinary shares, par value US$0.00001 per share;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refers to our Class B ordinary shares, par value US$0.00001 per share;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Act” refers to the Companies Act (As Revised) of the Cayman Islands;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refers to the Securities Exchange Act of 1934, as amended;</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“Memorandum and Articles of Association” refers to our memorandum and articles of association, as amended and restated from time to time;</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refers to the Nasdaq Stock Market LLC;</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refers to our Class A ordinary shares and Class B ordinary shares, par value US$0.00001 per share;</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refers to the United States Securities and Exchange Commission;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refers to the United States Securities Act of 1933, as amended;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 refers to the Republic of Singapore;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 “dollars,” or “U.S. dollars” refers to the legal currency of the United States;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refers to generally accepted accounting principles in the United States; and</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“our company” and the “Company,” refer to Trident Digital Tech Holdings Ltd, a Cayman Islands company and its subsidiaries, or any one or more of them as the context may require.</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81222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5020" cy="8122285"/>
                    </a:xfrm>
                    <a:prstGeom prst="rect">
                      <a:avLst/>
                    </a:prstGeom>
                    <a:noFill/>
                  </pic:spPr>
                </pic:pic>
              </a:graphicData>
            </a:graphic>
          </wp:anchor>
        </w:drawing>
        <w:t>PROSPECTUS SUMMARY</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important features of this offering and the information included or incorporated by reference herein. It does not contain all of the information that you should consider in making your investment decision. Before investing in the ADSs, you should read this summary together with the entire prospectus, including the risks that we describe under “Risk Factors” below and in our annual report on Form 20-F for the year ended December 31, 2024, and our consolidated financial statements and the related notes, such report, financial statements and notes being incorporated by reference herein.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Tongxin Investment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15, 2025, the Company entered into a share purchase agreement (the “Tongxin SPA”) with Tongxin Innovation Limited (“Tongxin”), pursuant to which the Company agreed to acquire 30% equity interests in Tongxin from Bu Fan, Zhang Jing, Lim Yun Jiin Yvonne and Tee Sheau Nee (collectively, the “Tongxin Shareholders”), in consideration of 13,000,000 ADSs representing Class B ordinary shares (the “Tongxin Investment”). On August 26, 2025, the Company issued 104,000,000 Class B ordinary shares to the Tongxin Shareholders at the closing of the transactions contemplated by the Tongxin SPA. The Company agreed to use its commercially reasonable efforts to file a registration statement with the SEC covering the resale of such 104,000,000 Class B ordinary shares in the form of ADSs that were issued to the Tongxin Shareholders under the Tongxin SPA following the consummation the transactions contemplated thereby.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Streeterville Convertible Promissory Notes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August 7, 2025, the Company entered into a securities purchase agreement (the “Streeterville SPA”) and a first convertible promissory note (the “First Note”) with Streeterville Capital, LLC (“Streeterville”), pursuant to which the Company agreed to issue and sell to Streeterville (1) the First Note in the principal amount of $1,100,000, convertible into ADSs on the terms and subject to the conditions set forth in the Streeterville SPA and the First Note, (2) a second convertible promissory note (the “Second Note,” together with the First Note, the “Streeterville Convertible Promissory Notes”) in the principal amount of $1,080,000, convertible into ADSs on the terms and subject to the conditions set forth in the Streeterville SPA and the Second Note, and (3) 14,295,000 Class B ordinary shares (the “Pre-Delivery Shares”), in the aggregate consideration of (x) the First Note purchase price in the amount of $1,000,000 (the “First Note Purchase Price”) and (y) the Second Note purchase price in the amount of $1,000,000 (the “Second Note Purchase Price”), in both cases, minus the Pre-Delivery Shares issuance fees. Additionally, pursuant to the Streeterville SPA and the First Note, the Company agreed to file a registration statement with the SEC covering the resale of the ADSs representing the Pre-Delivery Shares and the number of ADSs equal to the combined principal amounts of the First Note and the Second Note divided by $0.244 per ADS as the floor price for Streeterville, which equals to 71,475,408 Class B ordinary shares in the form of ADSs (such ADSs, the “Additional Registrable Shares”), and the Additional Registrable Shares will be registered to allow for the potential issuance of the Conversion Shares (as defined below). On August 7, 2025, the Company issued and sold the First Note to Streeterville, and Streeterville paid the First Note Purchase Price to the Company. On August 8, 2025, the Company issued and sold the Pre-Delivery Shares to Streeterville. The Company will issue the Second Note to Streeterville and Streeterville will pay the Second Note Purchase Price upon the effectiveness of this registration statement.</w:t>
      </w:r>
    </w:p>
    <w:p>
      <w:pPr>
        <w:spacing w:after="0" w:line="19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From the earlier of (i) 6 months after the applicable convertible promissory note’s purchase price is delivered and (ii) the effective date of this registration statement, until the remaining balance of the applicable convertible promissory note’s purchase price is paid in full, Streeterville has the right to convert all or a portion of the remaining balance of the applicable convertible promissory note’s purchase price into ADSs (the “Conversion Shares”) according to the following formula: the amount of Conversion Shares will equal to the remaining balance of the applicable convertible promissory note’s purchase price being converted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conversion price, and the conversion price will equal to the lowest volume weighted average price of our ADSs on Nasdaq during the 10-trading day period before the conversion date multiplied by 80%, less ADS issuance fees. The Company will not effect a conversion to the extent that if after giving effect to such conversion Streeterville would, together with its affiliates, beneficially own in excess of 9.99% of our ordinary shares on the conversion date. According to this calculation formula of the Conversion Shares, not all of the Additional Registrable Shares may be issued as the Conversion Shares.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Transaction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September 8, 2025, the Company entered into the securities purchase agreement (the “PIPE SPA”) and the registration rights agreement (the “PIPE Registration Rights Agreement”) with Viner Total Investments Fund, Cheng Jianbo, Lida Global Limited, OGBC Group Pte Ltd and Ripple Strategy Holding Ltd (collectively, the “PIPE Purchasers”), as well as the placement agent agreement (the “PIPE Placement Agent Agreement”) with Chaince Securities, LLC (“Chaince”), pursuant to which the Company agreed to issue and sell to the PIPE Purchasers 148,605,714 Class B ordinary shares in the form of ADSs, for an aggregate purchase price of $2,600,600, with Chaince acting as the placement agent in connection with such PIPE transaction (the “PIPE Transaction”). The Company agreed to file a registration statement with the SEC covering the resale of such 148,605,714 Class B ordinary shares in the form of ADSs.</w:t>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7" w:right="439" w:bottom="1440" w:gutter="0" w:footer="0" w:header="0"/>
        </w:sectPr>
      </w:pPr>
    </w:p>
    <w:bookmarkStart w:id="5" w:name="page6"/>
    <w:bookmarkEnd w:id="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6082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5020" cy="6082030"/>
                    </a:xfrm>
                    <a:prstGeom prst="rect">
                      <a:avLst/>
                    </a:prstGeom>
                    <a:noFill/>
                  </pic:spPr>
                </pic:pic>
              </a:graphicData>
            </a:graphic>
          </wp:anchor>
        </w:drawing>
        <w:t>On September 11, 2025, the Company entered into (i) the escrow agreement (the “PIPE Escrow Agreement”) with Chaince and Wilmington Trust, National Association (“Wilmington Trust”) and (ii) the escrow agent agreement (the “PIPE Escrow Agent Agreement”) with Chaince and Mercurity Fintech Holding Inc. (“Mercurity Fintech”), pursuant to which, the PIPE Purchasers deposited their respective purchase price into the escrow accounts established under such agreements.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September 18, 2025, the Company issued and sold the 148,605,714 Class B ordinary shares to the PIPE Purchasers, pursuant to the PIPE SPA.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 leading catalyst for digital transformation in digital optimization, technology services, and Web 3.0 activation worldwide based in Singapore. We offer commercial and technological digital solutions designed to optimize our clients’ experience with their end-users by promoting digital adoption and self-service.</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the small and medium enterprises (“SME”) segment of the e-commerce enablement and digital optimizing services market in Singapore. According to the Frost &amp; Sullivan Report, among the Singapore-based companies who have been approved to participate in the SMEs Go Digital program led by the Infocomm Media Development Authority of Singapore, we ranked fourth, contributing to 1.5% of the SME segment of the e-commerce enablement and digital optimizing services market in Singapore in 2022.</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spacing w:after="0" w:line="179" w:lineRule="exact"/>
        <w:rPr>
          <w:sz w:val="20"/>
          <w:szCs w:val="20"/>
          <w:color w:val="auto"/>
        </w:rPr>
      </w:pPr>
    </w:p>
    <w:p>
      <w:pPr>
        <w:jc w:val="both"/>
        <w:ind w:left="640" w:right="20" w:hanging="324"/>
        <w:spacing w:after="0" w:line="26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consulting: </w:t>
      </w:r>
      <w:r>
        <w:rPr>
          <w:rFonts w:ascii="Times New Roman" w:cs="Times New Roman" w:eastAsia="Times New Roman" w:hAnsi="Times New Roman"/>
          <w:sz w:val="18"/>
          <w:szCs w:val="18"/>
          <w:color w:val="auto"/>
        </w:rPr>
        <w:t>We support clients to define and deliver technology-enabled transformations of their business. Equipped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203" w:lineRule="exact"/>
        <w:rPr>
          <w:rFonts w:ascii="Times New Roman" w:cs="Times New Roman" w:eastAsia="Times New Roman" w:hAnsi="Times New Roman"/>
          <w:sz w:val="18"/>
          <w:szCs w:val="18"/>
          <w:color w:val="auto"/>
        </w:rPr>
      </w:pPr>
    </w:p>
    <w:p>
      <w:pPr>
        <w:jc w:val="both"/>
        <w:ind w:left="640" w:hanging="324"/>
        <w:spacing w:after="0" w:line="268"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IT customization</w:t>
      </w:r>
      <w:r>
        <w:rPr>
          <w:rFonts w:ascii="Times New Roman" w:cs="Times New Roman" w:eastAsia="Times New Roman" w:hAnsi="Times New Roman"/>
          <w:sz w:val="18"/>
          <w:szCs w:val="18"/>
          <w:color w:val="auto"/>
        </w:rPr>
        <w:t>: We offer solutions and services to plan, design, operate, optimize and transform business processes. We support clients to get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best value from technology by developing an IT strategy, optimizing applications and infrastructure, implementing IT operating models, and governing their technical architecture for reliability and security.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provide customized solutions and services that address the specific needs of clients in our strategic vertical markets. Our primary vertical industries include e-commerce, food and beverage, wholesale and retail that are fast-growing and have increasing level of digitalization potentials. Our configurable technology integrates seamlessly into our clients’ systems, empowering our clients to manage, improve their businesses and to win.</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31" w:right="439" w:bottom="1440" w:gutter="0" w:footer="0" w:header="0"/>
        </w:sectPr>
      </w:pPr>
    </w:p>
    <w:bookmarkStart w:id="6" w:name="page7"/>
    <w:bookmarkEnd w:id="6"/>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45020" cy="8122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5020" cy="8122285"/>
                    </a:xfrm>
                    <a:prstGeom prst="rect">
                      <a:avLst/>
                    </a:prstGeom>
                    <a:noFill/>
                  </pic:spPr>
                </pic:pic>
              </a:graphicData>
            </a:graphic>
          </wp:anchor>
        </w:drawing>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launched a Web 3.0 e-commerce platform whereby customers and merchants can transact in a transparent and secure way, or Tridentity, in December 2023. As our flagship product, Tridentity is an innovative and highly secure blockchain-based identity solution designed to provide secure single sign-on authentication capabilities to integrated third-party systems across various industries. Tridentity aims to offer unparalleled security features, ensuring the protection of sensitive information and preventing potential threats, thus promising a new secure era in the global digital landscape in general, and in Southeast Asia etc. Beyond Tridentity, our mission is to become the global leader in Web 3.0 activation, notably connecting businesses to a reliable and secure technological platform, with tailored and optimized customer experiences. We believe that Tridentity addresses a massive market opportunity today and provides us with an attractive runway for growth. According to the Frost &amp; Sullivan Report, the market size of global Web 3.0-enabled e-commerce is expected to reach US$1,587.4 billion in 2027.</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December 2024, we started to engage with the Democratic Republic of Congo (“DRC”), represented by the President of the DRC via the National Intelligence Agency, to drive digital transformation in the DRC for effective, accountable, and transparent governance. Subject to definitive agreements, we will explore the development of a comprehensive e-GOV for the DRC, aimed at digitizing the DRC government’s administrative framework through the integration of technologies, including blockchain, to provide secure and efficient government services to citizens while protecting personal data. The e-Gov is expected to provide secure and streamlined access to a wide range of government services, including business registration, land registries, immigration services, civil registry, as well as digital payment and approval functions for government services. Each service will be customized to meet the specific needs of the DRC.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investment in our ADSs is subject to a number of risks, including risks relating to our business and industry, risks relating to the jurisdictions where we operate, and risks relating to our ADSs. The following list summarizes some, but not all, of these risks. Please read the information in our annual report on Form 20-F for the year ended December 31, 2024 incorporated by reference herein under the heading of “Risk Factors” for a more thorough description of these and other risks.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 and Industry</w:t>
      </w:r>
    </w:p>
    <w:p>
      <w:pPr>
        <w:spacing w:after="0" w:line="229" w:lineRule="exact"/>
        <w:rPr>
          <w:sz w:val="20"/>
          <w:szCs w:val="20"/>
          <w:color w:val="auto"/>
        </w:rPr>
      </w:pPr>
    </w:p>
    <w:p>
      <w:pPr>
        <w:jc w:val="both"/>
        <w:ind w:left="640" w:hanging="324"/>
        <w:spacing w:after="0" w:line="258"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revenues are generated by sales to clients in our targeted verticals, and factors, including Singapore and global market and economic conditions, that adversely affect the applicable industry could also adversely affect us. See “</w:t>
      </w:r>
      <w:r>
        <w:rPr>
          <w:rFonts w:ascii="Times New Roman" w:cs="Times New Roman" w:eastAsia="Times New Roman" w:hAnsi="Times New Roman"/>
          <w:sz w:val="18"/>
          <w:szCs w:val="18"/>
          <w:i w:val="1"/>
          <w:iCs w:val="1"/>
          <w:color w:val="auto"/>
        </w:rPr>
        <w:t>Item 3. Key Information—D.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Factors—Risks Related to Our Business and Industry—Substantially all of our revenues are generated by sales to clients in our targeted verticals, and factors, including Singapore and global market and economic conditions, that adversely affect the applicable industry could also adversely affect us.</w:t>
      </w:r>
      <w:r>
        <w:rPr>
          <w:rFonts w:ascii="Times New Roman" w:cs="Times New Roman" w:eastAsia="Times New Roman" w:hAnsi="Times New Roman"/>
          <w:sz w:val="18"/>
          <w:szCs w:val="18"/>
          <w:color w:val="auto"/>
        </w:rPr>
        <w:t>” on page 2 of our annual report on Form 20-F for the year ended December 31, 2024 incorporated by reference herein.</w:t>
      </w:r>
    </w:p>
    <w:p>
      <w:pPr>
        <w:spacing w:after="0" w:line="183" w:lineRule="exact"/>
        <w:rPr>
          <w:rFonts w:ascii="Times New Roman" w:cs="Times New Roman" w:eastAsia="Times New Roman" w:hAnsi="Times New Roman"/>
          <w:sz w:val="18"/>
          <w:szCs w:val="18"/>
          <w:color w:val="auto"/>
        </w:rPr>
      </w:pPr>
    </w:p>
    <w:p>
      <w:pPr>
        <w:jc w:val="both"/>
        <w:ind w:left="640" w:hanging="324"/>
        <w:spacing w:after="0" w:line="258"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introduce new features or services successfully and to make enhancements to our solutions and services, our business and results of operations could be adversely affected. See “</w:t>
      </w:r>
      <w:r>
        <w:rPr>
          <w:rFonts w:ascii="Times New Roman" w:cs="Times New Roman" w:eastAsia="Times New Roman" w:hAnsi="Times New Roman"/>
          <w:sz w:val="18"/>
          <w:szCs w:val="18"/>
          <w:i w:val="1"/>
          <w:iCs w:val="1"/>
          <w:color w:val="auto"/>
        </w:rPr>
        <w:t>Item 3. Key Information—D. Risk Factors—Risks Related to Our Business and Industry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—If we are not able to introduce new features or services successfully and to make enhancements to our solutions and services, our business and results of operations could be adversely affected.</w:t>
      </w:r>
      <w:r>
        <w:rPr>
          <w:rFonts w:ascii="Times New Roman" w:cs="Times New Roman" w:eastAsia="Times New Roman" w:hAnsi="Times New Roman"/>
          <w:sz w:val="18"/>
          <w:szCs w:val="18"/>
          <w:color w:val="auto"/>
        </w:rPr>
        <w:t>” on page 2 of our annual report on Form 20-F for the year ended December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herein.</w:t>
      </w:r>
    </w:p>
    <w:p>
      <w:pPr>
        <w:spacing w:after="0" w:line="183" w:lineRule="exact"/>
        <w:rPr>
          <w:rFonts w:ascii="Times New Roman" w:cs="Times New Roman" w:eastAsia="Times New Roman" w:hAnsi="Times New Roman"/>
          <w:sz w:val="18"/>
          <w:szCs w:val="18"/>
          <w:color w:val="auto"/>
        </w:rPr>
      </w:pPr>
    </w:p>
    <w:p>
      <w:pPr>
        <w:jc w:val="both"/>
        <w:ind w:left="640" w:hanging="324"/>
        <w:spacing w:after="0" w:line="261"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solutions, services or pricing models may not accurately reflect the optimal pricing necessary to attract new clients and retain existing clients as the market matures. See “</w:t>
      </w:r>
      <w:r>
        <w:rPr>
          <w:rFonts w:ascii="Times New Roman" w:cs="Times New Roman" w:eastAsia="Times New Roman" w:hAnsi="Times New Roman"/>
          <w:sz w:val="18"/>
          <w:szCs w:val="18"/>
          <w:i w:val="1"/>
          <w:iCs w:val="1"/>
          <w:color w:val="auto"/>
        </w:rPr>
        <w:t>Item 3. Key Information—D. Risk Factors—Risks Related to Our Business and Industry—Our solutions,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services or pricing models may not accurately reflect the optimal pricing necessary to attract new clients and retain existing clients as the market matures.</w:t>
      </w:r>
      <w:r>
        <w:rPr>
          <w:rFonts w:ascii="Times New Roman" w:cs="Times New Roman" w:eastAsia="Times New Roman" w:hAnsi="Times New Roman"/>
          <w:sz w:val="18"/>
          <w:szCs w:val="18"/>
          <w:color w:val="auto"/>
        </w:rPr>
        <w:t>” on page 3 of our annual report on Form 20-F for the year ended December 31, 2024 incorporated by reference herein.</w:t>
      </w:r>
    </w:p>
    <w:p>
      <w:pPr>
        <w:spacing w:after="0" w:line="179" w:lineRule="exact"/>
        <w:rPr>
          <w:rFonts w:ascii="Times New Roman" w:cs="Times New Roman" w:eastAsia="Times New Roman" w:hAnsi="Times New Roman"/>
          <w:sz w:val="18"/>
          <w:szCs w:val="18"/>
          <w:color w:val="auto"/>
        </w:rPr>
      </w:pPr>
    </w:p>
    <w:p>
      <w:pPr>
        <w:jc w:val="both"/>
        <w:ind w:left="640" w:hanging="324"/>
        <w:spacing w:after="0" w:line="25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and regulations, and changing business needs, requirements, or preferences, our solutions and services may become less competitive, and our growth rate could decline. See “</w:t>
      </w:r>
      <w:r>
        <w:rPr>
          <w:rFonts w:ascii="Times New Roman" w:cs="Times New Roman" w:eastAsia="Times New Roman" w:hAnsi="Times New Roman"/>
          <w:sz w:val="18"/>
          <w:szCs w:val="18"/>
          <w:i w:val="1"/>
          <w:iCs w:val="1"/>
          <w:color w:val="auto"/>
        </w:rPr>
        <w:t>Item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Key Information—D. Risk Factors—Risks Related to Our Business and Industry—If we fail to adapt and respond effectively to rapidly changing technology, evolving industry standards and regulations, and changing business needs, requirements, or preferences, our solutions and services may become less competitive, and our growth rate could decline.</w:t>
      </w:r>
      <w:r>
        <w:rPr>
          <w:rFonts w:ascii="Times New Roman" w:cs="Times New Roman" w:eastAsia="Times New Roman" w:hAnsi="Times New Roman"/>
          <w:sz w:val="18"/>
          <w:szCs w:val="18"/>
          <w:color w:val="auto"/>
        </w:rPr>
        <w:t>” on page 3 of our annual report on Form 20-F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incorporated by reference herein.</w:t>
      </w:r>
    </w:p>
    <w:p>
      <w:pPr>
        <w:spacing w:after="0" w:line="187" w:lineRule="exact"/>
        <w:rPr>
          <w:rFonts w:ascii="Times New Roman" w:cs="Times New Roman" w:eastAsia="Times New Roman" w:hAnsi="Times New Roman"/>
          <w:sz w:val="18"/>
          <w:szCs w:val="18"/>
          <w:color w:val="auto"/>
        </w:rPr>
      </w:pPr>
    </w:p>
    <w:p>
      <w:pPr>
        <w:jc w:val="both"/>
        <w:ind w:left="640" w:hanging="324"/>
        <w:spacing w:after="0" w:line="258"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may face intense competition, which could limit our ability to maintain or expand market share within our industry, and if we do not maintain or expand our market share, our business, financial condition, and operating results will be harmed. See </w:t>
      </w:r>
      <w:r>
        <w:rPr>
          <w:rFonts w:ascii="Times New Roman" w:cs="Times New Roman" w:eastAsia="Times New Roman" w:hAnsi="Times New Roman"/>
          <w:sz w:val="18"/>
          <w:szCs w:val="18"/>
          <w:i w:val="1"/>
          <w:iCs w:val="1"/>
          <w:color w:val="auto"/>
        </w:rPr>
        <w:t>“Risk Factors—Risks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Relating to Our Business and Industry—We may face intense competition, which could limit our ability to maintain or expand market share within our industry, and if we do not maintain or expand our market share, our business, financial condition, and operating results will be harmed.” </w:t>
      </w:r>
      <w:r>
        <w:rPr>
          <w:rFonts w:ascii="Times New Roman" w:cs="Times New Roman" w:eastAsia="Times New Roman" w:hAnsi="Times New Roman"/>
          <w:sz w:val="18"/>
          <w:szCs w:val="18"/>
          <w:color w:val="auto"/>
        </w:rPr>
        <w:t>on page 4 of our annual report on Form 20-F for the year ended December 31, 2024 incorporated by reference herein.</w:t>
      </w: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31" w:right="439" w:bottom="1440" w:gutter="0" w:footer="0" w:header="0"/>
        </w:sectPr>
      </w:pPr>
    </w:p>
    <w:bookmarkStart w:id="7" w:name="page8"/>
    <w:bookmarkEnd w:id="7"/>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45020" cy="8670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5020" cy="8670925"/>
                    </a:xfrm>
                    <a:prstGeom prst="rect">
                      <a:avLst/>
                    </a:prstGeom>
                    <a:noFill/>
                  </pic:spPr>
                </pic:pic>
              </a:graphicData>
            </a:graphic>
          </wp:anchor>
        </w:drawing>
        <w:t>Risks Relating to the Jurisdictions Where We Operate</w:t>
      </w:r>
    </w:p>
    <w:p>
      <w:pPr>
        <w:spacing w:after="0" w:line="229" w:lineRule="exact"/>
        <w:rPr>
          <w:sz w:val="20"/>
          <w:szCs w:val="20"/>
          <w:color w:val="auto"/>
        </w:rPr>
      </w:pPr>
    </w:p>
    <w:p>
      <w:pPr>
        <w:jc w:val="both"/>
        <w:ind w:left="648" w:hanging="324"/>
        <w:spacing w:after="0" w:line="256" w:lineRule="auto"/>
        <w:tabs>
          <w:tab w:leader="none" w:pos="6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changes in the political, economic, legal, regulatory taxation or social conditions in the jurisdictions that we operate in or intend to expand our business may have a material adverse effect on our operations, financial performance and future growth. See “</w:t>
      </w:r>
      <w:r>
        <w:rPr>
          <w:rFonts w:ascii="Times New Roman" w:cs="Times New Roman" w:eastAsia="Times New Roman" w:hAnsi="Times New Roman"/>
          <w:sz w:val="18"/>
          <w:szCs w:val="18"/>
          <w:i w:val="1"/>
          <w:iCs w:val="1"/>
          <w:color w:val="auto"/>
        </w:rPr>
        <w:t>Item 3. Key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Information—D. Risk Factors—Risks Relating to the Jurisdictions Where We Operate—Any adverse changes in the political, economic, legal, regulatory taxation or social conditions in the jurisdictions that we operate in or intend to expand our business may have a material adverse effect on our operations, financial performance and future growth.</w:t>
      </w:r>
      <w:r>
        <w:rPr>
          <w:rFonts w:ascii="Times New Roman" w:cs="Times New Roman" w:eastAsia="Times New Roman" w:hAnsi="Times New Roman"/>
          <w:sz w:val="18"/>
          <w:szCs w:val="18"/>
          <w:color w:val="auto"/>
        </w:rPr>
        <w:t>” on page 14 of our annual report on Form 20-F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incorporated by reference herein.</w:t>
      </w:r>
    </w:p>
    <w:p>
      <w:pPr>
        <w:spacing w:after="0" w:line="187" w:lineRule="exact"/>
        <w:rPr>
          <w:rFonts w:ascii="Times New Roman" w:cs="Times New Roman" w:eastAsia="Times New Roman" w:hAnsi="Times New Roman"/>
          <w:sz w:val="18"/>
          <w:szCs w:val="18"/>
          <w:color w:val="auto"/>
        </w:rPr>
      </w:pPr>
    </w:p>
    <w:p>
      <w:pPr>
        <w:jc w:val="both"/>
        <w:ind w:left="648" w:right="20" w:hanging="324"/>
        <w:spacing w:after="0" w:line="277" w:lineRule="auto"/>
        <w:tabs>
          <w:tab w:leader="none" w:pos="64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evolving laws, regulations, standards and policies, and any actual or perceived failure to comply could harm our reputation and brand, subject us to significant fines and liability, or otherwise adversely affect our business. See “</w:t>
      </w:r>
      <w:r>
        <w:rPr>
          <w:rFonts w:ascii="Times New Roman" w:cs="Times New Roman" w:eastAsia="Times New Roman" w:hAnsi="Times New Roman"/>
          <w:sz w:val="17"/>
          <w:szCs w:val="17"/>
          <w:i w:val="1"/>
          <w:iCs w:val="1"/>
          <w:color w:val="auto"/>
        </w:rPr>
        <w:t>Item 3. Key Information—D. 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Factors—Risks Relating to the Jurisdictions Where We Operate—We are subject to evolving laws, regulations, standards and policies, and any actual or perceived failure to comply could harm our reputation and brand, subject us to significant fines and liability, or otherwise adversely affect our business.</w:t>
      </w:r>
      <w:r>
        <w:rPr>
          <w:rFonts w:ascii="Times New Roman" w:cs="Times New Roman" w:eastAsia="Times New Roman" w:hAnsi="Times New Roman"/>
          <w:sz w:val="17"/>
          <w:szCs w:val="17"/>
          <w:color w:val="auto"/>
        </w:rPr>
        <w:t>” on page 14 of our annual report on Form 20-F for the year ended December 31, 2024 incorporated by reference herein.</w:t>
      </w:r>
    </w:p>
    <w:p>
      <w:pPr>
        <w:spacing w:after="0" w:line="1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ADSs</w:t>
      </w:r>
    </w:p>
    <w:p>
      <w:pPr>
        <w:spacing w:after="0" w:line="227" w:lineRule="exact"/>
        <w:rPr>
          <w:sz w:val="20"/>
          <w:szCs w:val="20"/>
          <w:color w:val="auto"/>
        </w:rPr>
      </w:pPr>
    </w:p>
    <w:p>
      <w:pPr>
        <w:jc w:val="both"/>
        <w:ind w:left="648" w:hanging="324"/>
        <w:spacing w:after="0" w:line="256" w:lineRule="auto"/>
        <w:tabs>
          <w:tab w:leader="none" w:pos="6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ADSs could be subject to rapid and substantial volatility. See “</w:t>
      </w:r>
      <w:r>
        <w:rPr>
          <w:rFonts w:ascii="Times New Roman" w:cs="Times New Roman" w:eastAsia="Times New Roman" w:hAnsi="Times New Roman"/>
          <w:sz w:val="18"/>
          <w:szCs w:val="18"/>
          <w:i w:val="1"/>
          <w:iCs w:val="1"/>
          <w:color w:val="auto"/>
        </w:rPr>
        <w:t>Item 3. Key Information—D. Risk Factors—Risks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Our ADSs—The price of our ADSs could be subject to rapid and substantial volatility,” “—An active trading market for our ordinary shares or our ADSs may not continue to exist and the trading price for our ADSs may fluctuate significantly,”“—Substantial future sales or perceived potential sales of our ADSs in the public market could cause the price of our ADSs to decline,” and “—The voting rights of holders of ADSs are limited by the terms of the deposit agreement, and you may not be able to exercise your right to direct the voting of the underlying ordinary shares represented by your ADSs” </w:t>
      </w:r>
      <w:r>
        <w:rPr>
          <w:rFonts w:ascii="Times New Roman" w:cs="Times New Roman" w:eastAsia="Times New Roman" w:hAnsi="Times New Roman"/>
          <w:sz w:val="18"/>
          <w:szCs w:val="18"/>
          <w:color w:val="auto"/>
        </w:rPr>
        <w:t>on pages 15-25 of our annual report on Form 20-F for the year ended December 31, 2024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herein.</w:t>
      </w:r>
    </w:p>
    <w:p>
      <w:pPr>
        <w:spacing w:after="0" w:line="18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left="8" w:firstLine="324"/>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Suntec Tower 3, 8 Temasek Boulevard Road, #24-03, Singapore. Our telephone number at this address is +65 6513 6868. Our registered office in the Cayman Islands is located at the offices of Maples Corporate Services Limited, PO Box 309, Ugland House, Grand Cayman, KY1-1104, Cayman Islands. Our agent for service of process in the United States is Cogency Global Inc., located at 122 East 42nd Street, 18th Floor, New York, NY 10168, United States.</w:t>
      </w:r>
    </w:p>
    <w:p>
      <w:pPr>
        <w:spacing w:after="0" w:line="180" w:lineRule="exact"/>
        <w:rPr>
          <w:sz w:val="20"/>
          <w:szCs w:val="20"/>
          <w:color w:val="auto"/>
        </w:rPr>
      </w:pPr>
    </w:p>
    <w:p>
      <w:pPr>
        <w:jc w:val="both"/>
        <w:ind w:left="8" w:firstLine="324"/>
        <w:spacing w:after="0" w:line="282" w:lineRule="auto"/>
        <w:rPr>
          <w:sz w:val="20"/>
          <w:szCs w:val="20"/>
          <w:color w:val="auto"/>
        </w:rPr>
      </w:pPr>
      <w:r>
        <w:rPr>
          <w:rFonts w:ascii="Times New Roman" w:cs="Times New Roman" w:eastAsia="Times New Roman" w:hAnsi="Times New Roman"/>
          <w:sz w:val="18"/>
          <w:szCs w:val="18"/>
          <w:color w:val="auto"/>
        </w:rPr>
        <w:t>Investors should contact us for any inquiries through the address and telephone number of our principal executive offices. Our website is https://tridentity.me. The information contained on our website is not a part of this prospectus.</w:t>
      </w:r>
    </w:p>
    <w:p>
      <w:pPr>
        <w:spacing w:after="0" w:line="15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Implication of Being an Emerging Growth Company</w:t>
      </w:r>
    </w:p>
    <w:p>
      <w:pPr>
        <w:spacing w:after="0" w:line="229" w:lineRule="exact"/>
        <w:rPr>
          <w:sz w:val="20"/>
          <w:szCs w:val="20"/>
          <w:color w:val="auto"/>
        </w:rPr>
      </w:pPr>
    </w:p>
    <w:p>
      <w:pPr>
        <w:jc w:val="both"/>
        <w:ind w:left="8" w:firstLine="324"/>
        <w:spacing w:after="0" w:line="254" w:lineRule="auto"/>
        <w:rPr>
          <w:sz w:val="20"/>
          <w:szCs w:val="20"/>
          <w:color w:val="auto"/>
        </w:rPr>
      </w:pPr>
      <w:r>
        <w:rPr>
          <w:rFonts w:ascii="Times New Roman" w:cs="Times New Roman" w:eastAsia="Times New Roman" w:hAnsi="Times New Roman"/>
          <w:sz w:val="18"/>
          <w:szCs w:val="18"/>
          <w:color w:val="auto"/>
        </w:rPr>
        <w:t>As a company with less than US$1.235 billion in revenue for our last fiscal year, we qualify as an “emerging growth company” pursuant to the Jumpstart Our Business Startups Act of 2012, as amended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spacing w:after="0" w:line="188" w:lineRule="exact"/>
        <w:rPr>
          <w:sz w:val="20"/>
          <w:szCs w:val="20"/>
          <w:color w:val="auto"/>
        </w:rPr>
      </w:pPr>
    </w:p>
    <w:p>
      <w:pPr>
        <w:jc w:val="both"/>
        <w:ind w:left="8" w:firstLine="324"/>
        <w:spacing w:after="0" w:line="276" w:lineRule="auto"/>
        <w:rPr>
          <w:sz w:val="20"/>
          <w:szCs w:val="20"/>
          <w:color w:val="auto"/>
        </w:rPr>
      </w:pPr>
      <w:r>
        <w:rPr>
          <w:rFonts w:ascii="Times New Roman" w:cs="Times New Roman" w:eastAsia="Times New Roman" w:hAnsi="Times New Roman"/>
          <w:sz w:val="17"/>
          <w:szCs w:val="17"/>
          <w:color w:val="auto"/>
        </w:rPr>
        <w:t>We will remain an emerging growth company until the earliest of (i) the last day of the fiscal year during which we have total annual gross revenues of at least US$1.235 billion; (ii) the last day of our fiscal year following the fifth anniversary of the completion of our initial public offering in 2024;</w:t>
      </w:r>
    </w:p>
    <w:p>
      <w:pPr>
        <w:spacing w:after="0" w:line="1" w:lineRule="exact"/>
        <w:rPr>
          <w:sz w:val="20"/>
          <w:szCs w:val="20"/>
          <w:color w:val="auto"/>
        </w:rPr>
      </w:pPr>
    </w:p>
    <w:p>
      <w:pPr>
        <w:jc w:val="both"/>
        <w:ind w:left="8" w:hanging="8"/>
        <w:spacing w:after="0" w:line="253" w:lineRule="auto"/>
        <w:tabs>
          <w:tab w:leader="none" w:pos="33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during the preceding three-year period, issued more than US$1.0 billion in non-convertible debt; or (iv) the date on which we are deemed to be a “large accelerated filer” under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1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229" w:lineRule="exact"/>
        <w:rPr>
          <w:sz w:val="20"/>
          <w:szCs w:val="20"/>
          <w:color w:val="auto"/>
        </w:rPr>
      </w:pPr>
    </w:p>
    <w:p>
      <w:pPr>
        <w:jc w:val="both"/>
        <w:ind w:left="8" w:firstLine="324"/>
        <w:spacing w:after="0" w:line="258" w:lineRule="auto"/>
        <w:rPr>
          <w:sz w:val="20"/>
          <w:szCs w:val="20"/>
          <w:color w:val="auto"/>
        </w:rPr>
      </w:pPr>
      <w:r>
        <w:rPr>
          <w:rFonts w:ascii="Times New Roman" w:cs="Times New Roman" w:eastAsia="Times New Roman" w:hAnsi="Times New Roman"/>
          <w:sz w:val="18"/>
          <w:szCs w:val="18"/>
          <w:color w:val="auto"/>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 U.S. domestic issuers. In addition, as an exempted company with limited liability incorporated in the Cayman Islands, we are permitted to adopt certain home country practices in relation to corporate governance matters that differ significantly from the Nasdaq Capital Market corporate governance listing standards.</w:t>
      </w:r>
    </w:p>
    <w:p>
      <w:pPr>
        <w:spacing w:after="0" w:line="200" w:lineRule="exact"/>
        <w:rPr>
          <w:sz w:val="20"/>
          <w:szCs w:val="20"/>
          <w:color w:val="auto"/>
        </w:rPr>
      </w:pPr>
    </w:p>
    <w:p>
      <w:pPr>
        <w:spacing w:after="0" w:line="22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8"/>
          </w:cols>
          <w:pgMar w:left="452" w:top="927" w:right="4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45020" cy="4007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5020" cy="4007485"/>
                    </a:xfrm>
                    <a:prstGeom prst="rect">
                      <a:avLst/>
                    </a:prstGeom>
                    <a:noFill/>
                  </pic:spPr>
                </pic:pic>
              </a:graphicData>
            </a:graphic>
          </wp:anchor>
        </w:drawing>
        <w:t>THE OFFERING</w:t>
      </w:r>
    </w:p>
    <w:p>
      <w:pPr>
        <w:sectPr>
          <w:pgSz w:w="11900" w:h="16838" w:orient="portrait"/>
          <w:cols w:equalWidth="0" w:num="1">
            <w:col w:w="11000"/>
          </w:cols>
          <w:pgMar w:left="460" w:top="927" w:right="439" w:bottom="1440" w:gutter="0" w:footer="0" w:header="0"/>
        </w:sectPr>
      </w:pP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Ordinary shares outstanding immediately after this offering</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50,000,000 Class A ordinary shares, 870,765,000 Class B ordinary shares and the Conversion Shares.</w:t>
      </w:r>
    </w:p>
    <w:p>
      <w:pPr>
        <w:spacing w:after="0" w:line="452" w:lineRule="exact"/>
        <w:rPr>
          <w:sz w:val="20"/>
          <w:szCs w:val="20"/>
          <w:color w:val="auto"/>
        </w:rPr>
      </w:pPr>
    </w:p>
    <w:p>
      <w:pPr>
        <w:sectPr>
          <w:pgSz w:w="11900" w:h="16838" w:orient="portrait"/>
          <w:cols w:equalWidth="0" w:num="2">
            <w:col w:w="2960" w:space="340"/>
            <w:col w:w="7700"/>
          </w:cols>
          <w:pgMar w:left="460" w:top="927" w:right="439" w:bottom="1440" w:gutter="0" w:footer="0" w:header="0"/>
          <w:type w:val="continuous"/>
        </w:sect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Securities offered by the Selling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266,900,714 Class B ordinary shares in the form of ADSs and the Conversion Shares.</w:t>
      </w:r>
    </w:p>
    <w:p>
      <w:pPr>
        <w:spacing w:after="0" w:line="439" w:lineRule="exact"/>
        <w:rPr>
          <w:sz w:val="20"/>
          <w:szCs w:val="20"/>
          <w:color w:val="auto"/>
        </w:rPr>
      </w:pPr>
    </w:p>
    <w:p>
      <w:pPr>
        <w:sectPr>
          <w:pgSz w:w="11900" w:h="16838" w:orient="portrait"/>
          <w:cols w:equalWidth="0" w:num="2">
            <w:col w:w="2580" w:space="720"/>
            <w:col w:w="7700"/>
          </w:cols>
          <w:pgMar w:left="460" w:top="927" w:right="4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Selling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color w:val="auto"/>
        </w:rPr>
        <w:t>Selling Shareholders</w:t>
      </w:r>
      <w:r>
        <w:rPr>
          <w:rFonts w:ascii="Times New Roman" w:cs="Times New Roman" w:eastAsia="Times New Roman" w:hAnsi="Times New Roman"/>
          <w:sz w:val="17"/>
          <w:szCs w:val="17"/>
          <w:color w:val="auto"/>
        </w:rPr>
        <w:t>” on page 12 of this prospectus.</w:t>
      </w:r>
    </w:p>
    <w:p>
      <w:pPr>
        <w:spacing w:after="0" w:line="201" w:lineRule="exact"/>
        <w:rPr>
          <w:sz w:val="20"/>
          <w:szCs w:val="20"/>
          <w:color w:val="auto"/>
        </w:rPr>
      </w:pPr>
    </w:p>
    <w:p>
      <w:pPr>
        <w:sectPr>
          <w:pgSz w:w="11900" w:h="16838" w:orient="portrait"/>
          <w:cols w:equalWidth="0" w:num="2">
            <w:col w:w="2580" w:space="720"/>
            <w:col w:w="7700"/>
          </w:cols>
          <w:pgMar w:left="460" w:top="927"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Depositary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Citibank, N.A.</w:t>
      </w:r>
    </w:p>
    <w:p>
      <w:pPr>
        <w:spacing w:after="0" w:line="200" w:lineRule="exact"/>
        <w:rPr>
          <w:sz w:val="20"/>
          <w:szCs w:val="20"/>
          <w:color w:val="auto"/>
        </w:rPr>
      </w:pPr>
    </w:p>
    <w:p>
      <w:pPr>
        <w:sectPr>
          <w:pgSz w:w="11900" w:h="16838" w:orient="portrait"/>
          <w:cols w:equalWidth="0" w:num="2">
            <w:col w:w="2580" w:space="720"/>
            <w:col w:w="7700"/>
          </w:cols>
          <w:pgMar w:left="460" w:top="927"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will not receive any proceeds from the sale of the ADSs by the Selling Shareholders.</w:t>
      </w:r>
    </w:p>
    <w:p>
      <w:pPr>
        <w:spacing w:after="0" w:line="200" w:lineRule="exact"/>
        <w:rPr>
          <w:sz w:val="20"/>
          <w:szCs w:val="20"/>
          <w:color w:val="auto"/>
        </w:rPr>
      </w:pPr>
    </w:p>
    <w:p>
      <w:pPr>
        <w:sectPr>
          <w:pgSz w:w="11900" w:h="16838" w:orient="portrait"/>
          <w:cols w:equalWidth="0" w:num="2">
            <w:col w:w="2580" w:space="720"/>
            <w:col w:w="7700"/>
          </w:cols>
          <w:pgMar w:left="460" w:top="927"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other information included in this prospectus for a discussion of the risks you should carefully consider before investing in the ADSs.</w:t>
      </w:r>
    </w:p>
    <w:p>
      <w:pPr>
        <w:spacing w:after="0" w:line="160" w:lineRule="exact"/>
        <w:rPr>
          <w:sz w:val="20"/>
          <w:szCs w:val="20"/>
          <w:color w:val="auto"/>
        </w:rPr>
      </w:pPr>
    </w:p>
    <w:p>
      <w:pPr>
        <w:sectPr>
          <w:pgSz w:w="11900" w:h="16838" w:orient="portrait"/>
          <w:cols w:equalWidth="0" w:num="2">
            <w:col w:w="2580" w:space="720"/>
            <w:col w:w="7700"/>
          </w:cols>
          <w:pgMar w:left="460" w:top="92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TDTH.</w:t>
      </w:r>
    </w:p>
    <w:p>
      <w:pPr>
        <w:spacing w:after="0" w:line="200" w:lineRule="exact"/>
        <w:rPr>
          <w:sz w:val="20"/>
          <w:szCs w:val="20"/>
          <w:color w:val="auto"/>
        </w:rPr>
      </w:pPr>
    </w:p>
    <w:p>
      <w:pPr>
        <w:sectPr>
          <w:pgSz w:w="11900" w:h="16838" w:orient="portrait"/>
          <w:cols w:equalWidth="0" w:num="2">
            <w:col w:w="2580" w:space="720"/>
            <w:col w:w="7700"/>
          </w:cols>
          <w:pgMar w:left="460" w:top="927"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ordinary shares that will be issued and outstanding immediately after this offering:</w:t>
      </w:r>
    </w:p>
    <w:p>
      <w:pPr>
        <w:spacing w:after="0" w:line="225" w:lineRule="exact"/>
        <w:rPr>
          <w:sz w:val="20"/>
          <w:szCs w:val="20"/>
          <w:color w:val="auto"/>
        </w:rPr>
      </w:pPr>
    </w:p>
    <w:p>
      <w:pPr>
        <w:ind w:left="640" w:right="20" w:hanging="324"/>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based on 920,765,000 issued and outstanding ordinary shares as of the date of this prospectus and the Conversion Shares to be issued after this offering; and</w:t>
      </w:r>
    </w:p>
    <w:p>
      <w:pPr>
        <w:spacing w:after="0" w:line="161" w:lineRule="exact"/>
        <w:rPr>
          <w:rFonts w:ascii="Times New Roman" w:cs="Times New Roman" w:eastAsia="Times New Roman" w:hAnsi="Times New Roman"/>
          <w:sz w:val="18"/>
          <w:szCs w:val="18"/>
          <w:color w:val="auto"/>
        </w:rPr>
      </w:pPr>
    </w:p>
    <w:p>
      <w:pPr>
        <w:jc w:val="both"/>
        <w:ind w:left="640" w:hanging="324"/>
        <w:spacing w:after="0" w:line="266"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ordinary shares issuable upon exercise of our outstanding options, ordinary shares reserved for future issuances under our 2023 Equity Incentive Plan, and ordinary shares that are treated as treasury stock for accounting purposes and are subject to forfeiture if vesting conditions are not met.</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7" w:right="4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ADSs involves risks. We urge you to carefully consider all of the information contained in or incorporated by reference in this prospectus and other information which may be incorporated by reference in this prospectus or any prospectus supplement as provided under “Information Incorporated by Reference.” In particular, you should consider the risk factors under the heading “Risk Factors” in our most recent annual report on Form 20-F, which is incorporated by reference in this prospectus. This prospectus also contains forward-looking statements that involve risks and uncertainties. Please read “Forward-Looking Statements.” Our actual results could differ materially from those anticipated in the forward-looking statements as a result of certain factors, including the risks described in the documents incorporated by reference into this prospectus or any prospectus supplement. If any of these risks occur, this could expose us to liability, and our business, financial condition or results of operation could be adversely affected. As a result, you could lose all or part of your investment.</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shares to the Tongxin Shareholders, Streeterville and the PIPE Purchasers, any subsequent sale of ADSs by the Selling Shareholders, or the perception that such sales may occur, could adversely affect the price of our ADSs.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future capital needs could require us to issue additional equity or debt securities or obtain a credit facility. The issuance of additional equity or equity-linked securities could dilute our shareholders. On August 15, 2025, the Company entered into the Tongxin SPA with the Tongxin Shareholders, pursuant to which the Company issued and sold a total of 104,000,000 Class B ordinary shares to the Tongxin Shareholders. On August 7, 2025, the Company entered into the Streeterville SPA with Streeterville, pursuant to which the Company issued and sold 14,295,000 Class B ordinary shares to Streeterville and will issue the Conversion Shares to Streeterville. On September 9, 2025, the Company entered into the PIPE SPA, pursuant to which the Company issued and sold 148,605,714 Class B ordinary shares to the PIPE Purchasers. For details, see “</w:t>
      </w:r>
      <w:r>
        <w:rPr>
          <w:rFonts w:ascii="Times New Roman" w:cs="Times New Roman" w:eastAsia="Times New Roman" w:hAnsi="Times New Roman"/>
          <w:sz w:val="18"/>
          <w:szCs w:val="18"/>
          <w:i w:val="1"/>
          <w:iCs w:val="1"/>
          <w:color w:val="auto"/>
        </w:rPr>
        <w:t>The Transactions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of substantial amounts of our ADSs in the public market by the Selling Shareholders, or the perception that these sales could occur, could adversely affect the market price of our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our ADSs.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in this prospectus include “forward-looking statements” within the meaning of Section 27A of the Securities Act and Section 21E of the Exchange Act. All statements contained or incorporated by reference herein, including statements regarding our strategy, future operations, future financial position, future revenue, projected costs, prospects, plans, objectives of management and expected market growth, other than statements of historical facts, are forward-looking statements. The words “anticipate,” “believe,” “estimate,” “expect,” “intend,” “may,” “plan,” “predict,” “project,” “potential,” “will,” “would,” “could,” “should,” “continue” and similar expressions are intended to identify forward-looking statements, although not all forward-looking statements contain these identifying words.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You are cautioned that these forward-looking statements are only predictions and are subject to risks, uncertainties and assumptions that are referenced in the section of any accompanying prospectus supplement entitled “Risk Factors.” You should also carefully review the risk factors and cautionary statements described in the other documents we file from time to time with the SEC, specifically our most recent annual report on Form 20-F and our Reports on Form 6-K. We undertake no obligation to revise or update any forward-looking statements, except to the extent required by law.</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Selling Shareholders are selling the ADSs for their own accounts. We will not receive any proceeds from the sale of the ADSs by the Selling Shareholders.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w:t>
      </w:r>
    </w:p>
    <w:p>
      <w:pPr>
        <w:spacing w:after="0" w:line="225"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as compared to the United States;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Memorandum and Articles of Association do not contain provisions requiring that disputes, including those arising under the securities laws of the United States, between us, our officers, directors and shareholders, be arbitrated.</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operations are mainly conducted in Singapore, and substantially all of our assets are located in Singapore. A majority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87"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We have appointed Cogency Global Inc., located at 122 East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10168, as our agent upon whom process may be served in any action brought against us under the securities laws of the United States.</w:t>
      </w:r>
    </w:p>
    <w:p>
      <w:pPr>
        <w:spacing w:after="0" w:line="19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been informed by Maples and Calder (Hong Kong) LLP, our counsel as to Cayman Islands law, that the United States and the Cayman Islands do not have a treaty providing for reciprocal recognition and enforcement of judgments of U.S. courts in civil and commercial matters and that there is uncertainty as to whether the courts of the Cayman Islands would (i) recognize or enforce judgments of U.S. courts obtained against us or our directors or officers, predicated upon the civil liability provisions of the securities laws of the United States or any state in the United States, or (ii) entertain original actions brought in the Cayman Islands against us or our directors or officers, predicated upon the securities laws of the United States or any state in the United States. We have also been advised by Maples and Calder (Hong Kong) LLP that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(i) is given by a foreign court of competent jurisdiction, (ii) imposes on the judgment debtor a liability to pay a liquidated sum for which the judgment has been given, (iii) is final, (iv) is not in respect of taxes, a fine or a penalty, and (v) was not obtained by fraud, and is not of a kind the enforcement of which is contrary to natural justice or the public policy of the Cayman Islands (awards of punitive or multiple damages may well be held to be contrary to public policy).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Because the courts of the Cayman Islands have yet to rule on whether such judgments are penal or punitive in nature, it is uncertain whether such civil liability judgments from U.S. courts would be enforceable in the Cayman Islands.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Cayman Islands court may stay enforcement proceedings if concurrent proceedings are being brought elsewhere.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There is no treaty between the U.S. and Singapore providing for the reciprocal recognition and enforcement of judgments in civil and commercial matters and a final judgment for the payment of money rendered by any federal or state court in the U.S. based on civil liability, whether or not predicated solely upon the federal securities laws, would, therefore, not be automatically enforceable in Singapore. There is uncertainty as to whether the courts of Singapore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Singapore against us or our directors or officers predicated upon the securities laws of the United States or any state in the United States.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making a determination as to enforceability of a judgment of the courts of the United States, the Singapore courts would have regard to whether the judgment was final and conclusive and on the merits of the case, given by a court of law of competent jurisdiction, and was expressed to be for a fixed sum of money.</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general, a foreign judgment that is final and conclusive as between the parties, given by a competent court of law having jurisdiction over the parties subject to such judgment, and for a fixed and ascertainable sum of money, may be enforceable as a debt in the Singapore courts under common law unless procured by fraud, or the proceedings in which such judgment was obtained were not conducted in accordance with principles of natural justice, or the enforcement thereof would be contrary to the public policy of Singapore, or if the judgment would conflict with earlier judgment(s) from Singapore or earlier foreign judgment(s) recognized in Singapore, or if the judgment would amount to the direct or indirect enforcement of foreign penal, revenue or other public laws.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Civil liability provisions of the federal and state securities law of the United States permit the award of punitive damages against us, our directors and officers. Singapore courts would not recognize or enforce foreign judgments against us, our directors and officers to the extent that doing so would amount to the direct or indirect enforcement of foreign penal, revenue or other public laws. It is uncertain as to whether a judgment of the courts of the United States under civil liability provisions of the federal securities law of the United States would be regarded by the Singapore courts as being a judgement given pursuant to foreign penal, revenue or other public laws. Such a determination has yet to be conclusively made by a Singapore court in a reported decision.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ordinary shares, but it is possible that we may declare dividends in the future to the extent permitted under the Cayman Islands law. We have historically retained earnings to finance operations and the expansion of our business. Any future determination to pay cash dividends will be at the discretion of the board of directors and will be dependent upon our financial condition, operating results, capital requirements and such other factors as the board of directors deems relevant.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Tongxin Investment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August 15, 2025, the Company entered into the Tongxin SPA with Tongxin, pursuant to which the Company agreed to acquire 30% equity interests in Tongxin from the Tongxin Shareholders, in consideration of 13,000,000 ADSs representing Class B ordinary shares.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26, 2025, the Company issued 104,000,000 Class B ordinary shares to the Tongxin Shareholders at the closing of the transactions contemplated thereby. The Company agreed to use its commercially reasonable efforts to file a registration statement with the SEC covering the resale of such 104,000,000 Class B ordinary shares in the form of ADSs that were issued to the Tongxin Shareholders under the Tongxin SPA following the consummation the transactions contemplated thereby.</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descriptions of the Tongxin SPA are qualified in their entirety by reference to the full text of the Tongxin SPA, a copy of the Tongxin SPA is filed as Exhibit 10.4 to this registration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Streeterville Convertible Promissory Notes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7, 2025, the Company entered into the Streeterville SPA and the First Note with Streeterville, pursuant to which the Company agreed to issue and sell to Streeterville (1) the First Note in the principal amount of $1,100,000, convertible into ADSs on the terms and subject to the conditions set forth in the Streeterville SPA and the First Note, (2) the Second Note, in the principal amount of $1,080,000, convertible into ADSs on the terms and subject to the conditions set forth in the Streeterville SPA and the Second Note, and (3) the Pre-Delivery Shares, in the aggregate consideration of (x) the First Note Purchase Price and (y) the Second Note Purchase Price, in both cases, minus the Pre-Delivery Shares issuance fees.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pursuant to the Streeterville SPA and the First Note, the Company agreed to file a registration statement with the SEC covering the resale of the ADSs representing the Pre-Delivery Shares and the Additional Registrable Shares to allow for the potential issuance of and the Conversion Shares to Streeterville.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August 7, 2025, the Company issued and sold the First Note to Streeterville, and Streeterville paid the First Note Purchase Price to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8, 2025, the Company issued and sold the Pre-Delivery Shares to Streeterville.</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will issue the Second Note to Streeterville and Streeterville will pay the Second Note Purchase Price upon the effectiveness of this registration statement.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From the earlier of (i) 6 months after the applicable convertible promissory note’s purchase price is delivered and (ii) the effective date of this registration statement, until the remaining balance of the applicable convertible promissory note’s purchase price is paid in full, Streeterville has the right to convert all or a portion of the remaining balance of the applicable convertible promissory note’s purchase price into ADSs according to the following formula: the amount of Conversion Shares will equal to the remaining balance of the applicable convertible promissory note’s purchase price being converted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conversion price, and the conversion price will equal to the lowest volume weighted average price of our ADSs on Nasdaq during the 10-trading day period before the conversion date multiplied by 80%, less ADS issuance fees. The Company will not effect a conversion to the extent that if after giving effect to such conversion Streeterville would, together with its affiliates, beneficially own in excess of 9.99% of our ordinary shares on the conversion date. According to this calculation formula, not all of the Additional Registrable Shares may be issued as the Conversion Shares.</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descriptions of the Streeterville SPA are qualified in their entirety by reference to the full text of the Streeterville SPA, the executed version of which is filed as Exhibit 10.5 to this registration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 Transaction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8, 2025, the Company entered into the PIPE SPA and the PIPE Registration Rights Agreement with the PIPE Purchasers, as well as the PIPE Placement Agent Agreement with Chaince, pursuant to which the Company agreed to issue and sell to the PIPE Purchasers 148,605,714 Class B ordinary shares in the form of ADSs, for an aggregate purchase price of $2,600,600, with Chaince acting as the placement agent in connection with such PIPE transaction. The Company agreed to file a registration statement with the SEC covering the resale of such 148,605,714 Class B ordinary shares in the form of ADSs.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11, 2025, the Company entered into (i) the PIPE Escrow Agreement with Chaince and Wilmington Trust and (ii) the PIPE Escrow Agent Agreement with Chaince and Mercurity Fintech, pursuant to which, the PIPE Purchasers deposited their respective purchase price into the escrow accounts established under such agreements.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September 18, 2025, the Company issued and sold the 148,605,714 Class B ordinary shares to the PIPE Purchasers, pursuant to the PIPE SPA.</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PIPE SPA, the PIPE Placement Agent Agreement, the PIPE Registration Rights Agreement, the PIPE Escrow Agreement and the PIPE Escrow Agent Agreement are qualified in their entirety by reference to the full text of such agreements, the executed version of which are filed as Exhibit 10.6, Exhibit 10.7, Exhibit 10.8, Exhibit 10.9 and Exhibit 10.10, respectively, to this registration statement.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home country rule exemption set forth under Nasdaq Listing Rule 5615, the board of directors of the Company has elected to follow the Company’s home country rules for exemption from the requirements to obtain shareholder approval under Nasdaq Listing Rule 5635(d).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registering the Class B ordinary shares to permit the Selling Shareholders to resell or otherwise dispose of the Class B ordinary shares in the form of ADSs in the manner contemplated under “Plan of Distribution” in this prospectus (as may be supplemented and amended). The term “Selling Shareholder” also includes any assignees or successors in interest to the applicable Selling Shareholder named in the table below. Unless otherwise indicated, to our knowledge, the person named in the table below has sole voting and investment power (subject to applicable community property laws) with respect to the Class B ordinary shares set forth opposite their name. Throughout this prospectus, when we refer to “purchasers,” “you” or “your” we are referring purchaser of ADSs sold by the Selling Shareholders pursuant to this registration statement.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Shareholders may sell some, all or none of their Class B ordinary shares in the form of ADSs. We do not know how long the Selling Shareholders will hold the Class B ordinary shares before selling them, and we currently have no agreements, arrangements or understandings with the Selling Shareholders regarding the sale or other disposition of any of the Class B ordinary shares in the form ADSs. The Class B ordinary shares covered hereby may be offered from time to time by the Selling Shareholders in the form of ADSs.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information contained in the table below and the footnotes thereto is based upon information provided to us by the Selling Shareholders. The Selling Shareholders may have sold or transferred some or all of their securities since the date on which the information in the table below is presented. Information about the Selling Shareholders may change over time. The percentage ownership and aggregate voting power presented in the table below is based on 920,765,000 ordinary shares issued and outstanding as of the date of this prospectus.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2280" w:type="dxa"/>
            <w:vAlign w:val="bottom"/>
            <w:gridSpan w:val="5"/>
            <w:vMerge w:val="restart"/>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4"/>
            <w:vMerge w:val="continue"/>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228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6"/>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332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0" w:type="dxa"/>
            <w:vAlign w:val="bottom"/>
          </w:tcPr>
          <w:p>
            <w:pPr>
              <w:spacing w:after="0"/>
              <w:rPr>
                <w:sz w:val="1"/>
                <w:szCs w:val="1"/>
                <w:color w:val="auto"/>
              </w:rPr>
            </w:pPr>
          </w:p>
        </w:tc>
      </w:tr>
      <w:tr>
        <w:trPr>
          <w:trHeight w:val="263"/>
        </w:trPr>
        <w:tc>
          <w:tcPr>
            <w:tcW w:w="3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3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rPr>
              <w:t>Prior to This Offering</w:t>
            </w:r>
          </w:p>
        </w:tc>
        <w:tc>
          <w:tcPr>
            <w:tcW w:w="280" w:type="dxa"/>
            <w:vAlign w:val="bottom"/>
          </w:tcPr>
          <w:p>
            <w:pPr>
              <w:spacing w:after="0"/>
              <w:rPr>
                <w:sz w:val="22"/>
                <w:szCs w:val="22"/>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3220" w:type="dxa"/>
            <w:vAlign w:val="bottom"/>
            <w:tcBorders>
              <w:bottom w:val="single" w:sz="8" w:color="auto"/>
            </w:tcBorders>
            <w:gridSpan w:val="6"/>
          </w:tcPr>
          <w:p>
            <w:pPr>
              <w:jc w:val="center"/>
              <w:spacing w:after="0" w:line="256" w:lineRule="exact"/>
              <w:rPr>
                <w:sz w:val="20"/>
                <w:szCs w:val="20"/>
                <w:color w:val="auto"/>
              </w:rPr>
            </w:pPr>
            <w:r>
              <w:rPr>
                <w:rFonts w:ascii="Times New Roman" w:cs="Times New Roman" w:eastAsia="Times New Roman" w:hAnsi="Times New Roman"/>
                <w:sz w:val="18"/>
                <w:szCs w:val="18"/>
                <w:b w:val="1"/>
                <w:bCs w:val="1"/>
                <w:color w:val="auto"/>
                <w:w w:val="97"/>
              </w:rPr>
              <w:t>After This Offering</w:t>
            </w:r>
            <w:r>
              <w:rPr>
                <w:rFonts w:ascii="Times New Roman" w:cs="Times New Roman" w:eastAsia="Times New Roman" w:hAnsi="Times New Roman"/>
                <w:sz w:val="29"/>
                <w:szCs w:val="29"/>
                <w:b w:val="1"/>
                <w:bCs w:val="1"/>
                <w:color w:val="auto"/>
                <w:w w:val="97"/>
                <w:vertAlign w:val="superscript"/>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center"/>
              <w:ind w:right="360"/>
              <w:spacing w:after="0" w:line="202" w:lineRule="exact"/>
              <w:rPr>
                <w:sz w:val="20"/>
                <w:szCs w:val="20"/>
                <w:color w:val="auto"/>
              </w:rPr>
            </w:pPr>
            <w:r>
              <w:rPr>
                <w:rFonts w:ascii="Times New Roman" w:cs="Times New Roman" w:eastAsia="Times New Roman" w:hAnsi="Times New Roman"/>
                <w:sz w:val="18"/>
                <w:szCs w:val="18"/>
                <w:b w:val="1"/>
                <w:bCs w:val="1"/>
                <w:color w:val="auto"/>
              </w:rPr>
              <w:t>% of</w:t>
            </w:r>
          </w:p>
        </w:tc>
        <w:tc>
          <w:tcPr>
            <w:tcW w:w="9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 of</w:t>
            </w:r>
          </w:p>
        </w:tc>
        <w:tc>
          <w:tcPr>
            <w:tcW w:w="280" w:type="dxa"/>
            <w:vAlign w:val="bottom"/>
          </w:tcPr>
          <w:p>
            <w:pPr>
              <w:spacing w:after="0"/>
              <w:rPr>
                <w:sz w:val="17"/>
                <w:szCs w:val="17"/>
                <w:color w:val="auto"/>
              </w:rPr>
            </w:pPr>
          </w:p>
        </w:tc>
        <w:tc>
          <w:tcPr>
            <w:tcW w:w="110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rPr>
              <w:t>be Sold</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center"/>
              <w:ind w:right="160"/>
              <w:spacing w:after="0" w:line="202" w:lineRule="exact"/>
              <w:rPr>
                <w:sz w:val="20"/>
                <w:szCs w:val="20"/>
                <w:color w:val="auto"/>
              </w:rPr>
            </w:pPr>
            <w:r>
              <w:rPr>
                <w:rFonts w:ascii="Times New Roman" w:cs="Times New Roman" w:eastAsia="Times New Roman" w:hAnsi="Times New Roman"/>
                <w:sz w:val="18"/>
                <w:szCs w:val="18"/>
                <w:b w:val="1"/>
                <w:bCs w:val="1"/>
                <w:color w:val="auto"/>
              </w:rPr>
              <w:t>% of</w:t>
            </w:r>
          </w:p>
        </w:tc>
        <w:tc>
          <w:tcPr>
            <w:tcW w:w="104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0" w:type="dxa"/>
            <w:vAlign w:val="bottom"/>
          </w:tcPr>
          <w:p>
            <w:pPr>
              <w:spacing w:after="0"/>
              <w:rPr>
                <w:sz w:val="18"/>
                <w:szCs w:val="18"/>
                <w:color w:val="auto"/>
              </w:rPr>
            </w:pPr>
          </w:p>
        </w:tc>
        <w:tc>
          <w:tcPr>
            <w:tcW w:w="13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Pursuant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Class B</w:t>
            </w: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00" w:type="dxa"/>
            <w:vAlign w:val="bottom"/>
          </w:tcPr>
          <w:p>
            <w:pPr>
              <w:spacing w:after="0"/>
              <w:rPr>
                <w:sz w:val="18"/>
                <w:szCs w:val="18"/>
                <w:color w:val="auto"/>
              </w:rPr>
            </w:pP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to this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0" w:type="dxa"/>
            <w:vAlign w:val="bottom"/>
          </w:tcPr>
          <w:p>
            <w:pPr>
              <w:spacing w:after="0"/>
              <w:rPr>
                <w:sz w:val="1"/>
                <w:szCs w:val="1"/>
                <w:color w:val="auto"/>
              </w:rPr>
            </w:pPr>
          </w:p>
        </w:tc>
      </w:tr>
      <w:tr>
        <w:trPr>
          <w:trHeight w:val="277"/>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Selling Shareholders</w:t>
            </w: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6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ind w:right="30"/>
              <w:spacing w:after="0" w:line="270" w:lineRule="exact"/>
              <w:rPr>
                <w:sz w:val="20"/>
                <w:szCs w:val="20"/>
                <w:color w:val="auto"/>
              </w:rPr>
            </w:pPr>
            <w:r>
              <w:rPr>
                <w:rFonts w:ascii="Times New Roman" w:cs="Times New Roman" w:eastAsia="Times New Roman" w:hAnsi="Times New Roman"/>
                <w:sz w:val="18"/>
                <w:szCs w:val="18"/>
                <w:b w:val="1"/>
                <w:bCs w:val="1"/>
                <w:color w:val="auto"/>
                <w:w w:val="95"/>
              </w:rPr>
              <w:t>Power</w:t>
            </w:r>
            <w:r>
              <w:rPr>
                <w:rFonts w:ascii="Times New Roman" w:cs="Times New Roman" w:eastAsia="Times New Roman" w:hAnsi="Times New Roman"/>
                <w:sz w:val="29"/>
                <w:szCs w:val="29"/>
                <w:b w:val="1"/>
                <w:bCs w:val="1"/>
                <w:color w:val="auto"/>
                <w:w w:val="95"/>
                <w:vertAlign w:val="superscript"/>
              </w:rPr>
              <w:t>(2)</w:t>
            </w:r>
          </w:p>
        </w:tc>
        <w:tc>
          <w:tcPr>
            <w:tcW w:w="28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Prospectus</w:t>
            </w: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Power</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0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Streeterville Capital, LLC</w:t>
            </w:r>
            <w:r>
              <w:rPr>
                <w:rFonts w:ascii="Times New Roman" w:cs="Times New Roman" w:eastAsia="Times New Roman" w:hAnsi="Times New Roman"/>
                <w:sz w:val="29"/>
                <w:szCs w:val="29"/>
                <w:b w:val="1"/>
                <w:bCs w:val="1"/>
                <w:color w:val="auto"/>
                <w:vertAlign w:val="superscript"/>
              </w:rPr>
              <w:t>(3) (4)</w:t>
            </w: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8"/>
              </w:rPr>
              <w:t>14,295,000</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85,770,408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 Fan</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8"/>
              </w:rPr>
              <w:t>16,000,000</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Zhang Jing</w:t>
            </w:r>
          </w:p>
        </w:tc>
        <w:tc>
          <w:tcPr>
            <w:tcW w:w="1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8"/>
              </w:rPr>
              <w:t>16,000,000</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 Yun Jiin Yvonne</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8"/>
              </w:rPr>
              <w:t>34,400,000</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Tee Sheau Nee</w:t>
            </w:r>
          </w:p>
        </w:tc>
        <w:tc>
          <w:tcPr>
            <w:tcW w:w="1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8"/>
              </w:rPr>
              <w:t>37,600,000</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37,600,000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Viner Total Investments Fund</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8"/>
              </w:rPr>
              <w:t>37,760,000</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37,760,000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CHENG JIANBO</w:t>
            </w:r>
          </w:p>
        </w:tc>
        <w:tc>
          <w:tcPr>
            <w:tcW w:w="1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8"/>
              </w:rPr>
              <w:t>17,142,857</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17,142,857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Lida Global Limited</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8"/>
              </w:rPr>
              <w:t>36,560,000</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36,560,000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OGBC Group Pte Ltd</w:t>
            </w:r>
          </w:p>
        </w:tc>
        <w:tc>
          <w:tcPr>
            <w:tcW w:w="1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8"/>
              </w:rPr>
              <w:t>20,000,000</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Ripple Strategy Holding Ltd</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8"/>
              </w:rPr>
              <w:t>37,142,857</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37,142,857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340" w:hanging="332"/>
        <w:spacing w:after="0" w:line="258"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know when or in what amounts the Selling Shareholders may offer Class B ordinary shares represented by ADSs for sale. The Selling Shareholders might not sell any or might sell all of the Class B ordinary shares offered by this prospectus. Because the Selling Shareholders may offer all or some of the Class B ordinary shares in the form of ADSs pursuant to this registration statement, we cannot estimate the number of the Class B ordinary shares that will be held by the Selling Shareholders after completion of the offering. However, for purposes of this table, we have assumed that, after completion of the Offering, none of the Class B ordinary shares covered by this prospectus will be held by the Selling Shareholders.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left="340" w:hanging="332"/>
        <w:spacing w:after="0" w:line="261"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percentage of voting power is calculated by dividing the voting power beneficially owned by such person by the voting power of all of our ordinary shares as a single class. Each holder of our Class B ordinary shares is entitled to one vote per share. Each holder of our Class A ordinary shares is entitled to 60 votes per share. Our Class A ordinary shares are convertible at any time by the holder into Class B ordinary shares on a one-for-one basis, while Class B ordinary shares are not convertible into Class A ordinary shares under any circumstances.</w:t>
      </w:r>
    </w:p>
    <w:p>
      <w:pPr>
        <w:spacing w:after="0" w:line="206"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14,295,000 Class B Ordinary Shares issued to Streeterville Capital, LLC as Pre-Delivery Shares under the Securities Purchase Agreement dated August 7, 2025, and (ii) the Additional Registrable Shares of 71,475,408 Class B ordinary shares being registered under this registration statement pursuant to the Securities Purchase Agreement to allow for the potential issuance of the Conversion Shares. According to the calculation formula of the Conversion Shares, not all of the Additional Registrable Shares may be issued as the Conversion Shares. The Conversion Shares will not be issued prior to this Offering, and thus, Streeterville Capital, LLC will not own the Conversion Shares prior to this Offering. As we do not know when or in what amounts Streeterville Capital, LLC may offer the Conversion Shares for sale, for purposes of this table we have assumed that, after completion of this Offering, none of the Conversion Shares will be held by Streeterville Capital, LLC. The Company will not effect a conversion to the extent that if after giving effect to such conversion Streeterville would, together with its affiliates, beneficially own in excess of 9.99% of our ordinary shares on the conversion date.</w:t>
      </w:r>
    </w:p>
    <w:p>
      <w:pPr>
        <w:spacing w:after="0" w:line="21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Streeterville Capital, LLC is 297 Auto Mall Drive #4, St. George, Utah 84770, the manager of Streeterville Capital, LLC may be deemed to have sole voting and dispositive power with respect to the shares held by Streeterville Capital, LLC. Streeterville Management, LLC is the managing member of Streeterville Capital, LLC may be deemed to have sole voting and dispositive power with respect to the shares held by Streeterville Capital, LLC. John M. Fife is the manager of Streeterville Management, LLC and may be deemed to have sole voting and dispositive power with respect to the shares held by Streeterville Capital, LLC.</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Within the past three years, none of the Selling Shareholders has held a position as an officer a director of ours, nor has such Selling Shareholder had any material relationship of any kind with us or any of our affiliates. All information with respect to Class B ordinary shares ownership has been furnished by the Selling Shareholders. The Selling Shareholders do not have any family relationships with our officers, other directors or principal shareholders.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ADSs representing the Class B ordinary shares listed in the table appearing under “Selling Shareholders” are being registered to permit the resale of the Class B ordinary shares in the form of ADSs by the Selling Shareholders and any of their pledgees, assignees and successors-in-interest from time to time after the date of this prospectus. These sales may be at fixed or negotiated prices. We will not receive any of the proceeds from the sale of Class B ordinary shares in the form of ADSs by the Selling Shareholders and any of their pledgees, assignees and successors-in-interest. We will pay the expenses incident to the registration and offering of the Class B ordinary shares in the form of ADSs offered hereby. The Company has agreed to indemnify the Selling Shareholders against certain losses, claims, damages and liabilities, including liabilities under the Securities Act.</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Selling Shareholders may, at their sole discretion, offer and sell the shares covered by this prospectus from time to time using any one or more of the following methods when selling their Class B ordinary shares in the form of ADSs:</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Class B ordinary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Shareholders to sell a specified number of such Class B ordinary shares at a stipulated price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foregoing methods of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at prevailing market prices, including transactions on a national securities exchange, a quotations service, or on the over-the-counter market;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effecting sales, brokers-dealers engaged by the Selling Shareholders may arrange for other brokers-dealers to participate. If a Selling Shareholder effects such transactions by selling Class B ordinary shares represented by ADSs to or through underwriters, broker-dealers or agents, such underwriters, broker-dealers or agents may receive commissions in the form of discounts, concessions or commissions from such Selling Shareholder or commissions from purchasers of Class B ordinary shares represented by ADSs for whom they may act as agent or to whom they may sell as principal. Underwriters may sell securities to or through dealers, and dealers may receive compensation in the form of discounts, concessions or commissions from the underwriters and/or commissions from the purchasers for whom they may act as agent.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sale of Class B ordinary shares represented by ADSs, the Selling Shareholders may enter into hedging transactions with broker-dealers or other financial institutions, which may in turn engage in short sales of Class B ordinary shares represented by ADSs in the course of hedging the positions they assume. The Selling Shareholders may also sell Class B ordinary shares represented by ADSs short and deliver these Class B ordinary shares represented by ADSs to close out their short positions, or loan or pledge Class B ordinary shares represented by ADSs to broker-dealers that in turn may sell these Class B ordinary shares represented by ADSs. The Selling Shareholders may also enter into option or other transactions with broker-dealers or other financial institutions or create one or more derivative securities which require the delivery to such broker-dealer or other financial institution of Class B ordinary shares represented by ADSs offered by this prospectus, which Class B ordinary shares represented by ADSs such broker-dealer or other financial institution may resell pursuant to this prospectus (as supplemented or amended to reflect such transaction).</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applicable Selling Shareholder and any underwriters, brokers, dealers or agents that participate in such distribution may be deemed to be “underwriters” within the meaning of the Securities Act, and any discounts, commissions or concessions received by any underwriters, brokers, dealers or agents might be deemed to be underwriting discounts and commissions under the Securities Act. The applicable Selling Shareholder who is an “underwriter” within the meaning of the Securities Act will be subject to the prospectus delivery requirements of the Securities Act and the provisions of the Exchange Act and the rules thereunder relating to stock manipulation.</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Class B ordinary shares represented by ADSs may be resold by the Selling Shareholders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Class B ordinary shares represented by ADSs have been sold pursuant to this prospectus or Rule 144 under the Securities Act or any other rule of similar effect. In order to comply with the securities laws of some states, Class B ordinary shares represented by ADSs sold in those jurisdictions may only be sold through registered or licensed brokers or dealers. In addition, in some states, Class B ordinary shares represented by ADSs may not be sold unless the Class B ordinary shares represented by ADSs have been registered or qualified for sale in that state or an exemption from registration or qualification is available and is complied with.</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Selling Shareholders may also sell securities in offshore transactions or in open market transactions under Rule 144 or any other exemption from registration under the Securities Act, if available, rather than under this prospectus, provided that it meets the criteria and conforms to the requirements of those provisions.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Class B ordinary shares for the applicable restricted period, as defined in Regulation M, prior to the commencement of the distribution. In addition, the Selling Shareholders will be subject to applicable provisions of the Exchange Act and the rules and regulations thereunder, including Regulation M, which may limit the timing of purchases and sales of the Class B ordinary shares by the Selling Shareholders or any other person. We will make copies of this prospectus available to the Selling Shareholders and have informed them of the need to deliver a copy of this prospectus to each purchaser at or prior to the time of the sale (including by compliance with Rule 172 under the Securities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Streeterville Convertible Promissory Notes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According to the First Note, Streeterville agreed that it will not sell, during any calendar week, the ADSs representing the Pre-Delivery Shares and the Conversion Shares in an amount exceeding 15% of the total weekly trading volume of the ADSs on all trading markets during such week, provided that no Trigger Event (as defined in the Streeterville SPA) has occurred.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were incorporated as an exempted company with limited liability in the Cayman Islands on June 12, 2023. Our affairs are currently governed by our Memorandum and Articles of Association and the Companies Act, Cap 22 (Law 3 of 1961, as consolidated and revised), which we refer to as the “Companies Act” in this section, and the common law of the Cayman Islands.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our authorized share capital is US$50,000 divided into 5,000,000,000 ordinary shares with a par value of US$0.00001 each, comprising (i) 1,000,000,000 Class A ordinary shares with a par value of US$0.00001 each, (ii) 3,000,000,000 Class B ordinary shares with a par value of US$0.00001 each, and (iii) 1,000,000,000 shares of a par value of US$0.00001 each of such class or classes (however designated) as the board of directors may determine in accordance with our Memorandum and Articles of Association. As of the date of this prospectus, (i) 50,000,000 Class A ordinary shares, and (ii) 870,765,000 Class B ordinary shares are issued and outstanding. All of our issued and outstanding ordinary shares are fully paid. All options, regardless of grant dates, will entitle holders to an equivalent number of ordinary shares once the vesting and exercising conditions are met.</w:t>
      </w:r>
    </w:p>
    <w:p>
      <w:pPr>
        <w:spacing w:after="0" w:line="200" w:lineRule="exact"/>
        <w:rPr>
          <w:sz w:val="20"/>
          <w:szCs w:val="20"/>
          <w:color w:val="auto"/>
        </w:rPr>
      </w:pPr>
    </w:p>
    <w:p>
      <w:pPr>
        <w:spacing w:after="0" w:line="20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description of our share capital and provisions of our Memorandum and Articles of Association are summaries and are qualified by reference to the Memorandum and Articles of Association filed as an exhibit to our registration statement of which this prospectus forms a part.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Our ordinary shares are divided into Class A ordinary shares and Class B ordinary shares. Holders of our Class A ordinary shares and Class 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transfer their ordinary shares.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Class A ordinary shares may be converted into the same number of Class B ordinary shares by the holders thereof at any time, while Class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 ordinary shares cannot be converted into Class A ordinary shares under any circumstances. Any number of Class A ordinary shares held by a holder thereof will be automatically and immediately converted into the same number of Class B ordinary shares upon the occurrence of any of the following: (a) any direct or indirect sale, transfer, assignment or disposition of such number of Class A ordinary shares by the holder thereof or the direct or indirect transfer or assignment of the voting power attached to such number of Class A ordinary shares through voting proxy or otherwise to any person that is neither an affiliate of such holder nor another holder of Class A ordinary shares or an affiliate of such another holder; or (b) any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A ordinary shares that is an entity to any person that is neither an affiliate of such holder nor another holder of Class A ordinary shares or an affiliate of such holder.</w:t>
      </w:r>
    </w:p>
    <w:p>
      <w:pPr>
        <w:spacing w:after="0" w:line="18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holders of our ordinary shares are entitled to such dividends as may be declared by our board of directors. In addition, our shareholders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declare dividends by ordinary resolution, but no dividend shall exceed the amount recommended by our directors.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Subject to the Companies Act, our directors may declare dividends in any currency to be paid to our shareholders. Dividends may be declared and paid out of our profits, realized or unrealized, or from any reserve set aside from profits which our directors determine is no longer needed. Our board of directors may also declare and pay dividends out of the share premium account or any other fund or account that can be authorized for this purpose in accordance with the Companies Act. Except in so far as the rights attaching to, or the terms of issue of, any share otherwise provides, (1) all dividends shall be declared and paid according to the amounts paid up on the shares in respect of which the dividend is paid, but no amount paid up on a share in advance of calls shall be treated for this purpose as paid up on that share and (2) all dividends shall be apportioned and paid pro rata according to the amounts paid up on the shares during any portion or portions of the period in respect of which the dividend is paid.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directors may also pay interim dividends, whenever our financial position, in the opinion of our directors, justifies such payment.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directors may deduct from any dividend or bonus payable to any shareholder all sums of money (if any) presently payable by such shareholder to us on account of calls or otherwise.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 dividend or other money payable by us on or in respect of any share shall bear interest against us. In respect of any dividend proposed to be paid or declared on our share capital, our directors may resolve and direct that (1) such dividend be satisfied wholly or in part in the form of an allotment of shares credited as fully paid up or (2) the shareholders entitled to such dividend will be entitled to elect to receive an allotment of shares credited as fully paid up in lieu of the whole or such part of the dividend as our directors may think fit.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dividend interest or other sum payable in cash to the holder of shares may be paid in any manner determined by the directors. If paid by check or warrant it will be sent by mail addressed to the holder at his address in our register of members, or addressed to such person and at such addresses as the holder may direct. Every check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us.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dividend unclaimed after a period of six years from the date of declaration of such dividend may be forfeited by the board of directors and, if so forfeited, shall reverted to us.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Whenever our directors have resolved that a dividend be paid or declared, our directors may further resolve that such dividend be satisfied wholly or in part by the distribution of specific assets of any kind, and in particular of paid up shares, debentures or warrants to subscribe for our securities or securities of any other company. Where any difficulty arises with regard to such distribution, our directors may settle it as they think expedient. In particular, our directors may issue fractional certificates, ignore fractions altogether or round the same up or down, fix the value for distribution purposes of any such specific assets, determine that cash payments shall be made to any of our shareholders upon the footing of the value so fixed in order to adjust the rights of the parties, vest any such specific assets in trustees as may seem expedient to our directors, and appoint any person to sign any requisite instruments of transfer and other documents on behalf of the persons entitled to the dividend, which appointment shall be effective and binding on our shareholders.</w:t>
      </w:r>
    </w:p>
    <w:p>
      <w:pPr>
        <w:spacing w:after="0" w:line="18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On a show of hands each shareholder is entitled to one vote or, on a poll, each shareholder is entitled to 60 votes for each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share and one vote for each Class B ordinary share, on all matters that require a shareholder’s vote. Voting at any shareholders’ meeting is by show of hands of shareholders who are present in person or by proxy or, in the case of a shareholder being a corporation, by its duly authorized representative, unless a poll is demanded.</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poll may be demanded by the chairman of such meeting or any shareholder holding not less than 10% of the votes attaching to the shares present in person or by proxy.</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No shareholder shall be entitled to vote or be reckoned in a quorum, in respect of any share, unless such shareholder is duly registered as our shareholder and all calls or instalments due by such shareholder to us have been paid.</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a clearing house (or its nominee(s)) or a central depositary entity, being a corporation, is our shareholder, it may authorize such person or persons as it thinks fit to act as its representative(s) at any meeting or at any meeting of any class of shareholders, provided that, if more than one person is so authorized, the authorization shall specify the number and class of shares in respect of which each such person is so authorized. A person authorized pursuant to this provision is entitled to exercise the same powers on behalf of the clearing house or central depositary entity (or its nominee(s)) as if such person was the registered holder of our shares held by that clearing house or central depositary entity (or its nominee(s)) including the right to vote individually in a show of hands.</w:t>
      </w:r>
    </w:p>
    <w:p>
      <w:pPr>
        <w:spacing w:after="0" w:line="18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of Ordinary Shares. </w:t>
      </w:r>
      <w:r>
        <w:rPr>
          <w:rFonts w:ascii="Times New Roman" w:cs="Times New Roman" w:eastAsia="Times New Roman" w:hAnsi="Times New Roman"/>
          <w:sz w:val="18"/>
          <w:szCs w:val="18"/>
          <w:color w:val="auto"/>
        </w:rPr>
        <w:t>Subject to any applicable restrictions set forth in our articles of association, including, for example,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discretion to refuse to register a transfer of any share (not being a fully paid up share) to a person of whom it does not approve, or any share issued under share incentive plans for employees upon which a restriction on transfer imposed thereby still subsists, or a transfer of any share to more than four joint holders, any of our shareholders may transfer all or any of his or her shares by an instrument of transfer in the usual or common form or in another form that our directors may approve.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directors may decline to register any transfer of any share which is not paid up or on which we have a lien. Our directors may also decline to register any transfer of any share unless:</w:t>
      </w:r>
    </w:p>
    <w:p>
      <w:pPr>
        <w:spacing w:after="0" w:line="189" w:lineRule="exact"/>
        <w:rPr>
          <w:sz w:val="20"/>
          <w:szCs w:val="20"/>
          <w:color w:val="auto"/>
        </w:rPr>
      </w:pPr>
    </w:p>
    <w:p>
      <w:pPr>
        <w:ind w:left="740" w:right="40" w:hanging="354"/>
        <w:spacing w:after="0" w:line="282"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and is accompanied by the certificate for the shares to which it relates and such other evidence as our directors may reasonably require to show the right of the transferor to make the transfer;</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(in circumstances where stamping is required);</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shares is to be transferred does not exceed four; and</w:t>
      </w:r>
    </w:p>
    <w:p>
      <w:pPr>
        <w:spacing w:after="0" w:line="279"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of such maximum sum as Nasdaq may determine to be payable or such lesser sum as our directors may from time to time require is paid to us in respect thereof.</w:t>
      </w:r>
    </w:p>
    <w:p>
      <w:pPr>
        <w:spacing w:after="0" w:line="18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Subject to any future shares which are issued with specific rights, (1) if we are wound up and the assets available for distribution among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shareholders are more than sufficient to repay the whole of the share capital at the commencement of the winding up, the excess shall be distributed pari passu among those shareholders in proportion to the par value of the shares held by them at the commencement of the winding up subject to a deduction from those shares in respect of which there are monies due, of all monies payable to us for unpaid calls or otherwise, and (2) if we are wound up and the assets available for distribution among the shareholders as such are insufficient to repay the whole of the share capital, those assets shall be distributed so that, as nearly as may be, the losses shall be borne by the shareholders in proportion to the par value of the shares held by them, respectively.</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are wound up (whether the liquidation is voluntary or by the court), the liquidator may with the sanction of our special resolution and any other sanction required by the Companies Act, divide among our shareholders in specie or in kind the whole or any part of our assets (whether or not they shall consist of property of the same kind) and may, for such purpose, value any assets and determine how the division shall be carried out as between the shareholders or different classes of shareholders.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liquidator may also, with the like sanction, vest the whole or any part of these assets in trustees upon such trusts for the benefit of the shareholders as the liquidator, with the like sanction, shall think fit, but so that no shareholder shall be compelled to accept any assets upon which there is a liability.</w:t>
      </w:r>
    </w:p>
    <w:p>
      <w:pPr>
        <w:spacing w:after="0" w:line="158"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Calls on Ordinary Shares and Forfeiture of Ordinary Shares. </w:t>
      </w:r>
      <w:r>
        <w:rPr>
          <w:rFonts w:ascii="Times New Roman" w:cs="Times New Roman" w:eastAsia="Times New Roman" w:hAnsi="Times New Roman"/>
          <w:sz w:val="18"/>
          <w:szCs w:val="18"/>
          <w:color w:val="auto"/>
        </w:rPr>
        <w:t>Subject to our Memorandum and Articles of Association and to the terms of allotment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of directors may from time to time make calls upon shareholders for any amounts unpaid on their ordinary shares in a notice served to such shareholders at least 14 clear days prior to the specified time of payment.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ordinary shares that have been called upon and remain unpaid are subject to forfeiture.</w:t>
      </w:r>
    </w:p>
    <w:p>
      <w:pPr>
        <w:spacing w:after="0" w:line="22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Repurchase and Surrender of Ordinary Shares. </w:t>
      </w:r>
      <w:r>
        <w:rPr>
          <w:rFonts w:ascii="Times New Roman" w:cs="Times New Roman" w:eastAsia="Times New Roman" w:hAnsi="Times New Roman"/>
          <w:sz w:val="18"/>
          <w:szCs w:val="18"/>
          <w:color w:val="auto"/>
        </w:rPr>
        <w:t>We are empowered by the Companies Act and our Memorandum and Articles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Association to purchase our own shares, subject to certain restrictions.</w:t>
      </w:r>
    </w:p>
    <w:p>
      <w:pPr>
        <w:spacing w:after="0" w:line="15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directors may only exercise this power on our behalf, subject to the Companies Act, our Memorandum and Articles of Association and to any applicable requirements imposed from time to time by Nasdaq, the SEC, or by any other recognized stock exchange on which our securities are listed.</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(1) unless it is fully paid up, (2) if such redemption or repurchase would result in there being no shares outstanding, or (3) if the company has commenced liquidation. In addition, our company may accept the surrender of any fully paid share for no consideration.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Variations of Rights of Shares. </w:t>
      </w:r>
      <w:r>
        <w:rPr>
          <w:rFonts w:ascii="Times New Roman" w:cs="Times New Roman" w:eastAsia="Times New Roman" w:hAnsi="Times New Roman"/>
          <w:sz w:val="18"/>
          <w:szCs w:val="18"/>
          <w:color w:val="auto"/>
        </w:rPr>
        <w:t>If at any time, our share capital is divided into different classes of shares, the rights attached to any class of shares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any rights or restrictions for the time being attached to any class, only be materially adversely varied with the consent in writing of the holders of at least two-thirds of the issued shares of that class or with the sanction of an ordinary resolution passed at a separate meeting of the holders of the shares of that class.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rights conferred upon the holders of the shares of any class issued with preferred or other rights shall not, subject to any rights or restrictions for the time being attached to the shares of that class, be deemed to be materially adversely varied by the creation allotment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subsequent to them or the redemption or purchase of any shares of any class by us.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have no general right under Cayman Islands law to inspect or obtain copies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list of shareholders or our corporate records (other than copies of our Memorandum and Articles of Association, our register of mortgage and charges and any special resolutions passed by our shareholders). Under Cayman Islands law, the names of our current directors can be obtained from a search conducted at the Registrar of Companies. However, we will provide our shareholders with annual audited financial statements.</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Additional Shares. </w:t>
      </w:r>
      <w:r>
        <w:rPr>
          <w:rFonts w:ascii="Times New Roman" w:cs="Times New Roman" w:eastAsia="Times New Roman" w:hAnsi="Times New Roman"/>
          <w:sz w:val="18"/>
          <w:szCs w:val="18"/>
          <w:color w:val="auto"/>
        </w:rPr>
        <w:t>Our Memorandum and Articles of Association authorizes our board of directors to issue additional ordinary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time to time as our board of directors shall determine, to the extent of available authorized but unissued shares.</w:t>
      </w:r>
    </w:p>
    <w:p>
      <w:pPr>
        <w:spacing w:after="0" w:line="15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Memorandum and Articles of Association also authorizes our board of directors to establish from time to time one or more series of preferred shares and to determine, with respect to any series of preferred shares, the terms and rights of that series, including:</w:t>
      </w:r>
    </w:p>
    <w:p>
      <w:pPr>
        <w:spacing w:after="0" w:line="189" w:lineRule="exact"/>
        <w:rPr>
          <w:sz w:val="20"/>
          <w:szCs w:val="20"/>
          <w:color w:val="auto"/>
        </w:rPr>
      </w:pPr>
    </w:p>
    <w:p>
      <w:pPr>
        <w:ind w:left="740" w:hanging="354"/>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158"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Anti-Takeover Provisions. </w:t>
      </w:r>
      <w:r>
        <w:rPr>
          <w:rFonts w:ascii="Times New Roman" w:cs="Times New Roman" w:eastAsia="Times New Roman" w:hAnsi="Times New Roman"/>
          <w:sz w:val="18"/>
          <w:szCs w:val="18"/>
          <w:color w:val="auto"/>
        </w:rPr>
        <w:t>Some provisions of our Memorandum and Articles of Association may discourage, delay or prevent a change of control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company or management that shareholders may consider favorable, including provisions that</w:t>
      </w:r>
    </w:p>
    <w:p>
      <w:pPr>
        <w:spacing w:after="0" w:line="186" w:lineRule="exact"/>
        <w:rPr>
          <w:sz w:val="20"/>
          <w:szCs w:val="20"/>
          <w:color w:val="auto"/>
        </w:rPr>
      </w:pPr>
    </w:p>
    <w:p>
      <w:pPr>
        <w:ind w:left="740" w:right="40" w:hanging="354"/>
        <w:spacing w:after="0" w:line="282"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5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Exclusive Forum</w:t>
      </w:r>
      <w:r>
        <w:rPr>
          <w:rFonts w:ascii="Times New Roman" w:cs="Times New Roman" w:eastAsia="Times New Roman" w:hAnsi="Times New Roman"/>
          <w:sz w:val="18"/>
          <w:szCs w:val="18"/>
          <w:color w:val="auto"/>
        </w:rPr>
        <w:t>. Unless we consent in writing to the selection of an alternative forum, the United States District Court for the Southern District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us. Any person or entity purchasing or otherwise acquiring any share or other securities in our company, or purchasing or otherwise acquiring American depositary shares issued pursuant to deposit agreements, shall be deemed to have notice of and consented to this exclusive forum provision. Without prejudice to the foregoing, if this exclusive forum provision is held to be illegal, invalid or unenforceable under applicable law, the legality, validity or enforceability of the rest of the articles of association shall not be affected and this exclusive forum provision shall be interpreted and construed to the maximum extent possible to apply in the relevant jurisdiction with whatever modification or deletion may be necessary so as best to give effect to our intention.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accordance with Section 48 of the Companies Act, the register of members is prima facie evidence of the registered holder or member of shares of a company. Therefore, a person becomes a registered holder or member of shares of the company only upon entry being made in the register of members. Our directors maintain one register of members, at the offices of Maples Fund Services (Cayman) Limited at PO Box 1093, Boundary Hall, Cricket Square, Grand Cayman, KY1-1102, Cayman Islands. We perform the procedures necessary to register the shares in the register of members as required in “PART III — Distribution of Capital and Liability of Members of Companies and Associations” of the Companies Act, to ensure that the entries on the register of members are made without any delay.</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depositary is included in our register of members as the only holder of the ordinary shares underlying our ADSs. The shares underlying the ADSs are not shares in bearer form, but are in registered form and are “non-negotiable” or “registered” shares in which case the shares underlying the ADSs can only be transferred on the books of the company in accordance with Section 166 of the Companies Act. In the event that we fail to update our register of members, the recourse of investors is directly to the depositary under the terms of the deposit agreement, which is governed by New York law.</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depositary has recourse against us under the terms of the deposit agreement, and also holds a share certificate evidencing the depositary as the registered holder of shares underlying the ADSs. Further, Section 46 of the Companies Act provides members.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event we fail to update our register of members, the depositary, as the aggrieved party, may apply for an order with the courts of the Cayman Islands for the rectification of the register.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Companies Act of the Cayman Islands is derived, to a large extent, from the older Companies Acts of England but does not follow recent English law statutory enactments, and accordingly there are significant differences between the Companies Act of the Cayman Islands and the current Companies Act of England.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 Companies Act of the Cayman Islands differs from laws applicable to United States corporations and their shareholders. Set forth below is a summary of certain significant differences between the provisions of the Companies Act applicable to us and the comparable provisions of the laws applicable to companies incorporated in the State of Delaware in the United States and their shareholders.</w:t>
      </w:r>
    </w:p>
    <w:p>
      <w:pPr>
        <w:spacing w:after="0" w:line="1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Mergers and Similar Arrangements. </w:t>
      </w:r>
      <w:r>
        <w:rPr>
          <w:rFonts w:ascii="Times New Roman" w:cs="Times New Roman" w:eastAsia="Times New Roman" w:hAnsi="Times New Roman"/>
          <w:sz w:val="18"/>
          <w:szCs w:val="18"/>
          <w:color w:val="auto"/>
        </w:rPr>
        <w:t>The Companies Act permits mergers and consolidations between Cayman Islands companies and between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w:t>
      </w:r>
    </w:p>
    <w:p>
      <w:pPr>
        <w:spacing w:after="0" w:line="4" w:lineRule="exact"/>
        <w:rPr>
          <w:sz w:val="20"/>
          <w:szCs w:val="20"/>
          <w:color w:val="auto"/>
        </w:rPr>
      </w:pPr>
    </w:p>
    <w:p>
      <w:pPr>
        <w:jc w:val="both"/>
        <w:ind w:firstLine="8"/>
        <w:spacing w:after="0" w:line="252" w:lineRule="auto"/>
        <w:tabs>
          <w:tab w:leader="none" w:pos="26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arrangement is approved by (a) 75% in value of shareholders or class of shareholders, as the case may be; or (b) a majority in number representing 75% in value of creditors or each class of creditors, as the case may be, with whom the arrangement is to be made, that are, in each case,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216" w:lineRule="exact"/>
        <w:rPr>
          <w:sz w:val="20"/>
          <w:szCs w:val="20"/>
          <w:color w:val="auto"/>
        </w:rPr>
      </w:pPr>
    </w:p>
    <w:p>
      <w:pPr>
        <w:ind w:left="740" w:hanging="354"/>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79"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a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 as a company, and as a general rule,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derivative action may ordinarily not be brought by a minority shareholder. However, based on English authority, which would in all likelihood be of persuasive authority in the Cayman Islands, the Cayman Islands courts can be expected (and have had occasion) to follow and apply the common law principles (namely the rule in Foss v. Harbottle and the exceptions thereto) which permit a minority shareholder to commence a class action against, or derivative actions in the name of, our company to challenge:</w:t>
      </w:r>
    </w:p>
    <w:p>
      <w:pPr>
        <w:spacing w:after="0" w:line="210" w:lineRule="exact"/>
        <w:rPr>
          <w:sz w:val="20"/>
          <w:szCs w:val="20"/>
          <w:color w:val="auto"/>
        </w:rPr>
      </w:pPr>
    </w:p>
    <w:p>
      <w:pPr>
        <w:ind w:left="740" w:hanging="354"/>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279" w:lineRule="exact"/>
        <w:rPr>
          <w:rFonts w:ascii="Times New Roman" w:cs="Times New Roman" w:eastAsia="Times New Roman" w:hAnsi="Times New Roman"/>
          <w:sz w:val="18"/>
          <w:szCs w:val="18"/>
          <w:color w:val="auto"/>
        </w:rPr>
      </w:pPr>
    </w:p>
    <w:p>
      <w:pPr>
        <w:ind w:left="740" w:right="20" w:hanging="354"/>
        <w:spacing w:after="0" w:line="282"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4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Cayman Islands law does not limit the extent to which a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provides that every director (including for the purposes our Memorandum and Articles of Association any alternate director appointed pursuant to the provisions of our Memorandum and Articles of Association), secretary, assistant secretary, or other officer for the time being and from time to time of our company (but not including our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wilful default or fraud, in or about the conduct of our business or affairs (including as a result of any mistake of judgment) or in the execution or discharge of his or her duties, powers, authorities or discretions, including without prejudice to the generality of the foregoing, any costs, expenses, losses or liabilities incurred by such Indemnified Person in defending (whether successfully or otherwise) any civil proceedings concerning us or our affairs in any court whether in the Cayman Islands or elsewhere. This standard of conduct is generally the same as permitted under the Delaware General Corporation Law for a Delaware corporation.</w:t>
      </w:r>
    </w:p>
    <w:p>
      <w:pPr>
        <w:spacing w:after="0" w:line="1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or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 fiduciary duty to the corporation and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he owes the following duties to the company — a duty to act in good faith in the best interests of the company, a duty not to make a personal profit based on his or her position as director (unless the company permits him or her to do so), a duty not to put himself or herself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8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 may eliminate the right of shareholders to 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written consent by amendment to its certificate of incorporation. The Companies Act and our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 put any proposal before the annual meeting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any one or more shareholders holding not less than one-third of all votes attaching to all issued and outstanding shares of our company at the date of deposit of the requisition to require an extraordinary general meeting, in which case our directors are obligated to convene an extraordinary general meeting and to put the resolutions so requisitioned to a vote at such meeting. Other than this right to requisition a shareholders’ meeting, our Memorandum and Articles of Association do not provide our shareholders other right to put proposal before annual general meetings or extraordinary general meetings not called by such shareholders. As a Cayman Islands exempted company, we are not obliged by law to call shareholders’ annual general meetings.</w:t>
      </w:r>
    </w:p>
    <w:p>
      <w:pPr>
        <w:spacing w:after="0" w:line="18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Cumulative Voting. </w:t>
      </w:r>
      <w:r>
        <w:rPr>
          <w:rFonts w:ascii="Times New Roman" w:cs="Times New Roman" w:eastAsia="Times New Roman" w:hAnsi="Times New Roman"/>
          <w:sz w:val="18"/>
          <w:szCs w:val="18"/>
          <w:color w:val="auto"/>
        </w:rPr>
        <w:t>Under the Delaware General Corporation Law, cumulative voting for elections of directors is not permitted unless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Cayman Islands law does not prohibit cumulative voting, but our Memorandum and Articles of Association do not provide for cumulative voting. As a result, our shareholders are not afforded any less protections or rights on this issue than shareholders of a Delaware corporation.</w:t>
      </w:r>
    </w:p>
    <w:p>
      <w:pPr>
        <w:spacing w:after="0" w:line="1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 classified board may be removed only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cause with the approval of a majority of the issued and outstanding shares entitled to vote, unless the certificate of incorporation provides otherwise. Under our Memorandum and Articles of Association, directors may be removed by an ordinary resolution (except with regarding to the removal of the chairman of our board of directors, who may only be removed from office by special resolution) of our shareholders.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or (v) is removed from office pursuant to any other provisions of our Memorandum and Articles of Association.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 business combination statute applicable to Delaware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the fiduciary duties which they owe to our company under Cayman Islands laws, including the duty to ensure that, in their opinion, any such transactions entered into are bona fide in the best interests of our company, and are entered into for a proper corporate purpose and not with the effect of constituting a fraud on the minority shareholders.</w:t>
      </w:r>
    </w:p>
    <w:p>
      <w:pPr>
        <w:spacing w:after="0" w:line="179"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Restructuring. </w:t>
      </w:r>
      <w:r>
        <w:rPr>
          <w:rFonts w:ascii="Times New Roman" w:cs="Times New Roman" w:eastAsia="Times New Roman" w:hAnsi="Times New Roman"/>
          <w:sz w:val="18"/>
          <w:szCs w:val="18"/>
          <w:color w:val="auto"/>
        </w:rPr>
        <w:t>A company may present a petition to the Grand Court of the Cayman Islands for the appointment of a restructuring officer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grounds that the company:</w:t>
      </w:r>
    </w:p>
    <w:p>
      <w:pPr>
        <w:spacing w:after="0" w:line="159" w:lineRule="exact"/>
        <w:rPr>
          <w:sz w:val="20"/>
          <w:szCs w:val="20"/>
          <w:color w:val="auto"/>
        </w:rPr>
      </w:pPr>
    </w:p>
    <w:p>
      <w:pPr>
        <w:ind w:left="580" w:hanging="248"/>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is likely to become unable to pay its debts; and</w:t>
      </w:r>
    </w:p>
    <w:p>
      <w:pPr>
        <w:spacing w:after="0" w:line="225" w:lineRule="exact"/>
        <w:rPr>
          <w:rFonts w:ascii="Times New Roman" w:cs="Times New Roman" w:eastAsia="Times New Roman" w:hAnsi="Times New Roman"/>
          <w:sz w:val="18"/>
          <w:szCs w:val="18"/>
          <w:color w:val="auto"/>
        </w:rPr>
      </w:pPr>
    </w:p>
    <w:p>
      <w:pPr>
        <w:ind w:right="20" w:firstLine="332"/>
        <w:spacing w:after="0" w:line="282" w:lineRule="auto"/>
        <w:tabs>
          <w:tab w:leader="none" w:pos="59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present a compromise or arrangement to its creditors (or classes thereof) either pursuant to the Companies Act, the law of a foreign country or by way of a consensual restructuring.</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8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 dissolve, dissolution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must be approved by shareholders holding 100% of the total voting power of the corporation. Only if the dissolution is initiated by the board of directors may it be approved by a simple majority of the corporation’s issued and outstanding shares. Delaware law allows a Delaware corporation to include in its certificate of incorporation a supermajority voting requirement in connection with dissolutions initiated by the board.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 the rights of a class of shares with the approval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majority of the issued and outstanding shares of such class, unless the certificate of incorporation provides otherwise. Under Cayman Islands law and our Memorandum and Articles of Association, if our share capital is divided into more than one class of shares, the rights attached to any class may, subject to any rights or restrictions for the time being attached to any class, only be materially adversely varied with the written consent of the holders of at least two-thirds of the issued shares of that class or with the sanction of an ordinary resolution passed at a separate meeting of the holders of the shares of that class.</w:t>
      </w:r>
    </w:p>
    <w:p>
      <w:pPr>
        <w:spacing w:after="0" w:line="18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 governing documents may be amended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of a majority of the issued and outstanding shares entitled to vote, unless the certificate of incorporation provides otherwise. Under Cayman Islands law and our Memorandum and Articles of Association, our Memorandum and Articles of Association may only be amended with a special resolution of our shareholders.</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Memorandum and Articles of Association on the rights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non-resident or foreign shareholders to hold or exercise voting rights on our shares. In addition, there are no provisions in our Memorandum and Articles of Association which require our company to disclose shareholder ownership above any particular ownership threshold.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Citibank, N.A. (“Citibank”) is acting as the depositary bank for the American Depositary Shares. Citibank’s depositary offices are located at 388 Greenwich Street, New York, New York 10013. American Depositary Shares are frequently referred to as “ADSs” and represent ownership interests in securities that are on deposit with the depositary bank. ADSs may be represented by certificates that are commonly known as “American Depositary Receipts” or “ADRs.” The depositary bank typically appoints a custodian to safekeep the securities on deposit. In this case, the custodian is Citibank, N.A. - Hong Kong, located at 9/F Citi Tower, One Bay East, 83 Hoi Bun Road, Kwun Tong, Kowloon, Hong Kong.</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appointed Citibank as depositary pursuant to a deposit agreement. A form of the deposit agreement is on file with the SEC under cover of a Registration Statement on Form F-6. You may obtain a copy of the deposit agreement from the SEC’s Public Reference Room at 100 F Street, N.E., Washington, D.C. 20549 and from the SEC’s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Please refer to Registration Number 333-275089 when retrieving such copy.</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Each ADS represents the right to receive, and to exercise the beneficial ownership interests in eight (8) Class B ordinary shares that are on deposit with the depositary bank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We and the depositary bank may agree to change the ADS-to-Class B ordinary share ratio by amending the deposit agreement. This amendment may give rise to, or change, the depositary fees payable by ADS owners. The custodian, the depositary bank and their respective nominees will hold all deposited property for the benefit of the holders and beneficial owners of ADSs. The deposited property does not constitute the proprietary assets of the depositary bank, the custodian or their nominees. Beneficial ownership in the deposited property will under the terms of the deposit agreement be vested in the beneficial owners of the ADSs. The depositary bank,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bank, and the depositary bank (on behalf of the owners of the corresponding ADSs) directly, or indirectly, through the custodian or their respective nominees, in each case upon the terms of the deposit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bank. As an ADS holder you appoint the depositary bank to act on your behalf in certain circumstances. The deposit agreement and the ADRs are governed by New York law. However, our obligations to the holders of Class B ordinary shares will continue to be governed by the laws of the Cayman Islands, which may be different from the laws in the United States.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bank,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7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As an owner of ADSs, we will not treat you as one of our shareholders and you will not have direct shareholder rights. The depositary bank will hold on your behalf the shareholder rights attached to the Class B ordinary shares underlying your ADSs. As an owner of ADSs you will be able to exercise the shareholders rights for the Class B ordinary shares represented by your ADSs through the depositary bank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8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manner in which you own the ADSs (e.g., in a brokerage account vs. as registered holder, or as holder of certificated vs. uncertificated ADSs) 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9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registration of the Class B ordinary shares in the name of the depositary bank or the custodian shall, to the maximum extent permitted by applicable law, vest in the depositary bank or the custodian the record ownership in the applicable Class B ordinary shares with the beneficial ownership rights and interests in such Class B ordinary shares being at all times vested with the beneficial owners of the ADSs representing the Class B ordinary shares. The depositary bank or the custodian shall at all times be entitled to exercise the beneficial ownership rights in all deposited property, in each case only on behalf of the holders and beneficial owners of the ADSs representing the deposited property.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Distributions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Distributions of Cash</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 laws and regulations of the Cayman Islands.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of Class B Ordinary Shares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Whenever we make a free distribution of Class B ordinary shares for the securities on deposit with the custodian, we will deposit the applicable number of Class B ordinary shares with the custodian. Upon receipt of confirmation of such deposit, the depositary bank will </w:t>
      </w:r>
      <w:r>
        <w:rPr>
          <w:rFonts w:ascii="Times New Roman" w:cs="Times New Roman" w:eastAsia="Times New Roman" w:hAnsi="Times New Roman"/>
          <w:sz w:val="18"/>
          <w:szCs w:val="18"/>
          <w:u w:val="single" w:color="auto"/>
          <w:color w:val="auto"/>
        </w:rPr>
        <w:t>either</w:t>
      </w:r>
      <w:r>
        <w:rPr>
          <w:rFonts w:ascii="Times New Roman" w:cs="Times New Roman" w:eastAsia="Times New Roman" w:hAnsi="Times New Roman"/>
          <w:sz w:val="18"/>
          <w:szCs w:val="18"/>
          <w:color w:val="auto"/>
        </w:rPr>
        <w:t xml:space="preserve"> distribute to holders new ADSs representing the Class B ordinary shares deposited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modify the ADS-to-Class B ordinary share ratio, in which case each ADS you hold will represent rights and interests in the additional Class B ordinary shares so deposited. Only whole new ADSs will be distributed. Fractional entitlements will be sold and the proceeds of such sale will be distributed as in the case of a cash distribution.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distribution of new ADSs or the modification of the ADS-to-Class B ordinary shares ratio upon a distribution of Class B ordinary shares will be made net of the fees, expenses, taxes and governmental charges payable by holders under the terms of the deposit agreement. In order to pay such taxes or governmental charges, the depositary bank may sell all or a portion of the new Class B ordinary shares so distributed.</w:t>
      </w:r>
    </w:p>
    <w:p>
      <w:pPr>
        <w:spacing w:after="0" w:line="174"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color w:val="auto"/>
        </w:rPr>
        <w:t>No such distribution of new ADSs will be made if it would violate a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U.S. securities laws) or if it is not operationally practicable. If the depositary bank does not distribute new ADSs as described above, it may sell the Class B ordinary shares received upon the terms described in the deposit agreement and will distribute the proceeds of the sale as in the case of a distribution of cash.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of Rights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Whenever we intend to distribute rights to subscribe for additional Class B ordinary shares, we will give prior notice to the depositary bank and we will assist the depositary bank in determining whether it is lawful and reasonably practicable to distribute rights to subscribe for additional ADSs to holders.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depositary bank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bank is not obligated to establish procedures to facilitate the distribution and exercise by holders of rights to subscribe for new Class B ordinary shares other than in the form of ADSs.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depositary bank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rights to you if:</w:t>
      </w:r>
    </w:p>
    <w:p>
      <w:pPr>
        <w:spacing w:after="0" w:line="22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timely request that the rights be distributed to you or we request that the rights not be distributed to you;</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deliver satisfactory documents to the depositary bank;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reasonably practicable to distribute the rights.</w:t>
      </w:r>
    </w:p>
    <w:p>
      <w:pPr>
        <w:spacing w:after="0" w:line="22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Elective Distributions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 depositary bank in determining whether such distribution is lawful and reasonably practicable.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depositary bank will make the election available to you only if it is reasonably practicable and if we have provided all of the documentation contemplated in the deposit agreement. In such case, the depositary bank will establish procedures to enable you to elect to receive either cash or additional ADSs, in each case as described in the deposit agreement.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election is not made available to you, you will receive either cash or additional ADSs, depending on what a shareholder in the Cayman Islands would receive upon failing to make an election, as more fully described in the deposit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Distributions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Whenever we intend to distribute property other than cash, Class B ordinary shares or rights to subscribe for additional Class B ordinary shares, we will notify the depositary bank in advance and will indicate whether we wish such distribution to be made to you. If so, we will assist the depositary bank in determining whether such distribution to holders is lawful and reasonably practicable.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it is reasonably practicable to distribute such property to you and if we request such rights to be made available to you and provide to the depositary bank all of the documentation contemplated in the deposit agreement, the depositary bank will distribute the property to the holders in a manner it deems practicable.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depositary bank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property to you and will sell the property if:</w:t>
      </w:r>
    </w:p>
    <w:p>
      <w:pPr>
        <w:spacing w:after="0" w:line="227"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request that the property be distributed to you or if we request that the property not be distributed to you;</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deliver satisfactory documents to the depositary bank;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bank determines that all or a portion of the distribution to you is not reasonably practicable.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proceeds of such a sale will be distributed to holders as in the case of a cash distribution.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custodian will be instructed to surrender the shares being redeemed against payment of the applicable redemption price. The depositary bank will convert into U.S. dollars upon the terms of the deposit agreement the redemption funds received in a currency other than U.S. dollars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as the depositary bank may determine.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Changes Affecting Class B Ordinary Shares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Class B ordinary shares held on deposit for your ADSs may change from time to time. For example, there may be a change in nominal or par value, split-up, cancellation, consolidation or any other reclassification of such Class B ordinary shares or a recapitalization, reorganization, merger, consolidation or sale of assets of the Company.</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any such change were to occur, your ADSs would, to the extent permitted by law and the deposit agreement, represent the right to receive the property received or exchanged in respect of the Class B ordinary shares held on deposit. The depositary bank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Class B ordinary shares. If the depositary bank may not lawfully distribute such property to you, the depositary bank may sell such property and distribute the net proceeds to you as in the case of a cash distribution.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ADSs upon Deposit of Class B Ordinary Shares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Class B ordinary shares that are being offered pursuant to the prospectus will be deposited by the Selling Shareholders with the custodian. Upon receipt of confirmation of such deposit, the depositary bank will issue the corresponding ADSs to applicable Selling Shareholder, who in turn will make delivery to the purchaser(s) who acquire(s) the ADSs from such Selling Shareholder pursuant to this prospectus.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depositary bank may create ADSs on your behalf if you or your broker deposits Class B ordinary shares with the custodian and provides the certifications and documentation required by the deposit agreement. The depositary bank will deliver these ADSs to the person you indicate only after you pay any applicable issuance fees and any charges and taxes payable for the transfer of the Class B ordinary shares to the custodian. Your ability to deposit Class B ordinary shares and receive ADSs may be limited by U.S. and the Cayman Islands legal considerations applicable at the time of deposit.</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issuance of ADSs may be delayed until the depositary bank or the custodian receives confirmation that all required approvals have been given and that the Class B ordinary shares have been duly transferred to the custodian. The depositary bank will only issue ADSs in whole numbers.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When you make a deposit of Class B ordinary shares, you will be responsible for transferring good and valid title to the depositary bank. As such, you will be deemed to represent and warrant that:</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ordinary shares are duly authorized, validly issued, fully paid, non-assessable and legally obtained;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(and similar) rights, if any, with respect to such Class B ordinary shares have been validly waived or exercised;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duly authorized to deposit the Class B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ordinary shares presented for deposit are free and clear of any lien, encumbrance, security interest, charge, mortgage or adverse claim, and are not, and the ADSs issuable upon such deposit will not be, “restricted securities” (as defined in the deposit agreement);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ordinary shares presented for deposit have not been stripped of any rights or entitlements.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any of the representations or warranties are incorrect in any way, we and the depositary bank may, at your cost and expense, take any and all actions necessary to correct the consequences of the misrepresentations.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Combination and Split Up of ADRs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an ADR holder, you will be entitled to transfer, combine or split up your ADRs and the ADSs evidenced thereby. For transfers of ADRs, you will have to surrender the ADRs to be transferred to the depositary bank and also must: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surrendered ADR is properly endorsed or otherwise in proper form for transfer;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proof of identity and genuineness of signatures as the depositary bank deems appropriate;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transfer stamps required by the State of New York or the United States;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applicable fees, charges, expenses, taxes and other government charges payable by ADR holders pursuant to the terms of the deposit agreement, upon the transfer of ADRs.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have your ADRs either combined or split up, you must surrender the ADRs in question to the depositary bank with your request to have them combined or split up, and you must pay all applicable fees, charges and expenses payable by ADR holders, pursuant to the terms of the deposit agreement, upon a combination or split up of ADRs.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of Class B Ordinary Shares Upon Cancellation of ADSs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 holder, you will be entitled to present your ADSs to the depositary bank for cancellation and then receive the corresponding number of underlying Class B ordinary shares at the custodian’s offices. Your ability to withdraw the Class B ordinary shares held in respect of the ADSs may be limited by U.S. and the Cayman Islands law considerations applicable at the time of withdrawal. In order to withdraw the Class B ordinary shares represented by your ADSs, you will be required to pay to the depositary bank the fees for cancellation of ADSs and any charges and taxes payable upon the transfer of the Class B ordinary shares. You assume the risk for delivery of all funds and securities upon withdrawal. Once canceled, the ADSs will not have any rights under the deposit agreement.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you hold ADSs registered in your name, the depositary bank may ask you to provide proof of identity and genuineness of any signature and such other documents as the depositary bank may deem appropriate before it will cancel your ADSs. The withdrawal of the Class B ordinary shares represented by your 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will have the right to withdraw the securities represented by your ADSs at any time except for:</w:t>
      </w:r>
    </w:p>
    <w:p>
      <w:pPr>
        <w:spacing w:after="0" w:line="225" w:lineRule="exact"/>
        <w:rPr>
          <w:sz w:val="20"/>
          <w:szCs w:val="20"/>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that may arise because (i) the transfer books for the Class B ordinary shares or ADSs are closed, or (ii) Class B ordinary shares are immobilized on account of a shareholders’ meeting or a payment of dividends;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pay fees, taxes and similar charges;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because of laws or regulations applicable to ADSs or the withdrawal of securities on deposit.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deposit agreement may not be modified to impair your right to withdraw the securities represented by your ADSs except to comply with mandatory provisions of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a holder, you generally have the right under the deposit agreement to instruct the depositary bank to exercise the voting rights for the Class B ordinary shares represented by your ADSs. The voting rights of holders of Class B ordinary shares are described in “Description of Share Capital”.</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our request, the depositary bank will distribute to you any notice of shareholders’ meeting received from us together with information explaining how to instruct the depositary bank to exercise the voting rights of the securities represented by ADSs. In lieu of distributing such materials, the depositary bank may distribute to holders of ADSs instructions on how to retrieve such materials upon request.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the depositary bank timely receives voting instructions from a holder of ADSs, it will endeavor to vote the securities (in person or by proxy)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represented by the holder’s ADSs in accordance with such voting instructions as follows:</w:t>
      </w:r>
    </w:p>
    <w:p>
      <w:pPr>
        <w:spacing w:after="0" w:line="205" w:lineRule="exact"/>
        <w:rPr>
          <w:sz w:val="20"/>
          <w:szCs w:val="20"/>
          <w:color w:val="auto"/>
        </w:rPr>
      </w:pPr>
    </w:p>
    <w:p>
      <w:pPr>
        <w:ind w:left="660" w:hanging="328"/>
        <w:spacing w:after="0" w:line="28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the event of voting by show of hands</w:t>
      </w:r>
      <w:r>
        <w:rPr>
          <w:rFonts w:ascii="Times New Roman" w:cs="Times New Roman" w:eastAsia="Times New Roman" w:hAnsi="Times New Roman"/>
          <w:sz w:val="18"/>
          <w:szCs w:val="18"/>
          <w:color w:val="auto"/>
        </w:rPr>
        <w:t>, the depositary bank will vote (or cause the custodian to vote) all Class B ordinary shares held on deposit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time in accordance with the voting instructions received from a majority of holders of ADSs who provide timely voting instructions; and</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the event of voting by poll</w:t>
      </w:r>
      <w:r>
        <w:rPr>
          <w:rFonts w:ascii="Times New Roman" w:cs="Times New Roman" w:eastAsia="Times New Roman" w:hAnsi="Times New Roman"/>
          <w:sz w:val="18"/>
          <w:szCs w:val="18"/>
          <w:color w:val="auto"/>
        </w:rPr>
        <w:t>, the depositary bank will vote (or cause the Custodian to vote) the Class B ordinary shares held on deposit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voting instructions received from the holders of ADSs.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340"/>
        <w:spacing w:after="0"/>
        <w:rPr>
          <w:sz w:val="20"/>
          <w:szCs w:val="20"/>
          <w:color w:val="auto"/>
        </w:rPr>
      </w:pPr>
      <w:r>
        <w:rPr>
          <w:rFonts w:ascii="Times New Roman" w:cs="Times New Roman" w:eastAsia="Times New Roman" w:hAnsi="Times New Roman"/>
          <w:sz w:val="18"/>
          <w:szCs w:val="18"/>
          <w:color w:val="auto"/>
        </w:rPr>
        <w:t>Securities for which no voting instructions have been received will not be voted (except (a) as set forth above in the case voting is by show of hands,</w:t>
      </w:r>
    </w:p>
    <w:p>
      <w:pPr>
        <w:spacing w:after="0" w:line="27" w:lineRule="exact"/>
        <w:rPr>
          <w:sz w:val="20"/>
          <w:szCs w:val="20"/>
          <w:color w:val="auto"/>
        </w:rPr>
      </w:pPr>
    </w:p>
    <w:p>
      <w:pPr>
        <w:jc w:val="both"/>
        <w:ind w:firstLine="8"/>
        <w:spacing w:after="0" w:line="252" w:lineRule="auto"/>
        <w:tabs>
          <w:tab w:leader="none" w:pos="2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voting by poll, holders of ADSs in respect of which no timely voting instructions have been received shall be deemed to have instructed the depositary to give a discretionary proxy to a person designated by us to vote the Class B ordinary shares represented by such holders’ ADSs; provided, however, that no such discretionary proxy shall be given with respect to any matter to be voted upon as to which we inform the depositary that (i) we do not wish such proxy to be given, (ii) substantial opposition exists, or (iii) the rights of holders of Class B ordinary shares may be adversely affected, and (c) as otherwise contemplated in the deposit agreement). Please note that the ability of the depositary bank to carry out voting instructions may be limited by practical and legal limitations and the terms of the securities on deposit. We cannot assure you that you will receive voting materials in time to enable you to return voting instructions to the depositary bank in a timely manner.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Charges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an ADS holder, you will be required to pay the following fees under the terms of the deposit agreement: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Fees</w:t>
            </w:r>
          </w:p>
        </w:tc>
      </w:tr>
      <w:tr>
        <w:trPr>
          <w:trHeight w:val="198"/>
        </w:trPr>
        <w:tc>
          <w:tcPr>
            <w:tcW w:w="3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20" w:type="dxa"/>
            <w:vAlign w:val="bottom"/>
            <w:tcBorders>
              <w:top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Issuance of ADSs (e.g., an issuance of ADS upon a deposit of Class B ordinary</w:t>
            </w:r>
          </w:p>
        </w:tc>
        <w:tc>
          <w:tcPr>
            <w:tcW w:w="200" w:type="dxa"/>
            <w:vAlign w:val="bottom"/>
          </w:tcPr>
          <w:p>
            <w:pPr>
              <w:spacing w:after="0"/>
              <w:rPr>
                <w:sz w:val="17"/>
                <w:szCs w:val="17"/>
                <w:color w:val="auto"/>
              </w:rPr>
            </w:pPr>
          </w:p>
        </w:tc>
        <w:tc>
          <w:tcPr>
            <w:tcW w:w="47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Up to U.S. 5¢ per ADS issued</w:t>
            </w:r>
          </w:p>
        </w:tc>
      </w:tr>
      <w:tr>
        <w:trPr>
          <w:trHeight w:val="216"/>
        </w:trPr>
        <w:tc>
          <w:tcPr>
            <w:tcW w:w="300" w:type="dxa"/>
            <w:vAlign w:val="bottom"/>
          </w:tcPr>
          <w:p>
            <w:pPr>
              <w:spacing w:after="0"/>
              <w:rPr>
                <w:sz w:val="18"/>
                <w:szCs w:val="18"/>
                <w:color w:val="auto"/>
              </w:rPr>
            </w:pPr>
          </w:p>
        </w:tc>
        <w:tc>
          <w:tcPr>
            <w:tcW w:w="6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upon a change in the ADS(s)-to-Class B ordinary share(s) ratio, or for</w:t>
            </w:r>
          </w:p>
        </w:tc>
        <w:tc>
          <w:tcPr>
            <w:tcW w:w="47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any other reason), excluding ADS issuances as a result of distributions of</w:t>
            </w:r>
          </w:p>
        </w:tc>
        <w:tc>
          <w:tcPr>
            <w:tcW w:w="472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6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Class B ordinary shares)</w:t>
            </w:r>
          </w:p>
        </w:tc>
        <w:tc>
          <w:tcPr>
            <w:tcW w:w="4720" w:type="dxa"/>
            <w:vAlign w:val="bottom"/>
          </w:tcPr>
          <w:p>
            <w:pPr>
              <w:spacing w:after="0"/>
              <w:rPr>
                <w:sz w:val="20"/>
                <w:szCs w:val="20"/>
                <w:color w:val="auto"/>
              </w:rPr>
            </w:pPr>
          </w:p>
        </w:tc>
      </w:tr>
      <w:tr>
        <w:trPr>
          <w:trHeight w:val="41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Cancellation of ADSs (e.g., a cancellation of ADSs for delivery of deposited</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Up to U.S. 5¢ per ADS cancelled</w:t>
            </w:r>
          </w:p>
        </w:tc>
      </w:tr>
      <w:tr>
        <w:trPr>
          <w:trHeight w:val="216"/>
        </w:trPr>
        <w:tc>
          <w:tcPr>
            <w:tcW w:w="300" w:type="dxa"/>
            <w:vAlign w:val="bottom"/>
          </w:tcPr>
          <w:p>
            <w:pPr>
              <w:spacing w:after="0"/>
              <w:rPr>
                <w:sz w:val="18"/>
                <w:szCs w:val="18"/>
                <w:color w:val="auto"/>
              </w:rPr>
            </w:pPr>
          </w:p>
        </w:tc>
        <w:tc>
          <w:tcPr>
            <w:tcW w:w="6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property, upon a change in the ADS(s)-to-Class B ordinary share(s) ratio, or for</w:t>
            </w:r>
          </w:p>
        </w:tc>
        <w:tc>
          <w:tcPr>
            <w:tcW w:w="472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6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any other reason)</w:t>
            </w:r>
          </w:p>
        </w:tc>
        <w:tc>
          <w:tcPr>
            <w:tcW w:w="4720" w:type="dxa"/>
            <w:vAlign w:val="bottom"/>
          </w:tcPr>
          <w:p>
            <w:pPr>
              <w:spacing w:after="0"/>
              <w:rPr>
                <w:sz w:val="20"/>
                <w:szCs w:val="20"/>
                <w:color w:val="auto"/>
              </w:rPr>
            </w:pPr>
          </w:p>
        </w:tc>
      </w:tr>
      <w:tr>
        <w:trPr>
          <w:trHeight w:val="41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Distribution of cash dividends or other cash distributions (e.g., upon a sale of</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Up to U.S. 5¢ per ADS held</w:t>
            </w:r>
          </w:p>
        </w:tc>
      </w:tr>
      <w:tr>
        <w:trPr>
          <w:trHeight w:val="234"/>
        </w:trPr>
        <w:tc>
          <w:tcPr>
            <w:tcW w:w="300" w:type="dxa"/>
            <w:vAlign w:val="bottom"/>
          </w:tcPr>
          <w:p>
            <w:pPr>
              <w:spacing w:after="0"/>
              <w:rPr>
                <w:sz w:val="20"/>
                <w:szCs w:val="20"/>
                <w:color w:val="auto"/>
              </w:rPr>
            </w:pPr>
          </w:p>
        </w:tc>
        <w:tc>
          <w:tcPr>
            <w:tcW w:w="6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rights and other entitlements)</w:t>
            </w:r>
          </w:p>
        </w:tc>
        <w:tc>
          <w:tcPr>
            <w:tcW w:w="4720" w:type="dxa"/>
            <w:vAlign w:val="bottom"/>
          </w:tcPr>
          <w:p>
            <w:pPr>
              <w:spacing w:after="0"/>
              <w:rPr>
                <w:sz w:val="20"/>
                <w:szCs w:val="20"/>
                <w:color w:val="auto"/>
              </w:rPr>
            </w:pPr>
          </w:p>
        </w:tc>
      </w:tr>
      <w:tr>
        <w:trPr>
          <w:trHeight w:val="41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Distribution of ADSs pursuant to (i) stock dividends or other free stock</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Up to U.S. 5¢ per ADS held</w:t>
            </w:r>
          </w:p>
        </w:tc>
      </w:tr>
      <w:tr>
        <w:trPr>
          <w:trHeight w:val="234"/>
        </w:trPr>
        <w:tc>
          <w:tcPr>
            <w:tcW w:w="300" w:type="dxa"/>
            <w:vAlign w:val="bottom"/>
          </w:tcPr>
          <w:p>
            <w:pPr>
              <w:spacing w:after="0"/>
              <w:rPr>
                <w:sz w:val="20"/>
                <w:szCs w:val="20"/>
                <w:color w:val="auto"/>
              </w:rPr>
            </w:pPr>
          </w:p>
        </w:tc>
        <w:tc>
          <w:tcPr>
            <w:tcW w:w="6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distributions, or (ii) exercise of rights to purchase additional ADSs</w:t>
            </w:r>
          </w:p>
        </w:tc>
        <w:tc>
          <w:tcPr>
            <w:tcW w:w="4720" w:type="dxa"/>
            <w:vAlign w:val="bottom"/>
          </w:tcPr>
          <w:p>
            <w:pPr>
              <w:spacing w:after="0"/>
              <w:rPr>
                <w:sz w:val="20"/>
                <w:szCs w:val="20"/>
                <w:color w:val="auto"/>
              </w:rPr>
            </w:pPr>
          </w:p>
        </w:tc>
      </w:tr>
      <w:tr>
        <w:trPr>
          <w:trHeight w:val="41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Distribution of financial instruments, including, but not limited to, securities</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Up to U.S. 5¢ per ADS held</w:t>
            </w:r>
          </w:p>
        </w:tc>
      </w:tr>
      <w:tr>
        <w:trPr>
          <w:trHeight w:val="216"/>
        </w:trPr>
        <w:tc>
          <w:tcPr>
            <w:tcW w:w="300" w:type="dxa"/>
            <w:vAlign w:val="bottom"/>
          </w:tcPr>
          <w:p>
            <w:pPr>
              <w:spacing w:after="0"/>
              <w:rPr>
                <w:sz w:val="18"/>
                <w:szCs w:val="18"/>
                <w:color w:val="auto"/>
              </w:rPr>
            </w:pPr>
          </w:p>
        </w:tc>
        <w:tc>
          <w:tcPr>
            <w:tcW w:w="6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than ADSs or rights to purchase additional ADSs (e.g., spin-off shares and</w:t>
            </w:r>
          </w:p>
        </w:tc>
        <w:tc>
          <w:tcPr>
            <w:tcW w:w="472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6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contingent value rights)</w:t>
            </w:r>
          </w:p>
        </w:tc>
        <w:tc>
          <w:tcPr>
            <w:tcW w:w="4720" w:type="dxa"/>
            <w:vAlign w:val="bottom"/>
          </w:tcPr>
          <w:p>
            <w:pPr>
              <w:spacing w:after="0"/>
              <w:rPr>
                <w:sz w:val="20"/>
                <w:szCs w:val="20"/>
                <w:color w:val="auto"/>
              </w:rPr>
            </w:pPr>
          </w:p>
        </w:tc>
      </w:tr>
      <w:tr>
        <w:trPr>
          <w:trHeight w:val="41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ADS Services</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Up  to  U.S.  5¢  per  ADS  held  on  the  applicable  record</w:t>
            </w:r>
          </w:p>
        </w:tc>
      </w:tr>
      <w:tr>
        <w:trPr>
          <w:trHeight w:val="234"/>
        </w:trPr>
        <w:tc>
          <w:tcPr>
            <w:tcW w:w="30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date(s) established by the depositary bank</w:t>
            </w:r>
          </w:p>
        </w:tc>
      </w:tr>
      <w:tr>
        <w:trPr>
          <w:trHeight w:val="41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Registration of ADS transfers (e.g., upon a registration of the transfer of</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Up to U.S. 5¢ per ADS (or fraction thereof) transferred</w:t>
            </w:r>
          </w:p>
        </w:tc>
      </w:tr>
      <w:tr>
        <w:trPr>
          <w:trHeight w:val="216"/>
        </w:trPr>
        <w:tc>
          <w:tcPr>
            <w:tcW w:w="300" w:type="dxa"/>
            <w:vAlign w:val="bottom"/>
          </w:tcPr>
          <w:p>
            <w:pPr>
              <w:spacing w:after="0"/>
              <w:rPr>
                <w:sz w:val="18"/>
                <w:szCs w:val="18"/>
                <w:color w:val="auto"/>
              </w:rPr>
            </w:pPr>
          </w:p>
        </w:tc>
        <w:tc>
          <w:tcPr>
            <w:tcW w:w="6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registered ownership of ADSs, upon a transfer of ADSs into DTC and </w:t>
            </w:r>
            <w:r>
              <w:rPr>
                <w:rFonts w:ascii="Times New Roman" w:cs="Times New Roman" w:eastAsia="Times New Roman" w:hAnsi="Times New Roman"/>
                <w:sz w:val="18"/>
                <w:szCs w:val="18"/>
                <w:i w:val="1"/>
                <w:iCs w:val="1"/>
                <w:color w:val="auto"/>
              </w:rPr>
              <w:t>vice</w:t>
            </w:r>
          </w:p>
        </w:tc>
        <w:tc>
          <w:tcPr>
            <w:tcW w:w="4720" w:type="dxa"/>
            <w:vAlign w:val="bottom"/>
          </w:tcPr>
          <w:p>
            <w:pPr>
              <w:spacing w:after="0"/>
              <w:rPr>
                <w:sz w:val="18"/>
                <w:szCs w:val="18"/>
                <w:color w:val="auto"/>
              </w:rPr>
            </w:pPr>
          </w:p>
        </w:tc>
      </w:tr>
      <w:tr>
        <w:trPr>
          <w:trHeight w:val="236"/>
        </w:trPr>
        <w:tc>
          <w:tcPr>
            <w:tcW w:w="300" w:type="dxa"/>
            <w:vAlign w:val="bottom"/>
          </w:tcPr>
          <w:p>
            <w:pPr>
              <w:spacing w:after="0"/>
              <w:rPr>
                <w:sz w:val="20"/>
                <w:szCs w:val="20"/>
                <w:color w:val="auto"/>
              </w:rPr>
            </w:pPr>
          </w:p>
        </w:tc>
        <w:tc>
          <w:tcPr>
            <w:tcW w:w="622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versa</w:t>
            </w:r>
            <w:r>
              <w:rPr>
                <w:rFonts w:ascii="Times New Roman" w:cs="Times New Roman" w:eastAsia="Times New Roman" w:hAnsi="Times New Roman"/>
                <w:sz w:val="18"/>
                <w:szCs w:val="18"/>
                <w:color w:val="auto"/>
              </w:rPr>
              <w:t>, or for any other reason)</w:t>
            </w:r>
          </w:p>
        </w:tc>
        <w:tc>
          <w:tcPr>
            <w:tcW w:w="4720" w:type="dxa"/>
            <w:vAlign w:val="bottom"/>
          </w:tcPr>
          <w:p>
            <w:pPr>
              <w:spacing w:after="0"/>
              <w:rPr>
                <w:sz w:val="20"/>
                <w:szCs w:val="20"/>
                <w:color w:val="auto"/>
              </w:rPr>
            </w:pPr>
          </w:p>
        </w:tc>
      </w:tr>
      <w:tr>
        <w:trPr>
          <w:trHeight w:val="41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Conversion of ADSs of one series for ADSs of another series (e.g., upon</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Up to U.S. 5¢ per ADS (or fraction thereof) converted</w:t>
            </w:r>
          </w:p>
        </w:tc>
      </w:tr>
      <w:tr>
        <w:trPr>
          <w:trHeight w:val="234"/>
        </w:trPr>
        <w:tc>
          <w:tcPr>
            <w:tcW w:w="300" w:type="dxa"/>
            <w:vAlign w:val="bottom"/>
          </w:tcPr>
          <w:p>
            <w:pPr>
              <w:spacing w:after="0"/>
              <w:rPr>
                <w:sz w:val="20"/>
                <w:szCs w:val="20"/>
                <w:color w:val="auto"/>
              </w:rPr>
            </w:pPr>
          </w:p>
        </w:tc>
        <w:tc>
          <w:tcPr>
            <w:tcW w:w="6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conversion of Partial Entitlement ADSs for Full Entitlement ADSs, or upon</w:t>
            </w:r>
          </w:p>
        </w:tc>
        <w:tc>
          <w:tcPr>
            <w:tcW w:w="4720" w:type="dxa"/>
            <w:vAlign w:val="bottom"/>
          </w:tcPr>
          <w:p>
            <w:pPr>
              <w:spacing w:after="0"/>
              <w:rPr>
                <w:sz w:val="20"/>
                <w:szCs w:val="20"/>
                <w:color w:val="auto"/>
              </w:rPr>
            </w:pPr>
          </w:p>
        </w:tc>
      </w:tr>
    </w:tbl>
    <w:p>
      <w:pPr>
        <w:jc w:val="both"/>
        <w:ind w:left="460" w:right="4920"/>
        <w:spacing w:after="0" w:line="253" w:lineRule="auto"/>
        <w:rPr>
          <w:sz w:val="20"/>
          <w:szCs w:val="20"/>
          <w:color w:val="auto"/>
        </w:rPr>
      </w:pPr>
      <w:r>
        <w:rPr>
          <w:rFonts w:ascii="Times New Roman" w:cs="Times New Roman" w:eastAsia="Times New Roman" w:hAnsi="Times New Roman"/>
          <w:sz w:val="18"/>
          <w:szCs w:val="18"/>
          <w:color w:val="auto"/>
        </w:rPr>
        <w:t xml:space="preserve">conversion of Restricted ADSs (each as defined in the Deposit Agreement) into freely transferable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conversion of ADSs for unsponsored American Depositary Shares (e.g., upon termination of the Deposit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34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Class B ordinary shares on the share register and applicable to transfers of Class B ordinary shares to or from the name of the custodian, the depositary bank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expenses, spreads, taxes and other charges of the depositary bank and/or service providers (which may be a division, branch or affiliate of the depositary bank) in the conversion of foreign currency;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and customary out-of-pocket expenses incurred by the depositary bank in connection with compliance with exchange control regulations and other regulatory requirements applicable to Class B ordinary shares, ADSs and ADRs;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bank, the custodian, or any nominee in connection with the ADR program;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deposit agreement pursuant to any ancillary agreement to the deposit agreement in respect of the ADR program, the ADSs and the ADRs.</w:t>
      </w:r>
    </w:p>
    <w:p>
      <w:pPr>
        <w:spacing w:after="0" w:line="16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bank.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Amendments and Termination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agree with the depositary bank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Class B ordinary shares represented by your ADSs (except as permitted by law).</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the right to direct the depositary bank to terminate the deposit agreement. Similarly, the depositary bank may in certain circumstances on its own initiative terminate the deposit agreement. In either case, the depositary bank must give notice to the holders at least 30 days before termination. Until termination, your rights under the deposit agreement will be unaffected.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After termination, the depositary bank will continue to collect distributions received (but will not distribute any such property until you request the cancellation of your ADSs) and may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any termination of the deposit agreement, the depositary bank may make available to owners of ADSs a means to withdraw the Class B ordinary shares represented by ADSs and to direct the depositary of such Class B ordinary shares into an unsponsored American depositary share program established by the depositary bank.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 and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229"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The depositary bank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3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depositary bank will maintain in New York facilities to record and process the issuance, cancellation, combination, split-up and transfer of ADSs.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facilities may be closed from time to time, to the extent not prohibited by 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deposit agreement limits our obligations and the depositary bank’s obligations to you. Please note the following:</w:t>
      </w:r>
    </w:p>
    <w:p>
      <w:pPr>
        <w:spacing w:after="0" w:line="22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are obligated only to take the actions specifically stated in the deposit agreement without negligence or bad faith;</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bank disclaims any liability for any failure to carry out voting instructions, for any manner in which a vote is cast or for the effect of any vote, provided it acts in good faith and in accordance with the terms of the deposit agreement;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bank disclaims any liability for any failure to determine the lawfulness or practicality of any action, for the content of any document forwarded to you on our behalf or for the accuracy of any translation of such a document, for the investment risks associated with investing in Class B ordinary shares, for the validity or worth of the Class B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will not be obligated to perform any act that is inconsistent with the terms of the deposit agreement;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memorandum and articles of association, or any provision of or governing the securities on deposit, or by reason of any act of God or war or other circumstances beyond our control;</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disclaim any liability by reason of any exercise of, or failure to exercise, any discretion provided for in the deposit agreement or in our memorandum and articles of association or in any provisions of or governing the securities on deposit;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also disclaim liability for the inability by a holder to benefit from any distribution, offering, right or other benefit that is made available to holders of Class B ordinary shares but is not, under the terms of the deposit agreement, made available to you;</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may rely without any liability upon any written notice, request or other document believed to be genuine and to have been signed or presented by the proper parties;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also disclaim liability for any consequential or punitive damages for any breach of the terms of the deposit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disclaimer of any Securities Act liability is intended by any provision of the deposit agreement;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gives rise to a partnership or joint venture, or establishes a fiduciary relationship, among us, the depositary bank and you as ADS holder;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7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Class B ordinary shares from the ADS facility with respect to obligations or liabilities incurred under the deposit agreement before the cancellation of the ADSs and the withdrawal of the Class B ordinary shares, and such limitations would most likely not apply to ADS holders who withdraw the Class B ordinary shares from the ADS facility with respect to obligations or liabilities incurred after the cancellation of the ADSs and the withdrawal of the Class B ordinary shares and not under the deposit agreement.</w:t>
      </w:r>
    </w:p>
    <w:p>
      <w:pPr>
        <w:spacing w:after="0" w:line="18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You will be responsible for the taxes and other governmental charges payable on the ADSs and the securities represented by the ADSs. We, the depositary bank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 distributions on your behalf. However, you may be required to provide to the depositary bank and to the custodian proof of taxpayer status and residence and such other information as the depositary bank and the custodian may require to fulfill legal obligations. You are required to indemnify us, the depositary bank and the custodian for any claims with respect to taxes based on any tax benefit obtained for you.</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Conversion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depositary bank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76"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If the conversion of foreign currency is not practical or lawful, or if any required approvals are denied or not obtainable at a reasonable cost or within a reasonable period, the depositary bank may take the following actions in its discretion:</w:t>
      </w:r>
    </w:p>
    <w:p>
      <w:pPr>
        <w:spacing w:after="0" w:line="162" w:lineRule="exact"/>
        <w:rPr>
          <w:sz w:val="20"/>
          <w:szCs w:val="20"/>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the foreign currency to the extent practical and lawful and distribute the U.S. dollars to the holders for whom the conversion and distribution is lawful and practical;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foreign currency to holders for whom the distribution is lawful and practical;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foreign currency (without liability for interest) for the applicable 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Law/Waiver of Jury Trial</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deposit agreement, the ADRs and the ADSs will be interpreted in accordance with the laws of the State of New York. The rights of holders of Class B ordinary shares (including Class B ordinary shares represented by ADSs) are governed by the laws of the Cayman Islands.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party to the deposit agreement, you irrevocably waive, to the fullest extent permitted by applicable law, your right to trial by jury in any legal proceeding arising out of or related to the deposit agreement or the ADRs, or the transactions contemplated therein, against us and/or the depositary.</w:t>
      </w:r>
    </w:p>
    <w:p>
      <w:pPr>
        <w:spacing w:after="0" w:line="16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Such waiver of your right to trial by jury would apply to any claim under U.S. federal securities laws. The waiver continues to apply to claims that arise during the period when a holder holds the ADSs, whether the ADS holder purchased the ADSs in this offering or secondary transactions, even if the ADS holder subsequently withdraws the underlying Class B ordinary shares. If we or the depositary opposed a jury trial demand based on the waiver, the court would determine whether the waiver was enforceable based on the facts and circumstances of the applicable case in accordance with applicable case law. However, you will not be deemed, by agreeing to the terms of the deposit agreement, to have waived our or the depositary’s compliance with U.S. federal securities laws or the rules and regulations promulgated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Jurisdiction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agreed with the depositary that the federal or state courts in the City of New York shall have the non-exclusive jurisdiction to hear and determine any dispute between us and the depositary arising from or relating in any way to the deposit agreement (including claims arising under the Exchange Act or the Securities Act).</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deposit agreement provides that, by holding an ADS or an interest therein, you irrevocably agree that any legal suit, action or proceeding against or involving us or the depositary arising out of or related in any way to the deposit agreement, the ADSs, the ADRs or the transactions contemplated thereby or by virtue of ownership thereof (including claims arising under the Exchange Act or the Securities Act), may only be instituted in the United States District Court for the Southern District of New York (or, if the Southern District of New York lacks subject matter jurisdiction over a particular dispute, in the state courts of New York County, New York), and by holding an ADS or an interest therein you irrevocably waive any objection which you may now or hereafter have to the laying of venue of any such proceeding, and irrevocably submit to the exclusive jurisdiction of such courts in any such suit, action or proceeding. The deposit agreement also provides that the foregoing agreement and waiver shall survive your ownership of ADSs or interests therein.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EXPENSES RELATED TO THIS OFFERING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various expenses to be incurred in connection with the sale and distribution of the securities being registered hereby, all of which will be borne by us (except any expenses incurred by the Selling Shareholders for brokerage, accounting, tax or legal services or any other expenses incurred by the Selling Shareholders in disposing of the shares). All amounts shown are estimates except the SEC registration.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4360" w:type="dxa"/>
            <w:vAlign w:val="bottom"/>
            <w:shd w:val="clear" w:color="auto" w:fill="CCEEFF"/>
          </w:tcPr>
          <w:p>
            <w:pPr>
              <w:ind w:left="3720"/>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5,318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436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4360" w:type="dxa"/>
            <w:vAlign w:val="bottom"/>
            <w:shd w:val="clear" w:color="auto" w:fill="CCEEFF"/>
          </w:tcPr>
          <w:p>
            <w:pPr>
              <w:ind w:left="3720"/>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36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US$</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70,318</w:t>
            </w: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Hogan Lovells is representing us with respect to certain matters of United States federal securities law and New York State law. Maples and Calder (Hong Kong) LLP will pass upon the validity of the Class B ordinary shares offered in this offering in the form of ADSs and certain other matters of Cayman Islands law for us. Hogan Lovells may rely upon Maples and Calder (Hong Kong) LLP with respect to matters governed by the Cayman Islands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the Company as of December 31, 2023 and 2024, and for each of the three years in the period ended December 31, 2024 incorporated in this prospectus by reference from the Company’s annual report on Form 20-F for the year ended December 31, 2024, have been audited by Marcum Asia CPAs LLP, an independent registered public accounting firm, as stated in its report. Such financial statements have been so incorporated in reliance upon the report of such firm given upon its authority as an expert in accounting and auditing.</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registered business address of Marcum Asia CPAs LLP is located at 7 Pennsylvania Plaza Suite 830, New York, NY10001,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 this prospectus much of the information we have filed with the SEC, which means that we can disclose important information to you by referring you to those publicly available documents. The information that we incorporate by reference in this prospectus is considered to be part of this prospectus. This prospectus incorporates by reference the documents listed below:</w:t>
      </w:r>
    </w:p>
    <w:p>
      <w:pPr>
        <w:spacing w:after="0" w:line="176"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57">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001-41848) for the fiscal year ended December 31, 2024, filed with the SEC on April 28, 2025;</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auto"/>
          </w:rPr>
          <w:t xml:space="preserve">Our Reports of Foreign Private Issuer on Form 6-K, filed with the SEC on </w:t>
        </w:r>
        <w:r>
          <w:rPr>
            <w:rFonts w:ascii="Times New Roman" w:cs="Times New Roman" w:eastAsia="Times New Roman" w:hAnsi="Times New Roman"/>
            <w:sz w:val="18"/>
            <w:szCs w:val="18"/>
            <w:u w:val="single" w:color="auto"/>
            <w:color w:val="0000EE"/>
          </w:rPr>
          <w:t>May 19,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12,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25,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 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EE"/>
          </w:rPr>
          <w:t>18, 2025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9">
        <w:r>
          <w:rPr>
            <w:rFonts w:ascii="Times New Roman" w:cs="Times New Roman" w:eastAsia="Times New Roman" w:hAnsi="Times New Roman"/>
            <w:sz w:val="18"/>
            <w:szCs w:val="18"/>
            <w:u w:val="single" w:color="auto"/>
            <w:color w:val="0000EE"/>
          </w:rPr>
          <w:t>September 23, 2025</w:t>
        </w:r>
      </w:hyperlink>
      <w:hyperlink r:id="rId58">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F-6, as amended, filed with the SEC on </w:t>
      </w:r>
      <w:hyperlink r:id="rId60">
        <w:r>
          <w:rPr>
            <w:rFonts w:ascii="Times New Roman" w:cs="Times New Roman" w:eastAsia="Times New Roman" w:hAnsi="Times New Roman"/>
            <w:sz w:val="18"/>
            <w:szCs w:val="18"/>
            <w:u w:val="single" w:color="auto"/>
            <w:color w:val="0000EE"/>
          </w:rPr>
          <w:t>October 19,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1">
        <w:r>
          <w:rPr>
            <w:rFonts w:ascii="Times New Roman" w:cs="Times New Roman" w:eastAsia="Times New Roman" w:hAnsi="Times New Roman"/>
            <w:sz w:val="18"/>
            <w:szCs w:val="18"/>
            <w:u w:val="single" w:color="auto"/>
            <w:color w:val="0000EE"/>
          </w:rPr>
          <w:t>March 15, 2024</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 Trident Digital Tech Holdings Ltd</w:t>
      </w:r>
    </w:p>
    <w:p>
      <w:pPr>
        <w:spacing w:after="0" w:line="2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Suntec Tower 3,</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 Temasek Boulevard Road, #24-03</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Singapore, 038988</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+65 6513 6868</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filed a registration statement on Form F-1, including relevant exhibits, with the SEC under the Securities Act with respect to the underlying Class B ordinary shares represented by the ADSs to be sold in this offering. A related registration statement on F-6 has been filed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Class B ordinary shares and ADSs.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periodic reporting and other information requirements of the Exchange Act as applicable to foreign private issuers. Accordingly, we are required to file reports, including annual reports on Form 20-F, and other information with the SEC. All information filed with the SEC can be obtained over the internet at the SEC’s website at www.sec.gov or inspected and copied at the public reference facilities maintained by the SEC at 100 F Street, N.E., Washington, D.C. 20549. You can request copies of documents, upon payment of a duplicating fee, by writing to the SEC.</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4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indemnification of officers and directors, except to the extent any such provision may be held by the Cayman Islands courts to be contrary to the public interest, such as providing indemnification against civil fraud or the consequences of committing a crime. Our Memorandum and Articles of Association provide that each officer or director of our company shall be indemnified against all actions, proceedings, costs, charges, expenses, losses, damages or liabilities incurred or sustained by such director or officer, other than by reason of such person’s own willful default or actual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w:t>
      </w:r>
    </w:p>
    <w:p>
      <w:pPr>
        <w:spacing w:after="0" w:line="1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form of indemnification agreements filed as Exhibit 10.4 to this registration statement, we agree to indemnify our directors and executive officers against certain liabilities and expenses incurred by such persons in connection with claims made by reason of their being such a director or executive officer.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RECENT SALES OF UNREGISTERED SECURITIES.</w:t>
      </w:r>
    </w:p>
    <w:p>
      <w:pPr>
        <w:spacing w:after="0" w:line="14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were incorporated on June 12, 2023 and have since then issued and sold the securities described below without registering the securities under the Securities Act. As of the date of this prospectus, there are 920,765,000 ordinary shares issued and outstanding. None of these transactions involved any underwriters’ underwriting discounts or commissions, or any public offering. We believe that each of the following issuances was exempt from registration under the Securities Act in reliance on Regulation S or Rule 701 under the Securities Act or pursuant to Section 4(2) of the Securities Act regarding transactions not involving a public offering.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Date of</w:t>
            </w: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Securities/Purchaser</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480" w:type="dxa"/>
            <w:vAlign w:val="bottom"/>
          </w:tcPr>
          <w:p>
            <w:pPr>
              <w:spacing w:after="0"/>
              <w:rPr>
                <w:sz w:val="21"/>
                <w:szCs w:val="21"/>
                <w:color w:val="auto"/>
              </w:rPr>
            </w:pPr>
          </w:p>
        </w:tc>
        <w:tc>
          <w:tcPr>
            <w:tcW w:w="20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0" w:type="dxa"/>
            <w:vAlign w:val="bottom"/>
          </w:tcPr>
          <w:p>
            <w:pPr>
              <w:spacing w:after="0"/>
              <w:rPr>
                <w:sz w:val="1"/>
                <w:szCs w:val="1"/>
                <w:color w:val="auto"/>
              </w:rPr>
            </w:pPr>
          </w:p>
        </w:tc>
      </w:tr>
      <w:tr>
        <w:trPr>
          <w:trHeight w:val="216"/>
        </w:trPr>
        <w:tc>
          <w:tcPr>
            <w:tcW w:w="4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w:t>
            </w:r>
          </w:p>
        </w:tc>
        <w:tc>
          <w:tcPr>
            <w:tcW w:w="100" w:type="dxa"/>
            <w:vAlign w:val="bottom"/>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Sertus Nominees (Cayman) Limited</w:t>
            </w:r>
          </w:p>
        </w:tc>
        <w:tc>
          <w:tcPr>
            <w:tcW w:w="2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12, 2023</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0.00001</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Trident Digital Tech Ltd</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12, 2023</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49,999,999</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499.99999</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B Ordinary Shares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Trident Group Holdings Ltd</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12, 2023</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150,000,000</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Wealth Ltd</w:t>
            </w:r>
          </w:p>
        </w:tc>
        <w:tc>
          <w:tcPr>
            <w:tcW w:w="2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12, 2023</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125,705,000</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1,257.05</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Soon Tai Lee</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4, 2023</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75,000,000</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Yat Hong Lo</w:t>
            </w:r>
          </w:p>
        </w:tc>
        <w:tc>
          <w:tcPr>
            <w:tcW w:w="2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4, 2023</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25,000,000</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4,000,000</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Stone Wealth Compound Fund SPC</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4, 2023</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24,795,000</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499,990</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Alpha Plus Investment Consulting Company Pte. Ltd.</w:t>
            </w:r>
          </w:p>
        </w:tc>
        <w:tc>
          <w:tcPr>
            <w:tcW w:w="2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4, 2023</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24,500,000</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Poh Kiong Tan</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4, 2023</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10,000,000</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Shisong Mai</w:t>
            </w:r>
          </w:p>
        </w:tc>
        <w:tc>
          <w:tcPr>
            <w:tcW w:w="2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4, 2023</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10,000,000</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Trident Verse Ltd</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4, 2023</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5,000,000</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Choon How Liew</w:t>
            </w:r>
          </w:p>
        </w:tc>
        <w:tc>
          <w:tcPr>
            <w:tcW w:w="2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3, 2023</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446,429</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Vijai Dharamdas Parwani</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3, 2023</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357,143</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Low Yeun Ching (Kelly Tan)</w:t>
            </w:r>
          </w:p>
        </w:tc>
        <w:tc>
          <w:tcPr>
            <w:tcW w:w="2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3, 2023</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267,857</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Broad Fund Management Limited</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3, 2023</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892,857</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Summer Explorer Investments Limited</w:t>
            </w:r>
          </w:p>
        </w:tc>
        <w:tc>
          <w:tcPr>
            <w:tcW w:w="2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 2, 2025</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23,100,000</w:t>
            </w:r>
          </w:p>
        </w:tc>
        <w:tc>
          <w:tcPr>
            <w:tcW w:w="4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Jipsy Trade Limited</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 2, 2025</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13,200,000</w:t>
            </w:r>
          </w:p>
        </w:tc>
        <w:tc>
          <w:tcPr>
            <w:tcW w:w="480" w:type="dxa"/>
            <w:vAlign w:val="bottom"/>
          </w:tcPr>
          <w:p>
            <w:pPr>
              <w:spacing w:after="0"/>
              <w:rPr>
                <w:sz w:val="18"/>
                <w:szCs w:val="18"/>
                <w:color w:val="auto"/>
              </w:rPr>
            </w:pP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Arc Development Group Company Limited</w:t>
            </w:r>
          </w:p>
        </w:tc>
        <w:tc>
          <w:tcPr>
            <w:tcW w:w="2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 2, 2025</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18,700,000</w:t>
            </w:r>
          </w:p>
        </w:tc>
        <w:tc>
          <w:tcPr>
            <w:tcW w:w="4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Wilson Chan</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 2, 2025</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22,000,000</w:t>
            </w:r>
          </w:p>
        </w:tc>
        <w:tc>
          <w:tcPr>
            <w:tcW w:w="480" w:type="dxa"/>
            <w:vAlign w:val="bottom"/>
          </w:tcPr>
          <w:p>
            <w:pPr>
              <w:spacing w:after="0"/>
              <w:rPr>
                <w:sz w:val="18"/>
                <w:szCs w:val="18"/>
                <w:color w:val="auto"/>
              </w:rPr>
            </w:pP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Ong Sau Kang</w:t>
            </w:r>
          </w:p>
        </w:tc>
        <w:tc>
          <w:tcPr>
            <w:tcW w:w="2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 2, 2025</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22,000,000</w:t>
            </w:r>
          </w:p>
        </w:tc>
        <w:tc>
          <w:tcPr>
            <w:tcW w:w="4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57"/>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Streeterville Capital, LLC</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August 8, 2025</w:t>
            </w:r>
          </w:p>
        </w:tc>
        <w:tc>
          <w:tcPr>
            <w:tcW w:w="134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8"/>
                <w:szCs w:val="18"/>
                <w:color w:val="auto"/>
              </w:rPr>
              <w:t>14,295,000</w:t>
            </w:r>
            <w:r>
              <w:rPr>
                <w:rFonts w:ascii="Times New Roman" w:cs="Times New Roman" w:eastAsia="Times New Roman" w:hAnsi="Times New Roman"/>
                <w:sz w:val="29"/>
                <w:szCs w:val="29"/>
                <w:color w:val="auto"/>
                <w:vertAlign w:val="superscript"/>
              </w:rPr>
              <w:t>(1)</w:t>
            </w:r>
          </w:p>
        </w:tc>
        <w:tc>
          <w:tcPr>
            <w:tcW w:w="480" w:type="dxa"/>
            <w:vAlign w:val="bottom"/>
          </w:tcPr>
          <w:p>
            <w:pPr>
              <w:spacing w:after="0"/>
              <w:rPr>
                <w:sz w:val="22"/>
                <w:szCs w:val="22"/>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98"/>
        </w:trPr>
        <w:tc>
          <w:tcPr>
            <w:tcW w:w="4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Bu Fan</w:t>
            </w: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16,000,000</w:t>
            </w:r>
            <w:r>
              <w:rPr>
                <w:rFonts w:ascii="Times New Roman" w:cs="Times New Roman" w:eastAsia="Times New Roman" w:hAnsi="Times New Roman"/>
                <w:sz w:val="29"/>
                <w:szCs w:val="29"/>
                <w:color w:val="auto"/>
                <w:vertAlign w:val="superscript"/>
              </w:rPr>
              <w:t>(2)</w:t>
            </w:r>
          </w:p>
        </w:tc>
        <w:tc>
          <w:tcPr>
            <w:tcW w:w="4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450 ordinary shares of</w:t>
            </w:r>
          </w:p>
        </w:tc>
        <w:tc>
          <w:tcPr>
            <w:tcW w:w="0" w:type="dxa"/>
            <w:vAlign w:val="bottom"/>
          </w:tcPr>
          <w:p>
            <w:pPr>
              <w:spacing w:after="0"/>
              <w:rPr>
                <w:sz w:val="1"/>
                <w:szCs w:val="1"/>
                <w:color w:val="auto"/>
              </w:rPr>
            </w:pPr>
          </w:p>
        </w:tc>
      </w:tr>
      <w:tr>
        <w:trPr>
          <w:trHeight w:val="234"/>
        </w:trPr>
        <w:tc>
          <w:tcPr>
            <w:tcW w:w="4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August 26, 2025</w:t>
            </w:r>
          </w:p>
        </w:tc>
        <w:tc>
          <w:tcPr>
            <w:tcW w:w="1340" w:type="dxa"/>
            <w:vAlign w:val="bottom"/>
            <w:gridSpan w:val="2"/>
            <w:vMerge w:val="continue"/>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Tongxin</w:t>
            </w:r>
          </w:p>
        </w:tc>
        <w:tc>
          <w:tcPr>
            <w:tcW w:w="0" w:type="dxa"/>
            <w:vAlign w:val="bottom"/>
          </w:tcPr>
          <w:p>
            <w:pPr>
              <w:spacing w:after="0"/>
              <w:rPr>
                <w:sz w:val="1"/>
                <w:szCs w:val="1"/>
                <w:color w:val="auto"/>
              </w:rPr>
            </w:pPr>
          </w:p>
        </w:tc>
      </w:tr>
      <w:tr>
        <w:trPr>
          <w:trHeight w:val="198"/>
        </w:trPr>
        <w:tc>
          <w:tcPr>
            <w:tcW w:w="4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Zhang Jing</w:t>
            </w: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16,000,000</w:t>
            </w:r>
            <w:r>
              <w:rPr>
                <w:rFonts w:ascii="Times New Roman" w:cs="Times New Roman" w:eastAsia="Times New Roman" w:hAnsi="Times New Roman"/>
                <w:sz w:val="29"/>
                <w:szCs w:val="29"/>
                <w:color w:val="auto"/>
                <w:vertAlign w:val="superscript"/>
              </w:rPr>
              <w:t>(2)</w:t>
            </w:r>
          </w:p>
        </w:tc>
        <w:tc>
          <w:tcPr>
            <w:tcW w:w="480" w:type="dxa"/>
            <w:vAlign w:val="bottom"/>
          </w:tcPr>
          <w:p>
            <w:pPr>
              <w:spacing w:after="0"/>
              <w:rPr>
                <w:sz w:val="17"/>
                <w:szCs w:val="17"/>
                <w:color w:val="auto"/>
              </w:rPr>
            </w:pPr>
          </w:p>
        </w:tc>
        <w:tc>
          <w:tcPr>
            <w:tcW w:w="208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450 ordinary shares of</w:t>
            </w: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August 26, 2025</w:t>
            </w:r>
          </w:p>
        </w:tc>
        <w:tc>
          <w:tcPr>
            <w:tcW w:w="134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Tongxin</w:t>
            </w:r>
          </w:p>
        </w:tc>
        <w:tc>
          <w:tcPr>
            <w:tcW w:w="0" w:type="dxa"/>
            <w:vAlign w:val="bottom"/>
          </w:tcPr>
          <w:p>
            <w:pPr>
              <w:spacing w:after="0"/>
              <w:rPr>
                <w:sz w:val="1"/>
                <w:szCs w:val="1"/>
                <w:color w:val="auto"/>
              </w:rPr>
            </w:pPr>
          </w:p>
        </w:tc>
      </w:tr>
      <w:tr>
        <w:trPr>
          <w:trHeight w:val="198"/>
        </w:trPr>
        <w:tc>
          <w:tcPr>
            <w:tcW w:w="4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Lim Yun Jiin Yvonne</w:t>
            </w: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34,400,000</w:t>
            </w:r>
            <w:r>
              <w:rPr>
                <w:rFonts w:ascii="Times New Roman" w:cs="Times New Roman" w:eastAsia="Times New Roman" w:hAnsi="Times New Roman"/>
                <w:sz w:val="29"/>
                <w:szCs w:val="29"/>
                <w:color w:val="auto"/>
                <w:vertAlign w:val="superscript"/>
              </w:rPr>
              <w:t>(2)</w:t>
            </w:r>
          </w:p>
        </w:tc>
        <w:tc>
          <w:tcPr>
            <w:tcW w:w="4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1,000 ordinary shares of</w:t>
            </w:r>
          </w:p>
        </w:tc>
        <w:tc>
          <w:tcPr>
            <w:tcW w:w="0" w:type="dxa"/>
            <w:vAlign w:val="bottom"/>
          </w:tcPr>
          <w:p>
            <w:pPr>
              <w:spacing w:after="0"/>
              <w:rPr>
                <w:sz w:val="1"/>
                <w:szCs w:val="1"/>
                <w:color w:val="auto"/>
              </w:rPr>
            </w:pPr>
          </w:p>
        </w:tc>
      </w:tr>
      <w:tr>
        <w:trPr>
          <w:trHeight w:val="234"/>
        </w:trPr>
        <w:tc>
          <w:tcPr>
            <w:tcW w:w="4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August 26, 2025</w:t>
            </w:r>
          </w:p>
        </w:tc>
        <w:tc>
          <w:tcPr>
            <w:tcW w:w="1340" w:type="dxa"/>
            <w:vAlign w:val="bottom"/>
            <w:gridSpan w:val="2"/>
            <w:vMerge w:val="continue"/>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Tongxin</w:t>
            </w:r>
          </w:p>
        </w:tc>
        <w:tc>
          <w:tcPr>
            <w:tcW w:w="0" w:type="dxa"/>
            <w:vAlign w:val="bottom"/>
          </w:tcPr>
          <w:p>
            <w:pPr>
              <w:spacing w:after="0"/>
              <w:rPr>
                <w:sz w:val="1"/>
                <w:szCs w:val="1"/>
                <w:color w:val="auto"/>
              </w:rPr>
            </w:pPr>
          </w:p>
        </w:tc>
      </w:tr>
      <w:tr>
        <w:trPr>
          <w:trHeight w:val="198"/>
        </w:trPr>
        <w:tc>
          <w:tcPr>
            <w:tcW w:w="4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Tee Sheau Nee</w:t>
            </w: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37,600,000</w:t>
            </w:r>
            <w:r>
              <w:rPr>
                <w:rFonts w:ascii="Times New Roman" w:cs="Times New Roman" w:eastAsia="Times New Roman" w:hAnsi="Times New Roman"/>
                <w:sz w:val="29"/>
                <w:szCs w:val="29"/>
                <w:color w:val="auto"/>
                <w:vertAlign w:val="superscript"/>
              </w:rPr>
              <w:t>(2)</w:t>
            </w:r>
          </w:p>
        </w:tc>
        <w:tc>
          <w:tcPr>
            <w:tcW w:w="480" w:type="dxa"/>
            <w:vAlign w:val="bottom"/>
          </w:tcPr>
          <w:p>
            <w:pPr>
              <w:spacing w:after="0"/>
              <w:rPr>
                <w:sz w:val="17"/>
                <w:szCs w:val="17"/>
                <w:color w:val="auto"/>
              </w:rPr>
            </w:pPr>
          </w:p>
        </w:tc>
        <w:tc>
          <w:tcPr>
            <w:tcW w:w="208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1,000 ordinary shares of</w:t>
            </w: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August 26, 2025</w:t>
            </w:r>
          </w:p>
        </w:tc>
        <w:tc>
          <w:tcPr>
            <w:tcW w:w="134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Tongxin</w:t>
            </w:r>
          </w:p>
        </w:tc>
        <w:tc>
          <w:tcPr>
            <w:tcW w:w="0" w:type="dxa"/>
            <w:vAlign w:val="bottom"/>
          </w:tcPr>
          <w:p>
            <w:pPr>
              <w:spacing w:after="0"/>
              <w:rPr>
                <w:sz w:val="1"/>
                <w:szCs w:val="1"/>
                <w:color w:val="auto"/>
              </w:rPr>
            </w:pPr>
          </w:p>
        </w:tc>
      </w:tr>
      <w:tr>
        <w:trPr>
          <w:trHeight w:val="25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Viner Total Investments Fund</w:t>
            </w:r>
          </w:p>
        </w:tc>
        <w:tc>
          <w:tcPr>
            <w:tcW w:w="2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18, 2025</w:t>
            </w:r>
          </w:p>
        </w:tc>
        <w:tc>
          <w:tcPr>
            <w:tcW w:w="134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8"/>
                <w:szCs w:val="18"/>
                <w:color w:val="auto"/>
              </w:rPr>
              <w:t>37,760,000</w:t>
            </w:r>
            <w:r>
              <w:rPr>
                <w:rFonts w:ascii="Times New Roman" w:cs="Times New Roman" w:eastAsia="Times New Roman" w:hAnsi="Times New Roman"/>
                <w:sz w:val="29"/>
                <w:szCs w:val="29"/>
                <w:color w:val="auto"/>
                <w:vertAlign w:val="superscript"/>
              </w:rPr>
              <w:t>(3)</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660,800</w:t>
            </w:r>
          </w:p>
        </w:tc>
        <w:tc>
          <w:tcPr>
            <w:tcW w:w="0" w:type="dxa"/>
            <w:vAlign w:val="bottom"/>
          </w:tcPr>
          <w:p>
            <w:pPr>
              <w:spacing w:after="0"/>
              <w:rPr>
                <w:sz w:val="1"/>
                <w:szCs w:val="1"/>
                <w:color w:val="auto"/>
              </w:rPr>
            </w:pPr>
          </w:p>
        </w:tc>
      </w:tr>
      <w:tr>
        <w:trPr>
          <w:trHeight w:val="25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CHENG JIANBO</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18, 2025</w:t>
            </w:r>
          </w:p>
        </w:tc>
        <w:tc>
          <w:tcPr>
            <w:tcW w:w="134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8"/>
                <w:szCs w:val="18"/>
                <w:color w:val="auto"/>
              </w:rPr>
              <w:t>17,142,857</w:t>
            </w:r>
            <w:r>
              <w:rPr>
                <w:rFonts w:ascii="Times New Roman" w:cs="Times New Roman" w:eastAsia="Times New Roman" w:hAnsi="Times New Roman"/>
                <w:sz w:val="29"/>
                <w:szCs w:val="29"/>
                <w:color w:val="auto"/>
                <w:vertAlign w:val="superscript"/>
              </w:rPr>
              <w:t>(3)</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5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Lida Global Limited</w:t>
            </w:r>
          </w:p>
        </w:tc>
        <w:tc>
          <w:tcPr>
            <w:tcW w:w="2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18, 2025</w:t>
            </w:r>
          </w:p>
        </w:tc>
        <w:tc>
          <w:tcPr>
            <w:tcW w:w="134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8"/>
                <w:szCs w:val="18"/>
                <w:color w:val="auto"/>
              </w:rPr>
              <w:t>36,560,000</w:t>
            </w:r>
            <w:r>
              <w:rPr>
                <w:rFonts w:ascii="Times New Roman" w:cs="Times New Roman" w:eastAsia="Times New Roman" w:hAnsi="Times New Roman"/>
                <w:sz w:val="29"/>
                <w:szCs w:val="29"/>
                <w:color w:val="auto"/>
                <w:vertAlign w:val="superscript"/>
              </w:rPr>
              <w:t>(3)</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639,800</w:t>
            </w:r>
          </w:p>
        </w:tc>
        <w:tc>
          <w:tcPr>
            <w:tcW w:w="0" w:type="dxa"/>
            <w:vAlign w:val="bottom"/>
          </w:tcPr>
          <w:p>
            <w:pPr>
              <w:spacing w:after="0"/>
              <w:rPr>
                <w:sz w:val="1"/>
                <w:szCs w:val="1"/>
                <w:color w:val="auto"/>
              </w:rPr>
            </w:pPr>
          </w:p>
        </w:tc>
      </w:tr>
      <w:tr>
        <w:trPr>
          <w:trHeight w:val="257"/>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OGBC Group Pte Ltd</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18, 2025</w:t>
            </w:r>
          </w:p>
        </w:tc>
        <w:tc>
          <w:tcPr>
            <w:tcW w:w="134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8"/>
                <w:szCs w:val="18"/>
                <w:color w:val="auto"/>
              </w:rPr>
              <w:t>20,000,000</w:t>
            </w:r>
            <w:r>
              <w:rPr>
                <w:rFonts w:ascii="Times New Roman" w:cs="Times New Roman" w:eastAsia="Times New Roman" w:hAnsi="Times New Roman"/>
                <w:sz w:val="29"/>
                <w:szCs w:val="29"/>
                <w:color w:val="auto"/>
                <w:vertAlign w:val="superscript"/>
              </w:rPr>
              <w:t>(3)</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r>
        <w:trPr>
          <w:trHeight w:val="25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Ripple Strategy Holding Ltd</w:t>
            </w:r>
          </w:p>
        </w:tc>
        <w:tc>
          <w:tcPr>
            <w:tcW w:w="2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18, 2025</w:t>
            </w:r>
          </w:p>
        </w:tc>
        <w:tc>
          <w:tcPr>
            <w:tcW w:w="134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8"/>
                <w:szCs w:val="18"/>
                <w:color w:val="auto"/>
              </w:rPr>
              <w:t>37,142,857</w:t>
            </w:r>
            <w:r>
              <w:rPr>
                <w:rFonts w:ascii="Times New Roman" w:cs="Times New Roman" w:eastAsia="Times New Roman" w:hAnsi="Times New Roman"/>
                <w:sz w:val="29"/>
                <w:szCs w:val="29"/>
                <w:color w:val="auto"/>
                <w:vertAlign w:val="superscript"/>
              </w:rPr>
              <w:t>(3)</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650,000</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left="340" w:hanging="332"/>
        <w:spacing w:after="0" w:line="253"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7, 2025, the Company entered into the Streeterville SPA and the First Note with Streeterville, pursuant to which the Company agreed to issue and sell to Streeterville (1) the First Note in the principal amount of $1,100,000, convertible into ADSs on the terms and subject to the conditions set forth in the Streeterville SPA and the First Note, (2) the Second Note, in the principal amount of $1,080,000, convertible into ADSs on the terms and subject to the conditions set forth in the Streeterville SPA and the Second Note, and (3) 14,295,000 Class B ordinary shares, in the aggregate consideration of (x) the First Note Purchase Price and (y) the Second Note Purchase Price, in both cases, minus the Pre-Delivery Shares issuance fees. On August 8, 2025, the Company issued and sold the 14,295,000 Class B ordinary shares to Streeterville.</w:t>
      </w:r>
    </w:p>
    <w:p>
      <w:pPr>
        <w:spacing w:after="0" w:line="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and sold such securities to the Tongxin Shareholders on August 26, 2025 pursuant to the Tongxin SPA dated August 15, 2025.</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and sold such securities to the PIPE Purchasers on September 18, 2025 pursuant to the PIPE SPA dated September 8, 2025.</w:t>
      </w:r>
    </w:p>
    <w:p>
      <w:pPr>
        <w:sectPr>
          <w:pgSz w:w="11900" w:h="16838" w:orient="portrait"/>
          <w:cols w:equalWidth="0" w:num="1">
            <w:col w:w="11240"/>
          </w:cols>
          <w:pgMar w:left="320" w:top="819" w:right="339" w:bottom="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8. EXHIBITS AND FINANCIAL STATEMENT SCHEDULES.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Exhibits: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Exhibit Index for a complete list of all exhibits filed as part of this registration, which Exhibit Index is incorporated herein by reference.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Financial Statement Schedules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Schedules have been omitted because the information required to be set forth therein is not applicable or is shown in the consolidated financial statements and the notes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Filing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both"/>
        <w:ind w:left="648" w:hanging="324"/>
        <w:spacing w:after="0" w:line="266" w:lineRule="auto"/>
        <w:tabs>
          <w:tab w:leader="none" w:pos="6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648" w:hanging="324"/>
        <w:spacing w:after="0" w:line="282" w:lineRule="auto"/>
        <w:tabs>
          <w:tab w:leader="none" w:pos="6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 and</w:t>
      </w:r>
    </w:p>
    <w:p>
      <w:pPr>
        <w:spacing w:after="0" w:line="161" w:lineRule="exact"/>
        <w:rPr>
          <w:rFonts w:ascii="Times New Roman" w:cs="Times New Roman" w:eastAsia="Times New Roman" w:hAnsi="Times New Roman"/>
          <w:sz w:val="18"/>
          <w:szCs w:val="18"/>
          <w:color w:val="auto"/>
        </w:rPr>
      </w:pPr>
    </w:p>
    <w:p>
      <w:pPr>
        <w:jc w:val="both"/>
        <w:ind w:left="648" w:hanging="324"/>
        <w:spacing w:after="0" w:line="258" w:lineRule="auto"/>
        <w:tabs>
          <w:tab w:leader="none" w:pos="6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p>
      <w:pPr>
        <w:spacing w:after="0" w:line="183"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ind w:left="968" w:right="20" w:hanging="320"/>
        <w:spacing w:after="0" w:line="282" w:lineRule="auto"/>
        <w:tabs>
          <w:tab w:leader="none" w:pos="968"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left="968" w:hanging="320"/>
        <w:spacing w:after="0" w:line="253" w:lineRule="auto"/>
        <w:tabs>
          <w:tab w:leader="none" w:pos="968"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9" w:lineRule="exact"/>
        <w:rPr>
          <w:rFonts w:ascii="Times New Roman" w:cs="Times New Roman" w:eastAsia="Times New Roman" w:hAnsi="Times New Roman"/>
          <w:sz w:val="18"/>
          <w:szCs w:val="18"/>
          <w:color w:val="auto"/>
        </w:rPr>
      </w:pPr>
    </w:p>
    <w:p>
      <w:pPr>
        <w:jc w:val="both"/>
        <w:ind w:left="648" w:hanging="324"/>
        <w:spacing w:after="0" w:line="258" w:lineRule="auto"/>
        <w:tabs>
          <w:tab w:leader="none" w:pos="6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hereby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left="968" w:right="20" w:hanging="320"/>
        <w:spacing w:after="0" w:line="282" w:lineRule="auto"/>
        <w:tabs>
          <w:tab w:leader="none" w:pos="968"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225" w:lineRule="exact"/>
        <w:rPr>
          <w:rFonts w:ascii="Times New Roman" w:cs="Times New Roman" w:eastAsia="Times New Roman" w:hAnsi="Times New Roman"/>
          <w:sz w:val="18"/>
          <w:szCs w:val="18"/>
          <w:color w:val="auto"/>
        </w:rPr>
      </w:pPr>
    </w:p>
    <w:p>
      <w:pPr>
        <w:jc w:val="both"/>
        <w:ind w:left="968" w:hanging="320"/>
        <w:spacing w:after="0" w:line="261" w:lineRule="auto"/>
        <w:tabs>
          <w:tab w:leader="none" w:pos="968"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on Rule 430A and contained in a form of prospectus filed by the undersigned registrant pursuant to Rule 424(b)(1) or (4) or 497(h) under the Securities Act shall be deemed to be part of this registration statement as of the time it was declared effective; and</w:t>
      </w:r>
    </w:p>
    <w:p>
      <w:pPr>
        <w:spacing w:after="0" w:line="179"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9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0" w:type="dxa"/>
            <w:vAlign w:val="bottom"/>
            <w:gridSpan w:val="13"/>
          </w:tcPr>
          <w:p>
            <w:pPr>
              <w:ind w:left="2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0" w:type="dxa"/>
            <w:vAlign w:val="bottom"/>
            <w:gridSpan w:val="13"/>
          </w:tcPr>
          <w:p>
            <w:pPr>
              <w:ind w:left="60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0" w:type="dxa"/>
            <w:vAlign w:val="bottom"/>
          </w:tcPr>
          <w:p>
            <w:pPr>
              <w:spacing w:after="0"/>
              <w:rPr>
                <w:sz w:val="1"/>
                <w:szCs w:val="1"/>
                <w:color w:val="auto"/>
              </w:rPr>
            </w:pP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Amended and Restated Memorandum and Articles of Association of the Registrant (incorporated herein by reference to Exhibit 3.2 to the</w:t>
              </w:r>
            </w:hyperlink>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registration statement on Form F-1 (File No. 333-274857), as amended, initially filed with the SEC on October 4, 2023)</w:t>
              </w:r>
            </w:hyperlink>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Form of Registrant’s Specimen American Depositary Receipt (included in Exhibit 4.3)</w:t>
              </w:r>
            </w:hyperlink>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Registrant’s Specimen Certificate for Class B ordinary shares (incorporated herein by reference to Exhibit 4.2 of the Registrant’s</w:t>
              </w:r>
            </w:hyperlink>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registration statement on Form F-1 (File No. 333- 274857), as amended, initially filed with the SEC on October 4, 2023)</w:t>
              </w:r>
            </w:hyperlink>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Form of Deposit Agreement by and among the Registrant, the depositary and all holders and beneficial owners of the American Depositary</w:t>
              </w:r>
            </w:hyperlink>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Shares (incorporated herein by reference to Exhibit 4.3 of the Registrant’s registration statement on Form F-1 (File No. 333- 274857), as</w:t>
              </w:r>
            </w:hyperlink>
          </w:p>
        </w:tc>
        <w:tc>
          <w:tcPr>
            <w:tcW w:w="0" w:type="dxa"/>
            <w:vAlign w:val="bottom"/>
          </w:tcPr>
          <w:p>
            <w:pPr>
              <w:spacing w:after="0"/>
              <w:rPr>
                <w:sz w:val="1"/>
                <w:szCs w:val="1"/>
                <w:color w:val="auto"/>
              </w:rPr>
            </w:pPr>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amended, initially filed with the SEC on October 4, 2023)</w:t>
              </w:r>
            </w:hyperlink>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Maples and Calder (Hong Kong) LLP regarding the validity of the Class B ordinary shares being registered</w:t>
            </w: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2023 Equity Incentive Plan, as amended and restated (incorporated by reference to Exhibit 99.3 of the Registrant’s Current Report on Form</w:t>
              </w:r>
            </w:hyperlink>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6-K, filed with the SEC on December 4, 2024)</w:t>
              </w:r>
            </w:hyperlink>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Form of Indemnification Agreement, between the Registrant and its directors and executive officers (incorporated by reference to Exhibit</w:t>
              </w:r>
            </w:hyperlink>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Registrant’s registration statement on Form F-1 (File No. 333- 274857), as amended, initially filed with the SEC on October 4,</w:t>
              </w:r>
            </w:hyperlink>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2023)</w:t>
              </w:r>
            </w:hyperlink>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Form of Employment Agreement, between the Registrant and its executive officers (incorporated by reference to Exhibit 10.2 to the</w:t>
              </w:r>
            </w:hyperlink>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Registrant’s registration statement on Form F-1 (File No. 333- 274857), as amended, initially filed with the SEC on October 4, 2023)</w:t>
              </w:r>
            </w:hyperlink>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Share Purchase Agreement entered into as of August 15, 2025 by and among Tongxin Innovation Limited, the Registrant, Bu Fan, Zhang</w:t>
            </w:r>
          </w:p>
        </w:tc>
        <w:tc>
          <w:tcPr>
            <w:tcW w:w="0" w:type="dxa"/>
            <w:vAlign w:val="bottom"/>
          </w:tcPr>
          <w:p>
            <w:pPr>
              <w:spacing w:after="0"/>
              <w:rPr>
                <w:sz w:val="1"/>
                <w:szCs w:val="1"/>
                <w:color w:val="auto"/>
              </w:rPr>
            </w:pPr>
          </w:p>
        </w:tc>
      </w:tr>
      <w:tr>
        <w:trPr>
          <w:trHeight w:val="128"/>
        </w:trPr>
        <w:tc>
          <w:tcPr>
            <w:tcW w:w="10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100" w:type="dxa"/>
            <w:vAlign w:val="bottom"/>
            <w:gridSpan w:val="19"/>
            <w:vMerge w:val="restart"/>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Jing, Lim Yun Jiin Yvonne and Tee Sheau Nee</w:t>
            </w:r>
          </w:p>
        </w:tc>
        <w:tc>
          <w:tcPr>
            <w:tcW w:w="0" w:type="dxa"/>
            <w:vAlign w:val="bottom"/>
          </w:tcPr>
          <w:p>
            <w:pPr>
              <w:spacing w:after="0"/>
              <w:rPr>
                <w:sz w:val="1"/>
                <w:szCs w:val="1"/>
                <w:color w:val="auto"/>
              </w:rPr>
            </w:pPr>
          </w:p>
        </w:tc>
      </w:tr>
      <w:tr>
        <w:trPr>
          <w:trHeight w:val="88"/>
        </w:trPr>
        <w:tc>
          <w:tcPr>
            <w:tcW w:w="10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100" w:type="dxa"/>
            <w:vAlign w:val="bottom"/>
            <w:gridSpan w:val="19"/>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Securities Purchase Agreement dated as of August 7, 2025 by and between the Registrant and Streeterville Capital, LLC</w:t>
            </w: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Securities Purchase Agreement dated as of September 8, 2025 by and between the Registrant and Viner Total Investments Fund, Cheng</w:t>
            </w: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Jianbo, Lida Global Limited, OGBC Group Pte Ltd and Ripple Strategy Holding Ltd</w:t>
            </w: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Placement Agent Agreement dated as of September 8, 2025 by and between the Registrant and Chaince Securities, LLC</w:t>
            </w: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5"/>
                <w:szCs w:val="15"/>
                <w:color w:val="auto"/>
              </w:rPr>
            </w:pPr>
          </w:p>
        </w:tc>
        <w:tc>
          <w:tcPr>
            <w:tcW w:w="101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Registration Rights Agreement dated as of September 8, 2025 by and between the Registrant and Viner Total Investments Fund, Cheng</w:t>
            </w:r>
          </w:p>
        </w:tc>
        <w:tc>
          <w:tcPr>
            <w:tcW w:w="0" w:type="dxa"/>
            <w:vAlign w:val="bottom"/>
          </w:tcPr>
          <w:p>
            <w:pPr>
              <w:spacing w:after="0"/>
              <w:rPr>
                <w:sz w:val="1"/>
                <w:szCs w:val="1"/>
                <w:color w:val="auto"/>
              </w:rPr>
            </w:pPr>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Jianbo, Lida Global Limited, OGBC Group Pte Ltd and Ripple Strategy Holding Ltd</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Escrow Agreement dated as of September 11, 2025 by and between the Registrant and Chaince Securities, LLC and Wilmington Trust,</w:t>
            </w: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National Association</w:t>
            </w: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Escrow Agent Agreement dated as of September 11, 2025 by and between the Registrant and Chaince Securities, LLC and Mercurity</w:t>
            </w: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Fintech Holding Inc</w:t>
            </w: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Principal Subsidiaries of the Registrant (incorporated by reference to Exhibit 21.1 to the Registrant’s registration statement on Form F-1</w:t>
              </w:r>
            </w:hyperlink>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(File No. 333- 274857), as amended, initially filed with the SEC on October 4, 2023)</w:t>
              </w:r>
            </w:hyperlink>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Marcum Asia CPAs LLP, Independent Registered Public Accounting Firm</w:t>
            </w: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Maples and Calder (Hong Kong) LLP (included in Exhibit 5.1)</w:t>
            </w: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Powers of Attorney (included on signature page)</w:t>
            </w: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5"/>
                <w:szCs w:val="15"/>
                <w:color w:val="auto"/>
              </w:rPr>
            </w:pPr>
          </w:p>
        </w:tc>
        <w:tc>
          <w:tcPr>
            <w:tcW w:w="101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Calculation of Filing Fee Table</w:t>
            </w: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34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annexes, schedules and exhibits have been omitted pursuant to Item 601(b)(2) of Regulation S-K. Company hereby agrees to furnish supplementally a copy of any omitted annex, schedule or exhibit to the SEC upon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095"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Singapore, on October 3, 2025.</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Soon Huat Lim, as his or her true and lawful attorney-in-fact and agent, with full power of substitution and re-substitution in him or her and in his or her name, place and stead, and in any and all capacities,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attorney-in-fact and agent, full power and authority to do and perform each and every act and thing requisite or necessary to be done in and about the premises, as full to all intents and purposes as he or she might or could do in person, hereby ratifying and confirming all that said attorney-in-fact and agent, or his substitute or substitutes, may lawfully do or cause to be done by virtue hereof.</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240"/>
          </w:cols>
          <w:pgMar w:left="320" w:top="900" w:right="339" w:bottom="1440" w:gutter="0" w:footer="0" w:header="0"/>
        </w:sectPr>
      </w:pPr>
    </w:p>
    <w:p>
      <w:pPr>
        <w:spacing w:after="0" w:line="15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07454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2074545" cy="17145"/>
                    </a:xfrm>
                    <a:prstGeom prst="rect">
                      <a:avLst/>
                    </a:prstGeom>
                    <a:noFill/>
                  </pic:spPr>
                </pic:pic>
              </a:graphicData>
            </a:graphic>
          </wp:anchor>
        </w:drawing>
      </w:r>
    </w:p>
    <w:p>
      <w:pPr>
        <w:spacing w:after="0" w:line="23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7454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2074545" cy="1714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2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Poh Kiong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7454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2074545" cy="1714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Name: Poh Kiong Tan</w:t>
      </w:r>
    </w:p>
    <w:p>
      <w:pPr>
        <w:spacing w:after="0" w:line="22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How Teck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7454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2074545" cy="1714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Name: How Teck Lim</w:t>
      </w:r>
    </w:p>
    <w:p>
      <w:pPr>
        <w:spacing w:after="0" w:line="22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Noi Keng Koh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7454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2074545" cy="1714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Name: Noi Keng Koh</w:t>
      </w:r>
    </w:p>
    <w:p>
      <w:pPr>
        <w:spacing w:after="0" w:line="22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Chwee Koh Chua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7454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2074545" cy="1714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Name: Chwee Koh Chua</w:t>
      </w:r>
    </w:p>
    <w:p>
      <w:pPr>
        <w:spacing w:after="0" w:line="23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Haiyan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7454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2074545" cy="1714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Name: Haiyan Huang</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494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1"/>
                <w:szCs w:val="21"/>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7"/>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3, 2025</w:t>
            </w:r>
          </w:p>
        </w:tc>
      </w:tr>
      <w:tr>
        <w:trPr>
          <w:trHeight w:val="234"/>
        </w:trPr>
        <w:tc>
          <w:tcPr>
            <w:tcW w:w="5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800" w:type="dxa"/>
            <w:vAlign w:val="bottom"/>
          </w:tcPr>
          <w:p>
            <w:pPr>
              <w:spacing w:after="0"/>
              <w:rPr>
                <w:sz w:val="20"/>
                <w:szCs w:val="20"/>
                <w:color w:val="auto"/>
              </w:rPr>
            </w:pPr>
          </w:p>
        </w:tc>
      </w:tr>
      <w:tr>
        <w:trPr>
          <w:trHeight w:val="445"/>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and Chief Technology Officer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3, 2025</w:t>
            </w:r>
          </w:p>
        </w:tc>
      </w:tr>
      <w:tr>
        <w:trPr>
          <w:trHeight w:val="675"/>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3, 2025</w:t>
            </w:r>
          </w:p>
        </w:tc>
      </w:tr>
      <w:tr>
        <w:trPr>
          <w:trHeight w:val="675"/>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3, 2025</w:t>
            </w:r>
          </w:p>
        </w:tc>
      </w:tr>
      <w:tr>
        <w:trPr>
          <w:trHeight w:val="675"/>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3, 2025</w:t>
            </w:r>
          </w:p>
        </w:tc>
      </w:tr>
      <w:tr>
        <w:trPr>
          <w:trHeight w:val="670"/>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3, 2025</w:t>
            </w: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w:t>
            </w:r>
          </w:p>
        </w:tc>
        <w:tc>
          <w:tcPr>
            <w:tcW w:w="2800" w:type="dxa"/>
            <w:vAlign w:val="bottom"/>
          </w:tcPr>
          <w:p>
            <w:pPr>
              <w:spacing w:after="0"/>
              <w:rPr>
                <w:sz w:val="18"/>
                <w:szCs w:val="18"/>
                <w:color w:val="auto"/>
              </w:rPr>
            </w:pPr>
          </w:p>
        </w:tc>
      </w:tr>
      <w:tr>
        <w:trPr>
          <w:trHeight w:val="234"/>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8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2660" w:space="720"/>
            <w:col w:w="7860"/>
          </w:cols>
          <w:pgMar w:left="320" w:top="900" w:right="3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the undersigned, the duly authorized representative in the United States of Trident Digital Tech Holdings Ltd, has signed this registration statement or amendment thereto in New York, United States on October 3, 2025.</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1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Our ref </w:t>
      </w:r>
      <w:r>
        <w:rPr>
          <w:sz w:val="20"/>
          <w:szCs w:val="20"/>
          <w:color w:val="auto"/>
        </w:rPr>
        <w:tab/>
      </w:r>
      <w:r>
        <w:rPr>
          <w:rFonts w:ascii="Times New Roman" w:cs="Times New Roman" w:eastAsia="Times New Roman" w:hAnsi="Times New Roman"/>
          <w:sz w:val="17"/>
          <w:szCs w:val="17"/>
          <w:color w:val="auto"/>
        </w:rPr>
        <w:t>JVZ/821544-000003/33344183v2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Suntec Tower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Temasek Boulevard Road, #24-03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038988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October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acted as Cayman Islands legal advisers to Trident Digital Tech Holdings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Company’s registration statement on Form F-1, including all amendments or supplements thereto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3 October 2025 under the U.S. Securities Act of 1933, as amended to date, and the base prospectus included therein relating to the resale by certain selling shareholders named in the Registration Statement (the “</w:t>
      </w:r>
      <w:r>
        <w:rPr>
          <w:rFonts w:ascii="Times New Roman" w:cs="Times New Roman" w:eastAsia="Times New Roman" w:hAnsi="Times New Roman"/>
          <w:sz w:val="18"/>
          <w:szCs w:val="18"/>
          <w:b w:val="1"/>
          <w:bCs w:val="1"/>
          <w:color w:val="auto"/>
        </w:rPr>
        <w:t>Selling Shareholders</w:t>
      </w:r>
      <w:r>
        <w:rPr>
          <w:rFonts w:ascii="Times New Roman" w:cs="Times New Roman" w:eastAsia="Times New Roman" w:hAnsi="Times New Roman"/>
          <w:sz w:val="18"/>
          <w:szCs w:val="18"/>
          <w:color w:val="auto"/>
        </w:rPr>
        <w:t>”) of up to 266,900,714 class B ordinary shares, par value US$0.00001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in the form of American depositary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of the Company and the Conversion Shares (as defined in the Registration Statement), by certain shareholders (collectively, the “</w:t>
      </w:r>
      <w:r>
        <w:rPr>
          <w:rFonts w:ascii="Times New Roman" w:cs="Times New Roman" w:eastAsia="Times New Roman" w:hAnsi="Times New Roman"/>
          <w:sz w:val="18"/>
          <w:szCs w:val="18"/>
          <w:b w:val="1"/>
          <w:bCs w:val="1"/>
          <w:color w:val="auto"/>
        </w:rPr>
        <w:t>Selling Shareholders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consisting of: (i) 104,000,000 Shares issued to the Tongxin Shareholders (as defined in the Registration Statement), (ii) 14,295,000 Class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shares issued to Streeterville (as defined in the Registration Statement) and the Conversion Shares to be issued to Streeterville, and (iii) 148,605,714 Class B ordinary shares issued to the PIPE Purchasers (as defined in the Registration Statement).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furnishing this opinion as Exhibits 5.1 and 23.2 to the Registration Statement.</w:t>
      </w:r>
    </w:p>
    <w:p>
      <w:pPr>
        <w:spacing w:after="0" w:line="221"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Reviewed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this opinion, we have reviewed only originals, copies or final drafts of the following documents: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The certificate of incorporation dated 12 June 2023.</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The amended and restated memorandum and articles of association of the Company adopted by a special resolution passed on 29 September 2023 and effective immediately prior to the completion of the Company’s initial public offering of ADSs representing its Shares (the “</w:t>
      </w:r>
      <w:r>
        <w:rPr>
          <w:rFonts w:ascii="Times New Roman" w:cs="Times New Roman" w:eastAsia="Times New Roman" w:hAnsi="Times New Roman"/>
          <w:sz w:val="18"/>
          <w:szCs w:val="18"/>
          <w:b w:val="1"/>
          <w:bCs w:val="1"/>
          <w:color w:val="auto"/>
        </w:rPr>
        <w:t>Memorandum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Articles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The written resolutions of the board of directors of the Company dated 7 August 2025, 15 August 2025 and 8 September 2025 (the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660" w:right="2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A certificate of good standing with respect to the Company issued by the Registrar of Companies dated 30 September 2025 (the “</w:t>
      </w:r>
      <w:r>
        <w:rPr>
          <w:rFonts w:ascii="Times New Roman" w:cs="Times New Roman" w:eastAsia="Times New Roman" w:hAnsi="Times New Roman"/>
          <w:sz w:val="18"/>
          <w:szCs w:val="18"/>
          <w:b w:val="1"/>
          <w:b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Good Standing</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A certificate from a director of the Company a copy of which is attached to this opinion letter (the “</w:t>
      </w:r>
      <w:r>
        <w:rPr>
          <w:rFonts w:ascii="Times New Roman" w:cs="Times New Roman" w:eastAsia="Times New Roman" w:hAnsi="Times New Roman"/>
          <w:sz w:val="17"/>
          <w:szCs w:val="17"/>
          <w:b w:val="1"/>
          <w:bCs w:val="1"/>
          <w:color w:val="auto"/>
        </w:rPr>
        <w:t>Director’s Certificate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opinions are given only as to, and based on, circumstances and matters of fact existing and known to us on the date of this opinion letter. These opinions only relate to the laws u poof the Cayman Islands which are in force on the date of this opinion letter. In giving these opinions we have relied (without further verification) upon the completeness and accuracy, as of the date of this opinion letter, of the Director’s Certificate and the Certificate of Good Standing. We have also relied upon the following assumptions, which we have not independently verified:</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Copies of documents, conformed copies or drafts of documents provided to us are true and complete copies of, or in the final forms of, the originals.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All signatures, initials and seals are genuine.</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There is nothing contained in the minute book or corporate records of the Company (which we have not inspected) which would or might affect the opinions set out below.</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There is nothing under any law (other than the law of the Cayman Islands), which would or might affect the opinions set out below.</w:t>
      </w:r>
    </w:p>
    <w:p>
      <w:pPr>
        <w:spacing w:after="0" w:line="221"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set out below and having regard to such legal considerations as we deem relevant, we are of the opinion that:</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Company has been duly incorporated as an exempted company with limited liability and is validly existing and in good standing with the Registrar of Companies under the laws of the Cayman Islands.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authorised share capital of the Company is US$50,000.00 divided into 5,000,000,000 shares of a par value of US$0.00001 each, comprising</w:t>
      </w:r>
    </w:p>
    <w:p>
      <w:pPr>
        <w:spacing w:after="0" w:line="27" w:lineRule="exact"/>
        <w:rPr>
          <w:sz w:val="20"/>
          <w:szCs w:val="20"/>
          <w:color w:val="auto"/>
        </w:rPr>
      </w:pPr>
    </w:p>
    <w:p>
      <w:pPr>
        <w:jc w:val="both"/>
        <w:ind w:left="660" w:hanging="4"/>
        <w:spacing w:after="0" w:line="255" w:lineRule="auto"/>
        <w:tabs>
          <w:tab w:leader="none" w:pos="89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are designated as Class A Ordinary Shares of a par value of US$0.00001 each, (ii) 3,000,000,000 are designated as Class B Ordinary Shares of a par value of US$0.00001 each, and (iii) 1,000,000,000 shares of a par value of US$0.00001 each of such class or classes (however designated) as the board of directors may determine in accordance with the Memorandum and Articles.</w:t>
      </w:r>
    </w:p>
    <w:p>
      <w:pPr>
        <w:spacing w:after="0" w:line="18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The sale of the Shares by the Selling Shareholders as contemplated in the Registration Statement have been duly authorised by or on behalf of the Company. The Shares are legally issued and allotted and (assuming the purchase price therefor has been paid in full) fully paid and non-assessable. As a matter of Cayman Islands law, a share is only issued when it has been entered in the register of members (shareholders).</w:t>
      </w:r>
    </w:p>
    <w:p>
      <w:pPr>
        <w:spacing w:after="0" w:line="172"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expressed above are subject to the following qualifications: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To maintain the Company in good standing with the Registrar of Companies under the laws of the Cayman Islands, annual filing fees must be paid and returns made to the Registrar of Companies within the time frame prescribed by law.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Under the Companies Act (As Revised) of the Cayman Islands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the register of members of a Cayman Islands company is by statute regarded as prima facie evidence of any matters which the Companies Act directs or authorises to be inserted in it. A third party interest in the shares in question would not appear. An entry in the register of members may yield to a court order for rectification (for example, in the event of fraud or manifest error).</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In this opinion the phrase “non-assessable” means, with respect to the Shares in the Company, that a shareholder shall not, solely by virtue of its status as a shareholder, and in absence of a contractual arrangement, or an obligation pursuant to the Memorandum and Articles of Association, to the contrary,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which are the subject of this opinion.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 to our name under the heading “Enforceability of Civil Liabilities” and “Legal Matters” and elsewhere in the prospectus included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7"/>
          <w:szCs w:val="17"/>
          <w:b w:val="1"/>
          <w:bCs w:val="1"/>
          <w:color w:val="auto"/>
        </w:rPr>
        <w:t>Trident Digital Tech Holdings Ltd</w:t>
      </w:r>
    </w:p>
    <w:p>
      <w:pPr>
        <w:sectPr>
          <w:pgSz w:w="11900" w:h="16838" w:orient="portrait"/>
          <w:cols w:equalWidth="0" w:num="1">
            <w:col w:w="11240"/>
          </w:cols>
          <w:pgMar w:left="320" w:top="927" w:right="33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Maples and Calder (Hong Kong) LLP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26th Floor, Central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Harbour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Wanchai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00" w:lineRule="exact"/>
        <w:rPr>
          <w:sz w:val="20"/>
          <w:szCs w:val="20"/>
          <w:color w:val="auto"/>
        </w:rPr>
      </w:pPr>
    </w:p>
    <w:p>
      <w:pPr>
        <w:sectPr>
          <w:pgSz w:w="11900" w:h="16838" w:orient="portrait"/>
          <w:cols w:equalWidth="0" w:num="2">
            <w:col w:w="240" w:space="420"/>
            <w:col w:w="10580"/>
          </w:cols>
          <w:pgMar w:left="320" w:top="927" w:right="339" w:bottom="1440" w:gutter="0" w:footer="0" w:header="0"/>
          <w:type w:val="continuous"/>
        </w:sectPr>
      </w:pP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 October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Trident Digital Tech Holdings Ltd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 the undersigned, being a director of the Company, am aware that you are being asked to provide an opinion letter (the “</w:t>
      </w:r>
      <w:r>
        <w:rPr>
          <w:rFonts w:ascii="Times New Roman" w:cs="Times New Roman" w:eastAsia="Times New Roman" w:hAnsi="Times New Roman"/>
          <w:sz w:val="18"/>
          <w:szCs w:val="18"/>
          <w:b w:val="1"/>
          <w:bCs w:val="1"/>
          <w:color w:val="auto"/>
        </w:rPr>
        <w:t>Opinion</w:t>
      </w:r>
      <w:r>
        <w:rPr>
          <w:rFonts w:ascii="Times New Roman" w:cs="Times New Roman" w:eastAsia="Times New Roman" w:hAnsi="Times New Roman"/>
          <w:sz w:val="18"/>
          <w:szCs w:val="18"/>
          <w:color w:val="auto"/>
        </w:rPr>
        <w:t>”) in relation to certain aspects of Cayman Islands law. Unless otherwise defined herein, capitalised terms used in this certificate have the respective meanings given to them in the Opinion. I hereby certify that:</w:t>
      </w:r>
    </w:p>
    <w:p>
      <w:pPr>
        <w:spacing w:after="0" w:line="175"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Memorandum and Articles remain in full force and effect and are unamended.</w:t>
      </w:r>
    </w:p>
    <w:p>
      <w:pPr>
        <w:spacing w:after="0" w:line="225" w:lineRule="exact"/>
        <w:rPr>
          <w:sz w:val="20"/>
          <w:szCs w:val="20"/>
          <w:color w:val="auto"/>
        </w:rPr>
      </w:pPr>
    </w:p>
    <w:p>
      <w:pPr>
        <w:ind w:left="660" w:right="2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were duly passed in the manner prescribed in the Memorandum and Articles (including, without limitation, with respect to the disclosure of interests (if any) by directors of the Company) and have not been amended, varied or revoked in any respect.</w:t>
      </w:r>
    </w:p>
    <w:p>
      <w:pPr>
        <w:spacing w:after="0" w:line="162"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authorised share capital of the Company, is US$50,000.00 divided into 5,000,000,000 shares of a par value of US$0.00001 each, comprising</w:t>
      </w:r>
    </w:p>
    <w:p>
      <w:pPr>
        <w:spacing w:after="0" w:line="27" w:lineRule="exact"/>
        <w:rPr>
          <w:rFonts w:ascii="Times New Roman" w:cs="Times New Roman" w:eastAsia="Times New Roman" w:hAnsi="Times New Roman"/>
          <w:sz w:val="18"/>
          <w:szCs w:val="18"/>
          <w:color w:val="auto"/>
        </w:rPr>
      </w:pPr>
    </w:p>
    <w:p>
      <w:pPr>
        <w:ind w:left="660" w:hanging="4"/>
        <w:spacing w:after="0" w:line="260" w:lineRule="auto"/>
        <w:tabs>
          <w:tab w:leader="none" w:pos="89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are designated as Class A Ordinary Shares of a par value of US$0.00001 each, (ii) 3,000,000,000 are designated as Class B Ordinary Shares of a par value of US$0.00001 each, and (iii) 1,000,000,000 shares of a par value of US$0.00001 each.</w:t>
      </w:r>
    </w:p>
    <w:p>
      <w:pPr>
        <w:spacing w:after="0" w:line="181" w:lineRule="exact"/>
        <w:rPr>
          <w:sz w:val="20"/>
          <w:szCs w:val="20"/>
          <w:color w:val="auto"/>
        </w:rPr>
      </w:pPr>
    </w:p>
    <w:p>
      <w:pPr>
        <w:ind w:left="66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shares in the capital of the Company have been duly and validly authorised and issued and are fully paid and non-assessable (meaning that no further sums are payable to the Company on such shares and the Company has received payment therefor).</w:t>
      </w:r>
    </w:p>
    <w:p>
      <w:pPr>
        <w:spacing w:after="0" w:line="158" w:lineRule="exact"/>
        <w:rPr>
          <w:sz w:val="20"/>
          <w:szCs w:val="20"/>
          <w:color w:val="auto"/>
        </w:rPr>
      </w:pPr>
    </w:p>
    <w:p>
      <w:pPr>
        <w:jc w:val="both"/>
        <w:ind w:left="660" w:hanging="652"/>
        <w:spacing w:after="0" w:line="268"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Company (the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have not restricted the powers of the directors of the Company in any way. There is no contractual or other prohibition (other than as arising under Cayman Islands law) binding on the Company prohibiting it from issuing and allotting the Shares or entering into and performing its obligations under the Transaction Documents.</w:t>
      </w:r>
    </w:p>
    <w:p>
      <w:pPr>
        <w:spacing w:after="0" w:line="175" w:lineRule="exact"/>
        <w:rPr>
          <w:sz w:val="20"/>
          <w:szCs w:val="20"/>
          <w:color w:val="auto"/>
        </w:rPr>
      </w:pPr>
    </w:p>
    <w:p>
      <w:pPr>
        <w:jc w:val="both"/>
        <w:ind w:left="66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authorised and issued share capital as set out in the Registration Statement and all of the issued shares in the capital of the Company have been duly and validly authorised and issued and are fully paid and non-assessable (meaning that no further sums are payable to the Company on such shares and the Company has received payment therefor).</w:t>
      </w:r>
    </w:p>
    <w:p>
      <w:pPr>
        <w:spacing w:after="0" w:line="176" w:lineRule="exact"/>
        <w:rPr>
          <w:sz w:val="20"/>
          <w:szCs w:val="20"/>
          <w:color w:val="auto"/>
        </w:rPr>
      </w:pPr>
    </w:p>
    <w:p>
      <w:pPr>
        <w:ind w:left="660" w:right="2400" w:hanging="652"/>
        <w:spacing w:after="0" w:line="500"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at the date of Resolutions and at the date of this certificate were and are as follows: LIM Soon Huat</w:t>
      </w:r>
    </w:p>
    <w:p>
      <w:pPr>
        <w:spacing w:after="0" w:line="1" w:lineRule="exact"/>
        <w:rPr>
          <w:rFonts w:ascii="Times New Roman" w:cs="Times New Roman" w:eastAsia="Times New Roman" w:hAnsi="Times New Roman"/>
          <w:sz w:val="18"/>
          <w:szCs w:val="18"/>
          <w:color w:val="auto"/>
        </w:rPr>
      </w:pPr>
    </w:p>
    <w:p>
      <w:pPr>
        <w:ind w:left="660" w:right="9300"/>
        <w:spacing w:after="0" w:line="5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Chwee Koh Chua Noi Keng Koh How Teck Lim Poh Kiong Tan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53" w:name="page54"/>
    <w:bookmarkEnd w:id="53"/>
    <w:p>
      <w:pPr>
        <w:jc w:val="both"/>
        <w:ind w:left="660" w:hanging="652"/>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of the Company considers the transactions contemplated by the Registration Statement to be of commercial benefit to the Company and has acted bona fide in the best interests of the Company, and for a proper purpose of the Company in relation to the transactions which are the subject of the Opinion.</w:t>
      </w:r>
    </w:p>
    <w:p>
      <w:pPr>
        <w:spacing w:after="0" w:line="176" w:lineRule="exact"/>
        <w:rPr>
          <w:sz w:val="20"/>
          <w:szCs w:val="20"/>
          <w:color w:val="auto"/>
        </w:rPr>
      </w:pPr>
    </w:p>
    <w:p>
      <w:pPr>
        <w:ind w:left="660" w:right="20" w:hanging="652"/>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in the Company constituting shares, voting rights or ultimate effective control over management in the Company is currently subject to a restrictions notice issued under the Beneficial Ownership Transparency Cat (As Revised).</w:t>
      </w:r>
    </w:p>
    <w:p>
      <w:pPr>
        <w:spacing w:after="0" w:line="162" w:lineRule="exact"/>
        <w:rPr>
          <w:sz w:val="20"/>
          <w:szCs w:val="20"/>
          <w:color w:val="auto"/>
        </w:rPr>
      </w:pPr>
    </w:p>
    <w:p>
      <w:pPr>
        <w:jc w:val="both"/>
        <w:ind w:left="660" w:right="20" w:hanging="652"/>
        <w:spacing w:after="0" w:line="261"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my knowledge and belief, having made due inquiry, the Company is not the subject of legal, arbitral, administrative or other proceedings in any jurisdiction and neither the directors nor Shareholders have taken any steps to have the Company struck off or placed in liquidation. Further, no steps have been taken to wind up the Company or to appoint restructuring officers or interim restructuring officers, and no receiver has been appointed in relation to any of the Company’s property or assets.</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confirm that you may continue to rely on this certificate as being true and correct on the day that you issue the Opinion unless I shall have previously notified you in writing personally to the contrary.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LIM Soon Huat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244284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2442845" cy="17145"/>
                    </a:xfrm>
                    <a:prstGeom prst="rect">
                      <a:avLst/>
                    </a:prstGeom>
                    <a:noFill/>
                  </pic:spPr>
                </pic:pic>
              </a:graphicData>
            </a:graphic>
          </wp:anchor>
        </w:drawing>
      </w:r>
    </w:p>
    <w:p>
      <w:pPr>
        <w:spacing w:after="0" w:line="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LIM Soon Huat</w:t>
      </w:r>
    </w:p>
    <w:p>
      <w:pPr>
        <w:spacing w:after="0" w:line="2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156845</wp:posOffset>
            </wp:positionV>
            <wp:extent cx="3566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Tongxin Innovation Limited</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Each of the Selling Shareholders listed on Schedule A hereto</w:t>
      </w:r>
    </w:p>
    <w:p>
      <w:pPr>
        <w:spacing w:after="0" w:line="24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August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291465</wp:posOffset>
            </wp:positionV>
            <wp:extent cx="3566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746125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SHARE PURCHASE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SHARE PURCHASE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August 15, 2025 by and among the following parties:</w:t>
      </w:r>
    </w:p>
    <w:p>
      <w:pPr>
        <w:spacing w:after="0" w:line="225" w:lineRule="exact"/>
        <w:rPr>
          <w:sz w:val="20"/>
          <w:szCs w:val="20"/>
          <w:color w:val="auto"/>
        </w:rPr>
      </w:pPr>
    </w:p>
    <w:p>
      <w:pPr>
        <w:ind w:left="660" w:hanging="652"/>
        <w:spacing w:after="0" w:line="28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Tongxin Innovation Limited</w:t>
      </w:r>
      <w:r>
        <w:rPr>
          <w:rFonts w:ascii="Times New Roman" w:cs="Times New Roman" w:eastAsia="Times New Roman" w:hAnsi="Times New Roman"/>
          <w:sz w:val="18"/>
          <w:szCs w:val="18"/>
          <w:color w:val="auto"/>
        </w:rPr>
        <w:t>, a Hong Kong private company limited by shares with its registered office at Tsim Sha Tsui Long Wah Building,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3/F, 21-21A Lock Roads, Kowloon, Hong Kong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Trident Digital Tech Holdings Ltd</w:t>
      </w:r>
      <w:r>
        <w:rPr>
          <w:rFonts w:ascii="Times New Roman" w:cs="Times New Roman" w:eastAsia="Times New Roman" w:hAnsi="Times New Roman"/>
          <w:sz w:val="18"/>
          <w:szCs w:val="18"/>
          <w:color w:val="auto"/>
        </w:rPr>
        <w:t>, a Cayman Islands exempted company with limited liability with its registered office at the Office of Sertus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Incorporations (Cayman) Limited, Sertus Chambers, Governors Square, Suite # 5-204, 23 Lime Tree Bay Avenue, P.O. Box 2547, Grand Cayman, KY1- 1104, Cayman Islands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w:t>
      </w:r>
    </w:p>
    <w:p>
      <w:pPr>
        <w:spacing w:after="0" w:line="197"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Persons listed on column A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(each such Person, a “</w:t>
      </w:r>
      <w:r>
        <w:rPr>
          <w:rFonts w:ascii="Times New Roman" w:cs="Times New Roman" w:eastAsia="Times New Roman" w:hAnsi="Times New Roman"/>
          <w:sz w:val="18"/>
          <w:szCs w:val="18"/>
          <w:b w:val="1"/>
          <w:bCs w:val="1"/>
          <w:color w:val="auto"/>
        </w:rPr>
        <w:t>Selling Shareholder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Each of Selling Shareholders, the Company and the Purchaser is hereinafter referred to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ind w:left="660" w:right="20" w:hanging="652"/>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WHEREAS, as of the date of this Agreement, each Selling Shareholder holds such number of Ordinary Shares as set forth opposite such Selling Shareholder’s name in column B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and</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WHEREAS, each Selling Shareholder desires to sell to the Purchaser, and the Purchaser desires to purchase from such Selling Shareholder such number of Ordinary Shares as set forth opposite its name in column C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(such Ordinary Shares to be sold, the “</w:t>
      </w:r>
      <w:r>
        <w:rPr>
          <w:rFonts w:ascii="Times New Roman" w:cs="Times New Roman" w:eastAsia="Times New Roman" w:hAnsi="Times New Roman"/>
          <w:sz w:val="18"/>
          <w:szCs w:val="18"/>
          <w:b w:val="1"/>
          <w:bCs w:val="1"/>
          <w:color w:val="auto"/>
        </w:rPr>
        <w:t>Selling Shares</w:t>
      </w:r>
      <w:r>
        <w:rPr>
          <w:rFonts w:ascii="Times New Roman" w:cs="Times New Roman" w:eastAsia="Times New Roman" w:hAnsi="Times New Roman"/>
          <w:sz w:val="18"/>
          <w:szCs w:val="18"/>
          <w:color w:val="auto"/>
        </w:rPr>
        <w:t>”) with the aggregate amount of the Selling Shares representing 30% of the total issued share capital of the Company as of the date hereof, pursuant to the terms and subject to the conditions set forth in this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NOW, THEREFORE, in consideration of the mutual promises, covenants and conditions hereinafter set forth, the Parties agree as follows:</w:t>
      </w:r>
    </w:p>
    <w:p>
      <w:pPr>
        <w:spacing w:after="0" w:line="225"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auto"/>
        </w:rPr>
        <w:t>Certain Defined Terms</w:t>
      </w:r>
      <w:r>
        <w:rPr>
          <w:rFonts w:ascii="Times New Roman" w:cs="Times New Roman" w:eastAsia="Times New Roman" w:hAnsi="Times New Roman"/>
          <w:sz w:val="17"/>
          <w:szCs w:val="17"/>
          <w:color w:val="auto"/>
        </w:rPr>
        <w:t>. As used in this Agreement, the following terms shall have the following respective meanings: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“Action” </w:t>
      </w:r>
      <w:r>
        <w:rPr>
          <w:rFonts w:ascii="Times New Roman" w:cs="Times New Roman" w:eastAsia="Times New Roman" w:hAnsi="Times New Roman"/>
          <w:sz w:val="18"/>
          <w:szCs w:val="18"/>
          <w:color w:val="auto"/>
        </w:rPr>
        <w:t>shall mean any action, suit, litigation, proceeding, claim, arbitration, investigation or administrative proceeding.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“ADSs” </w:t>
      </w:r>
      <w:r>
        <w:rPr>
          <w:rFonts w:ascii="Times New Roman" w:cs="Times New Roman" w:eastAsia="Times New Roman" w:hAnsi="Times New Roman"/>
          <w:sz w:val="18"/>
          <w:szCs w:val="18"/>
          <w:color w:val="auto"/>
        </w:rPr>
        <w:t>shall have the meaning ascribed to it in Section 6.2 hereof.</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“Affiliate” </w:t>
      </w:r>
      <w:r>
        <w:rPr>
          <w:rFonts w:ascii="Times New Roman" w:cs="Times New Roman" w:eastAsia="Times New Roman" w:hAnsi="Times New Roman"/>
          <w:sz w:val="18"/>
          <w:szCs w:val="18"/>
          <w:color w:val="auto"/>
        </w:rPr>
        <w:t>shall mean, in respect of a Person, any other Person that, directly or indirectly, through one or more intermediaries, Controls, is Controlled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is under common Control with, such Person.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“Agreement” </w:t>
      </w:r>
      <w:r>
        <w:rPr>
          <w:rFonts w:ascii="Times New Roman" w:cs="Times New Roman" w:eastAsia="Times New Roman" w:hAnsi="Times New Roman"/>
          <w:sz w:val="18"/>
          <w:szCs w:val="18"/>
          <w:color w:val="auto"/>
        </w:rPr>
        <w:t>shall have the meaning ascribed to it in the Preamble.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“Approvals” </w:t>
      </w:r>
      <w:r>
        <w:rPr>
          <w:rFonts w:ascii="Times New Roman" w:cs="Times New Roman" w:eastAsia="Times New Roman" w:hAnsi="Times New Roman"/>
          <w:sz w:val="18"/>
          <w:szCs w:val="18"/>
          <w:color w:val="auto"/>
        </w:rPr>
        <w:t>shall have the meaning ascribed to it in Section 4.3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“Balance Sheet Date” </w:t>
      </w:r>
      <w:r>
        <w:rPr>
          <w:rFonts w:ascii="Times New Roman" w:cs="Times New Roman" w:eastAsia="Times New Roman" w:hAnsi="Times New Roman"/>
          <w:sz w:val="18"/>
          <w:szCs w:val="18"/>
          <w:color w:val="auto"/>
        </w:rPr>
        <w:t>shall have the meaning ascribed to it in Section 3.9(a) hereof.</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Day” </w:t>
      </w:r>
      <w:r>
        <w:rPr>
          <w:rFonts w:ascii="Times New Roman" w:cs="Times New Roman" w:eastAsia="Times New Roman" w:hAnsi="Times New Roman"/>
          <w:sz w:val="18"/>
          <w:szCs w:val="18"/>
          <w:color w:val="auto"/>
        </w:rPr>
        <w:t>shall mean a day (other than Saturdays, Sundays or statutory holidays) on which banks generally are open to the public for business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Singapore, Hong Kong and the United States of America.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“Closing” </w:t>
      </w:r>
      <w:r>
        <w:rPr>
          <w:rFonts w:ascii="Times New Roman" w:cs="Times New Roman" w:eastAsia="Times New Roman" w:hAnsi="Times New Roman"/>
          <w:sz w:val="18"/>
          <w:szCs w:val="18"/>
          <w:color w:val="auto"/>
        </w:rPr>
        <w:t>shall have the meaning ascribed to it in Section 2.2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“Company” </w:t>
      </w:r>
      <w:r>
        <w:rPr>
          <w:rFonts w:ascii="Times New Roman" w:cs="Times New Roman" w:eastAsia="Times New Roman" w:hAnsi="Times New Roman"/>
          <w:sz w:val="18"/>
          <w:szCs w:val="18"/>
          <w:color w:val="auto"/>
        </w:rPr>
        <w:t>shall have the meaning ascribed to it in the Preamble.</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“Control” </w:t>
      </w:r>
      <w:r>
        <w:rPr>
          <w:rFonts w:ascii="Times New Roman" w:cs="Times New Roman" w:eastAsia="Times New Roman" w:hAnsi="Times New Roman"/>
          <w:sz w:val="18"/>
          <w:szCs w:val="18"/>
          <w:color w:val="auto"/>
        </w:rPr>
        <w:t>shall mean, with respect to any Person, having the ability to direct the management and affairs of such Person, whether through the ownership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voting securities, by contract (including any contractual arrangements) or otherwise, and such ability shall also be deemed to exist when any other Person holds a majority of the outstanding voting securities, or the economic rights and benefits, of such Person; and </w:t>
      </w:r>
      <w:r>
        <w:rPr>
          <w:rFonts w:ascii="Times New Roman" w:cs="Times New Roman" w:eastAsia="Times New Roman" w:hAnsi="Times New Roman"/>
          <w:sz w:val="18"/>
          <w:szCs w:val="18"/>
          <w:b w:val="1"/>
          <w:bCs w:val="1"/>
          <w:i w:val="1"/>
          <w:iCs w:val="1"/>
          <w:color w:val="auto"/>
        </w:rPr>
        <w:t>“Controlled”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“under common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with” </w:t>
      </w:r>
      <w:r>
        <w:rPr>
          <w:rFonts w:ascii="Times New Roman" w:cs="Times New Roman" w:eastAsia="Times New Roman" w:hAnsi="Times New Roman"/>
          <w:sz w:val="18"/>
          <w:szCs w:val="18"/>
          <w:color w:val="auto"/>
        </w:rPr>
        <w:t>shall be construed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“Financial Statements” </w:t>
      </w:r>
      <w:r>
        <w:rPr>
          <w:rFonts w:ascii="Times New Roman" w:cs="Times New Roman" w:eastAsia="Times New Roman" w:hAnsi="Times New Roman"/>
          <w:sz w:val="18"/>
          <w:szCs w:val="18"/>
          <w:color w:val="auto"/>
        </w:rPr>
        <w:t>shall have the meaning ascribed to it in Section 3.9(a) hereof.</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“Founder” </w:t>
      </w:r>
      <w:r>
        <w:rPr>
          <w:rFonts w:ascii="Times New Roman" w:cs="Times New Roman" w:eastAsia="Times New Roman" w:hAnsi="Times New Roman"/>
          <w:sz w:val="18"/>
          <w:szCs w:val="18"/>
          <w:color w:val="auto"/>
        </w:rPr>
        <w:t>shall mean Mr. Soon Huat Lim, a Singapore citizen (NRIC number: S1795573Z) residing at 234 Bukit Panjang Ring Road, #09-09, Singapore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670234.</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“Group Companies” </w:t>
      </w:r>
      <w:r>
        <w:rPr>
          <w:rFonts w:ascii="Times New Roman" w:cs="Times New Roman" w:eastAsia="Times New Roman" w:hAnsi="Times New Roman"/>
          <w:sz w:val="18"/>
          <w:szCs w:val="18"/>
          <w:color w:val="auto"/>
        </w:rPr>
        <w:t>shall mean the Company and any other Person (except individuals) Controlled by the Company (each a</w:t>
      </w:r>
      <w:r>
        <w:rPr>
          <w:rFonts w:ascii="Times New Roman" w:cs="Times New Roman" w:eastAsia="Times New Roman" w:hAnsi="Times New Roman"/>
          <w:sz w:val="18"/>
          <w:szCs w:val="18"/>
          <w:b w:val="1"/>
          <w:bCs w:val="1"/>
          <w:i w:val="1"/>
          <w:iCs w:val="1"/>
          <w:color w:val="auto"/>
        </w:rPr>
        <w:t xml:space="preserve"> “Group Company”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collectively, the </w:t>
      </w:r>
      <w:r>
        <w:rPr>
          <w:rFonts w:ascii="Times New Roman" w:cs="Times New Roman" w:eastAsia="Times New Roman" w:hAnsi="Times New Roman"/>
          <w:sz w:val="18"/>
          <w:szCs w:val="18"/>
          <w:b w:val="1"/>
          <w:bCs w:val="1"/>
          <w:i w:val="1"/>
          <w:iCs w:val="1"/>
          <w:color w:val="auto"/>
        </w:rPr>
        <w:t>“Group”</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“Hong Kong” </w:t>
      </w:r>
      <w:r>
        <w:rPr>
          <w:rFonts w:ascii="Times New Roman" w:cs="Times New Roman" w:eastAsia="Times New Roman" w:hAnsi="Times New Roman"/>
          <w:sz w:val="18"/>
          <w:szCs w:val="18"/>
          <w:color w:val="auto"/>
        </w:rPr>
        <w:t>shall mean the Hong Kong Special Administrative Region of the People’s Republic of China.</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“Indemnifiable Loss” </w:t>
      </w:r>
      <w:r>
        <w:rPr>
          <w:rFonts w:ascii="Times New Roman" w:cs="Times New Roman" w:eastAsia="Times New Roman" w:hAnsi="Times New Roman"/>
          <w:sz w:val="18"/>
          <w:szCs w:val="18"/>
          <w:color w:val="auto"/>
        </w:rPr>
        <w:t>shall mean, with respect to any Person, any damage, expense, liability, loss or penalty, together with all reasonable and documented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legal fees and expenses incurred in the prosecution and defense of claims therefor and amounts paid in settlement thereof, that are actually imposed on or otherwise actually incurred or suffered by such Person.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“Indemnifying Party” </w:t>
      </w:r>
      <w:r>
        <w:rPr>
          <w:rFonts w:ascii="Times New Roman" w:cs="Times New Roman" w:eastAsia="Times New Roman" w:hAnsi="Times New Roman"/>
          <w:sz w:val="18"/>
          <w:szCs w:val="18"/>
          <w:color w:val="auto"/>
        </w:rPr>
        <w:t>shall have the meaning ascribed to it in Section 7.1 hereof.</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International Trade Laws”</w:t>
      </w:r>
      <w:r>
        <w:rPr>
          <w:rFonts w:ascii="Times New Roman" w:cs="Times New Roman" w:eastAsia="Times New Roman" w:hAnsi="Times New Roman"/>
          <w:sz w:val="18"/>
          <w:szCs w:val="18"/>
          <w:color w:val="auto"/>
        </w:rPr>
        <w:t xml:space="preserve"> means all laws relating to the import, export, re-export, deemed export, deemed re-export, or transfer of information, data, know-how, services, goods, and technology, or economic sanctions or anti-boycotts.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“Lien” </w:t>
      </w:r>
      <w:r>
        <w:rPr>
          <w:rFonts w:ascii="Times New Roman" w:cs="Times New Roman" w:eastAsia="Times New Roman" w:hAnsi="Times New Roman"/>
          <w:sz w:val="18"/>
          <w:szCs w:val="18"/>
          <w:color w:val="auto"/>
        </w:rPr>
        <w:t>shall mean any interest of any person (including any right to acquire, option or right of preemption or conversion), lien, pledge, charge, claim,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mortgage, security interest, assignment, hypothecation, title retention, restrictions imposed by trust arrangement, restriction or other encumbrance, security agreement or arrangement of any sort, or any agreement to create any of the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“Memorandum and Articles” </w:t>
      </w:r>
      <w:r>
        <w:rPr>
          <w:rFonts w:ascii="Times New Roman" w:cs="Times New Roman" w:eastAsia="Times New Roman" w:hAnsi="Times New Roman"/>
          <w:sz w:val="18"/>
          <w:szCs w:val="18"/>
          <w:color w:val="auto"/>
        </w:rPr>
        <w:t>shall mean the memorandum and articles of association of the Company,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“Ordinary Shares” </w:t>
      </w:r>
      <w:r>
        <w:rPr>
          <w:rFonts w:ascii="Times New Roman" w:cs="Times New Roman" w:eastAsia="Times New Roman" w:hAnsi="Times New Roman"/>
          <w:sz w:val="18"/>
          <w:szCs w:val="18"/>
          <w:color w:val="auto"/>
        </w:rPr>
        <w:t>shall mean ordinary shares in the share capital of the Company, making up the entire allotted and issued share capital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“Parties”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i w:val="1"/>
          <w:iCs w:val="1"/>
          <w:color w:val="auto"/>
        </w:rPr>
        <w:t xml:space="preserve"> “Party” </w:t>
      </w:r>
      <w:r>
        <w:rPr>
          <w:rFonts w:ascii="Times New Roman" w:cs="Times New Roman" w:eastAsia="Times New Roman" w:hAnsi="Times New Roman"/>
          <w:sz w:val="18"/>
          <w:szCs w:val="18"/>
          <w:color w:val="auto"/>
        </w:rPr>
        <w:t>shall have the meaning ascribed to them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“Permits” </w:t>
      </w:r>
      <w:r>
        <w:rPr>
          <w:rFonts w:ascii="Times New Roman" w:cs="Times New Roman" w:eastAsia="Times New Roman" w:hAnsi="Times New Roman"/>
          <w:sz w:val="18"/>
          <w:szCs w:val="18"/>
          <w:color w:val="auto"/>
        </w:rPr>
        <w:t>shall have the meaning ascribed to it in Section 3.7.</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“Permitted Lien” </w:t>
      </w:r>
      <w:r>
        <w:rPr>
          <w:rFonts w:ascii="Times New Roman" w:cs="Times New Roman" w:eastAsia="Times New Roman" w:hAnsi="Times New Roman"/>
          <w:sz w:val="18"/>
          <w:szCs w:val="18"/>
          <w:color w:val="auto"/>
        </w:rPr>
        <w:t>means (i) Liens for taxes not yet delinquent or the validity of which are being contested in good faith and for which there are adequate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reserves on the applicable financial statements, and (ii) Liens incurred in the ordinary course of business, which (x) do not individually or in the aggregate materially detract from the value, use, or transferability of the assets that are subject to such Liens, and (y) were not incurred in connection with the borrowing of money.</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“Person”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i w:val="1"/>
          <w:iCs w:val="1"/>
          <w:color w:val="auto"/>
        </w:rPr>
        <w:t xml:space="preserve"> “person” </w:t>
      </w:r>
      <w:r>
        <w:rPr>
          <w:rFonts w:ascii="Times New Roman" w:cs="Times New Roman" w:eastAsia="Times New Roman" w:hAnsi="Times New Roman"/>
          <w:sz w:val="18"/>
          <w:szCs w:val="18"/>
          <w:color w:val="auto"/>
        </w:rPr>
        <w:t>shall mean any corporation, company, partnership, firm, limited liability company, other business organization, entity, government,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 or agency of state or any joint venture, association, works council or employee representative body (whether or not having separate legal personality) and any individual.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“Purchaser” </w:t>
      </w:r>
      <w:r>
        <w:rPr>
          <w:rFonts w:ascii="Times New Roman" w:cs="Times New Roman" w:eastAsia="Times New Roman" w:hAnsi="Times New Roman"/>
          <w:sz w:val="18"/>
          <w:szCs w:val="18"/>
          <w:color w:val="auto"/>
        </w:rPr>
        <w:t>shall have the meaning ascribed to it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“Purchaser Class A Ordinary Shares” </w:t>
      </w:r>
      <w:r>
        <w:rPr>
          <w:rFonts w:ascii="Times New Roman" w:cs="Times New Roman" w:eastAsia="Times New Roman" w:hAnsi="Times New Roman"/>
          <w:sz w:val="18"/>
          <w:szCs w:val="18"/>
          <w:color w:val="auto"/>
        </w:rPr>
        <w:t>shall mean the Class A ordinary shares in the share capital of the Purchaser, with a par value of US$0.00001 each.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“Purchaser Class B Ordinary Shares” </w:t>
      </w:r>
      <w:r>
        <w:rPr>
          <w:rFonts w:ascii="Times New Roman" w:cs="Times New Roman" w:eastAsia="Times New Roman" w:hAnsi="Times New Roman"/>
          <w:sz w:val="18"/>
          <w:szCs w:val="18"/>
          <w:color w:val="auto"/>
        </w:rPr>
        <w:t>shall mean the Class B ordinary shares in the share capital of the Purchaser, with a par value of US$0.00001 each.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“Purchaser Indemnified Party” </w:t>
      </w:r>
      <w:r>
        <w:rPr>
          <w:rFonts w:ascii="Times New Roman" w:cs="Times New Roman" w:eastAsia="Times New Roman" w:hAnsi="Times New Roman"/>
          <w:sz w:val="18"/>
          <w:szCs w:val="18"/>
          <w:color w:val="auto"/>
        </w:rPr>
        <w:t>shall have the meaning ascribed to it in Section 7.1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“Purchaser Shares” </w:t>
      </w:r>
      <w:r>
        <w:rPr>
          <w:rFonts w:ascii="Times New Roman" w:cs="Times New Roman" w:eastAsia="Times New Roman" w:hAnsi="Times New Roman"/>
          <w:sz w:val="18"/>
          <w:szCs w:val="18"/>
          <w:color w:val="auto"/>
        </w:rPr>
        <w:t>shall have the meaning ascribed to it in Section 2.1 hereof.</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“Sanctioned Country” </w:t>
      </w:r>
      <w:r>
        <w:rPr>
          <w:rFonts w:ascii="Times New Roman" w:cs="Times New Roman" w:eastAsia="Times New Roman" w:hAnsi="Times New Roman"/>
          <w:sz w:val="18"/>
          <w:szCs w:val="18"/>
          <w:color w:val="auto"/>
        </w:rPr>
        <w:t>means, at any time, a country or territory which is itself the subject or target of any country wide or territory wide Sanctions Laws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at the time of this Agreement, the Crimea region, Cuba, Iran, Lebanon, North Korea, Syria, the so called Donetsk People’s Republic (as defined and construed in the applicable Sanctions Laws), the so called Luhansk People’s Republic (as defined and construed in the applicable Sanctions Laws) and Russia).</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“Sanctioned Person” </w:t>
      </w:r>
      <w:r>
        <w:rPr>
          <w:rFonts w:ascii="Times New Roman" w:cs="Times New Roman" w:eastAsia="Times New Roman" w:hAnsi="Times New Roman"/>
          <w:sz w:val="18"/>
          <w:szCs w:val="18"/>
          <w:color w:val="auto"/>
        </w:rPr>
        <w:t>means any Person that is the target of Sanctions Laws, including (i) any Person identified in any sanctions related list of designated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Persons maintained by: (a) the United States Department of the Treasury’s Office of Foreign Assets Control, the United States Department of Commerce, Bureau of Industry and Security, or the United States Department of State; (b) His Majesty’s Treasury of the United Kingdom; (c) any committee of the United Nations Security Council; (d) the European Union; (e) any other applicable sanctions authority; (ii) any Person located, organized, or resident in, organized in, or a governmental authority or government instrumentality of, any Sanctioned Country; and (iii) any Person directly or indirectly owned or controlled by, or acting for the benefit or on behalf of, a Person described in clause (i) or (ii), either individually or in the aggregate.</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“Sanctions Laws” </w:t>
      </w:r>
      <w:r>
        <w:rPr>
          <w:rFonts w:ascii="Times New Roman" w:cs="Times New Roman" w:eastAsia="Times New Roman" w:hAnsi="Times New Roman"/>
          <w:sz w:val="18"/>
          <w:szCs w:val="18"/>
          <w:color w:val="auto"/>
        </w:rPr>
        <w:t>means any trade, economic and/or financial sanctions laws, list based measures, embargoes or restrictions administered, enacted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enforced from time to time by (i) the United States (including the Department of the Treasury’s Office of Foreign Assets Control, the United States Department of Commerce or the United States Department of State), (ii) the European Union and enforced by its member states, (iii) the United Nations, (iv) His Majesty’s Treasury of the United Kingdom, (v) the People’s Republic of China or (vi) any other applicable sanctions authority.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“SEC” </w:t>
      </w:r>
      <w:r>
        <w:rPr>
          <w:rFonts w:ascii="Times New Roman" w:cs="Times New Roman" w:eastAsia="Times New Roman" w:hAnsi="Times New Roman"/>
          <w:sz w:val="18"/>
          <w:szCs w:val="18"/>
          <w:color w:val="auto"/>
        </w:rPr>
        <w:t>shall have the meaning ascribed to it in the Section 4.8.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“Securities Act” </w:t>
      </w:r>
      <w:r>
        <w:rPr>
          <w:rFonts w:ascii="Times New Roman" w:cs="Times New Roman" w:eastAsia="Times New Roman" w:hAnsi="Times New Roman"/>
          <w:sz w:val="18"/>
          <w:szCs w:val="18"/>
          <w:color w:val="auto"/>
        </w:rPr>
        <w:t>shall mean the 1933 Securities Act of the United States of America, as amended, and the rules and regulations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“Selling Shares” </w:t>
      </w:r>
      <w:r>
        <w:rPr>
          <w:rFonts w:ascii="Times New Roman" w:cs="Times New Roman" w:eastAsia="Times New Roman" w:hAnsi="Times New Roman"/>
          <w:sz w:val="18"/>
          <w:szCs w:val="18"/>
          <w:color w:val="auto"/>
        </w:rPr>
        <w:t>shall have the meaning ascribed to it in the Recitals.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“Selling Shareholders”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i w:val="1"/>
          <w:iCs w:val="1"/>
          <w:color w:val="auto"/>
        </w:rPr>
        <w:t xml:space="preserve"> “Selling Shareholder” </w:t>
      </w:r>
      <w:r>
        <w:rPr>
          <w:rFonts w:ascii="Times New Roman" w:cs="Times New Roman" w:eastAsia="Times New Roman" w:hAnsi="Times New Roman"/>
          <w:sz w:val="18"/>
          <w:szCs w:val="18"/>
          <w:color w:val="auto"/>
        </w:rPr>
        <w:t>shall have the meaning ascribed to it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“Singapore” </w:t>
      </w:r>
      <w:r>
        <w:rPr>
          <w:rFonts w:ascii="Times New Roman" w:cs="Times New Roman" w:eastAsia="Times New Roman" w:hAnsi="Times New Roman"/>
          <w:sz w:val="18"/>
          <w:szCs w:val="18"/>
          <w:color w:val="auto"/>
        </w:rPr>
        <w:t>shall mean the Republic of 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“Terms” </w:t>
      </w:r>
      <w:r>
        <w:rPr>
          <w:rFonts w:ascii="Times New Roman" w:cs="Times New Roman" w:eastAsia="Times New Roman" w:hAnsi="Times New Roman"/>
          <w:sz w:val="18"/>
          <w:szCs w:val="18"/>
          <w:color w:val="auto"/>
        </w:rPr>
        <w:t>shall have the meaning ascribed to it in Section 9.1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“Transaction Agreements” </w:t>
      </w:r>
      <w:r>
        <w:rPr>
          <w:rFonts w:ascii="Times New Roman" w:cs="Times New Roman" w:eastAsia="Times New Roman" w:hAnsi="Times New Roman"/>
          <w:sz w:val="18"/>
          <w:szCs w:val="18"/>
          <w:color w:val="auto"/>
        </w:rPr>
        <w:t>shall mean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“US$” </w:t>
      </w:r>
      <w:r>
        <w:rPr>
          <w:rFonts w:ascii="Times New Roman" w:cs="Times New Roman" w:eastAsia="Times New Roman" w:hAnsi="Times New Roman"/>
          <w:sz w:val="18"/>
          <w:szCs w:val="18"/>
          <w:color w:val="auto"/>
        </w:rPr>
        <w:t>shall mean the lawful currency of the United States of America from time to time.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Unless the context otherwise requires:</w:t>
      </w:r>
    </w:p>
    <w:p>
      <w:pPr>
        <w:spacing w:after="0" w:line="248" w:lineRule="exact"/>
        <w:rPr>
          <w:sz w:val="20"/>
          <w:szCs w:val="20"/>
          <w:color w:val="auto"/>
        </w:rPr>
      </w:pPr>
    </w:p>
    <w:p>
      <w:pPr>
        <w:ind w:left="660" w:hanging="652"/>
        <w:spacing w:after="0" w:line="28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references to a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include references to any body corporate or entity with legal person status or any unincorporated body of Persons without legal person status;</w:t>
      </w:r>
    </w:p>
    <w:p>
      <w:pPr>
        <w:spacing w:after="0" w:line="18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references to </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i w:val="1"/>
          <w:iCs w:val="1"/>
          <w:color w:val="auto"/>
        </w:rPr>
        <w:t>laws</w:t>
      </w:r>
      <w:r>
        <w:rPr>
          <w:rFonts w:ascii="Times New Roman" w:cs="Times New Roman" w:eastAsia="Times New Roman" w:hAnsi="Times New Roman"/>
          <w:sz w:val="18"/>
          <w:szCs w:val="18"/>
          <w:color w:val="auto"/>
        </w:rPr>
        <w:t xml:space="preserve"> include references to regulations and regulatory requirements, modified or re-enacted from time to time;</w:t>
      </w:r>
    </w:p>
    <w:p>
      <w:pPr>
        <w:spacing w:after="0" w:line="2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words in the singular include the plural,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p>
      <w:pPr>
        <w:spacing w:after="0" w:line="254"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phrase introduced by the terms including, include, in particular or any similar expression shall be construed as illustrative and shall not limit the sense of any words preceding them; and</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any gender include all genders.</w:t>
      </w:r>
    </w:p>
    <w:p>
      <w:pPr>
        <w:spacing w:after="0" w:line="252"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SELL AND PURCHASE SELLING SHARES AT THE CLOSING</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Agreement to Sell and Purchase the Selling Shares</w:t>
      </w:r>
      <w:r>
        <w:rPr>
          <w:rFonts w:ascii="Times New Roman" w:cs="Times New Roman" w:eastAsia="Times New Roman" w:hAnsi="Times New Roman"/>
          <w:sz w:val="18"/>
          <w:szCs w:val="18"/>
          <w:color w:val="auto"/>
        </w:rPr>
        <w:t>. Subject to the terms and conditions hereof, at the Closing, each Selling Shareholder shall sell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to the Purchaser, and the Purchaser shall purchase, such number of Selling Shares as set forth opposite such Selling Shareholder’s name in column C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in exchange for such number of newly issued Purchaser Class B Ordinary Shares as set forth opposite such Selling Shareholder’s name in column D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(such aggregate Purchaser Class B Ordinary Shares with an equivalent value of US$3,079,700, the “</w:t>
      </w:r>
      <w:r>
        <w:rPr>
          <w:rFonts w:ascii="Times New Roman" w:cs="Times New Roman" w:eastAsia="Times New Roman" w:hAnsi="Times New Roman"/>
          <w:sz w:val="18"/>
          <w:szCs w:val="18"/>
          <w:b w:val="1"/>
          <w:bCs w:val="1"/>
          <w:color w:val="auto"/>
        </w:rPr>
        <w:t>Purchaser Shares</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sale and purchase of the Selling Shares and the issuance and subscription of the Purchaser Shares with respect to all Selling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Shareholders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take place remotely via the electronic exchange of documents and signatures, on the date as the Company and the Purchaser may mutually agree upon in writing, provided that all conditions set forth in Section 8 shall have been satisfied or waived (other than those conditions that by their terms are to be satisfied at the Closing, but subject to the satisfaction or waiver of such conditions).</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Delivery by the Selling Shareholders at the Closing</w:t>
      </w:r>
      <w:r>
        <w:rPr>
          <w:rFonts w:ascii="Times New Roman" w:cs="Times New Roman" w:eastAsia="Times New Roman" w:hAnsi="Times New Roman"/>
          <w:sz w:val="17"/>
          <w:szCs w:val="17"/>
          <w:color w:val="auto"/>
        </w:rPr>
        <w:t>. At the Closing, each Selling Shareholder shall deliver or cause to be delivered:</w:t>
      </w:r>
    </w:p>
    <w:p>
      <w:pPr>
        <w:spacing w:after="0" w:line="252" w:lineRule="exact"/>
        <w:rPr>
          <w:sz w:val="20"/>
          <w:szCs w:val="20"/>
          <w:color w:val="auto"/>
        </w:rPr>
      </w:pPr>
    </w:p>
    <w:p>
      <w:pPr>
        <w:jc w:val="both"/>
        <w:ind w:left="660" w:hanging="652"/>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instrument of transfer,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with respect to the transfer of the corresponding Selling Shares in the amount as set forth opposite such Selling Shareholder’s name in column C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by such Selling Shareholder to the Purchaser, as duly executed by such Selling Shareholder;</w:t>
      </w:r>
    </w:p>
    <w:p>
      <w:pPr>
        <w:spacing w:after="0" w:line="20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bought and sold note,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with respect to the transfer of the corresponding Selling Shares in the amount as set forth opposite such Selling Shareholder’s name in column C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by such Selling Shareholder to the Purchaser, as duly executed by such Selling Shareholder;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ind w:left="660" w:hanging="652"/>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original copy of the share certificates in the name of the such Selling Shareholder, representing the Selling Shares to be sold by such Selling Shareholder at the Closing.</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Delivery by the Company at the Closing</w:t>
      </w:r>
      <w:r>
        <w:rPr>
          <w:rFonts w:ascii="Times New Roman" w:cs="Times New Roman" w:eastAsia="Times New Roman" w:hAnsi="Times New Roman"/>
          <w:sz w:val="18"/>
          <w:szCs w:val="18"/>
          <w:color w:val="auto"/>
        </w:rPr>
        <w:t>. At the Closing, the Company shall deliver or cause to be delivered:</w:t>
      </w:r>
    </w:p>
    <w:p>
      <w:pPr>
        <w:spacing w:after="0" w:line="252" w:lineRule="exact"/>
        <w:rPr>
          <w:sz w:val="20"/>
          <w:szCs w:val="20"/>
          <w:color w:val="auto"/>
        </w:rPr>
      </w:pPr>
    </w:p>
    <w:p>
      <w:pPr>
        <w:ind w:left="660" w:hanging="652"/>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copy of the register of members of the Company as of the date of the Closing reflecting the Purchaser’s ownership of the aggregate Selling Shares pursuant to the terms of this Agreement;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scanned copy of duly executed share certificate in the name of the Purchaser, representing the Selling Shares purchased by the Purchaser at the Closing (for the avoidance of doubt, the Company shall deliver the original share certificate to the Purchaser as soon as practicable after the Closing);</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duly adopted board resolutions of the Company approving the transactions contemplated hereby and any other relevant documents required or necessary for the consummation of the transactions contemplated hereby in accordance with the Memorandum and Articles; and</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documents required by the Purchaser to enable it to be registered as the holder of the Selling Shares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u w:val="single" w:color="auto"/>
          <w:color w:val="auto"/>
        </w:rPr>
        <w:t>Delivery by the Purchaser at the Closing</w:t>
      </w:r>
      <w:r>
        <w:rPr>
          <w:rFonts w:ascii="Times New Roman" w:cs="Times New Roman" w:eastAsia="Times New Roman" w:hAnsi="Times New Roman"/>
          <w:sz w:val="17"/>
          <w:szCs w:val="17"/>
          <w:color w:val="auto"/>
        </w:rPr>
        <w:t>. At the Closing, the Purchaser shall deliver:</w:t>
      </w:r>
    </w:p>
    <w:p>
      <w:pPr>
        <w:spacing w:after="0" w:line="252" w:lineRule="exact"/>
        <w:rPr>
          <w:sz w:val="20"/>
          <w:szCs w:val="20"/>
          <w:color w:val="auto"/>
        </w:rPr>
      </w:pPr>
    </w:p>
    <w:p>
      <w:pPr>
        <w:jc w:val="both"/>
        <w:ind w:left="660" w:hanging="652"/>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certified true copy of the register of members of the Purchaser as of the date of the Closing reflecting each Selling Shareholder’s ownership of the corresponding Purchaser Shares in the amount as set forth opposite such Selling Shareholder’s name in column D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specifically indicated otherwise, the Company hereby represents and warrants to the Purchaser that the statements in this Section 3, are all true and correct as of the date hereof and the date of Closing.</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auto"/>
        </w:rPr>
        <w:t>Organization, Good Standing and Qualification; Subsidiaries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left="660" w:hanging="652"/>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is duly organized, validly existing and in good standing under, and by virtue of, the relevant laws in the jurisdiction of its incorporation, and has all requisite power and authority to own, lease and operate its properties and assets and carry on its business as now conducted, and is duly qualified to transact business in each jurisdiction in which it conducts and proposes to conduct business.</w:t>
      </w:r>
    </w:p>
    <w:p>
      <w:pPr>
        <w:spacing w:after="0" w:line="202"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list of each subsidiary of the Company and its jurisdiction of incorporation, formation or organization, as applicable, has been previously made available to the Purchaser by or on behalf of the Company. True, correct and complete copies of the constitutional documents of each of the Company’s subsidiaries have been previously made available to the Purchaser by or on behalf of the Company, such constitutional documents are in full force and effect and none of the Company’s subsidiaries is in breach or violation of any of the provisions contained in its constitutional documents in any material respect.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0" w:name="page61"/>
    <w:bookmarkEnd w:id="60"/>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Due Authorisation</w:t>
      </w:r>
      <w:r>
        <w:rPr>
          <w:rFonts w:ascii="Times New Roman" w:cs="Times New Roman" w:eastAsia="Times New Roman" w:hAnsi="Times New Roman"/>
          <w:sz w:val="18"/>
          <w:szCs w:val="18"/>
          <w:color w:val="auto"/>
        </w:rPr>
        <w:t>. All corporate action on the part of the Company necessary for the authorisation, execution and delivery of each Transaction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 to which the Company is a party and the performance of its obligations under each Transaction Agreement to which the Company is a party, has been taken. The Company has all requisite capacity, power and authority to execute and deliver the Transaction Agreements. The Transaction Agreements will, when executed, constitute valid and binding obligations of the Company enforceable in accordance with their respective terms, subject, as to enforcement of remedies, to applicable bankruptcy, insolvency, moratorium, reorganization and similar laws affecting creditors’ rights generally and to general equitable principles.</w:t>
      </w:r>
    </w:p>
    <w:p>
      <w:pPr>
        <w:spacing w:after="0" w:line="2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left="660" w:hanging="652"/>
        <w:spacing w:after="0" w:line="258"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allotted and issued shares in the capital of the Company as of the date hereof are 10,000 Ordinary Shares. All outstanding Ordinary Shares of the Company are duly and validly issued, fully paid and non-assessable, and such Ordinary Shares have been issued in compliance with the requirements of the applicable laws and regulations, and the Memorandum and Articles. The Selling Shares and their issuance and sale have been duly authorized and validly issued in accordance with applicable law, fully paid and non-assessable, and their sale and purchase is not subject to any Liens or to any pre-emptive or similar rights that have not been validly waived.</w:t>
      </w:r>
    </w:p>
    <w:p>
      <w:pPr>
        <w:spacing w:after="0" w:line="210"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in the Transaction Agreements, there are no securities, options, warrants, conversion privileges or other rights or agreements outstanding or under which any of the Group Companies is or may become obligated to issue any securities of any class or series and no person has the right (exercisable now or in the future and whether contingent or not) to call for the allotment or issue of any securities (including share or loan capital) in the Company or any of the Group Companies. No shares of the Company’s outstanding share capital, or shares issuable upon exercise or exchange of any outstanding options or other shares issuable by the Company, are subject to any pre-emptive rights, rights of first refusal, redemption rights, co-sale or tag-along rights, drag-along rights, put or call rights, rights to liquidation preferences or special dividends or any other rights (whether in favour of the Company or any other Person). The equity securities of each of the Group Companies are not subject to any voting trust agreement or other contract restricting or otherwise relating to the voting, dividend rights or disposition of such equity securities.</w:t>
      </w:r>
    </w:p>
    <w:p>
      <w:pPr>
        <w:spacing w:after="0" w:line="21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u w:val="single" w:color="auto"/>
          <w:color w:val="auto"/>
        </w:rPr>
        <w:t>Absence of Insolvency</w:t>
      </w:r>
      <w:r>
        <w:rPr>
          <w:rFonts w:ascii="Times New Roman" w:cs="Times New Roman" w:eastAsia="Times New Roman" w:hAnsi="Times New Roman"/>
          <w:sz w:val="18"/>
          <w:szCs w:val="18"/>
          <w:color w:val="auto"/>
        </w:rPr>
        <w:t>. None of the Group Companies is unable to pay its debts as and when such debts fall due, is subject to any insolvency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proceedings or has had (or has had a notice given or filed of an intention to have) a receiver, liquidator or administrator appointed over its assets. No order has been made, petition presented or resolution passed for the winding up of any Group Company.</w:t>
      </w:r>
    </w:p>
    <w:p>
      <w:pPr>
        <w:spacing w:after="0" w:line="203"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u w:val="single" w:color="auto"/>
          <w:color w:val="auto"/>
        </w:rPr>
        <w:t>Title to Properties and Assets</w:t>
      </w:r>
      <w:r>
        <w:rPr>
          <w:rFonts w:ascii="Times New Roman" w:cs="Times New Roman" w:eastAsia="Times New Roman" w:hAnsi="Times New Roman"/>
          <w:sz w:val="18"/>
          <w:szCs w:val="18"/>
          <w:color w:val="auto"/>
        </w:rPr>
        <w:t>. Each of the Group Company has good and marketable title to all of its material tangible properties and material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assets, real, personal and mixed, used or held for use in its business, and in each case such property and assets are not subject to any Lien other than Permitted Liens.</w:t>
      </w:r>
    </w:p>
    <w:p>
      <w:pPr>
        <w:spacing w:after="0" w:line="203"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in progress, pending or, to the Company’s knowledge, currently threatened against (a) any Group Company or (b)</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against any officer, director or employee of any Group Company in connection with such officer’s, director’s or employee’s relationship with, or actions taken on behalf of, any Group Company, as a claimant, defendant in or otherwise a party to, such Action.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1" w:name="page62"/>
    <w:bookmarkEnd w:id="61"/>
    <w:p>
      <w:pPr>
        <w:spacing w:after="0"/>
        <w:tabs>
          <w:tab w:leader="none" w:pos="6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All approvals, permits, licenses, authorizations, certifications, registrations, filings and any similar authority (collectively, the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both"/>
        <w:ind w:left="660" w:hanging="4"/>
        <w:spacing w:after="0" w:line="252" w:lineRule="auto"/>
        <w:tabs>
          <w:tab w:leader="none" w:pos="88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required to be obtained or made by any Group Company under applicable laws in connection with the due and proper incorporation of each Group Company, and (ii) which are necessary to carry out the business of each Group Company in each relevant jurisdiction and maintain the ownership of its properties and assets, have been obtained or completed in accordance with the applicable laws, and are in full force and effect. None of the Group Companies (a) to the knowledge of the Company, is in violation of any of such Permits in any material respects, (b) has received any written notice from any governmental authority regarding any actual or possible violation of any Permits or notifying the revocation of any Permits issued to it for non-compliance or the need for compliance or remedial actions in respect of the activities carried out directly or indirectly by it in the twenty four months before the date of this Agreement.</w:t>
      </w:r>
    </w:p>
    <w:p>
      <w:pPr>
        <w:spacing w:after="0" w:line="21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u w:val="single" w:color="auto"/>
          <w:color w:val="auto"/>
        </w:rPr>
        <w:t>Compliance with Laws and Other Instruments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left="660" w:hanging="652"/>
        <w:spacing w:after="0" w:line="25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at all times conducted its business and corporate affairs in accordance with all applicable laws and regulations in all material respects, including (i) laws related to the prevention of money laundering and economic sanctions, laws related to labor and employment, taxes, real property and other tangible property, (ii) laws related to cross-border investment and foreign exchange and laws related to cybersecurity, data privacy and intellectual property, (iii) laws relating to the Company for being a Hong Kong private company limited by shares, including but not limited to the Hong Kong Companies Ordinance and any regulations promulgated thereunder, and (iv) International Trade Laws and Sanctions Laws.</w:t>
      </w:r>
    </w:p>
    <w:p>
      <w:pPr>
        <w:spacing w:after="0" w:line="214"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maintain a program of policies, procedures and internal controls reasonably designed and implemented to ensure compliance with applicable law in all material respects. As of the date hereof and during the three years preceding the date of this Agreement, neither the Group Companies nor, to the knowledge of the Company, any of their respective executive officers or directors (where the director is a corporate person, its corporate director representative) acting in such capacity, has received any written notice of, or been charged with, the violation of any laws. Neither the Group Companies nor any of their respective directors (where the director is a corporate person, its corporate director representative) or executive officers, or, to the knowledge of the Company, employees or any of the Group Companies’ agents, representatives or other Persons acting on behalf of the Group Companies, (i) is, or has during the past three years, been a Sanctioned Person or (ii) has transacted business directly or knowingly indirectly with any Sanctioned Person or in any Sanctioned Country. To the knowledge of the Company, no governmental authority has placed any restriction on the business or properties of any Group Company.</w:t>
      </w:r>
    </w:p>
    <w:p>
      <w:pPr>
        <w:spacing w:after="0" w:line="21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and the performance by the Company of its obligations under, the Transaction Agreements will not contravene in any material respect (a) any provision of applicable law (and all necessary licenses, consents, authorizations and approvals have been obtained), (b) any constitutional documents of the Company, (c) any agreement or other instrument binding upon the Company, or (d) any judgment, order or decree of any governmental body, agency or court having jurisdiction over the Company.</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7"/>
          <w:szCs w:val="17"/>
          <w:u w:val="single" w:color="auto"/>
          <w:color w:val="auto"/>
        </w:rPr>
        <w:t>Financial Statements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left="660" w:hanging="652"/>
        <w:spacing w:after="0" w:line="253"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have delivered to the Purchaser a true, correct and complete copy of (i) the audited, combined financial statements (including balance sheet, profit and loss statement and cash flow statement) of the Group Companies as of December 31, 2023, December 31, 2024 and (ii) unaudited, combined financial statements (including balance sheet, profit and loss statement and cash flow statement) of the Group Companies as of June 30, 2025 (June 30, 2025 being the “</w:t>
      </w:r>
      <w:r>
        <w:rPr>
          <w:rFonts w:ascii="Times New Roman" w:cs="Times New Roman" w:eastAsia="Times New Roman" w:hAnsi="Times New Roman"/>
          <w:sz w:val="18"/>
          <w:szCs w:val="18"/>
          <w:b w:val="1"/>
          <w:bCs w:val="1"/>
          <w:color w:val="auto"/>
        </w:rPr>
        <w:t>Balance Sheet Date</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Financial Statement</w:t>
      </w:r>
      <w:r>
        <w:rPr>
          <w:rFonts w:ascii="Times New Roman" w:cs="Times New Roman" w:eastAsia="Times New Roman" w:hAnsi="Times New Roman"/>
          <w:sz w:val="18"/>
          <w:szCs w:val="18"/>
          <w:color w:val="auto"/>
        </w:rPr>
        <w:t>”). Such Financial Statements (a) have been prepared in accordance with the books and records of the Group Companies, (b) fairly present in all material respects the financial condition and position of the Group Companies as of the dates indicated therein and the results of operations and cash flows of the Group Companies for the periods indicated therein, and (c) were prepared in accordance with HK GAAP applied on a consistent basis throughout the periods involved. In particular, the Financial Statements reflect all debts, liabilities, and obligations of any nature whether due or to become due (including absolute liabilities, accrued liabilities, and contingent liabilities) of the Group Companies as of the respective dates thereof, and contain all necessary reserves, provisions and accruals in accordance with HK GAAP.</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2" w:name="page63"/>
    <w:bookmarkEnd w:id="62"/>
    <w:p>
      <w:pPr>
        <w:ind w:left="660" w:hanging="652"/>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Financial Statements, none of the Group Companies has any liability for any indebtedness for borrowed money or debt of any nature (whether due, fixed, contingent or otherwise).</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accounts receivable owed to the Group Companies, constitute valid and enforceable claims and are good and collectible in the ordinary course of business, net of any reserves shown on the Financial Statements (which reserves are adequate and were calculated on a basis consistent with HK GAAP), and no further goods or services are required to be provided in order to complete the sales and to entitle the Group Companies to collect in full.</w:t>
      </w:r>
    </w:p>
    <w:p>
      <w:pPr>
        <w:spacing w:after="0" w:line="206"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 of the amounts included in the Financial Statements or subsequently recorded in the books of the Group Companies, as owing by any debtor, has been released on terms that any debtor pays less than the full book value of its debt, or has been written off, or has been proven to any extent to be irrecoverable, or is now regarded by the Group Companies (as the case may be) as irrecoverable in whole or in part.</w:t>
      </w:r>
    </w:p>
    <w:p>
      <w:pPr>
        <w:spacing w:after="0" w:line="20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provisions have been made in the Financial Statements for all dividends (if any) or other distributions (if any) of each Group Company to shareholders declared and remaining unpaid as at the date hereof. All dividends or distributions declared, made or paid by any Group Company have been declared, made or paid in accordance with their respective constitutional documents and the applicable laws.</w:t>
      </w:r>
    </w:p>
    <w:p>
      <w:pPr>
        <w:spacing w:after="0" w:line="202"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contemplated by the Transaction Agreements, since the Balance Sheet Date, each Group Company (i) has operated its business in the ordinary course consistent with its past practice,(ii) used its reasonable best efforts to preserve its business, (iii) collected receivables and paid payables and similar obligations in the ordinary course of business consistent with past practice, (iv) has not engaged in any new line of business or entered into any material agreement, transaction or activity or made any commitment except those in the ordinary course of business, consistent with past practice, and (v) has not suffered any loss, damage, destruction or other casualty affecting the business that would be material to the business. Since the Balance Sheet Date, there has not been any event, occurrence or development that has had, or would be reasonably expected to have, a material adverse effect.</w:t>
      </w:r>
    </w:p>
    <w:p>
      <w:pPr>
        <w:spacing w:after="0" w:line="216"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SELLING SHAREHOLDERS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line="282" w:lineRule="auto"/>
        <w:rPr>
          <w:sz w:val="20"/>
          <w:szCs w:val="20"/>
          <w:color w:val="auto"/>
        </w:rPr>
      </w:pPr>
      <w:r>
        <w:rPr>
          <w:rFonts w:ascii="Times New Roman" w:cs="Times New Roman" w:eastAsia="Times New Roman" w:hAnsi="Times New Roman"/>
          <w:sz w:val="18"/>
          <w:szCs w:val="18"/>
          <w:color w:val="auto"/>
        </w:rPr>
        <w:t>Each Selling Shareholder hereby jointly and severally (for the avoidance of doubt, other than the warranties set forth in Section 4.4, which shall be made “severally but not jointly”) represents and warrants to the Company as follows as of the date hereof and the date of Closing:</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auto"/>
        </w:rPr>
        <w:t>Organization, Good Standing and Qualification</w:t>
      </w:r>
      <w:r>
        <w:rPr>
          <w:rFonts w:ascii="Times New Roman" w:cs="Times New Roman" w:eastAsia="Times New Roman" w:hAnsi="Times New Roman"/>
          <w:sz w:val="18"/>
          <w:szCs w:val="18"/>
          <w:color w:val="auto"/>
        </w:rPr>
        <w:t>. Such Selling Shareholder is duly organized, validly existing and duly registered under, and by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virtue of, the relevant laws in the jurisdiction of its incorporation, and has all requisite power and authority to carry on its business as now conducted.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3" w:name="page64"/>
    <w:bookmarkEnd w:id="63"/>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u w:val="single" w:color="auto"/>
          <w:color w:val="auto"/>
        </w:rPr>
        <w:t>Authorisation</w:t>
      </w:r>
      <w:r>
        <w:rPr>
          <w:rFonts w:ascii="Times New Roman" w:cs="Times New Roman" w:eastAsia="Times New Roman" w:hAnsi="Times New Roman"/>
          <w:sz w:val="18"/>
          <w:szCs w:val="18"/>
          <w:color w:val="auto"/>
        </w:rPr>
        <w:t>. All corporate action on the part of such Selling Shareholder, its directors and shareholders necessary for the authorisation,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execution and delivery of each Transaction Agreement, and the performance of its obligations under each Transaction Agreement, has been taken or will be taken prior to the Closing. The Transaction Agreements will, when executed, constitute valid and legally binding obligations of such Selling Shareholder, enforceable in accordance with their respective terms, subject, as to enforcement of remedies, to applicable bankruptcy, insolvency, moratorium, reorganization and similar laws affecting creditors’ rights generally and to general equitable principles.</w:t>
      </w:r>
    </w:p>
    <w:p>
      <w:pPr>
        <w:spacing w:after="0" w:line="210"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u w:val="single" w:color="auto"/>
          <w:color w:val="auto"/>
        </w:rPr>
        <w:t xml:space="preserve">No Conflicts. </w:t>
      </w:r>
      <w:r>
        <w:rPr>
          <w:rFonts w:ascii="Times New Roman" w:cs="Times New Roman" w:eastAsia="Times New Roman" w:hAnsi="Times New Roman"/>
          <w:sz w:val="18"/>
          <w:szCs w:val="18"/>
          <w:color w:val="auto"/>
        </w:rPr>
        <w:t>Neither the execution, delivery or performance of and compliance with each Transaction Agreement to which such Selling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Shareholder is a party, nor the consummation of the transactions contemplated hereby or thereby by such Selling Shareholder, will (a) result in any violation or breach of such Selling Shareholder’s constitutional documents, (b) result in any violation, breach or default under any material contract to which such Selling Shareholder is a party, (c) violate any applicable laws in any material respect on the part of such Selling Shareholder, or (d) require any consents, waivers, permits, approvals, orders, licenses, authorizations, registrations, qualifications, designations, declarations or filings (collectively, “</w:t>
      </w:r>
      <w:r>
        <w:rPr>
          <w:rFonts w:ascii="Times New Roman" w:cs="Times New Roman" w:eastAsia="Times New Roman" w:hAnsi="Times New Roman"/>
          <w:sz w:val="18"/>
          <w:szCs w:val="18"/>
          <w:b w:val="1"/>
          <w:bCs w:val="1"/>
          <w:color w:val="auto"/>
        </w:rPr>
        <w:t>Approvals</w:t>
      </w:r>
      <w:r>
        <w:rPr>
          <w:rFonts w:ascii="Times New Roman" w:cs="Times New Roman" w:eastAsia="Times New Roman" w:hAnsi="Times New Roman"/>
          <w:sz w:val="18"/>
          <w:szCs w:val="18"/>
          <w:color w:val="auto"/>
        </w:rPr>
        <w:t>”) by or with any governmental authority or any third party (other than Approvals which have been obtained or granted or will be obtained or granted on or prior to the Closing that are necessary for the consummation of the transactions hereunder) on the part of such Selling Shareholder.</w:t>
      </w:r>
    </w:p>
    <w:p>
      <w:pPr>
        <w:spacing w:after="0" w:line="21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u w:val="single" w:color="auto"/>
          <w:color w:val="auto"/>
        </w:rPr>
        <w:t>Selling Shares</w:t>
      </w:r>
      <w:r>
        <w:rPr>
          <w:rFonts w:ascii="Times New Roman" w:cs="Times New Roman" w:eastAsia="Times New Roman" w:hAnsi="Times New Roman"/>
          <w:sz w:val="18"/>
          <w:szCs w:val="18"/>
          <w:color w:val="auto"/>
        </w:rPr>
        <w:t>. As of the date of this Agreement and immediately prior to the Closing, such Selling Shareholder will be the sole and beneficial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owner of such Selling Shareholder’s corresponding Selling Shares as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and has valid and marketable title to such Selling Shares, free and clear of any Liens other than those under applicable laws. Such Selling Shareholder’s corresponding Selling Shares as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are duly and validly issued, fully paid and non-assessable.</w:t>
      </w:r>
    </w:p>
    <w:p>
      <w:pPr>
        <w:spacing w:after="0" w:line="20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in progress, pending or, to the knowledge of such Selling Shareholder, threatened, against such Selling Shareholder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that challenges or seeks to prevent, enjoin or otherwise delay the transactions contemplated by this Agreement.</w:t>
      </w:r>
    </w:p>
    <w:p>
      <w:pPr>
        <w:spacing w:after="0" w:line="18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u w:val="single" w:color="auto"/>
          <w:color w:val="auto"/>
        </w:rPr>
        <w:t>Investigation, Economic Risk</w:t>
      </w:r>
      <w:r>
        <w:rPr>
          <w:rFonts w:ascii="Times New Roman" w:cs="Times New Roman" w:eastAsia="Times New Roman" w:hAnsi="Times New Roman"/>
          <w:sz w:val="18"/>
          <w:szCs w:val="18"/>
          <w:color w:val="auto"/>
        </w:rPr>
        <w:t>. Such Selling Shareholder is able to fend for itself in the transactions contemplated by this Agreement and has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ability to bear the economic risks of its subscription for the Purchaser Shares.</w:t>
      </w:r>
    </w:p>
    <w:p>
      <w:pPr>
        <w:spacing w:after="0" w:line="18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u w:val="single" w:color="auto"/>
          <w:color w:val="auto"/>
        </w:rPr>
        <w:t>Subscription for Own Account</w:t>
      </w:r>
      <w:r>
        <w:rPr>
          <w:rFonts w:ascii="Times New Roman" w:cs="Times New Roman" w:eastAsia="Times New Roman" w:hAnsi="Times New Roman"/>
          <w:sz w:val="18"/>
          <w:szCs w:val="18"/>
          <w:color w:val="auto"/>
        </w:rPr>
        <w:t>. Such Selling Shareholder is, or will be, subscribing for the Purchaser Shares for its own account, not as a nominee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or agent, and not with a view to or in connection with the sale or distribution of any part thereof. By executing this Agreement, such Selling Shareholder further represents that it does not have any contract, undertaking, agreement or arrangement with any person to sell, transfer or grant participation to such person or any third person, with respect to any such securities.</w:t>
      </w:r>
    </w:p>
    <w:p>
      <w:pPr>
        <w:spacing w:after="0" w:line="207"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Such Selling Shareholder understands that the Purchaser Shares have not been registered under the Securities Act. Such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Selling Shareholder understands that the Purchaser Shares will be issued by reason of a specific exemption from the registration provisions of the Securities Act which depends upon, among other things, the bona fide nature of the investment intent and the accuracy of such Selling Shareholder’s representations as expressed herein. Such Selling Shareholder understands that the Purchaser Shares are “restricted securities” under applicable U.S. federal and state securities laws and that, pursuant to these laws, such Selling Shareholder must hold the Purchaser Shares indefinitely unless they are registered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qualified by state authorities, or an exemption from such registration and qualification requirements is available. Such Selling Shareholder further acknowledges that if an exemption from registration or qualification is available, it may be conditioned on various requirements including, but not limited to, the time and manner of sale, the holding period for the Purchaser Shares, and on requirements relating to the Purchaser which are outside of such Selling Shareholder’s control, and which the Purchaser is under no obligation and may not be able to satisfy. Such Selling Shareholder understands that this offering is not intended to be part of the public offering, and that such Selling Shareholder will not be able to rely on the protection of Section 11 of the Securities Act.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4" w:name="page65"/>
    <w:bookmarkEnd w:id="64"/>
    <w:p>
      <w:pPr>
        <w:spacing w:after="0"/>
        <w:tabs>
          <w:tab w:leader="none" w:pos="64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Such Selling Shareholder understands that the Purchaser Shares may bear the following legends:</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SHARES REPRESENTED BY THIS CERTIFICATE HAVE NOT BEEN REGISTERED UNDER THE SECURITIES ACT OF 1933,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w:t>
      </w:r>
    </w:p>
    <w:p>
      <w:pPr>
        <w:spacing w:after="0" w:line="183"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Such Selling Shareholder is an accredited investor as defined in the SEC Rule 501(a) of Regulation D, under the Securities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Act.</w:t>
      </w:r>
    </w:p>
    <w:p>
      <w:pPr>
        <w:spacing w:after="0" w:line="189"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PURCHASER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Unless specifically indicated otherwise, the Purchaser hereby represents and warrants to the Company and the Selling Shareholders that the statements in this Section 5, are all true and correct as of the date hereof. For the purposes of this Section 5, any reference to the Company’s “knowledge” with respect to any matter shall be deemed to mean the actual awareness of such matter (having made due and careful enquiry) of the Founder. Unless specifically indicated otherwise, the warranties set out in Sections 5.1 to 5.4 (inclusive) shall be deemed to be repeated as true and correct immediately before Closing by reference to the facts and circumstances then existing as if references in such warranties to the date of this Agreement were references to the date of Closing.</w:t>
      </w:r>
    </w:p>
    <w:p>
      <w:pPr>
        <w:spacing w:after="0" w:line="187" w:lineRule="exact"/>
        <w:rPr>
          <w:sz w:val="20"/>
          <w:szCs w:val="20"/>
          <w:color w:val="auto"/>
        </w:rPr>
      </w:pPr>
    </w:p>
    <w:p>
      <w:pPr>
        <w:jc w:val="both"/>
        <w:ind w:left="640" w:right="2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auto"/>
        </w:rPr>
        <w:t>Organization, Good Standing and Qualification</w:t>
      </w:r>
      <w:r>
        <w:rPr>
          <w:rFonts w:ascii="Times New Roman" w:cs="Times New Roman" w:eastAsia="Times New Roman" w:hAnsi="Times New Roman"/>
          <w:sz w:val="18"/>
          <w:szCs w:val="18"/>
          <w:color w:val="auto"/>
        </w:rPr>
        <w:t>. The Purchaser is duly organized, validly existing and in good standing under, and by virtue of,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relevant laws in the jurisdiction of its incorporation, and has all requisite power and authority to carry on its business as now conducted.</w:t>
      </w:r>
    </w:p>
    <w:p>
      <w:pPr>
        <w:spacing w:after="0" w:line="18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u w:val="single" w:color="auto"/>
          <w:color w:val="auto"/>
        </w:rPr>
        <w:t>Due Authorisation</w:t>
      </w:r>
      <w:r>
        <w:rPr>
          <w:rFonts w:ascii="Times New Roman" w:cs="Times New Roman" w:eastAsia="Times New Roman" w:hAnsi="Times New Roman"/>
          <w:sz w:val="18"/>
          <w:szCs w:val="18"/>
          <w:color w:val="auto"/>
        </w:rPr>
        <w:t>. All corporate action on the part of the Purchaser necessary for the authorisation, execution and delivery of each Transaction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 to which the Purchaser is a party and the performance of its obligations under each Transaction Agreement to which the Purchaser is a party, has been taken. The Transaction Agreements will, when executed, constitute valid and binding obligations of the Purchaser enforceable in accordance with their respective terms, subject, as to enforcement of remedies, to applicable bankruptcy, insolvency, moratorium, reorganization and similar laws affecting creditors’ rights generally and to general equitable principles.</w:t>
      </w:r>
    </w:p>
    <w:p>
      <w:pPr>
        <w:spacing w:after="0" w:line="21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in progress, pending or, to the knowledge of the Purchaser, threatened, against the Purchaser that challenges or seeks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to prevent, enjoin or otherwise delay the transactions contemplated by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5" w:name="page66"/>
    <w:bookmarkEnd w:id="65"/>
    <w:p>
      <w:pPr>
        <w:jc w:val="both"/>
        <w:ind w:left="652" w:hanging="647"/>
        <w:spacing w:after="0" w:line="257" w:lineRule="auto"/>
        <w:tabs>
          <w:tab w:leader="none" w:pos="632"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and delivery by the Purchaser, and the performance by the Purchaser of its obligations under, the Transaction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Agreements will not contravene in any material respect (a) any provision of applicable law (and all necessary licenses, consents, authorizations and approvals have been obtained), (b) any constitutional documents of the Company, (c) any material agreement binding upon the Company, or</w:t>
      </w:r>
    </w:p>
    <w:p>
      <w:pPr>
        <w:spacing w:after="0" w:line="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(d) any judgment, order or decree of any governmental body, agency or court having jurisdiction over the Purchaser.</w:t>
      </w:r>
    </w:p>
    <w:p>
      <w:pPr>
        <w:spacing w:after="0" w:line="233" w:lineRule="exact"/>
        <w:rPr>
          <w:sz w:val="20"/>
          <w:szCs w:val="20"/>
          <w:color w:val="auto"/>
        </w:rPr>
      </w:pPr>
    </w:p>
    <w:p>
      <w:pPr>
        <w:ind w:left="652" w:hanging="652"/>
        <w:spacing w:after="0"/>
        <w:tabs>
          <w:tab w:leader="none" w:pos="65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AGREEMENTS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left="652" w:hanging="647"/>
        <w:spacing w:after="0" w:line="266" w:lineRule="auto"/>
        <w:tabs>
          <w:tab w:leader="none" w:pos="632"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of the Selling Shareholders, the Company and the Purchaser shall, and shall use reasonable efforts to urge that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necessary third party shall, from time to time execute such documents and perform such acts and things as the Parties may reasonably require to consummate the transactions contemplated under this Agreement and to give each of them the full benefit of this Agreement.</w:t>
      </w:r>
    </w:p>
    <w:p>
      <w:pPr>
        <w:spacing w:after="0" w:line="203" w:lineRule="exact"/>
        <w:rPr>
          <w:sz w:val="20"/>
          <w:szCs w:val="20"/>
          <w:color w:val="auto"/>
        </w:rPr>
      </w:pPr>
    </w:p>
    <w:p>
      <w:pPr>
        <w:jc w:val="both"/>
        <w:ind w:left="652"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Following the date of the Closing, the Purchaser shall use commercially reasonable efforts to instruct Citibank, N.A. to deposit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Purchaser Shares for 13,000,000 American depositary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of the Purchaser.</w:t>
      </w:r>
    </w:p>
    <w:p>
      <w:pPr>
        <w:spacing w:after="0" w:line="189" w:lineRule="exact"/>
        <w:rPr>
          <w:sz w:val="20"/>
          <w:szCs w:val="20"/>
          <w:color w:val="auto"/>
        </w:rPr>
      </w:pPr>
    </w:p>
    <w:p>
      <w:pPr>
        <w:jc w:val="both"/>
        <w:ind w:left="652"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Following the date of the Closing, the Purchaser shall use commercially reasonable efforts to file with the SEC a registration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statement on Form F-1 for the resale of the ADSs held by the Selling Shareholders.</w:t>
      </w:r>
    </w:p>
    <w:p>
      <w:pPr>
        <w:spacing w:after="0" w:line="189" w:lineRule="exact"/>
        <w:rPr>
          <w:sz w:val="20"/>
          <w:szCs w:val="20"/>
          <w:color w:val="auto"/>
        </w:rPr>
      </w:pPr>
    </w:p>
    <w:p>
      <w:pPr>
        <w:jc w:val="both"/>
        <w:ind w:left="652" w:hanging="647"/>
        <w:spacing w:after="0" w:line="266" w:lineRule="auto"/>
        <w:tabs>
          <w:tab w:leader="none" w:pos="632"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u w:val="single" w:color="auto"/>
          <w:color w:val="auto"/>
        </w:rPr>
        <w:t>Stamp Duty</w:t>
      </w:r>
      <w:r>
        <w:rPr>
          <w:rFonts w:ascii="Times New Roman" w:cs="Times New Roman" w:eastAsia="Times New Roman" w:hAnsi="Times New Roman"/>
          <w:sz w:val="18"/>
          <w:szCs w:val="18"/>
          <w:color w:val="auto"/>
        </w:rPr>
        <w:t>. All stamp duty payable in Hong Kong in connection with the transaction contemplated by this Agreement are to be borne 50% by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Purchaser and 50% by the Selling Shareholders jointly. The Selling Shareholders undertake with the Purchaser to pay to the Purchaser the stamp duty assessable on the instrument of transfer and the bought and sold notes.</w:t>
      </w:r>
    </w:p>
    <w:p>
      <w:pPr>
        <w:spacing w:after="0" w:line="203" w:lineRule="exact"/>
        <w:rPr>
          <w:sz w:val="20"/>
          <w:szCs w:val="20"/>
          <w:color w:val="auto"/>
        </w:rPr>
      </w:pPr>
    </w:p>
    <w:p>
      <w:pPr>
        <w:ind w:left="652" w:hanging="652"/>
        <w:spacing w:after="0"/>
        <w:tabs>
          <w:tab w:leader="none" w:pos="6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p>
    <w:p>
      <w:pPr>
        <w:spacing w:after="0" w:line="248" w:lineRule="exact"/>
        <w:rPr>
          <w:sz w:val="20"/>
          <w:szCs w:val="20"/>
          <w:color w:val="auto"/>
        </w:rPr>
      </w:pPr>
    </w:p>
    <w:p>
      <w:pPr>
        <w:jc w:val="both"/>
        <w:ind w:left="652" w:hanging="647"/>
        <w:spacing w:after="0" w:line="257" w:lineRule="auto"/>
        <w:tabs>
          <w:tab w:leader="none" w:pos="632"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Indemnification by the Company and the Selling Shareholders</w:t>
      </w:r>
      <w:r>
        <w:rPr>
          <w:rFonts w:ascii="Times New Roman" w:cs="Times New Roman" w:eastAsia="Times New Roman" w:hAnsi="Times New Roman"/>
          <w:sz w:val="18"/>
          <w:szCs w:val="18"/>
          <w:color w:val="auto"/>
        </w:rPr>
        <w:t>. The Company and each Selling Shareholder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hereby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agrees to, from and after the Closing and subject to the limitations set forth in this Section 7, jointly and severally indemnify, and hold harmless the Purchaser and its successors and permitted assigns and any of its Affiliates, and their respective officers, directors, and employees (each, a “</w:t>
      </w:r>
      <w:r>
        <w:rPr>
          <w:rFonts w:ascii="Times New Roman" w:cs="Times New Roman" w:eastAsia="Times New Roman" w:hAnsi="Times New Roman"/>
          <w:sz w:val="18"/>
          <w:szCs w:val="18"/>
          <w:b w:val="1"/>
          <w:bCs w:val="1"/>
          <w:color w:val="auto"/>
        </w:rPr>
        <w:t>Purchaser Indemnified Party</w:t>
      </w:r>
      <w:r>
        <w:rPr>
          <w:rFonts w:ascii="Times New Roman" w:cs="Times New Roman" w:eastAsia="Times New Roman" w:hAnsi="Times New Roman"/>
          <w:sz w:val="18"/>
          <w:szCs w:val="18"/>
          <w:color w:val="auto"/>
        </w:rPr>
        <w:t>”) from and against any and all Indemnifiable Losses suffered by such Purchaser Indemnified Party as a result of, or arising from, any breach of or inaccuracy in any representations and warranty made by the Company or such Selling Shareholder in this Agreement or any breach of any covenant, agreement or obligation of the Company or such Selling Shareholder contained in this Agreement.</w:t>
      </w:r>
    </w:p>
    <w:p>
      <w:pPr>
        <w:spacing w:after="0" w:line="213" w:lineRule="exact"/>
        <w:rPr>
          <w:sz w:val="20"/>
          <w:szCs w:val="20"/>
          <w:color w:val="auto"/>
        </w:rPr>
      </w:pPr>
    </w:p>
    <w:p>
      <w:pPr>
        <w:jc w:val="both"/>
        <w:ind w:left="652" w:hanging="647"/>
        <w:spacing w:after="0" w:line="266" w:lineRule="auto"/>
        <w:tabs>
          <w:tab w:leader="none" w:pos="632"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u w:val="single" w:color="auto"/>
          <w:color w:val="auto"/>
        </w:rPr>
        <w:t>Survival of Warranties</w:t>
      </w:r>
      <w:r>
        <w:rPr>
          <w:rFonts w:ascii="Times New Roman" w:cs="Times New Roman" w:eastAsia="Times New Roman" w:hAnsi="Times New Roman"/>
          <w:sz w:val="18"/>
          <w:szCs w:val="18"/>
          <w:color w:val="auto"/>
        </w:rPr>
        <w:t>. (i) Each of the representations and warranties of (x) the Company set forth in Section 3 and (y) each Selling Shareholder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set forth in Section 4 shall survive the Closing until the third anniversary of the date of the Closing; and (ii) the covenants and agreements of the Parties contained in this Agreement shall survive the Closing until fully performed or discharged.</w:t>
      </w:r>
    </w:p>
    <w:p>
      <w:pPr>
        <w:spacing w:after="0" w:line="203" w:lineRule="exact"/>
        <w:rPr>
          <w:sz w:val="20"/>
          <w:szCs w:val="20"/>
          <w:color w:val="auto"/>
        </w:rPr>
      </w:pPr>
    </w:p>
    <w:p>
      <w:pPr>
        <w:jc w:val="both"/>
        <w:ind w:left="652" w:hanging="647"/>
        <w:spacing w:after="0" w:line="261" w:lineRule="auto"/>
        <w:tabs>
          <w:tab w:leader="none" w:pos="632"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u w:val="single" w:color="auto"/>
          <w:color w:val="auto"/>
        </w:rPr>
        <w:t>Right to Cure</w:t>
      </w:r>
      <w:r>
        <w:rPr>
          <w:rFonts w:ascii="Times New Roman" w:cs="Times New Roman" w:eastAsia="Times New Roman" w:hAnsi="Times New Roman"/>
          <w:sz w:val="18"/>
          <w:szCs w:val="18"/>
          <w:color w:val="auto"/>
        </w:rPr>
        <w:t>. An Indemnifying Party shall not be liable for any claim made by its corresponding Purchaser Indemnified Party pursuant to this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Section 7 to the extent any breach or circumstances underlying such claim has been remedied or otherwise cured by such Indemnifying Party after such claim is made (to the extent that, as a result of such cure, such Purchaser Indemnified Party has not actually suffered Indemnifiable Losses in connection with or attributable to the matters giving rise to such claim).</w:t>
      </w:r>
    </w:p>
    <w:p>
      <w:pPr>
        <w:spacing w:after="0" w:line="200" w:lineRule="exact"/>
        <w:rPr>
          <w:sz w:val="20"/>
          <w:szCs w:val="20"/>
          <w:color w:val="auto"/>
        </w:rPr>
      </w:pPr>
    </w:p>
    <w:p>
      <w:pPr>
        <w:spacing w:after="0" w:line="2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64" w:right="339" w:bottom="1440" w:gutter="0" w:footer="0" w:header="0"/>
        </w:sectPr>
      </w:pPr>
    </w:p>
    <w:bookmarkStart w:id="66" w:name="page67"/>
    <w:bookmarkEnd w:id="66"/>
    <w:p>
      <w:pPr>
        <w:ind w:left="660" w:hanging="652"/>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w:t>
      </w:r>
      <w:r>
        <w:rPr>
          <w:rFonts w:ascii="Times New Roman" w:cs="Times New Roman" w:eastAsia="Times New Roman" w:hAnsi="Times New Roman"/>
          <w:sz w:val="18"/>
          <w:szCs w:val="18"/>
          <w:color w:val="auto"/>
        </w:rPr>
        <w:t>. The Closing of the transactions contemplated by this Agreement shall be subject to the fulfillment of the following conditions precedent:</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The transactions contemplated by this Agreement shall have obtained and/or completed approvals or filings, as required, from any governmental and/or regulatory agencies in accordance with relevant laws and regulations;</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The transactions contemplated by this Agreement shall have obtained the effective corporate approvals the Company;</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The transactions contemplated by this Agreement shall have obtained the effective corporate approvals the Purchaser; and</w:t>
      </w:r>
    </w:p>
    <w:p>
      <w:pPr>
        <w:spacing w:after="0" w:line="252"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The Purchaser shall have completed its due diligence of the Company and the results thereof shall be satisfactory to the Purchaser in its sole and absolute discretion.</w:t>
      </w:r>
    </w:p>
    <w:p>
      <w:pPr>
        <w:spacing w:after="0" w:line="189"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AND NON-DISCLOSURE</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u w:val="single" w:color="auto"/>
          <w:color w:val="auto"/>
        </w:rPr>
        <w:t>Disclosure of Terms</w:t>
      </w:r>
      <w:r>
        <w:rPr>
          <w:rFonts w:ascii="Times New Roman" w:cs="Times New Roman" w:eastAsia="Times New Roman" w:hAnsi="Times New Roman"/>
          <w:sz w:val="18"/>
          <w:szCs w:val="18"/>
          <w:color w:val="auto"/>
        </w:rPr>
        <w:t>. Each Party acknowledges that the terms and conditions of this Agreement, and all exhibits, schedules, restatements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amendments hereto, including their existence and any negotiations in connection with them (collectively, the “</w:t>
      </w:r>
      <w:r>
        <w:rPr>
          <w:rFonts w:ascii="Times New Roman" w:cs="Times New Roman" w:eastAsia="Times New Roman" w:hAnsi="Times New Roman"/>
          <w:sz w:val="18"/>
          <w:szCs w:val="18"/>
          <w:b w:val="1"/>
          <w:bCs w:val="1"/>
          <w:color w:val="auto"/>
        </w:rPr>
        <w:t>Terms</w:t>
      </w:r>
      <w:r>
        <w:rPr>
          <w:rFonts w:ascii="Times New Roman" w:cs="Times New Roman" w:eastAsia="Times New Roman" w:hAnsi="Times New Roman"/>
          <w:sz w:val="18"/>
          <w:szCs w:val="18"/>
          <w:color w:val="auto"/>
        </w:rPr>
        <w:t>”), shall be considered confidential information and shall not be disclosed by it to any third party except in accordance with the provisions set forth below.</w:t>
      </w:r>
    </w:p>
    <w:p>
      <w:pPr>
        <w:spacing w:after="0" w:line="20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u w:val="single" w:color="auto"/>
          <w:color w:val="auto"/>
        </w:rPr>
        <w:t>Permitted Disclosures</w:t>
      </w:r>
      <w:r>
        <w:rPr>
          <w:rFonts w:ascii="Times New Roman" w:cs="Times New Roman" w:eastAsia="Times New Roman" w:hAnsi="Times New Roman"/>
          <w:sz w:val="17"/>
          <w:szCs w:val="17"/>
          <w:color w:val="auto"/>
        </w:rPr>
        <w:t>. The confidentiality obligations set out in this Section 9 do not apply to:</w:t>
      </w:r>
    </w:p>
    <w:p>
      <w:pPr>
        <w:spacing w:after="0" w:line="252" w:lineRule="exact"/>
        <w:rPr>
          <w:sz w:val="20"/>
          <w:szCs w:val="20"/>
          <w:color w:val="auto"/>
        </w:rPr>
      </w:pPr>
    </w:p>
    <w:p>
      <w:pPr>
        <w:jc w:val="both"/>
        <w:ind w:left="660" w:hanging="652"/>
        <w:spacing w:after="0" w:line="26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which was in the public domain or otherwise known to the relevant Party before it was furnished to it by another Party or, after it was furnished to that Party, entered the public domain otherwise than as a result of (i) a breach by that Party of this Section 9, or (ii) a breach of a confidentiality obligation by the discloser, where the breach was known to that Party;</w:t>
      </w:r>
    </w:p>
    <w:p>
      <w:pPr>
        <w:spacing w:after="0" w:line="20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the disclosure of which is necessary in order to comply with any applicable law, the order of any competent court or authority, the requirements of a stock exchange, parliamentary body, governmental agency or to obtain tax or other clearances or consents from any relevant authority or in connection with responding to any request from any tax authority; or</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disclosed by any Party to their respective Affiliates, and its and their employees, bankers, financial advisers, consultants, auditors, insurers and legal or other advisers for the purpose of this Agreement and the transactions contemplated hereunder.</w:t>
      </w:r>
    </w:p>
    <w:p>
      <w:pPr>
        <w:spacing w:after="0" w:line="18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u w:val="single" w:color="auto"/>
          <w:color w:val="auto"/>
        </w:rPr>
        <w:t>Legally Compelled Disclosure</w:t>
      </w:r>
      <w:r>
        <w:rPr>
          <w:rFonts w:ascii="Times New Roman" w:cs="Times New Roman" w:eastAsia="Times New Roman" w:hAnsi="Times New Roman"/>
          <w:sz w:val="18"/>
          <w:szCs w:val="18"/>
          <w:color w:val="auto"/>
        </w:rPr>
        <w:t>. In the event that any Party is requested or becomes legally compelled (including without limitation pursuant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securities laws and regulations) to disclose the existence of this Agreement or any Terms pursuant to Section 9.2(b) above, such Party shall, if and to the extent that it can lawfully do so, provide the other Parties with prompt written notice of that fact so that the appropriate Party may seek (with the cooperation and reasonable efforts of the other Parties) a protective order, confidential treatment or other appropriate remedy. In such event, the disclosing Party shall furnish only that portion of the information that is legally required and shall exercise reasonable efforts to obtain reliable assurance that confidential treatment will be accorded to such information to the extent reasonably requested by any non-disclosing Party.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7" w:name="page68"/>
    <w:bookmarkEnd w:id="67"/>
    <w:p>
      <w:pPr>
        <w:spacing w:after="0"/>
        <w:tabs>
          <w:tab w:leader="none" w:pos="6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u w:val="single" w:color="auto"/>
          <w:color w:val="auto"/>
        </w:rPr>
        <w:t>Announcements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660" w:hanging="652"/>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make or authorise the making of any announcement concerning the existence or subject matter of this Agreement unless the other Parties shall have given their prior consent to such announcement (such consent not to be unreasonably withheld or delayed).</w:t>
      </w:r>
    </w:p>
    <w:p>
      <w:pPr>
        <w:spacing w:after="0" w:line="188"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9.4(a) shall not apply to:</w:t>
      </w:r>
    </w:p>
    <w:p>
      <w:pPr>
        <w:spacing w:after="0" w:line="25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which is required to be announced pursuant to any applicable laws or any requirement of any competent governmental or statutory authority or rules or regulations of any relevant regulatory, administrative or supervisory body (including without limitation, any relevant stock exchange or securities council); or</w:t>
      </w:r>
    </w:p>
    <w:p>
      <w:pPr>
        <w:spacing w:after="0" w:line="202"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which is required to be announced pursuant to any legal process issued by any court or tribunal of competent jurisdiction.</w:t>
      </w:r>
    </w:p>
    <w:p>
      <w:pPr>
        <w:spacing w:after="0" w:line="162" w:lineRule="exact"/>
        <w:rPr>
          <w:sz w:val="20"/>
          <w:szCs w:val="20"/>
          <w:color w:val="auto"/>
        </w:rPr>
      </w:pPr>
    </w:p>
    <w:p>
      <w:pPr>
        <w:ind w:left="640"/>
        <w:spacing w:after="0" w:line="282" w:lineRule="auto"/>
        <w:rPr>
          <w:sz w:val="20"/>
          <w:szCs w:val="20"/>
          <w:color w:val="auto"/>
        </w:rPr>
      </w:pPr>
      <w:r>
        <w:rPr>
          <w:rFonts w:ascii="Times New Roman" w:cs="Times New Roman" w:eastAsia="Times New Roman" w:hAnsi="Times New Roman"/>
          <w:sz w:val="18"/>
          <w:szCs w:val="18"/>
          <w:color w:val="auto"/>
        </w:rPr>
        <w:t>Where any announcement is made in reliance on the foregoing exception, the Party making the announcement shall, to the extent that it can lawfully do so, consult with the relevant other Party in advance as to the form, content and timing of such announcement.</w:t>
      </w:r>
    </w:p>
    <w:p>
      <w:pPr>
        <w:spacing w:after="0" w:line="162"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660" w:hanging="652"/>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and enforced in accordance with, the laws of Singapore, without reference to its conflict of laws principles.</w:t>
      </w:r>
    </w:p>
    <w:p>
      <w:pPr>
        <w:spacing w:after="0" w:line="188"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submit to the non-exclusive jurisdiction of the courts of Singapore.</w:t>
      </w:r>
    </w:p>
    <w:p>
      <w:pPr>
        <w:spacing w:after="0" w:line="25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Except as otherwise expressly provided herein, the provisions hereof shall inure to the benefit of, and be binding upon,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successors, permitted assigns, heirs, executors and administrators of the Parties. No Party shall (nor shall it purport to) assign, transfer, charge or otherwise deal with all or any of its rights under this Agreement nor grant, declare or dispose of any right or interest in it without the prior written consent of the other Parties.</w:t>
      </w:r>
    </w:p>
    <w:p>
      <w:pPr>
        <w:spacing w:after="0" w:line="20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schedules and exhibits hereto, which are hereby expressly incorporated herein by this reference,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constitute the entire understanding and agreement between the Parties with regard to the subjects hereof and thereof and supersede any prior agreement (whether oral or written) relating to the transactions contemplated in this Agreement.</w:t>
      </w:r>
    </w:p>
    <w:p>
      <w:pPr>
        <w:spacing w:after="0" w:line="20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may be otherwise provided herein, all notices, requests, waivers and other communications made pursuant to this Agreement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shall be in writing and shall be conclusively deemed to have been duly given: (a) when hand delivered to a Party; (b) when sent by email at the time the email is sent or (c) three (3) Business Days after deposit with an internationally reputable delivery service provider, postage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sending Party receives a confirmation of delivery from the delivery service provider.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7"/>
          <w:szCs w:val="17"/>
          <w:color w:val="auto"/>
        </w:rPr>
        <w:t>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Tongxin Innovation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Maxgrand Plaza, 19H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No.3 Tai Yau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Po Kong, Kowloon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Bu Fan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address: bfcq1028@gmail.com</w:t>
      </w:r>
    </w:p>
    <w:p>
      <w:pPr>
        <w:spacing w:after="0" w:line="200" w:lineRule="exact"/>
        <w:rPr>
          <w:sz w:val="20"/>
          <w:szCs w:val="20"/>
          <w:color w:val="auto"/>
        </w:rPr>
      </w:pPr>
    </w:p>
    <w:p>
      <w:pPr>
        <w:sectPr>
          <w:pgSz w:w="11900" w:h="16838" w:orient="portrait"/>
          <w:cols w:equalWidth="0" w:num="2">
            <w:col w:w="3780" w:space="720"/>
            <w:col w:w="6740"/>
          </w:cols>
          <w:pgMar w:left="320" w:top="337" w:right="339" w:bottom="1440" w:gutter="0" w:footer="0" w:header="0"/>
        </w:sectPr>
      </w:pP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To the Purchaser: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Trident Digital Tech Holdings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Suntec Tower 3, 8 Temasek Boulevard Road, #24-03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038988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Mr. Soon Huat Lim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William.lim@tridentity.me</w:t>
      </w:r>
    </w:p>
    <w:p>
      <w:pPr>
        <w:spacing w:after="0" w:line="200" w:lineRule="exact"/>
        <w:rPr>
          <w:sz w:val="20"/>
          <w:szCs w:val="20"/>
          <w:color w:val="auto"/>
        </w:rPr>
      </w:pPr>
    </w:p>
    <w:p>
      <w:pPr>
        <w:sectPr>
          <w:pgSz w:w="11900" w:h="16838" w:orient="portrait"/>
          <w:cols w:equalWidth="0" w:num="2">
            <w:col w:w="3780" w:space="720"/>
            <w:col w:w="6740"/>
          </w:cols>
          <w:pgMar w:left="320" w:top="337" w:right="339" w:bottom="144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To the Selling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Bu Fan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205 Building 12, Vanke Duihuisiji Garden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Baoan district, Shenzhen 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Guangdong Province,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bfcq1028@gmail.com</w:t>
      </w:r>
    </w:p>
    <w:p>
      <w:pPr>
        <w:spacing w:after="0" w:line="200" w:lineRule="exact"/>
        <w:rPr>
          <w:sz w:val="20"/>
          <w:szCs w:val="20"/>
          <w:color w:val="auto"/>
        </w:rPr>
      </w:pPr>
    </w:p>
    <w:p>
      <w:pPr>
        <w:sectPr>
          <w:pgSz w:w="11900" w:h="16838" w:orient="portrait"/>
          <w:cols w:equalWidth="0" w:num="2">
            <w:col w:w="3780" w:space="720"/>
            <w:col w:w="6740"/>
          </w:cols>
          <w:pgMar w:left="320" w:top="337" w:right="339" w:bottom="1440" w:gutter="0" w:footer="0" w:header="0"/>
          <w:type w:val="continuous"/>
        </w:sectPr>
      </w:pP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Zhang Jing</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Block A, 27/F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Block 2, Bauhinia Garden, Tseung Kwan O</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Kowloon, Hong Kong</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Email address: zhangjingtko@gmail.com</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LIM YUN JIIN YVONNE</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11 Woodlands Avenue 6 #01-03</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Singapore 738992</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Email address: Yj.lim@joonthiam.com.sg</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TEE SHEAU NEE</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Flat A 6/F Tower 2, 1&amp;3 Ede Road, 3 Ede Road</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Kowloon Tong</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Kowloon, Hong Kong</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Email address: nicotee@shingwai.com</w:t>
      </w:r>
    </w:p>
    <w:p>
      <w:pPr>
        <w:sectPr>
          <w:pgSz w:w="11900" w:h="16838" w:orient="portrait"/>
          <w:cols w:equalWidth="0" w:num="1">
            <w:col w:w="11240"/>
          </w:cols>
          <w:pgMar w:left="320" w:top="337" w:right="339" w:bottom="1440" w:gutter="0" w:footer="0" w:header="0"/>
          <w:type w:val="continuous"/>
        </w:sectPr>
      </w:pPr>
    </w:p>
    <w:p>
      <w:pPr>
        <w:spacing w:after="0" w:line="20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 Party may change or supplement the addresses given above, or designate additional addresses, for purposes of this Section 10.4 by giving the other Parties written notice of the new address or number (as relevant) in the manner set forth above.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u w:val="single" w:color="auto"/>
          <w:color w:val="auto"/>
        </w:rPr>
        <w:t>Amendments and Waivers</w:t>
      </w:r>
      <w:r>
        <w:rPr>
          <w:rFonts w:ascii="Times New Roman" w:cs="Times New Roman" w:eastAsia="Times New Roman" w:hAnsi="Times New Roman"/>
          <w:sz w:val="17"/>
          <w:szCs w:val="17"/>
          <w:color w:val="auto"/>
        </w:rPr>
        <w:t>. This Agreement may be amended only with the prior written consent of the Parties.</w:t>
      </w:r>
    </w:p>
    <w:p>
      <w:pPr>
        <w:spacing w:after="0" w:line="252"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u w:val="single" w:color="auto"/>
          <w:color w:val="auto"/>
        </w:rPr>
        <w:t>Delays or Omissions</w:t>
      </w:r>
      <w:r>
        <w:rPr>
          <w:rFonts w:ascii="Times New Roman" w:cs="Times New Roman" w:eastAsia="Times New Roman" w:hAnsi="Times New Roman"/>
          <w:sz w:val="18"/>
          <w:szCs w:val="18"/>
          <w:color w:val="auto"/>
        </w:rPr>
        <w:t>. No delay or omission to exercise any right, power or remedy accruing to any Party upon any breach or default of any other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Party hereto under this Agreement, shall impair any such right, power or remedy of the aggrieved Party nor shall it be construed to be a waiver of any such breach or default, or an acquiescence therein, or of any similar breach or default thereafter occurring; nor shall any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the Parties shall be cumulative and not alternative.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9" w:name="page70"/>
    <w:bookmarkEnd w:id="69"/>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auto"/>
        </w:rPr>
        <w:t>Costs</w:t>
      </w:r>
      <w:r>
        <w:rPr>
          <w:rFonts w:ascii="Times New Roman" w:cs="Times New Roman" w:eastAsia="Times New Roman" w:hAnsi="Times New Roman"/>
          <w:sz w:val="18"/>
          <w:szCs w:val="18"/>
          <w:color w:val="auto"/>
        </w:rPr>
        <w:t>. Each Party shall bear its own legal and other costs and expenses of and incidental to the negotiation, preparation, execution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performance by it of this Agreement and all ancillary documents.</w:t>
      </w:r>
    </w:p>
    <w:p>
      <w:pPr>
        <w:spacing w:after="0" w:line="18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of the Sections and subsections of this Agreement are for convenience of reference only and are not to be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considered in construing this Agreement.</w:t>
      </w:r>
    </w:p>
    <w:p>
      <w:pPr>
        <w:spacing w:after="0" w:line="189"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u w:val="single" w:color="auto"/>
          <w:color w:val="auto"/>
        </w:rPr>
        <w:t>Counterparts; Reproductions; Electronic Signatures</w:t>
      </w:r>
      <w:r>
        <w:rPr>
          <w:rFonts w:ascii="Times New Roman" w:cs="Times New Roman" w:eastAsia="Times New Roman" w:hAnsi="Times New Roman"/>
          <w:sz w:val="18"/>
          <w:szCs w:val="18"/>
          <w:color w:val="auto"/>
        </w:rPr>
        <w:t>. This Agreement may be executed in any number of counterparts, and by each Party 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separate counterparts. Each counterpart is an original, but all counterparts shall together constitute one and the same instrument. A facsimile, portable document file (PDF) or other reproduction of this Agreement may be executed by one or more Parties and delivered by such Party by facsimile, electronic mail or any similar electronic transmission pursuant to which the signature of or on behalf of such Party can be seen. Delivery of a counterpart of this Agreement by e-mail attachment or facsimile shall be an effective mode of delivery. The Parties agree that this Agreement may be executed by way of electronic signatures and the Parties agree that this Agreement, or any part thereof, shall not be denied legal effect, validity or enforceability solely on the ground that it is in the form of an electronic record. The Parties further agree that they shall not dispute the validity, accuracy, legal effectiveness or authenticity or enforceability of this Agreement merely on the basis that this Agreement is executed by way of electronic signatures, and that such electronic record shall be final and conclusive of the Parties’ agreement of any relevant matter as set out herein.</w:t>
      </w:r>
    </w:p>
    <w:p>
      <w:pPr>
        <w:spacing w:after="0" w:line="221"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Should any provision of this Agreement be determined to be illegal or unenforceable, such determination shall not affect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remaining provisions of this Agreement, the relevant provision shall have no effect in that respect and the Parties shall use all reasonable efforts to replace it in that respect with a valid and enforceable substitute provision the effect of which is as close to its intended effect as possible.</w:t>
      </w:r>
    </w:p>
    <w:p>
      <w:pPr>
        <w:spacing w:after="0" w:line="20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u w:val="single" w:color="auto"/>
          <w:color w:val="auto"/>
        </w:rPr>
        <w:t xml:space="preserve">Third-party rights. </w:t>
      </w:r>
      <w:r>
        <w:rPr>
          <w:rFonts w:ascii="Times New Roman" w:cs="Times New Roman" w:eastAsia="Times New Roman" w:hAnsi="Times New Roman"/>
          <w:sz w:val="18"/>
          <w:szCs w:val="18"/>
          <w:color w:val="auto"/>
        </w:rPr>
        <w:t>A person who is not a party to this Agreement has no right under the Contracts (Rights of Third Parties) Act 2001 (2020 Rev</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Ed), to enforce any term of, or enjoy any benefit under, this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set forth above.</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TRIDENT DIGITAL TECH HOLIDNGS LTD</w:t>
      </w:r>
    </w:p>
    <w:p>
      <w:pPr>
        <w:spacing w:after="0" w:line="229" w:lineRule="exact"/>
        <w:rPr>
          <w:sz w:val="20"/>
          <w:szCs w:val="20"/>
          <w:color w:val="auto"/>
        </w:rPr>
      </w:pPr>
    </w:p>
    <w:tbl>
      <w:tblPr>
        <w:tblLayout w:type="fixed"/>
        <w:tblInd w:w="610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Soon Huat, Lim</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Soon Huat, Lim</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SIGNATURE PAGE TO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291465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set forth above.</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TONGXIN INNOVATION LIMITED</w:t>
      </w:r>
    </w:p>
    <w:p>
      <w:pPr>
        <w:spacing w:after="0" w:line="229" w:lineRule="exact"/>
        <w:rPr>
          <w:sz w:val="20"/>
          <w:szCs w:val="20"/>
          <w:color w:val="auto"/>
        </w:rPr>
      </w:pPr>
    </w:p>
    <w:tbl>
      <w:tblPr>
        <w:tblLayout w:type="fixed"/>
        <w:tblInd w:w="610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Tongxin Innovation Limited</w:t>
            </w:r>
          </w:p>
        </w:tc>
      </w:tr>
      <w:tr>
        <w:trPr>
          <w:trHeight w:val="198"/>
        </w:trPr>
        <w:tc>
          <w:tcPr>
            <w:tcW w:w="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17"/>
                <w:szCs w:val="17"/>
                <w:color w:val="auto"/>
              </w:rPr>
            </w:pPr>
          </w:p>
        </w:tc>
        <w:tc>
          <w:tcPr>
            <w:tcW w:w="3920" w:type="dxa"/>
            <w:vAlign w:val="bottom"/>
            <w:tcBorders>
              <w:top w:val="single" w:sz="8" w:color="auto"/>
            </w:tcBorders>
          </w:tcPr>
          <w:p>
            <w:pPr>
              <w:spacing w:after="0"/>
              <w:rPr>
                <w:sz w:val="17"/>
                <w:szCs w:val="17"/>
                <w:color w:val="auto"/>
              </w:rPr>
            </w:pP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Pr>
          <w:p>
            <w:pPr>
              <w:spacing w:after="0"/>
              <w:rPr>
                <w:sz w:val="20"/>
                <w:szCs w:val="20"/>
                <w:color w:val="auto"/>
              </w:rPr>
            </w:pPr>
          </w:p>
        </w:tc>
        <w:tc>
          <w:tcPr>
            <w:tcW w:w="3920" w:type="dxa"/>
            <w:vAlign w:val="bottom"/>
          </w:tcPr>
          <w:p>
            <w:pPr>
              <w:spacing w:after="0"/>
              <w:rPr>
                <w:sz w:val="20"/>
                <w:szCs w:val="20"/>
                <w:color w:val="auto"/>
              </w:rPr>
            </w:pPr>
          </w:p>
        </w:tc>
      </w:tr>
    </w:tbl>
    <w:p>
      <w:pPr>
        <w:spacing w:after="0" w:line="19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SIGNATURE PAGE TO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291465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as of the date first set forth above.</w:t>
      </w:r>
    </w:p>
    <w:p>
      <w:pPr>
        <w:spacing w:after="0" w:line="26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BU FAN</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Bu 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SIGNATURE PAGE TO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308610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337"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as of the date first set forth above.</w:t>
      </w:r>
    </w:p>
    <w:p>
      <w:pPr>
        <w:spacing w:after="0" w:line="26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ZHANG JING</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Zhang Jing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5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SIGNATURE PAGE TO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308610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364"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as of the date first set forth above.</w:t>
      </w:r>
    </w:p>
    <w:p>
      <w:pPr>
        <w:spacing w:after="0" w:line="26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TEE SHEAU NEE</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Tee Sheau 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5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SIGNATURE PAGE TO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308610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364"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set forth above.</w:t>
      </w:r>
    </w:p>
    <w:p>
      <w:pPr>
        <w:spacing w:after="0" w:line="24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b w:val="1"/>
          <w:bCs w:val="1"/>
          <w:color w:val="auto"/>
        </w:rPr>
        <w:t>LIM YUN JIIN YVONNE</w:t>
      </w:r>
    </w:p>
    <w:p>
      <w:pPr>
        <w:spacing w:after="0" w:line="24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Lim Yun Jiin Yvonne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5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SIGNATURE PAGE TO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302260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364" w:right="1440"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260" w:type="dxa"/>
            <w:vAlign w:val="bottom"/>
            <w:gridSpan w:val="5"/>
          </w:tcPr>
          <w:p>
            <w:pPr>
              <w:jc w:val="right"/>
              <w:ind w:right="2420"/>
              <w:spacing w:after="0"/>
              <w:rPr>
                <w:sz w:val="20"/>
                <w:szCs w:val="20"/>
                <w:color w:val="auto"/>
              </w:rPr>
            </w:pPr>
            <w:r>
              <w:rPr>
                <w:rFonts w:ascii="Times New Roman" w:cs="Times New Roman" w:eastAsia="Times New Roman" w:hAnsi="Times New Roman"/>
                <w:sz w:val="18"/>
                <w:szCs w:val="18"/>
                <w:color w:val="auto"/>
                <w:w w:val="98"/>
              </w:rPr>
              <w:t>Schedule A</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84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1"/>
              </w:rPr>
              <w:t>D</w:t>
            </w:r>
          </w:p>
        </w:tc>
      </w:tr>
      <w:tr>
        <w:trPr>
          <w:trHeight w:val="216"/>
        </w:trPr>
        <w:tc>
          <w:tcPr>
            <w:tcW w:w="5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5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corresponding</w:t>
            </w:r>
          </w:p>
        </w:tc>
      </w:tr>
      <w:tr>
        <w:trPr>
          <w:trHeight w:val="216"/>
        </w:trPr>
        <w:tc>
          <w:tcPr>
            <w:tcW w:w="5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corresponding</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Purchaser</w:t>
            </w:r>
          </w:p>
        </w:tc>
      </w:tr>
      <w:tr>
        <w:trPr>
          <w:trHeight w:val="245"/>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Shareholders</w:t>
            </w: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held</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Selling Shares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43"/>
        </w:trPr>
        <w:tc>
          <w:tcPr>
            <w:tcW w:w="5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 FAN</w:t>
            </w:r>
          </w:p>
        </w:tc>
        <w:tc>
          <w:tcPr>
            <w:tcW w:w="84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22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16,000,000</w:t>
            </w:r>
          </w:p>
        </w:tc>
        <w:tc>
          <w:tcPr>
            <w:tcW w:w="100" w:type="dxa"/>
            <w:vAlign w:val="bottom"/>
            <w:tcBorders>
              <w:top w:val="single" w:sz="8" w:color="CCEEFF"/>
            </w:tcBorders>
            <w:shd w:val="clear" w:color="auto" w:fill="CCEEFF"/>
          </w:tcPr>
          <w:p>
            <w:pPr>
              <w:spacing w:after="0"/>
              <w:rPr>
                <w:sz w:val="21"/>
                <w:szCs w:val="21"/>
                <w:color w:val="auto"/>
              </w:rPr>
            </w:pPr>
          </w:p>
        </w:tc>
      </w:tr>
      <w:tr>
        <w:trPr>
          <w:trHeight w:val="23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ZHANG JING</w:t>
            </w:r>
          </w:p>
        </w:tc>
        <w:tc>
          <w:tcPr>
            <w:tcW w:w="32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3,700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16,000,000</w:t>
            </w:r>
          </w:p>
        </w:tc>
      </w:tr>
      <w:tr>
        <w:trPr>
          <w:trHeight w:val="247"/>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LIM YUN JIIN YVONNE</w:t>
            </w:r>
          </w:p>
        </w:tc>
        <w:tc>
          <w:tcPr>
            <w:tcW w:w="326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34,400,000</w:t>
            </w: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TEE SHEAU NEE</w:t>
            </w:r>
          </w:p>
        </w:tc>
        <w:tc>
          <w:tcPr>
            <w:tcW w:w="32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1,100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37,600,000</w:t>
            </w:r>
          </w:p>
        </w:tc>
      </w:tr>
      <w:tr>
        <w:trPr>
          <w:trHeight w:val="448"/>
        </w:trPr>
        <w:tc>
          <w:tcPr>
            <w:tcW w:w="5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4"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INSTRUMENT OF TRANSFER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Tongxin Innovation Limited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__________________(hereinafter called the “Transferor”) in consideration of __________________paid to me by Trident Digital Tech Holdings Ltd., a</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Hong Kong private company limited by share (hereinafter called the “Transferee”) do hereby transfer to the Transferee the ordinary shares in the capital of the Company numbered___________________(the “Shares”) standing in my name in the register of members of the Company to hold unto the Transferee, its executors, administrators or assigns, subject to the several conditions upon which I hold the same at the time of execution hereof. The Transferee agrees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 take the Shares subject to the same conditions.</w:t>
            </w:r>
          </w:p>
        </w:tc>
        <w:tc>
          <w:tcPr>
            <w:tcW w:w="186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414"/>
        </w:trPr>
        <w:tc>
          <w:tcPr>
            <w:tcW w:w="5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Witness </w:t>
            </w:r>
            <w:r>
              <w:rPr>
                <w:rFonts w:ascii="Times New Roman" w:cs="Times New Roman" w:eastAsia="Times New Roman" w:hAnsi="Times New Roman"/>
                <w:sz w:val="18"/>
                <w:szCs w:val="18"/>
                <w:color w:val="auto"/>
              </w:rPr>
              <w:t>our hands the _____________ day of _______________ 2025.</w:t>
            </w:r>
          </w:p>
        </w:tc>
        <w:tc>
          <w:tcPr>
            <w:tcW w:w="18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414"/>
        </w:trPr>
        <w:tc>
          <w:tcPr>
            <w:tcW w:w="5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Witness to the signature(s) of</w:t>
            </w:r>
          </w:p>
        </w:tc>
        <w:tc>
          <w:tcPr>
            <w:tcW w:w="18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spacing w:after="0"/>
              <w:rPr>
                <w:sz w:val="24"/>
                <w:szCs w:val="24"/>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tc>
        <w:tc>
          <w:tcPr>
            <w:tcW w:w="18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spacing w:after="0"/>
              <w:rPr>
                <w:sz w:val="18"/>
                <w:szCs w:val="18"/>
                <w:color w:val="auto"/>
              </w:rPr>
            </w:pPr>
          </w:p>
        </w:tc>
      </w:tr>
      <w:tr>
        <w:trPr>
          <w:trHeight w:val="21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tc>
        <w:tc>
          <w:tcPr>
            <w:tcW w:w="18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Name ______________________________________</w:t>
            </w:r>
          </w:p>
        </w:tc>
        <w:tc>
          <w:tcPr>
            <w:tcW w:w="18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spacing w:after="0"/>
              <w:rPr>
                <w:sz w:val="18"/>
                <w:szCs w:val="18"/>
                <w:color w:val="auto"/>
              </w:rPr>
            </w:pPr>
          </w:p>
        </w:tc>
      </w:tr>
      <w:tr>
        <w:trPr>
          <w:trHeight w:val="229"/>
        </w:trPr>
        <w:tc>
          <w:tcPr>
            <w:tcW w:w="5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Address ____________________________________</w:t>
            </w:r>
          </w:p>
        </w:tc>
        <w:tc>
          <w:tcPr>
            <w:tcW w:w="18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jc w:val="center"/>
              <w:ind w:right="230"/>
              <w:spacing w:after="0"/>
              <w:rPr>
                <w:sz w:val="20"/>
                <w:szCs w:val="20"/>
                <w:color w:val="auto"/>
              </w:rPr>
            </w:pPr>
            <w:r>
              <w:rPr>
                <w:rFonts w:ascii="Times New Roman" w:cs="Times New Roman" w:eastAsia="Times New Roman" w:hAnsi="Times New Roman"/>
                <w:sz w:val="18"/>
                <w:szCs w:val="18"/>
                <w:i w:val="1"/>
                <w:iCs w:val="1"/>
                <w:color w:val="auto"/>
                <w:w w:val="97"/>
              </w:rPr>
              <w:t>(name)</w:t>
            </w:r>
          </w:p>
        </w:tc>
      </w:tr>
      <w:tr>
        <w:trPr>
          <w:trHeight w:val="218"/>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tc>
        <w:tc>
          <w:tcPr>
            <w:tcW w:w="18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jc w:val="center"/>
              <w:ind w:right="250"/>
              <w:spacing w:after="0"/>
              <w:rPr>
                <w:sz w:val="20"/>
                <w:szCs w:val="20"/>
                <w:color w:val="auto"/>
              </w:rPr>
            </w:pPr>
            <w:r>
              <w:rPr>
                <w:rFonts w:ascii="Times New Roman" w:cs="Times New Roman" w:eastAsia="Times New Roman" w:hAnsi="Times New Roman"/>
                <w:sz w:val="18"/>
                <w:szCs w:val="18"/>
                <w:i w:val="1"/>
                <w:iCs w:val="1"/>
                <w:color w:val="auto"/>
                <w:w w:val="97"/>
              </w:rPr>
              <w:t>Transferor</w:t>
            </w:r>
          </w:p>
        </w:tc>
      </w:t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tc>
        <w:tc>
          <w:tcPr>
            <w:tcW w:w="18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spacing w:after="0"/>
              <w:rPr>
                <w:sz w:val="20"/>
                <w:szCs w:val="20"/>
                <w:color w:val="auto"/>
              </w:rPr>
            </w:pPr>
          </w:p>
        </w:tc>
      </w:tr>
      <w:tr>
        <w:trPr>
          <w:trHeight w:val="414"/>
        </w:trPr>
        <w:tc>
          <w:tcPr>
            <w:tcW w:w="5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Witness to the signature(s) of</w:t>
            </w:r>
          </w:p>
        </w:tc>
        <w:tc>
          <w:tcPr>
            <w:tcW w:w="18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spacing w:after="0"/>
              <w:rPr>
                <w:sz w:val="24"/>
                <w:szCs w:val="24"/>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tc>
        <w:tc>
          <w:tcPr>
            <w:tcW w:w="18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spacing w:after="0"/>
              <w:rPr>
                <w:sz w:val="18"/>
                <w:szCs w:val="18"/>
                <w:color w:val="auto"/>
              </w:rPr>
            </w:pPr>
          </w:p>
        </w:tc>
      </w:tr>
      <w:tr>
        <w:trPr>
          <w:trHeight w:val="21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tc>
        <w:tc>
          <w:tcPr>
            <w:tcW w:w="18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Name ______________________________________</w:t>
            </w:r>
          </w:p>
        </w:tc>
        <w:tc>
          <w:tcPr>
            <w:tcW w:w="18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spacing w:after="0"/>
              <w:rPr>
                <w:sz w:val="18"/>
                <w:szCs w:val="18"/>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Address ____________________________________</w:t>
            </w:r>
          </w:p>
        </w:tc>
        <w:tc>
          <w:tcPr>
            <w:tcW w:w="18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jc w:val="center"/>
              <w:ind w:right="230"/>
              <w:spacing w:after="0"/>
              <w:rPr>
                <w:sz w:val="20"/>
                <w:szCs w:val="20"/>
                <w:color w:val="auto"/>
              </w:rPr>
            </w:pPr>
            <w:r>
              <w:rPr>
                <w:rFonts w:ascii="Times New Roman" w:cs="Times New Roman" w:eastAsia="Times New Roman" w:hAnsi="Times New Roman"/>
                <w:sz w:val="18"/>
                <w:szCs w:val="18"/>
                <w:i w:val="1"/>
                <w:iCs w:val="1"/>
                <w:color w:val="auto"/>
                <w:w w:val="97"/>
              </w:rPr>
              <w:t>(name)</w:t>
            </w:r>
          </w:p>
        </w:tc>
      </w:tr>
      <w:tr>
        <w:trPr>
          <w:trHeight w:val="218"/>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tc>
        <w:tc>
          <w:tcPr>
            <w:tcW w:w="18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jc w:val="center"/>
              <w:ind w:right="250"/>
              <w:spacing w:after="0"/>
              <w:rPr>
                <w:sz w:val="20"/>
                <w:szCs w:val="20"/>
                <w:color w:val="auto"/>
              </w:rPr>
            </w:pPr>
            <w:r>
              <w:rPr>
                <w:rFonts w:ascii="Times New Roman" w:cs="Times New Roman" w:eastAsia="Times New Roman" w:hAnsi="Times New Roman"/>
                <w:sz w:val="18"/>
                <w:szCs w:val="18"/>
                <w:i w:val="1"/>
                <w:iCs w:val="1"/>
                <w:color w:val="auto"/>
                <w:w w:val="97"/>
              </w:rPr>
              <w:t>Transferee</w:t>
            </w:r>
          </w:p>
        </w:tc>
      </w:t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tc>
        <w:tc>
          <w:tcPr>
            <w:tcW w:w="18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spacing w:after="0"/>
              <w:rPr>
                <w:sz w:val="20"/>
                <w:szCs w:val="20"/>
                <w:color w:val="auto"/>
              </w:rPr>
            </w:pPr>
          </w:p>
        </w:tc>
      </w:tr>
      <w:tr>
        <w:trPr>
          <w:trHeight w:val="439"/>
        </w:trPr>
        <w:tc>
          <w:tcPr>
            <w:tcW w:w="55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-711200</wp:posOffset>
            </wp:positionV>
            <wp:extent cx="82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-711200</wp:posOffset>
            </wp:positionV>
            <wp:extent cx="82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-711200</wp:posOffset>
            </wp:positionV>
            <wp:extent cx="88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-711200</wp:posOffset>
            </wp:positionV>
            <wp:extent cx="8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-711200</wp:posOffset>
            </wp:positionV>
            <wp:extent cx="82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-711200</wp:posOffset>
            </wp:positionV>
            <wp:extent cx="8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-711200</wp:posOffset>
            </wp:positionV>
            <wp:extent cx="8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-711200</wp:posOffset>
            </wp:positionV>
            <wp:extent cx="88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-711200</wp:posOffset>
            </wp:positionV>
            <wp:extent cx="88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-711200</wp:posOffset>
            </wp:positionV>
            <wp:extent cx="82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-711200</wp:posOffset>
            </wp:positionV>
            <wp:extent cx="8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-711200</wp:posOffset>
            </wp:positionV>
            <wp:extent cx="82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-711200</wp:posOffset>
            </wp:positionV>
            <wp:extent cx="8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-711200</wp:posOffset>
            </wp:positionV>
            <wp:extent cx="88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-711200</wp:posOffset>
            </wp:positionV>
            <wp:extent cx="8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-711200</wp:posOffset>
            </wp:positionV>
            <wp:extent cx="82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-711200</wp:posOffset>
            </wp:positionV>
            <wp:extent cx="82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-711200</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-711200</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-711200</wp:posOffset>
            </wp:positionV>
            <wp:extent cx="8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-711200</wp:posOffset>
            </wp:positionV>
            <wp:extent cx="82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-711200</wp:posOffset>
            </wp:positionV>
            <wp:extent cx="82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-711200</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-711200</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-711200</wp:posOffset>
            </wp:positionV>
            <wp:extent cx="82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-711200</wp:posOffset>
            </wp:positionV>
            <wp:extent cx="82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-711200</wp:posOffset>
            </wp:positionV>
            <wp:extent cx="82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-711200</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-711200</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-711200</wp:posOffset>
            </wp:positionV>
            <wp:extent cx="82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-711200</wp:posOffset>
            </wp:positionV>
            <wp:extent cx="8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-711200</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-711200</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-711200</wp:posOffset>
            </wp:positionV>
            <wp:extent cx="82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-711200</wp:posOffset>
            </wp:positionV>
            <wp:extent cx="82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-711200</wp:posOffset>
            </wp:positionV>
            <wp:extent cx="82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-711200</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-711200</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-711200</wp:posOffset>
            </wp:positionV>
            <wp:extent cx="82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-711200</wp:posOffset>
            </wp:positionV>
            <wp:extent cx="82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-711200</wp:posOffset>
            </wp:positionV>
            <wp:extent cx="82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-711200</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-711200</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-711200</wp:posOffset>
            </wp:positionV>
            <wp:extent cx="82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-711200</wp:posOffset>
            </wp:positionV>
            <wp:extent cx="82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-711200</wp:posOffset>
            </wp:positionV>
            <wp:extent cx="82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-711200</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-711200</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-711200</wp:posOffset>
            </wp:positionV>
            <wp:extent cx="82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-711200</wp:posOffset>
            </wp:positionV>
            <wp:extent cx="82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-711200</wp:posOffset>
            </wp:positionV>
            <wp:extent cx="82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-711200</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-711200</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-711200</wp:posOffset>
            </wp:positionV>
            <wp:extent cx="82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-711200</wp:posOffset>
            </wp:positionV>
            <wp:extent cx="82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-711200</wp:posOffset>
            </wp:positionV>
            <wp:extent cx="82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-711200</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-711200</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-711200</wp:posOffset>
            </wp:positionV>
            <wp:extent cx="82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-711200</wp:posOffset>
            </wp:positionV>
            <wp:extent cx="82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-711200</wp:posOffset>
            </wp:positionV>
            <wp:extent cx="82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-711200</wp:posOffset>
            </wp:positionV>
            <wp:extent cx="8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-711200</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-711200</wp:posOffset>
            </wp:positionV>
            <wp:extent cx="82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-711200</wp:posOffset>
            </wp:positionV>
            <wp:extent cx="82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-711200</wp:posOffset>
            </wp:positionV>
            <wp:extent cx="82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-711200</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-711200</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-711200</wp:posOffset>
            </wp:positionV>
            <wp:extent cx="82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-711200</wp:posOffset>
            </wp:positionV>
            <wp:extent cx="82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-711200</wp:posOffset>
            </wp:positionV>
            <wp:extent cx="8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-711200</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-711200</wp:posOffset>
            </wp:positionV>
            <wp:extent cx="82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-711200</wp:posOffset>
            </wp:positionV>
            <wp:extent cx="825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-711200</wp:posOffset>
            </wp:positionV>
            <wp:extent cx="825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-711200</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-711200</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-711200</wp:posOffset>
            </wp:positionV>
            <wp:extent cx="825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-711200</wp:posOffset>
            </wp:positionV>
            <wp:extent cx="82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-711200</wp:posOffset>
            </wp:positionV>
            <wp:extent cx="82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-711200</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-711200</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-711200</wp:posOffset>
            </wp:positionV>
            <wp:extent cx="825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-711200</wp:posOffset>
            </wp:positionV>
            <wp:extent cx="82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-711200</wp:posOffset>
            </wp:positionV>
            <wp:extent cx="825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-711200</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-711200</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-711200</wp:posOffset>
            </wp:positionV>
            <wp:extent cx="825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-711200</wp:posOffset>
            </wp:positionV>
            <wp:extent cx="825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-711200</wp:posOffset>
            </wp:positionV>
            <wp:extent cx="825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-711200</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-711200</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-711200</wp:posOffset>
            </wp:positionV>
            <wp:extent cx="825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-711200</wp:posOffset>
            </wp:positionV>
            <wp:extent cx="825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-711200</wp:posOffset>
            </wp:positionV>
            <wp:extent cx="825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-711200</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-711200</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-711200</wp:posOffset>
            </wp:positionV>
            <wp:extent cx="825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-711200</wp:posOffset>
            </wp:positionV>
            <wp:extent cx="825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-711200</wp:posOffset>
            </wp:positionV>
            <wp:extent cx="825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-711200</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-711200</wp:posOffset>
            </wp:positionV>
            <wp:extent cx="88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-711200</wp:posOffset>
            </wp:positionV>
            <wp:extent cx="825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-711200</wp:posOffset>
            </wp:positionV>
            <wp:extent cx="825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-711200</wp:posOffset>
            </wp:positionV>
            <wp:extent cx="825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-711200</wp:posOffset>
            </wp:positionV>
            <wp:extent cx="825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-711200</wp:posOffset>
            </wp:positionV>
            <wp:extent cx="82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-711200</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-711200</wp:posOffset>
            </wp:positionV>
            <wp:extent cx="825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-711200</wp:posOffset>
            </wp:positionV>
            <wp:extent cx="825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-711200</wp:posOffset>
            </wp:positionV>
            <wp:extent cx="82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-711200</wp:posOffset>
            </wp:positionV>
            <wp:extent cx="82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-711200</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-711200</wp:posOffset>
            </wp:positionV>
            <wp:extent cx="82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-711200</wp:posOffset>
            </wp:positionV>
            <wp:extent cx="825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-711200</wp:posOffset>
            </wp:positionV>
            <wp:extent cx="825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-711200</wp:posOffset>
            </wp:positionV>
            <wp:extent cx="825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-711200</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-711200</wp:posOffset>
            </wp:positionV>
            <wp:extent cx="825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-711200</wp:posOffset>
            </wp:positionV>
            <wp:extent cx="825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-711200</wp:posOffset>
            </wp:positionV>
            <wp:extent cx="825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-711200</wp:posOffset>
            </wp:positionV>
            <wp:extent cx="825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-711200</wp:posOffset>
            </wp:positionV>
            <wp:extent cx="8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-711200</wp:posOffset>
            </wp:positionV>
            <wp:extent cx="825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-711200</wp:posOffset>
            </wp:positionV>
            <wp:extent cx="825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-711200</wp:posOffset>
            </wp:positionV>
            <wp:extent cx="825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-711200</wp:posOffset>
            </wp:positionV>
            <wp:extent cx="825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-711200</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-711200</wp:posOffset>
            </wp:positionV>
            <wp:extent cx="825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-711200</wp:posOffset>
            </wp:positionV>
            <wp:extent cx="825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-711200</wp:posOffset>
            </wp:positionV>
            <wp:extent cx="825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-711200</wp:posOffset>
            </wp:positionV>
            <wp:extent cx="825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-711200</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-711200</wp:posOffset>
            </wp:positionV>
            <wp:extent cx="825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-711200</wp:posOffset>
            </wp:positionV>
            <wp:extent cx="825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-711200</wp:posOffset>
            </wp:positionV>
            <wp:extent cx="825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-711200</wp:posOffset>
            </wp:positionV>
            <wp:extent cx="825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-711200</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-711200</wp:posOffset>
            </wp:positionV>
            <wp:extent cx="825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-711200</wp:posOffset>
            </wp:positionV>
            <wp:extent cx="825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-711200</wp:posOffset>
            </wp:positionV>
            <wp:extent cx="825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-711200</wp:posOffset>
            </wp:positionV>
            <wp:extent cx="825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-711200</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-711200</wp:posOffset>
            </wp:positionV>
            <wp:extent cx="825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-711200</wp:posOffset>
            </wp:positionV>
            <wp:extent cx="825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-711200</wp:posOffset>
            </wp:positionV>
            <wp:extent cx="825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-711200</wp:posOffset>
            </wp:positionV>
            <wp:extent cx="825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-711200</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-711200</wp:posOffset>
            </wp:positionV>
            <wp:extent cx="825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-711200</wp:posOffset>
            </wp:positionV>
            <wp:extent cx="825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-711200</wp:posOffset>
            </wp:positionV>
            <wp:extent cx="825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-711200</wp:posOffset>
            </wp:positionV>
            <wp:extent cx="825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-711200</wp:posOffset>
            </wp:positionV>
            <wp:extent cx="88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-711200</wp:posOffset>
            </wp:positionV>
            <wp:extent cx="825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-1816735</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-1816735</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-1816735</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-1816735</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-1816735</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-1816735</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-1816735</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-1816735</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-1816735</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-1816735</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-1816735</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-1816735</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-1816735</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-1816735</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-1816735</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-1816735</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-1816735</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-1816735</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-1816735</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-1816735</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-1816735</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-1816735</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-1816735</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-1816735</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-1816735</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-1816735</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-1816735</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-1816735</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-1816735</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-1816735</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-1816735</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-1816735</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-1816735</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-1816735</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-1816735</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-1816735</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-1816735</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-1816735</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-1816735</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-1816735</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-1816735</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-1816735</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-1816735</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-1816735</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-1816735</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-1816735</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-1816735</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-1816735</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-1816735</wp:posOffset>
            </wp:positionV>
            <wp:extent cx="8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-1816735</wp:posOffset>
            </wp:positionV>
            <wp:extent cx="82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-1816735</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-1816735</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-1816735</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-1816735</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-1816735</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-1816735</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-1816735</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-1816735</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-1816735</wp:posOffset>
            </wp:positionV>
            <wp:extent cx="8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-1816735</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-1816735</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-1816735</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-1816735</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-1816735</wp:posOffset>
            </wp:positionV>
            <wp:extent cx="82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-1816735</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-1816735</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-1816735</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-1816735</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-1816735</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-1816735</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-1816735</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-1816735</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-1816735</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-1816735</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-1816735</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-1816735</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-1816735</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-1816735</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-1816735</wp:posOffset>
            </wp:positionV>
            <wp:extent cx="8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-1816735</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-1816735</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-1816735</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-1816735</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-1816735</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-1816735</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-1816735</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-1816735</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-1816735</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-1816735</wp:posOffset>
            </wp:positionV>
            <wp:extent cx="8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-1816735</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-1816735</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-1816735</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-1816735</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-1816735</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-1816735</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-1816735</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-1816735</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-1816735</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-1816735</wp:posOffset>
            </wp:positionV>
            <wp:extent cx="8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-1816735</wp:posOffset>
            </wp:positionV>
            <wp:extent cx="8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-1816735</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-1816735</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-1816735</wp:posOffset>
            </wp:positionV>
            <wp:extent cx="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-1816735</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-1816735</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-1816735</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-1816735</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-1816735</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-1816735</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-1816735</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-1816735</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-1816735</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-1816735</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-1816735</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-1816735</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-1816735</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-1816735</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-1816735</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-1816735</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-1816735</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-1816735</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-1816735</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-1816735</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-1816735</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-1816735</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-1816735</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-1816735</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-1816735</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-1816735</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-1816735</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-1816735</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-1816735</wp:posOffset>
            </wp:positionV>
            <wp:extent cx="8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-1816735</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-1816735</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-1816735</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-1816735</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-1816735</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-1816735</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-1816735</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-1816735</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-1816735</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-1816735</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-1816735</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-1816735</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-1816735</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-1816735</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-1816735</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-1816735</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-1816735</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-1816735</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-1816735</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-1816735</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-1816735</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-1816735</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Exhibit B</w:t>
            </w:r>
          </w:p>
        </w:tc>
        <w:tc>
          <w:tcPr>
            <w:tcW w:w="4640" w:type="dxa"/>
            <w:vAlign w:val="bottom"/>
            <w:gridSpan w:val="3"/>
          </w:tcPr>
          <w:p>
            <w:pPr>
              <w:spacing w:after="0"/>
              <w:rPr>
                <w:sz w:val="17"/>
                <w:szCs w:val="17"/>
                <w:color w:val="auto"/>
              </w:rPr>
            </w:pPr>
          </w:p>
        </w:tc>
      </w:tr>
      <w:tr>
        <w:trPr>
          <w:trHeight w:val="412"/>
        </w:trPr>
        <w:tc>
          <w:tcPr>
            <w:tcW w:w="4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20" w:type="dxa"/>
            <w:vAlign w:val="bottom"/>
            <w:gridSpan w:val="5"/>
          </w:tcPr>
          <w:p>
            <w:pPr>
              <w:jc w:val="center"/>
              <w:ind w:right="4390"/>
              <w:spacing w:after="0"/>
              <w:rPr>
                <w:sz w:val="20"/>
                <w:szCs w:val="20"/>
                <w:color w:val="auto"/>
              </w:rPr>
            </w:pPr>
            <w:r>
              <w:rPr>
                <w:rFonts w:ascii="Times New Roman" w:cs="Times New Roman" w:eastAsia="Times New Roman" w:hAnsi="Times New Roman"/>
                <w:sz w:val="18"/>
                <w:szCs w:val="18"/>
                <w:b w:val="1"/>
                <w:bCs w:val="1"/>
                <w:color w:val="auto"/>
                <w:w w:val="99"/>
              </w:rPr>
              <w:t>SOLD NOTE</w:t>
            </w:r>
          </w:p>
        </w:tc>
      </w:tr>
      <w:tr>
        <w:trPr>
          <w:trHeight w:val="20"/>
        </w:trPr>
        <w:tc>
          <w:tcPr>
            <w:tcW w:w="4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45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Name of Purchaser (Transferee)</w:t>
            </w: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3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Trident Digital Tech Holdings Ltd.</w:t>
            </w:r>
          </w:p>
        </w:tc>
      </w:tr>
      <w:tr>
        <w:trPr>
          <w:trHeight w:val="432"/>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3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9"/>
              </w:rPr>
              <w:t>Suntec Tower 3, 8 Temasek Boulevard Road, #24-03 Singapore, 038988</w:t>
            </w:r>
          </w:p>
        </w:tc>
      </w:tr>
      <w:tr>
        <w:trPr>
          <w:trHeight w:val="432"/>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Occupation</w:t>
            </w: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3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N/A</w:t>
            </w:r>
          </w:p>
        </w:tc>
      </w:tr>
      <w:tr>
        <w:trPr>
          <w:trHeight w:val="432"/>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Name of Company in which the shares to be transferred</w:t>
            </w: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3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Tongxin Innovation Limited</w:t>
            </w:r>
          </w:p>
        </w:tc>
      </w:tr>
      <w:tr>
        <w:trPr>
          <w:trHeight w:val="432"/>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3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______________shares</w:t>
            </w:r>
          </w:p>
        </w:tc>
      </w:tr>
      <w:tr>
        <w:trPr>
          <w:trHeight w:val="432"/>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 Received</w:t>
            </w: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5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___________________________________</w:t>
            </w:r>
          </w:p>
        </w:tc>
      </w:tr>
      <w:tr>
        <w:trPr>
          <w:trHeight w:val="688"/>
        </w:trPr>
        <w:tc>
          <w:tcPr>
            <w:tcW w:w="4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2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(Transferor)</w:t>
            </w:r>
          </w:p>
        </w:tc>
      </w:tr>
      <w:tr>
        <w:trPr>
          <w:trHeight w:val="432"/>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Dated ___________ 2025</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634"/>
        </w:trPr>
        <w:tc>
          <w:tcPr>
            <w:tcW w:w="4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BOUGHT NOTE</w:t>
            </w:r>
          </w:p>
        </w:tc>
        <w:tc>
          <w:tcPr>
            <w:tcW w:w="4320" w:type="dxa"/>
            <w:vAlign w:val="bottom"/>
          </w:tcPr>
          <w:p>
            <w:pPr>
              <w:spacing w:after="0"/>
              <w:rPr>
                <w:sz w:val="24"/>
                <w:szCs w:val="24"/>
                <w:color w:val="auto"/>
              </w:rPr>
            </w:pPr>
          </w:p>
        </w:tc>
      </w:tr>
      <w:tr>
        <w:trPr>
          <w:trHeight w:val="45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Name of Seller (Transferor)</w:t>
            </w: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5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_________________________________</w:t>
            </w:r>
          </w:p>
        </w:tc>
      </w:tr>
      <w:tr>
        <w:trPr>
          <w:trHeight w:val="432"/>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5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_________________________________</w:t>
            </w:r>
          </w:p>
        </w:tc>
      </w:tr>
      <w:tr>
        <w:trPr>
          <w:trHeight w:val="432"/>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Occupation</w:t>
            </w: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5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_________________________________</w:t>
            </w:r>
          </w:p>
        </w:tc>
      </w:tr>
      <w:tr>
        <w:trPr>
          <w:trHeight w:val="432"/>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Name of Company in which the shares to be transferred</w:t>
            </w: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3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Tongxin Innovation Limited</w:t>
            </w:r>
          </w:p>
        </w:tc>
      </w:tr>
      <w:tr>
        <w:trPr>
          <w:trHeight w:val="432"/>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3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______________shares</w:t>
            </w:r>
          </w:p>
        </w:tc>
      </w:tr>
      <w:tr>
        <w:trPr>
          <w:trHeight w:val="432"/>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 Paid</w:t>
            </w: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5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_________________________________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-2493645</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-2493645</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-2493645</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-2493645</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-2493645</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-2493645</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-2493645</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-2493645</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-2493645</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-2493645</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-2493645</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-2493645</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-2493645</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-2493645</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-2493645</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-2493645</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-2493645</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-2493645</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-2493645</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-2493645</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-2493645</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-2493645</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-2493645</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-2493645</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-2493645</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-2493645</wp:posOffset>
            </wp:positionV>
            <wp:extent cx="8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-2493645</wp:posOffset>
            </wp:positionV>
            <wp:extent cx="8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-2493645</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-2493645</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-2493645</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-2493645</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-2493645</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-2493645</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-2493645</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-2493645</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-2493645</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-2493645</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-2493645</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-2493645</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-2493645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-2493645</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-2493645</wp:posOffset>
            </wp:positionV>
            <wp:extent cx="8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-2493645</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-2493645</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-2493645</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-2493645</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-2493645</wp:posOffset>
            </wp:positionV>
            <wp:extent cx="8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-2493645</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-2493645</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-2493645</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-2493645</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-2493645</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-2493645</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-2493645</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-2493645</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-2493645</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-2493645</wp:posOffset>
            </wp:positionV>
            <wp:extent cx="82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-2493645</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-2493645</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-2493645</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-2493645</wp:posOffset>
            </wp:positionV>
            <wp:extent cx="8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-2493645</wp:posOffset>
            </wp:positionV>
            <wp:extent cx="82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-2493645</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-2493645</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-2493645</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-2493645</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-2493645</wp:posOffset>
            </wp:positionV>
            <wp:extent cx="82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-2493645</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-2493645</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-2493645</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-2493645</wp:posOffset>
            </wp:positionV>
            <wp:extent cx="8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-2493645</wp:posOffset>
            </wp:positionV>
            <wp:extent cx="82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-2493645</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-2493645</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-2493645</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-2493645</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-2493645</wp:posOffset>
            </wp:positionV>
            <wp:extent cx="82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-2493645</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-2493645</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-2493645</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-2493645</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-2493645</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-2493645</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-2493645</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-2493645</wp:posOffset>
            </wp:positionV>
            <wp:extent cx="82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-2493645</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-2493645</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-2493645</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-2493645</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-2493645</wp:posOffset>
            </wp:positionV>
            <wp:extent cx="82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-2493645</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-2493645</wp:posOffset>
            </wp:positionV>
            <wp:extent cx="82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-2493645</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-2493645</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-2493645</wp:posOffset>
            </wp:positionV>
            <wp:extent cx="8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-2493645</wp:posOffset>
            </wp:positionV>
            <wp:extent cx="82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-2493645</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-2493645</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-2493645</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-2493645</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-2493645</wp:posOffset>
            </wp:positionV>
            <wp:extent cx="8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-2493645</wp:posOffset>
            </wp:positionV>
            <wp:extent cx="82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-2493645</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-2493645</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-2493645</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-2493645</wp:posOffset>
            </wp:positionV>
            <wp:extent cx="82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-2493645</wp:posOffset>
            </wp:positionV>
            <wp:extent cx="8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-2493645</wp:posOffset>
            </wp:positionV>
            <wp:extent cx="8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-2493645</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-2493645</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-2493645</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-2493645</wp:posOffset>
            </wp:positionV>
            <wp:extent cx="8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-2493645</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-2493645</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-2493645</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-2493645</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-2493645</wp:posOffset>
            </wp:positionV>
            <wp:extent cx="82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-2493645</wp:posOffset>
            </wp:positionV>
            <wp:extent cx="8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-2493645</wp:posOffset>
            </wp:positionV>
            <wp:extent cx="8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-2493645</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-2493645</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-2493645</wp:posOffset>
            </wp:positionV>
            <wp:extent cx="8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-2493645</wp:posOffset>
            </wp:positionV>
            <wp:extent cx="8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-2493645</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-2493645</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-2493645</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-2493645</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-2493645</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-2493645</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-2493645</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-2493645</wp:posOffset>
            </wp:positionV>
            <wp:extent cx="82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-2493645</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-2493645</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-2493645</wp:posOffset>
            </wp:positionV>
            <wp:extent cx="8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-2493645</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-2493645</wp:posOffset>
            </wp:positionV>
            <wp:extent cx="82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-2493645</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-2493645</wp:posOffset>
            </wp:positionV>
            <wp:extent cx="82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-2493645</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-2493645</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-2493645</wp:posOffset>
            </wp:positionV>
            <wp:extent cx="8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-2493645</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-2493645</wp:posOffset>
            </wp:positionV>
            <wp:extent cx="8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-2493645</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-2493645</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-2493645</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-1936750</wp:posOffset>
            </wp:positionV>
            <wp:extent cx="7132320" cy="171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8"/>
          <w:szCs w:val="18"/>
          <w:color w:val="auto"/>
        </w:rPr>
        <w:t>(Transferee)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-127635</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-127635</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-127635</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-127635</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-127635</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-127635</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-127635</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-127635</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-127635</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-127635</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-127635</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-127635</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-127635</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-127635</wp:posOffset>
            </wp:positionV>
            <wp:extent cx="88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-127635</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-127635</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-127635</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-127635</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-127635</wp:posOffset>
            </wp:positionV>
            <wp:extent cx="8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-127635</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-127635</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-127635</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-127635</wp:posOffset>
            </wp:positionV>
            <wp:extent cx="8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-127635</wp:posOffset>
            </wp:positionV>
            <wp:extent cx="88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-127635</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-127635</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-127635</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-127635</wp:posOffset>
            </wp:positionV>
            <wp:extent cx="88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-127635</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-127635</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-127635</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-127635</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-127635</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-127635</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-127635</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-127635</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-127635</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-127635</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-127635</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-127635</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-127635</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-127635</wp:posOffset>
            </wp:positionV>
            <wp:extent cx="82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-127635</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-127635</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-127635</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-127635</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-127635</wp:posOffset>
            </wp:positionV>
            <wp:extent cx="82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-127635</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-127635</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-127635</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-127635</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-127635</wp:posOffset>
            </wp:positionV>
            <wp:extent cx="8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-127635</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-127635</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-127635</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-127635</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-127635</wp:posOffset>
            </wp:positionV>
            <wp:extent cx="82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-127635</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-127635</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-127635</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-127635</wp:posOffset>
            </wp:positionV>
            <wp:extent cx="82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-127635</wp:posOffset>
            </wp:positionV>
            <wp:extent cx="8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-127635</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-127635</wp:posOffset>
            </wp:positionV>
            <wp:extent cx="82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-127635</wp:posOffset>
            </wp:positionV>
            <wp:extent cx="82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-127635</wp:posOffset>
            </wp:positionV>
            <wp:extent cx="825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-127635</wp:posOffset>
            </wp:positionV>
            <wp:extent cx="88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-127635</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-127635</wp:posOffset>
            </wp:positionV>
            <wp:extent cx="82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-127635</wp:posOffset>
            </wp:positionV>
            <wp:extent cx="82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-127635</wp:posOffset>
            </wp:positionV>
            <wp:extent cx="82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-127635</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-127635</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-127635</wp:posOffset>
            </wp:positionV>
            <wp:extent cx="82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-127635</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-127635</wp:posOffset>
            </wp:positionV>
            <wp:extent cx="82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-127635</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-127635</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-127635</wp:posOffset>
            </wp:positionV>
            <wp:extent cx="82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-127635</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-127635</wp:posOffset>
            </wp:positionV>
            <wp:extent cx="82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-127635</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-127635</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-127635</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-127635</wp:posOffset>
            </wp:positionV>
            <wp:extent cx="82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-127635</wp:posOffset>
            </wp:positionV>
            <wp:extent cx="82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-127635</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-127635</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-127635</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-127635</wp:posOffset>
            </wp:positionV>
            <wp:extent cx="82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-127635</wp:posOffset>
            </wp:positionV>
            <wp:extent cx="82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-127635</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-127635</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-127635</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-127635</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-127635</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-127635</wp:posOffset>
            </wp:positionV>
            <wp:extent cx="82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-127635</wp:posOffset>
            </wp:positionV>
            <wp:extent cx="82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-127635</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-127635</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-127635</wp:posOffset>
            </wp:positionV>
            <wp:extent cx="82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-127635</wp:posOffset>
            </wp:positionV>
            <wp:extent cx="82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-127635</wp:posOffset>
            </wp:positionV>
            <wp:extent cx="82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-127635</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-127635</wp:posOffset>
            </wp:positionV>
            <wp:extent cx="825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-127635</wp:posOffset>
            </wp:positionV>
            <wp:extent cx="82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-127635</wp:posOffset>
            </wp:positionV>
            <wp:extent cx="825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-127635</wp:posOffset>
            </wp:positionV>
            <wp:extent cx="825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-127635</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-127635</wp:posOffset>
            </wp:positionV>
            <wp:extent cx="825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-127635</wp:posOffset>
            </wp:positionV>
            <wp:extent cx="82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-127635</wp:posOffset>
            </wp:positionV>
            <wp:extent cx="825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-127635</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-127635</wp:posOffset>
            </wp:positionV>
            <wp:extent cx="889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-127635</wp:posOffset>
            </wp:positionV>
            <wp:extent cx="825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-127635</wp:posOffset>
            </wp:positionV>
            <wp:extent cx="82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-127635</wp:posOffset>
            </wp:positionV>
            <wp:extent cx="825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-127635</wp:posOffset>
            </wp:positionV>
            <wp:extent cx="825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-127635</wp:posOffset>
            </wp:positionV>
            <wp:extent cx="88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-127635</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-127635</wp:posOffset>
            </wp:positionV>
            <wp:extent cx="825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-127635</wp:posOffset>
            </wp:positionV>
            <wp:extent cx="825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-127635</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-127635</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-127635</wp:posOffset>
            </wp:positionV>
            <wp:extent cx="8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-127635</wp:posOffset>
            </wp:positionV>
            <wp:extent cx="825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-127635</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-127635</wp:posOffset>
            </wp:positionV>
            <wp:extent cx="8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-127635</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-127635</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-127635</wp:posOffset>
            </wp:positionV>
            <wp:extent cx="82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-127635</wp:posOffset>
            </wp:positionV>
            <wp:extent cx="82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-127635</wp:posOffset>
            </wp:positionV>
            <wp:extent cx="825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-127635</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-127635</wp:posOffset>
            </wp:positionV>
            <wp:extent cx="825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-127635</wp:posOffset>
            </wp:positionV>
            <wp:extent cx="825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-127635</wp:posOffset>
            </wp:positionV>
            <wp:extent cx="825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-127635</wp:posOffset>
            </wp:positionV>
            <wp:extent cx="825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-127635</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-127635</wp:posOffset>
            </wp:positionV>
            <wp:extent cx="825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-127635</wp:posOffset>
            </wp:positionV>
            <wp:extent cx="825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-127635</wp:posOffset>
            </wp:positionV>
            <wp:extent cx="825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-127635</wp:posOffset>
            </wp:positionV>
            <wp:extent cx="825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-127635</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-127635</wp:posOffset>
            </wp:positionV>
            <wp:extent cx="825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2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324" w:right="95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ecurities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urchase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p>
      <w:pPr>
        <w:spacing w:after="0" w:line="22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his securities purchase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August 7, 2025, is entered into by and between T</w:t>
      </w:r>
      <w:r>
        <w:rPr>
          <w:rFonts w:ascii="Times New Roman" w:cs="Times New Roman" w:eastAsia="Times New Roman" w:hAnsi="Times New Roman"/>
          <w:sz w:val="12"/>
          <w:szCs w:val="12"/>
          <w:color w:val="auto"/>
        </w:rPr>
        <w:t>rident digital tech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holdings ltd</w:t>
      </w:r>
      <w:r>
        <w:rPr>
          <w:rFonts w:ascii="Times New Roman" w:cs="Times New Roman" w:eastAsia="Times New Roman" w:hAnsi="Times New Roman"/>
          <w:sz w:val="17"/>
          <w:szCs w:val="17"/>
          <w:color w:val="auto"/>
        </w:rPr>
        <w:t>, a Cayman Islands exempted company with limited liability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S</w:t>
      </w:r>
      <w:r>
        <w:rPr>
          <w:rFonts w:ascii="Times New Roman" w:cs="Times New Roman" w:eastAsia="Times New Roman" w:hAnsi="Times New Roman"/>
          <w:sz w:val="12"/>
          <w:szCs w:val="12"/>
          <w:color w:val="auto"/>
        </w:rPr>
        <w:t>treeterville capital</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llc</w:t>
      </w:r>
      <w:r>
        <w:rPr>
          <w:rFonts w:ascii="Times New Roman" w:cs="Times New Roman" w:eastAsia="Times New Roman" w:hAnsi="Times New Roman"/>
          <w:sz w:val="17"/>
          <w:szCs w:val="17"/>
          <w:color w:val="auto"/>
        </w:rPr>
        <w:t>, a Utah limited liability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7"/>
          <w:szCs w:val="17"/>
          <w:color w:val="auto"/>
        </w:rPr>
        <w:t>company, its successors and/or assigns (“</w:t>
      </w:r>
      <w:r>
        <w:rPr>
          <w:rFonts w:ascii="Times New Roman" w:cs="Times New Roman" w:eastAsia="Times New Roman" w:hAnsi="Times New Roman"/>
          <w:sz w:val="17"/>
          <w:szCs w:val="17"/>
          <w:b w:val="1"/>
          <w:bCs w:val="1"/>
          <w:color w:val="auto"/>
        </w:rPr>
        <w:t>Investor</w:t>
      </w:r>
      <w:r>
        <w:rPr>
          <w:rFonts w:ascii="Times New Roman" w:cs="Times New Roman" w:eastAsia="Times New Roman" w:hAnsi="Times New Roman"/>
          <w:sz w:val="17"/>
          <w:szCs w:val="17"/>
          <w:color w:val="auto"/>
        </w:rPr>
        <w:t>”).</w:t>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Company and Investor are executing and delivering this Agreement in reliance upon an exemption from securities registration afforded by the Securities Act of 1933, as amended (the “</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and the rules and regulations promulgated thereunder by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Investor desires to purchase and Company desires to issue and sell, upon the terms and conditions set forth in this Agreement: (i) an initial Convertible Promissory Note,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in the original principal amount of $1,100,000.00 (the “</w:t>
      </w:r>
      <w:r>
        <w:rPr>
          <w:rFonts w:ascii="Times New Roman" w:cs="Times New Roman" w:eastAsia="Times New Roman" w:hAnsi="Times New Roman"/>
          <w:sz w:val="18"/>
          <w:szCs w:val="18"/>
          <w:b w:val="1"/>
          <w:bCs w:val="1"/>
          <w:color w:val="auto"/>
        </w:rPr>
        <w:t>First Note</w:t>
      </w:r>
      <w:r>
        <w:rPr>
          <w:rFonts w:ascii="Times New Roman" w:cs="Times New Roman" w:eastAsia="Times New Roman" w:hAnsi="Times New Roman"/>
          <w:sz w:val="18"/>
          <w:szCs w:val="18"/>
          <w:color w:val="auto"/>
        </w:rPr>
        <w:t>”), convertible into American Depositary Shares of Company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upon the terms and subject to the limitations and conditions set forth in the First Note; (ii) 14,295,000 Class B ordinary shares, par value $0.00001 per share, of Company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Pre-Delivery Shares</w:t>
      </w:r>
      <w:r>
        <w:rPr>
          <w:rFonts w:ascii="Times New Roman" w:cs="Times New Roman" w:eastAsia="Times New Roman" w:hAnsi="Times New Roman"/>
          <w:sz w:val="18"/>
          <w:szCs w:val="18"/>
          <w:color w:val="auto"/>
        </w:rPr>
        <w:t xml:space="preserve">”), which will be held by Investor until Company’s Initial Registration Statement (as defined herein) is declared effective, at which point the Pre-Delivery Shares will be deposited and converted to ADSs; (iii) a second Convertible Promissory Note,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in the original principal amount of $1,080,000.00 (the “</w:t>
      </w:r>
      <w:r>
        <w:rPr>
          <w:rFonts w:ascii="Times New Roman" w:cs="Times New Roman" w:eastAsia="Times New Roman" w:hAnsi="Times New Roman"/>
          <w:sz w:val="18"/>
          <w:szCs w:val="18"/>
          <w:b w:val="1"/>
          <w:bCs w:val="1"/>
          <w:color w:val="auto"/>
        </w:rPr>
        <w:t>Second Note</w:t>
      </w:r>
      <w:r>
        <w:rPr>
          <w:rFonts w:ascii="Times New Roman" w:cs="Times New Roman" w:eastAsia="Times New Roman" w:hAnsi="Times New Roman"/>
          <w:sz w:val="18"/>
          <w:szCs w:val="18"/>
          <w:color w:val="auto"/>
        </w:rPr>
        <w:t>,” together with the First Note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This Agreement, the Notes, and all other certificates, documents, agreements, resolutions, and instruments delivered to any party under or in connection with this Agreement, as the same may be amended from time to time, are collectively referred to herein as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97"/>
        <w:spacing w:after="0" w:line="286" w:lineRule="auto"/>
        <w:rPr>
          <w:sz w:val="20"/>
          <w:szCs w:val="20"/>
          <w:color w:val="auto"/>
        </w:rPr>
      </w:pPr>
      <w:r>
        <w:rPr>
          <w:rFonts w:ascii="Times New Roman" w:cs="Times New Roman" w:eastAsia="Times New Roman" w:hAnsi="Times New Roman"/>
          <w:sz w:val="18"/>
          <w:szCs w:val="18"/>
          <w:color w:val="auto"/>
        </w:rPr>
        <w:t>E. For purposes of this Agreement: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means all ADSs issuable upon conversion of all or any portion of the Notes; and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means the Notes, the Conversion Shares, and the Pre-Delivery Shares.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above recitals and other good and valuable consideration, the receipt and sufficiency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hereby acknowledged, Company and Investor hereby agree as follows:</w:t>
      </w:r>
    </w:p>
    <w:p>
      <w:pPr>
        <w:spacing w:after="0" w:line="159" w:lineRule="exact"/>
        <w:rPr>
          <w:sz w:val="20"/>
          <w:szCs w:val="20"/>
          <w:color w:val="auto"/>
        </w:rPr>
      </w:pPr>
    </w:p>
    <w:p>
      <w:pPr>
        <w:ind w:left="820" w:hanging="180"/>
        <w:spacing w:after="0"/>
        <w:tabs>
          <w:tab w:leader="none" w:pos="8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Notes and Pre-Delivery Shares</w:t>
      </w:r>
      <w:r>
        <w:rPr>
          <w:rFonts w:ascii="Times New Roman" w:cs="Times New Roman" w:eastAsia="Times New Roman" w:hAnsi="Times New Roman"/>
          <w:sz w:val="18"/>
          <w:szCs w:val="18"/>
          <w:color w:val="auto"/>
        </w:rPr>
        <w:t>. Company shall issue and sell to Investor and Investor shall purchase from Company the Notes and the Pre-Delivery Shares. In consideration thereof, Investor shall pay the First Note Purchase Price and Second Note Purchase Price (each as defined below) to Company, subject to the terms and conditions set forth herein.</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Form of Payment</w:t>
      </w:r>
      <w:r>
        <w:rPr>
          <w:rFonts w:ascii="Times New Roman" w:cs="Times New Roman" w:eastAsia="Times New Roman" w:hAnsi="Times New Roman"/>
          <w:sz w:val="18"/>
          <w:szCs w:val="18"/>
          <w:color w:val="auto"/>
        </w:rPr>
        <w:t>. On the Initial Closing Date (as defined below), Investor shall pay the First Note Purchase Price (as defined herein) to Company via wire transfer against delivery of the First Note and the Pre-Delivery Shares. Within three (3) Trading Days (as defined in the First Note) following the Second Closing Date (as defined herein), Investor shall pay the Second Note Purchase Price (as defined herein) to Company via wire transfer of immediately available funds.</w:t>
      </w:r>
    </w:p>
    <w:p>
      <w:pPr>
        <w:spacing w:after="0" w:line="3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17" w:right="339" w:bottom="1440" w:gutter="0" w:footer="0" w:header="0"/>
        </w:sectPr>
      </w:pPr>
    </w:p>
    <w:bookmarkStart w:id="80" w:name="page81"/>
    <w:bookmarkEnd w:id="80"/>
    <w:p>
      <w:pPr>
        <w:ind w:left="128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Closing Dates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36"/>
        <w:spacing w:after="0" w:line="258" w:lineRule="auto"/>
        <w:tabs>
          <w:tab w:leader="none" w:pos="218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Closing Date</w:t>
      </w:r>
      <w:r>
        <w:rPr>
          <w:rFonts w:ascii="Times New Roman" w:cs="Times New Roman" w:eastAsia="Times New Roman" w:hAnsi="Times New Roman"/>
          <w:sz w:val="18"/>
          <w:szCs w:val="18"/>
          <w:color w:val="auto"/>
        </w:rPr>
        <w:t>. Subject to the satisfaction (or written waiver) of the conditions set forth in Section 5.1 and Section 6.1 below, the date of the issuance and sale of the First Note and Pre-Delivery Shares pursuant to this Agreement (the “</w:t>
      </w:r>
      <w:r>
        <w:rPr>
          <w:rFonts w:ascii="Times New Roman" w:cs="Times New Roman" w:eastAsia="Times New Roman" w:hAnsi="Times New Roman"/>
          <w:sz w:val="18"/>
          <w:szCs w:val="18"/>
          <w:b w:val="1"/>
          <w:bCs w:val="1"/>
          <w:color w:val="auto"/>
        </w:rPr>
        <w:t>Initial Closing Date</w:t>
      </w:r>
      <w:r>
        <w:rPr>
          <w:rFonts w:ascii="Times New Roman" w:cs="Times New Roman" w:eastAsia="Times New Roman" w:hAnsi="Times New Roman"/>
          <w:sz w:val="18"/>
          <w:szCs w:val="18"/>
          <w:color w:val="auto"/>
        </w:rPr>
        <w:t>”) shall be August 7, 2025, or another mutually agreed upon date. The closing of the First Note and delivery of the Pre-Deliver Shares (the “</w:t>
      </w:r>
      <w:r>
        <w:rPr>
          <w:rFonts w:ascii="Times New Roman" w:cs="Times New Roman" w:eastAsia="Times New Roman" w:hAnsi="Times New Roman"/>
          <w:sz w:val="18"/>
          <w:szCs w:val="18"/>
          <w:b w:val="1"/>
          <w:bCs w:val="1"/>
          <w:color w:val="auto"/>
        </w:rPr>
        <w:t>Initial Closing</w:t>
      </w:r>
      <w:r>
        <w:rPr>
          <w:rFonts w:ascii="Times New Roman" w:cs="Times New Roman" w:eastAsia="Times New Roman" w:hAnsi="Times New Roman"/>
          <w:sz w:val="18"/>
          <w:szCs w:val="18"/>
          <w:color w:val="auto"/>
        </w:rPr>
        <w:t>”) shall occur on the Initial Closing Date by means of the exchange by email of signed. pdf documents, but shall be deemed for all purposes to have occurred at the offices of Hansen Black Anderson Ashcraft PLLC in Lehi, Utah.</w:t>
      </w:r>
    </w:p>
    <w:p>
      <w:pPr>
        <w:spacing w:after="0" w:line="179" w:lineRule="exact"/>
        <w:rPr>
          <w:rFonts w:ascii="Times New Roman" w:cs="Times New Roman" w:eastAsia="Times New Roman" w:hAnsi="Times New Roman"/>
          <w:sz w:val="18"/>
          <w:szCs w:val="18"/>
          <w:color w:val="auto"/>
        </w:rPr>
      </w:pPr>
    </w:p>
    <w:p>
      <w:pPr>
        <w:jc w:val="both"/>
        <w:ind w:firstLine="1936"/>
        <w:spacing w:after="0" w:line="262" w:lineRule="auto"/>
        <w:tabs>
          <w:tab w:leader="none" w:pos="221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 Closing Date</w:t>
      </w:r>
      <w:r>
        <w:rPr>
          <w:rFonts w:ascii="Times New Roman" w:cs="Times New Roman" w:eastAsia="Times New Roman" w:hAnsi="Times New Roman"/>
          <w:sz w:val="18"/>
          <w:szCs w:val="18"/>
          <w:color w:val="auto"/>
        </w:rPr>
        <w:t>. The date of the issuance and sale of the Second Note pursuant to this Agreement (the “</w:t>
      </w: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together with the Initial Closing Date the “</w:t>
      </w:r>
      <w:r>
        <w:rPr>
          <w:rFonts w:ascii="Times New Roman" w:cs="Times New Roman" w:eastAsia="Times New Roman" w:hAnsi="Times New Roman"/>
          <w:sz w:val="18"/>
          <w:szCs w:val="18"/>
          <w:b w:val="1"/>
          <w:bCs w:val="1"/>
          <w:color w:val="auto"/>
        </w:rPr>
        <w:t>Closing Dates</w:t>
      </w:r>
      <w:r>
        <w:rPr>
          <w:rFonts w:ascii="Times New Roman" w:cs="Times New Roman" w:eastAsia="Times New Roman" w:hAnsi="Times New Roman"/>
          <w:sz w:val="18"/>
          <w:szCs w:val="18"/>
          <w:color w:val="auto"/>
        </w:rPr>
        <w:t>”) shall be the date on which the conditions set forth in Section 5.2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6.2 below are each fully and completely fulfilled. The closing of the Second Note (the “</w:t>
      </w:r>
      <w:r>
        <w:rPr>
          <w:rFonts w:ascii="Times New Roman" w:cs="Times New Roman" w:eastAsia="Times New Roman" w:hAnsi="Times New Roman"/>
          <w:sz w:val="18"/>
          <w:szCs w:val="18"/>
          <w:b w:val="1"/>
          <w:bCs w:val="1"/>
          <w:color w:val="auto"/>
        </w:rPr>
        <w:t>Second Closing</w:t>
      </w:r>
      <w:r>
        <w:rPr>
          <w:rFonts w:ascii="Times New Roman" w:cs="Times New Roman" w:eastAsia="Times New Roman" w:hAnsi="Times New Roman"/>
          <w:sz w:val="18"/>
          <w:szCs w:val="18"/>
          <w:color w:val="auto"/>
        </w:rPr>
        <w:t>”) shall occur automatically on the Second Closing Date without any further action by any party.</w:t>
      </w:r>
    </w:p>
    <w:p>
      <w:pPr>
        <w:spacing w:after="0" w:line="18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Collateral for the Notes</w:t>
      </w:r>
      <w:r>
        <w:rPr>
          <w:rFonts w:ascii="Times New Roman" w:cs="Times New Roman" w:eastAsia="Times New Roman" w:hAnsi="Times New Roman"/>
          <w:sz w:val="18"/>
          <w:szCs w:val="18"/>
          <w:color w:val="auto"/>
        </w:rPr>
        <w:t>. The Notes shall be unsecured.</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Original Issue Discount; Transaction Expense Amount</w:t>
      </w:r>
      <w:r>
        <w:rPr>
          <w:rFonts w:ascii="Times New Roman" w:cs="Times New Roman" w:eastAsia="Times New Roman" w:hAnsi="Times New Roman"/>
          <w:sz w:val="18"/>
          <w:szCs w:val="18"/>
          <w:color w:val="auto"/>
        </w:rPr>
        <w:t>. Each of the Notes carries an original issue discount of $80,000.00 (the “</w:t>
      </w:r>
      <w:r>
        <w:rPr>
          <w:rFonts w:ascii="Times New Roman" w:cs="Times New Roman" w:eastAsia="Times New Roman" w:hAnsi="Times New Roman"/>
          <w:sz w:val="18"/>
          <w:szCs w:val="18"/>
          <w:b w:val="1"/>
          <w:bCs w:val="1"/>
          <w:color w:val="auto"/>
        </w:rPr>
        <w:t>OID</w:t>
      </w:r>
      <w:r>
        <w:rPr>
          <w:rFonts w:ascii="Times New Roman" w:cs="Times New Roman" w:eastAsia="Times New Roman" w:hAnsi="Times New Roman"/>
          <w:sz w:val="18"/>
          <w:szCs w:val="18"/>
          <w:color w:val="auto"/>
        </w:rPr>
        <w:t>”). In addition, Company agrees to pay $20,000.00 to Investor to cover Investor’s legal fees, accounting costs, due diligence, monitoring, and other transaction costs incurred in connection with the purchase and sale of the Notes (the “</w:t>
      </w:r>
      <w:r>
        <w:rPr>
          <w:rFonts w:ascii="Times New Roman" w:cs="Times New Roman" w:eastAsia="Times New Roman" w:hAnsi="Times New Roman"/>
          <w:sz w:val="18"/>
          <w:szCs w:val="18"/>
          <w:b w:val="1"/>
          <w:bCs w:val="1"/>
          <w:color w:val="auto"/>
        </w:rPr>
        <w:t>Transaction Expense Amount</w:t>
      </w:r>
      <w:r>
        <w:rPr>
          <w:rFonts w:ascii="Times New Roman" w:cs="Times New Roman" w:eastAsia="Times New Roman" w:hAnsi="Times New Roman"/>
          <w:sz w:val="18"/>
          <w:szCs w:val="18"/>
          <w:color w:val="auto"/>
        </w:rPr>
        <w:t>”). The OID and Transaction Expense Amount will be included in the initial principal balance of the First Note. The “</w:t>
      </w:r>
      <w:r>
        <w:rPr>
          <w:rFonts w:ascii="Times New Roman" w:cs="Times New Roman" w:eastAsia="Times New Roman" w:hAnsi="Times New Roman"/>
          <w:sz w:val="18"/>
          <w:szCs w:val="18"/>
          <w:b w:val="1"/>
          <w:bCs w:val="1"/>
          <w:color w:val="auto"/>
        </w:rPr>
        <w:t>First Note Purchase Price</w:t>
      </w:r>
      <w:r>
        <w:rPr>
          <w:rFonts w:ascii="Times New Roman" w:cs="Times New Roman" w:eastAsia="Times New Roman" w:hAnsi="Times New Roman"/>
          <w:sz w:val="18"/>
          <w:szCs w:val="18"/>
          <w:color w:val="auto"/>
        </w:rPr>
        <w:t>,” therefore, shall be $1,000,000.00, computed as follows: $1,100,000.00 initial principal balance, less the OID, less the Transaction Expense Amount. In addition to the First Note Purchase Price, Investor will also pay $142.95 to Company for the Pre-Delivery Shares (the “</w:t>
      </w:r>
      <w:r>
        <w:rPr>
          <w:rFonts w:ascii="Times New Roman" w:cs="Times New Roman" w:eastAsia="Times New Roman" w:hAnsi="Times New Roman"/>
          <w:sz w:val="18"/>
          <w:szCs w:val="18"/>
          <w:b w:val="1"/>
          <w:bCs w:val="1"/>
          <w:color w:val="auto"/>
        </w:rPr>
        <w:t>Pre-Delivery Purchase Price</w:t>
      </w:r>
      <w:r>
        <w:rPr>
          <w:rFonts w:ascii="Times New Roman" w:cs="Times New Roman" w:eastAsia="Times New Roman" w:hAnsi="Times New Roman"/>
          <w:sz w:val="18"/>
          <w:szCs w:val="18"/>
          <w:color w:val="auto"/>
        </w:rPr>
        <w:t>,” together with the First Note Purchase Price, the “</w:t>
      </w:r>
      <w:r>
        <w:rPr>
          <w:rFonts w:ascii="Times New Roman" w:cs="Times New Roman" w:eastAsia="Times New Roman" w:hAnsi="Times New Roman"/>
          <w:sz w:val="18"/>
          <w:szCs w:val="18"/>
          <w:b w:val="1"/>
          <w:bCs w:val="1"/>
          <w:color w:val="auto"/>
        </w:rPr>
        <w:t>Initial Purchase Price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Second Note Purchase Price</w:t>
      </w:r>
      <w:r>
        <w:rPr>
          <w:rFonts w:ascii="Times New Roman" w:cs="Times New Roman" w:eastAsia="Times New Roman" w:hAnsi="Times New Roman"/>
          <w:sz w:val="18"/>
          <w:szCs w:val="18"/>
          <w:color w:val="auto"/>
        </w:rPr>
        <w:t>,” therefore, shall be $1,000,000.00, computed as follows: $1,080,000.00 initial principal balance, less the OID.</w:t>
      </w:r>
    </w:p>
    <w:p>
      <w:pPr>
        <w:spacing w:after="0" w:line="19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Issuance Fees</w:t>
      </w:r>
      <w:r>
        <w:rPr>
          <w:rFonts w:ascii="Times New Roman" w:cs="Times New Roman" w:eastAsia="Times New Roman" w:hAnsi="Times New Roman"/>
          <w:sz w:val="18"/>
          <w:szCs w:val="18"/>
          <w:color w:val="auto"/>
        </w:rPr>
        <w:t>. Investor agrees that it will pay for the fees associated with the issuance of the Conversion Shares. Company agrees that it will pay for the ADS issuance fees associated with the Pre-Delivery Shares (the “</w:t>
      </w:r>
      <w:r>
        <w:rPr>
          <w:rFonts w:ascii="Times New Roman" w:cs="Times New Roman" w:eastAsia="Times New Roman" w:hAnsi="Times New Roman"/>
          <w:sz w:val="18"/>
          <w:szCs w:val="18"/>
          <w:b w:val="1"/>
          <w:bCs w:val="1"/>
          <w:color w:val="auto"/>
        </w:rPr>
        <w:t>Pre-Delivery Shares Issuance Fees</w:t>
      </w:r>
      <w:r>
        <w:rPr>
          <w:rFonts w:ascii="Times New Roman" w:cs="Times New Roman" w:eastAsia="Times New Roman" w:hAnsi="Times New Roman"/>
          <w:sz w:val="18"/>
          <w:szCs w:val="18"/>
          <w:color w:val="auto"/>
        </w:rPr>
        <w:t>”). The Pre-Delivery Shares Issuance Fees will be paid at the Second Closing from the Second Note Purchase Price.</w:t>
      </w:r>
    </w:p>
    <w:p>
      <w:pPr>
        <w:spacing w:after="0" w:line="176" w:lineRule="exact"/>
        <w:rPr>
          <w:sz w:val="20"/>
          <w:szCs w:val="20"/>
          <w:color w:val="auto"/>
        </w:rPr>
      </w:pPr>
    </w:p>
    <w:p>
      <w:pPr>
        <w:jc w:val="both"/>
        <w:ind w:right="20" w:firstLine="640"/>
        <w:spacing w:after="0" w:line="266" w:lineRule="auto"/>
        <w:tabs>
          <w:tab w:leader="none" w:pos="84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Investor’s Representations and Warranties</w:t>
      </w:r>
      <w:r>
        <w:rPr>
          <w:rFonts w:ascii="Times New Roman" w:cs="Times New Roman" w:eastAsia="Times New Roman" w:hAnsi="Times New Roman"/>
          <w:sz w:val="18"/>
          <w:szCs w:val="18"/>
          <w:color w:val="auto"/>
        </w:rPr>
        <w:t>. Investor represents and warrants to Company that as of each of the Closing Dates: (i) this Agreement has been duly and validly authorized by Investor; (ii) this Agreement constitutes a valid and binding agreement of Investor enforceable in accordance with its terms; and (iii) Investor is an “accredited investor” as that term is defined in Rule 501(a) of Regulation D of the 1933 Act.</w:t>
      </w:r>
    </w:p>
    <w:p>
      <w:pPr>
        <w:spacing w:after="0" w:line="39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337" w:right="339" w:bottom="1440" w:gutter="0" w:footer="0" w:header="0"/>
        </w:sectPr>
      </w:pPr>
    </w:p>
    <w:bookmarkStart w:id="81" w:name="page82"/>
    <w:bookmarkEnd w:id="81"/>
    <w:p>
      <w:pPr>
        <w:jc w:val="both"/>
        <w:ind w:left="9" w:firstLine="639"/>
        <w:spacing w:after="0" w:line="267" w:lineRule="auto"/>
        <w:tabs>
          <w:tab w:leader="none" w:pos="864"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Company’s Representations and Warranties</w:t>
      </w:r>
      <w:r>
        <w:rPr>
          <w:rFonts w:ascii="Times New Roman" w:cs="Times New Roman" w:eastAsia="Times New Roman" w:hAnsi="Times New Roman"/>
          <w:sz w:val="17"/>
          <w:szCs w:val="17"/>
          <w:color w:val="auto"/>
        </w:rPr>
        <w:t>. Company represents and warrants to Investor that as of each of the Closing Dates: (i) Company is an exempted company duly organized, validly existing and in good standing under the laws of its jurisdiction of incorporation and has the requisite corporate power to own its properties and to carry on its business as now being conducted; (ii) Company is duly qualified as a foreign company to do business and is in good standing in each jurisdiction where the nature of the business conducted or property owned by it makes such qualification necessary; (iii) Company has registered its ADSs under Section 12(b) of the Securities Exchange Act of 1934, as amended (the “</w:t>
      </w:r>
      <w:r>
        <w:rPr>
          <w:rFonts w:ascii="Times New Roman" w:cs="Times New Roman" w:eastAsia="Times New Roman" w:hAnsi="Times New Roman"/>
          <w:sz w:val="17"/>
          <w:szCs w:val="17"/>
          <w:b w:val="1"/>
          <w:bCs w:val="1"/>
          <w:color w:val="auto"/>
        </w:rPr>
        <w:t>1934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Act</w:t>
      </w:r>
      <w:r>
        <w:rPr>
          <w:rFonts w:ascii="Times New Roman" w:cs="Times New Roman" w:eastAsia="Times New Roman" w:hAnsi="Times New Roman"/>
          <w:sz w:val="17"/>
          <w:szCs w:val="17"/>
          <w:color w:val="auto"/>
        </w:rPr>
        <w:t>”), and is obligated to file reports pursuant to Section 13 or Section 15(d) of the 1934 Act; (iv) each of the Transaction Documents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transactions contemplated hereby and thereby, have been duly and validly authorized by Company and all necessary actions have been taken; (v) this Agreement, the Notes and the other Transaction Documents have been duly executed and delivered by Company and constitute the valid and binding obligations of Company enforceable in accordance with their terms; (vi) the execution and delivery of the Transaction Documents by Company, the issuance of the Securities in accordance with the terms hereof, and the consummation by Company of the other transactions contemplated by the Transaction Documents do not and will not conflict with or result in a breach by Company of any of the terms or provisions of, or constitute a default under (a) Company’s formation documents, as currently in effect, or other applicable organizational documents, (b) any indenture, mortgage, deed of trust, or other material agreement or instrument to which Company is a party or by which it or any of its properties or assets are bound, including, without limitation, any listing agreement for the ADSs, or (c) any existing applicable law, rule, or regulation or any applicable decree, judgment, or order of any court, United States federal, state or foreign regulatory body, administrative agency, or other governmental body having jurisdiction over Company or any of Company’s properties or assets; (vii) except as have been obtained prior to the Closing, no further authorization, approval or consent of any court, governmental body, regulatory agency, self-regulatory organization, or stock exchange or market or the stockholders or any lender of Company is required to be obtained by Company for the issuance of the Securities to Investor or the entering into of the Transaction Documents; (viii) none of Company’s filings with the SEC contained, at the time they were filed, any untrue statement of a material fact or omitted to state any material fact required to be stated therein or necessary to make the statements made therein, in light of the circumstances under which they were made, not misleading; (ix) Company has filed all reports, schedules, forms, statements and other documents required to be filed by Company with the SEC under the 1934 Act on a timely basis or has received a valid extension of such time of filing and has filed any such report, schedule, form, statement or other document prior to the expiration of any such extension; (x) there is no action, suit, proceeding, inquiry or investigation before or by any court, public board or body pending or, to the knowledge of Company, threatened against or affecting Company before or by any governmental authority or non-governmental department, commission, board, bureau, agency or instrumentality or any other person; (xi) Company has not consummated any financing transaction that has not been disclosed in a periodic filing or current report with the SEC under the 1934 Act; (xii) Company is not, nor has it been at any time in the previous twelve (12) months, a “Shell Company,” as such type of “issuer” is described in Rule 144(i)</w:t>
      </w:r>
    </w:p>
    <w:p>
      <w:pPr>
        <w:spacing w:after="0" w:line="195" w:lineRule="exact"/>
        <w:rPr>
          <w:rFonts w:ascii="Times New Roman" w:cs="Times New Roman" w:eastAsia="Times New Roman" w:hAnsi="Times New Roman"/>
          <w:sz w:val="17"/>
          <w:szCs w:val="17"/>
          <w:color w:val="auto"/>
        </w:rPr>
      </w:pPr>
    </w:p>
    <w:p>
      <w:pPr>
        <w:jc w:val="both"/>
        <w:ind w:left="9" w:hanging="9"/>
        <w:spacing w:after="0" w:line="250" w:lineRule="auto"/>
        <w:tabs>
          <w:tab w:leader="none" w:pos="2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1933 Act; (xiii) with respect to any commissions, placement agent or finder’s fees or similar payments that will or would become due and owing by Company to any person or entity as a result of this Agreement or the transactions contemplated hereby (“</w:t>
      </w:r>
      <w:r>
        <w:rPr>
          <w:rFonts w:ascii="Times New Roman" w:cs="Times New Roman" w:eastAsia="Times New Roman" w:hAnsi="Times New Roman"/>
          <w:sz w:val="18"/>
          <w:szCs w:val="18"/>
          <w:b w:val="1"/>
          <w:bCs w:val="1"/>
          <w:color w:val="auto"/>
        </w:rPr>
        <w:t>Broker Fees</w:t>
      </w:r>
      <w:r>
        <w:rPr>
          <w:rFonts w:ascii="Times New Roman" w:cs="Times New Roman" w:eastAsia="Times New Roman" w:hAnsi="Times New Roman"/>
          <w:sz w:val="18"/>
          <w:szCs w:val="18"/>
          <w:color w:val="auto"/>
        </w:rPr>
        <w:t>”), any such Broker Fees will be made in full compliance with all applicable laws and regulations and only to a person or entity that is a registered investment adviser or registered broker-dealer; (xiv) Investor shall have no obligation with respect to any Broker Fees or with respect to any claims made by or on behalf of other persons for fees of a type contemplated in this subsection that may be due in connection with the transactions contemplated hereby and Company shall indemnify and hold harmless each of Investor, Investor’s employees, officers, directors, stockholders, members, managers, agents, and partners, and their respective affiliates, from and against all claims, losses, damages, costs (including the costs of preparation and attorneys’ fees) and expenses suffered in respect of any such claimed Broker Fees; (xv) neither Investor nor any of its officers, directors, stockholders, members, managers, employees, agents or representatives has made any representations or warranties to Company or any of its officers, directors, employees, agents or representatives except as expressly set forth in the Transaction Documents and, in making its decision to enter into the transactions contemplated by the Transaction Documents, Company is not relying on any representation, warranty, covenant or promise of Investor or its officers, directors, members, managers, employees, agents or representatives other than as set forth in the Transaction Documents; (xvi) Company acknowledges that the State of Utah has a reasonable relationship and sufficient contacts to the transactions contemplated by the Transaction Documents and any dispute that may arise related thereto such that the laws and venue of the State of Utah, as set forth more specifically in Section 13.2 below, shall be applicable to the Transaction Documents and the transactions contemplated therein; (xvii) Company acknowledges that Investor is not registered as a ‘dealer’ under the 1934 Act; (xviii) Company has performed due diligence and background research on Investor and its affiliates and has received and reviewed the due diligence packet provided by Investor; (xix) Company has elected to follow certain corporate governance practices of its home country in accordance with the applicable rules of Nasdaq, and has disclosed any such differences in compliance with the requirements of such exchange, including, without limitation, Nasdaq Rule 5615(a)(3); and (xx) the issuance of the Securities pursuant to the Transaction Documents does not require shareholder approval under Nasdaq Rule 5635(d). Company, being aware of the matters and legal issues described in subsections (xvii) and (xviii) above, acknowledges and agrees that such matters, or any similar matters, have no bearing on the transactions contemplated by the Transaction Documents and covenants and agrees it will not use any such information or legal theory as a defense to performance of its obligations under the Transaction Documents or in any attempt to avoid, modify, reduce, rescind or void such obligations.</w:t>
      </w:r>
    </w:p>
    <w:p>
      <w:pPr>
        <w:spacing w:after="0" w:line="207"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Outbound Investment Representations and Warranties</w:t>
      </w:r>
      <w:r>
        <w:rPr>
          <w:rFonts w:ascii="Times New Roman" w:cs="Times New Roman" w:eastAsia="Times New Roman" w:hAnsi="Times New Roman"/>
          <w:sz w:val="18"/>
          <w:szCs w:val="18"/>
          <w:color w:val="auto"/>
        </w:rPr>
        <w:t>. Company represents and warrants to Investor, as of each of the Closing</w:t>
      </w:r>
    </w:p>
    <w:p>
      <w:pPr>
        <w:spacing w:after="0" w:line="2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Dates, that: Company is not a “covered foreign person” under 31 C.F.R. § 850.209. Furthermore, Company does not currently engage, and has no</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intention to engage, in any “covered activity” or “covered transaction” (as defined in 31 C.F.R. §§ 850.208 and 850.210) that would result in a</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“prohibited transaction” (as defined in 31 C.F.R. § 850.224), or that would otherwise violate, or cause Investor to violate, any “Outbound Investment</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Law.” For purposes of this Agreement, “</w:t>
      </w:r>
      <w:r>
        <w:rPr>
          <w:rFonts w:ascii="Times New Roman" w:cs="Times New Roman" w:eastAsia="Times New Roman" w:hAnsi="Times New Roman"/>
          <w:sz w:val="18"/>
          <w:szCs w:val="18"/>
          <w:b w:val="1"/>
          <w:bCs w:val="1"/>
          <w:color w:val="auto"/>
        </w:rPr>
        <w:t>Outbound Investment Law</w:t>
      </w:r>
      <w:r>
        <w:rPr>
          <w:rFonts w:ascii="Times New Roman" w:cs="Times New Roman" w:eastAsia="Times New Roman" w:hAnsi="Times New Roman"/>
          <w:sz w:val="18"/>
          <w:szCs w:val="18"/>
          <w:color w:val="auto"/>
        </w:rPr>
        <w:t>” refers to any legal requirement related to the “Outbound Investment</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Regulations” (31 C.F.R. §§ 850.101–850.904) and Executive Order 14105.</w:t>
      </w:r>
    </w:p>
    <w:p>
      <w:pPr>
        <w:spacing w:after="0" w:line="200" w:lineRule="exact"/>
        <w:rPr>
          <w:sz w:val="20"/>
          <w:szCs w:val="20"/>
          <w:color w:val="auto"/>
        </w:rPr>
      </w:pPr>
    </w:p>
    <w:p>
      <w:pPr>
        <w:spacing w:after="0" w:line="223" w:lineRule="exact"/>
        <w:rPr>
          <w:sz w:val="20"/>
          <w:szCs w:val="20"/>
          <w:color w:val="auto"/>
        </w:rPr>
      </w:pPr>
    </w:p>
    <w:p>
      <w:pPr>
        <w:jc w:val="center"/>
        <w:ind w:right="3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17145</wp:posOffset>
            </wp:positionV>
            <wp:extent cx="7132320" cy="171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9"/>
          </w:cols>
          <w:pgMar w:left="651" w:top="337" w:right="339" w:bottom="1440" w:gutter="0" w:footer="0" w:header="0"/>
        </w:sectPr>
      </w:pPr>
    </w:p>
    <w:bookmarkStart w:id="82" w:name="page83"/>
    <w:bookmarkEnd w:id="82"/>
    <w:p>
      <w:pPr>
        <w:jc w:val="both"/>
        <w:ind w:left="8" w:firstLine="640"/>
        <w:spacing w:after="0" w:line="251" w:lineRule="auto"/>
        <w:tabs>
          <w:tab w:leader="none" w:pos="83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Covenants</w:t>
      </w:r>
      <w:r>
        <w:rPr>
          <w:rFonts w:ascii="Times New Roman" w:cs="Times New Roman" w:eastAsia="Times New Roman" w:hAnsi="Times New Roman"/>
          <w:sz w:val="18"/>
          <w:szCs w:val="18"/>
          <w:color w:val="auto"/>
        </w:rPr>
        <w:t>. Until all of Company’s obligations under all of the Transaction Documents are paid and performed in full, or within the timeframes otherwise specifically set forth below, Company will at all times comply with the following covenants: (i) so long as Investor beneficially owns any of the Securities and for at least twenty (20) Trading Days thereafter, Company will timely file on the applicable deadline all reports required to be filed with the SEC pursuant to Sections 13 or 15(d) of the 1934 Act, and will take all reasonable action under its control to ensure that adequate current public information with respect to Company, as required in accordance with Rule 144 of the 1933 Act, is publicly available, and will not terminate its status as an issuer required to file reports under the 1934 Act even if the 1934 Act or the rules and regulations thereunder would permit such termination; (ii) when issued, the Pre-Delivery Shares and the Conversion Shares will be duly authorized, validly issued as fully paid and non-assessable, free and clear of all liens, claims, charges, and encumbrances; (iii) the ADSs shall be listed or quoted for trading on NYSE or Nasdaq; (iv) trading in Company’s ADSs will not be suspended, halted, chilled, frozen, reach zero bid or otherwise cease trading on Company’s principal trading market; (v) Company will not make any Restricted Issuance (as defined below) without Investor’s prior written consent, which consent may be granted or withheld in Investor’s sole and absolute discretion; and (vi) Company will not enter into any agreement or otherwise agree to any covenant, condition, or obligation that locks up, restricts in any way or otherwise prohibits Company: (a) from entering into a variable rate transaction with Investor or any affiliate of Investor, or (b) from issuing ADSs, preferred stock, warrants, convertible notes, other debt securities, or any other Company securities to Investor or any affiliate of Investor. For purposes hereof, the term “</w:t>
      </w:r>
      <w:r>
        <w:rPr>
          <w:rFonts w:ascii="Times New Roman" w:cs="Times New Roman" w:eastAsia="Times New Roman" w:hAnsi="Times New Roman"/>
          <w:sz w:val="18"/>
          <w:szCs w:val="18"/>
          <w:b w:val="1"/>
          <w:bCs w:val="1"/>
          <w:color w:val="auto"/>
        </w:rPr>
        <w:t>Restricted Issuance</w:t>
      </w:r>
      <w:r>
        <w:rPr>
          <w:rFonts w:ascii="Times New Roman" w:cs="Times New Roman" w:eastAsia="Times New Roman" w:hAnsi="Times New Roman"/>
          <w:sz w:val="18"/>
          <w:szCs w:val="18"/>
          <w:color w:val="auto"/>
        </w:rPr>
        <w:t>” means the issuance, incurrence or guaranty of any debt obligations, other than trade payables in the ordinary course of business, or the issuance of any securities that (1) have or may have conversion rights of any kind, contingent, conditional or otherwise, in which the number of shares that may be issued pursuant to such conversion right varies with the market price of the ADSs; (2) are or may become convertible into ADSs (including without limitation convertible debt, warrants or convertible preferred shares), with a conversion price that varies with the market price of the ADSs, even if such security only becomes convertible following an event of default, the passage of time, or another trigger event or condition; (3) have a fixed conversion price, exercise price or exchange price that is subject to being reset at some future date at any time after the initial issuance of such debt or equity security</w:t>
      </w:r>
    </w:p>
    <w:p>
      <w:pPr>
        <w:spacing w:after="0" w:line="8" w:lineRule="exact"/>
        <w:rPr>
          <w:rFonts w:ascii="Times New Roman" w:cs="Times New Roman" w:eastAsia="Times New Roman" w:hAnsi="Times New Roman"/>
          <w:sz w:val="18"/>
          <w:szCs w:val="18"/>
          <w:color w:val="auto"/>
        </w:rPr>
      </w:pPr>
    </w:p>
    <w:p>
      <w:pPr>
        <w:jc w:val="both"/>
        <w:ind w:left="8" w:hanging="8"/>
        <w:spacing w:after="0" w:line="251" w:lineRule="auto"/>
        <w:tabs>
          <w:tab w:leader="none" w:pos="30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a change in the market price of Company’s ADSs since the date of the initial issuance or (B) upon the occurrence of specified or contingent events directly or indirectly related to the business of Company (including, without limitation, any “full ratchet” or “weighted average” anti-dilution provisions, but not including any standard anti-dilution protection for any reorganization, recapitalization, non-cash dividend, stock split or other similar transaction); or (4) ADSs issued or to be issued in connection with Section 3(a)(9) exchange, a Section 3(a)(10) settlement, or any other similar settlement or exchange. For the avoidance of doubt, ADSs issued pursuant to any of the following will not be considered Restricted Issuances: (i) ATM facilities; (ii) primary equity or debt offerings without variable price mechanics; (iii) primary offerings with variable priced warrants provided that the variable priced warrants have no provision that will increase the number of warrants issued at closing or increase the number of ADSs issuable under each warrant to a ratio of more than 1:1 (except for any adjustments for any reorganization, recapitalization, non-cash dividend, share split or similar transaction); (iv) share issuances to non-US persons; or (v) the issuance of ADSs in conjunction with any acquisitions, mergers, licensing arrangements and partnerships provided that such issuances do not cause a change of control or have variable price mechanisms.</w:t>
      </w:r>
    </w:p>
    <w:p>
      <w:pPr>
        <w:spacing w:after="0" w:line="193"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 w:firstLine="1935"/>
        <w:spacing w:after="0" w:line="253" w:lineRule="auto"/>
        <w:tabs>
          <w:tab w:leader="none" w:pos="219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Registration Statement</w:t>
      </w:r>
      <w:r>
        <w:rPr>
          <w:rFonts w:ascii="Times New Roman" w:cs="Times New Roman" w:eastAsia="Times New Roman" w:hAnsi="Times New Roman"/>
          <w:sz w:val="18"/>
          <w:szCs w:val="18"/>
          <w:color w:val="auto"/>
        </w:rPr>
        <w:t>. Company will file within thirty (30) days of the Initial Closing Date, in accordance with the provisions of the 1933 Act and the rules and regulations thereunder, a resale registration statement on Form F-1 (the “</w:t>
      </w:r>
      <w:r>
        <w:rPr>
          <w:rFonts w:ascii="Times New Roman" w:cs="Times New Roman" w:eastAsia="Times New Roman" w:hAnsi="Times New Roman"/>
          <w:sz w:val="18"/>
          <w:szCs w:val="18"/>
          <w:b w:val="1"/>
          <w:bCs w:val="1"/>
          <w:color w:val="auto"/>
        </w:rPr>
        <w:t>Initial Registration Statement</w:t>
      </w:r>
      <w:r>
        <w:rPr>
          <w:rFonts w:ascii="Times New Roman" w:cs="Times New Roman" w:eastAsia="Times New Roman" w:hAnsi="Times New Roman"/>
          <w:sz w:val="18"/>
          <w:szCs w:val="18"/>
          <w:color w:val="auto"/>
        </w:rPr>
        <w:t>”) registering the resale of the Pre-Delivery Shares and the Conversion Shares, including a base prospectus, with respect to the issuance and sale of securities by Company, including Ordinary Shares (as defined below), which contains, among other things a Plan of Distribution section disclosing the methods by which the Investor may sell the Ordinary Shares. Except where the context otherwise requires, the Initial Registration Statement, as amended when it becomes effective, including all documents filed as part thereof or incorporated by reference therein, and including any information contained in a Prospectus subsequently filed with the SEC pursuant to Rule 424(b) (a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under the 1933 Act or deemed to be a part of the Initial Registration Statement pursuant to Rule 430B of the 1933 Act, is herein called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Company covenants to file one or more Registration Statements as necessary to have sufficient Ordinary Shares registered at all times to accommodate the Pre-Delivery Shares plus the number of Ordinary Shares equal to the combined original principal amounts of the First Note and the Second Note ($2,180,000.00) divided by the Floor Price (as defined in the First Note). Following the effectiveness of the Initial Registration Statement, Company will use reasonable best efforts to maintain the effectiveness of the Initial Registration Statement, or any subsequent Registration Statements, at all times Investor owns any of the Securities.</w:t>
      </w:r>
    </w:p>
    <w:p>
      <w:pPr>
        <w:spacing w:after="0" w:line="200" w:lineRule="exact"/>
        <w:rPr>
          <w:sz w:val="20"/>
          <w:szCs w:val="20"/>
          <w:color w:val="auto"/>
        </w:rPr>
      </w:pPr>
    </w:p>
    <w:p>
      <w:pPr>
        <w:spacing w:after="0" w:line="20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83" w:name="page84"/>
    <w:bookmarkEnd w:id="83"/>
    <w:p>
      <w:pPr>
        <w:jc w:val="both"/>
        <w:ind w:firstLine="1935"/>
        <w:spacing w:after="0" w:line="261" w:lineRule="auto"/>
        <w:tabs>
          <w:tab w:leader="none" w:pos="219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Disclosure</w:t>
      </w:r>
      <w:r>
        <w:rPr>
          <w:rFonts w:ascii="Times New Roman" w:cs="Times New Roman" w:eastAsia="Times New Roman" w:hAnsi="Times New Roman"/>
          <w:sz w:val="18"/>
          <w:szCs w:val="18"/>
          <w:color w:val="auto"/>
        </w:rPr>
        <w:t>. Within four (4) business days after the execution of the Initial Closing Date, Company shall file with the SEC a current report on Form 6-K or such other appropriate form as determined by counsel to Company (the “</w:t>
      </w:r>
      <w:r>
        <w:rPr>
          <w:rFonts w:ascii="Times New Roman" w:cs="Times New Roman" w:eastAsia="Times New Roman" w:hAnsi="Times New Roman"/>
          <w:sz w:val="18"/>
          <w:szCs w:val="18"/>
          <w:b w:val="1"/>
          <w:bCs w:val="1"/>
          <w:color w:val="auto"/>
        </w:rPr>
        <w:t>Current Report</w:t>
      </w:r>
      <w:r>
        <w:rPr>
          <w:rFonts w:ascii="Times New Roman" w:cs="Times New Roman" w:eastAsia="Times New Roman" w:hAnsi="Times New Roman"/>
          <w:sz w:val="18"/>
          <w:szCs w:val="18"/>
          <w:color w:val="auto"/>
        </w:rPr>
        <w:t>”), relating to the transactions contemplated by this Agreement disclosing all information relating to the transaction contemplated hereby required to be disclosed therein.</w:t>
      </w:r>
    </w:p>
    <w:p>
      <w:pPr>
        <w:spacing w:after="0" w:line="179" w:lineRule="exact"/>
        <w:rPr>
          <w:rFonts w:ascii="Times New Roman" w:cs="Times New Roman" w:eastAsia="Times New Roman" w:hAnsi="Times New Roman"/>
          <w:sz w:val="18"/>
          <w:szCs w:val="18"/>
          <w:color w:val="auto"/>
        </w:rPr>
      </w:pPr>
    </w:p>
    <w:p>
      <w:pPr>
        <w:jc w:val="both"/>
        <w:ind w:firstLine="1936"/>
        <w:spacing w:after="0" w:line="266" w:lineRule="auto"/>
        <w:tabs>
          <w:tab w:leader="none" w:pos="220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Other Filings</w:t>
      </w:r>
      <w:r>
        <w:rPr>
          <w:rFonts w:ascii="Times New Roman" w:cs="Times New Roman" w:eastAsia="Times New Roman" w:hAnsi="Times New Roman"/>
          <w:sz w:val="18"/>
          <w:szCs w:val="18"/>
          <w:color w:val="auto"/>
        </w:rPr>
        <w:t>. Company shall (i) prepare and file with the SEC such amendments (including post-effective amendments) and supplements to a Registration Statement and the related prospectus used in connection with such Registration Statement, and (ii) all Periodic Reports as may be necessary to keep such Registration Statement effective at all times during the Commitment Period.</w:t>
      </w:r>
    </w:p>
    <w:p>
      <w:pPr>
        <w:spacing w:after="0" w:line="175" w:lineRule="exact"/>
        <w:rPr>
          <w:rFonts w:ascii="Times New Roman" w:cs="Times New Roman" w:eastAsia="Times New Roman" w:hAnsi="Times New Roman"/>
          <w:sz w:val="18"/>
          <w:szCs w:val="18"/>
          <w:color w:val="auto"/>
        </w:rPr>
      </w:pPr>
    </w:p>
    <w:p>
      <w:pPr>
        <w:jc w:val="both"/>
        <w:ind w:firstLine="1936"/>
        <w:spacing w:after="0" w:line="254" w:lineRule="auto"/>
        <w:tabs>
          <w:tab w:leader="none" w:pos="222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Blue-Sky</w:t>
      </w:r>
      <w:r>
        <w:rPr>
          <w:rFonts w:ascii="Times New Roman" w:cs="Times New Roman" w:eastAsia="Times New Roman" w:hAnsi="Times New Roman"/>
          <w:sz w:val="18"/>
          <w:szCs w:val="18"/>
          <w:color w:val="auto"/>
        </w:rPr>
        <w:t>. To the extent legally required, Company shall use its commercially reasonable efforts to, if required by Applicable Laws, (i) register and qualify the Ordinary Shares covered by a Registration Statement under such other securities or “blue sky” laws of such jurisdictions in the United States as Investor reasonably requests, (ii) prepare and file in those jurisdictions, such amendments (including post-effective amendments) and supplements to such registrations and qualifications as may be necessary to maintain the effectiveness thereof, (iii) take such other actions as may be necessary to maintain such registrations and qualifications in effect, and (iv) take all other actions reasonably necessary or advisable to qualify the Ordinary Shares for sale in such jurisdictions. Company shall promptly notify Investor of the receipt by Company of any notification with respect to the suspension of the registration or qualification of any of Ordinary Shares for sale under the securities or “blue sky” laws of any jurisdiction in the United States or its receipt of actual notice of the initiation or threat of any proceeding for such purpose.</w:t>
      </w:r>
    </w:p>
    <w:p>
      <w:pPr>
        <w:spacing w:after="0" w:line="191" w:lineRule="exact"/>
        <w:rPr>
          <w:rFonts w:ascii="Times New Roman" w:cs="Times New Roman" w:eastAsia="Times New Roman" w:hAnsi="Times New Roman"/>
          <w:sz w:val="18"/>
          <w:szCs w:val="18"/>
          <w:color w:val="auto"/>
        </w:rPr>
      </w:pPr>
    </w:p>
    <w:p>
      <w:pPr>
        <w:jc w:val="both"/>
        <w:ind w:firstLine="1935"/>
        <w:spacing w:after="0" w:line="251" w:lineRule="auto"/>
        <w:tabs>
          <w:tab w:leader="none" w:pos="220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Certain Events Affecting Registration; Suspension of Right to Request a Pre-Paid Purchase</w:t>
      </w:r>
      <w:r>
        <w:rPr>
          <w:rFonts w:ascii="Times New Roman" w:cs="Times New Roman" w:eastAsia="Times New Roman" w:hAnsi="Times New Roman"/>
          <w:sz w:val="18"/>
          <w:szCs w:val="18"/>
          <w:color w:val="auto"/>
        </w:rPr>
        <w:t>. Company will promptly notify Investor, and confirm in writing, upon its becoming aware of the occurrence of any of the following events in respect of a Registration Statement or related Prospectus (in each of which cases the information provided to Investor will be kept strictly confidential): (i) except for requests made in connection with SEC investigations, receipt of any request for additional information by the SEC or any other federal or state governmental authority during the period of effectiveness of the Registration Statement or any request for amendments or supplements to the Registration Statement or related Prospectus; (ii) the issuance by the SEC or any other federal governmental authority of any stop order suspending the effectiveness of the Registration Statement or the initiation of any proceedings for that purpose; (iii) receipt of any notification with respect to the suspension of the qualification or exemption from qualification of any of the Ordinary Shares for sale in any jurisdiction or the initiation or written threat of any proceeding for such purpose; (iv) the happening of any event that makes any statement made in the Registration Statement or related Prospectus or any document incorporated or deemed to be incorporated therein by reference untrue in any material respect or that requires the making of any changes in the Registration Statement, related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related Prospectus, it will not contain any untrue statement of a material fact or omit to state any material fact required to be stated therein or necessary to make the statements therein, in the light of the circumstances under which they were made, not misleading, or of the necessity to amend the Registration Statement or supplement a related Prospectus to comply with the 1933 Act or any other law; (v) Company’s reasonable determination that a post-effective amendment to the Registration Statement would be appropriate and Company will promptly make available to Investor any such supplement or amendment to the related Prospectus. Investor shall not deliver to Company any (as defined in the First Note), and Company shall not sell any Conversion Shares pursuant to any pending Conversion Notice, during the continuation of any of the foregoing events (each of the events described in the immediately preceding clauses (i) through (v), inclusive, a “</w:t>
      </w:r>
      <w:r>
        <w:rPr>
          <w:rFonts w:ascii="Times New Roman" w:cs="Times New Roman" w:eastAsia="Times New Roman" w:hAnsi="Times New Roman"/>
          <w:sz w:val="18"/>
          <w:szCs w:val="18"/>
          <w:b w:val="1"/>
          <w:bCs w:val="1"/>
          <w:color w:val="auto"/>
        </w:rPr>
        <w:t>Material Outside Event</w:t>
      </w:r>
      <w:r>
        <w:rPr>
          <w:rFonts w:ascii="Times New Roman" w:cs="Times New Roman" w:eastAsia="Times New Roman" w:hAnsi="Times New Roman"/>
          <w:sz w:val="18"/>
          <w:szCs w:val="18"/>
          <w:color w:val="auto"/>
        </w:rPr>
        <w:t>”). Company shall be obligated to cure any Material Outside Event within ten (10) Trading Days. Notwithstanding anything to the contrary contained in this paragraph, consistent with Section 4.2(h) below, Company may not disclose to the Investor any material information not yet publicly available or disclosed to other shareholders.</w:t>
      </w:r>
    </w:p>
    <w:p>
      <w:pPr>
        <w:spacing w:after="0" w:line="200" w:lineRule="exact"/>
        <w:rPr>
          <w:sz w:val="20"/>
          <w:szCs w:val="20"/>
          <w:color w:val="auto"/>
        </w:rPr>
      </w:pPr>
    </w:p>
    <w:p>
      <w:pPr>
        <w:spacing w:after="0" w:line="22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337" w:right="339" w:bottom="1440" w:gutter="0" w:footer="0" w:header="0"/>
        </w:sectPr>
      </w:pPr>
    </w:p>
    <w:bookmarkStart w:id="84" w:name="page85"/>
    <w:bookmarkEnd w:id="84"/>
    <w:p>
      <w:pPr>
        <w:jc w:val="both"/>
        <w:ind w:firstLine="1935"/>
        <w:spacing w:after="0" w:line="266" w:lineRule="auto"/>
        <w:tabs>
          <w:tab w:leader="none" w:pos="219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Company will not, directly or indirectly, take any action designed to cause or result in, or that constitutes or might reasonably be expected to constitute, the manipulation of the price of any security of Company under Regulation M of the 1934 Act.</w:t>
      </w:r>
    </w:p>
    <w:p>
      <w:pPr>
        <w:spacing w:after="0" w:line="175" w:lineRule="exact"/>
        <w:rPr>
          <w:rFonts w:ascii="Times New Roman" w:cs="Times New Roman" w:eastAsia="Times New Roman" w:hAnsi="Times New Roman"/>
          <w:sz w:val="18"/>
          <w:szCs w:val="18"/>
          <w:color w:val="auto"/>
        </w:rPr>
      </w:pPr>
    </w:p>
    <w:p>
      <w:pPr>
        <w:jc w:val="both"/>
        <w:ind w:firstLine="1936"/>
        <w:spacing w:after="0" w:line="261" w:lineRule="auto"/>
        <w:tabs>
          <w:tab w:leader="none" w:pos="223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Frustration</w:t>
      </w:r>
      <w:r>
        <w:rPr>
          <w:rFonts w:ascii="Times New Roman" w:cs="Times New Roman" w:eastAsia="Times New Roman" w:hAnsi="Times New Roman"/>
          <w:sz w:val="18"/>
          <w:szCs w:val="18"/>
          <w:color w:val="auto"/>
        </w:rPr>
        <w:t>. Company shall not enter into, announce or recommend to its stockholders any agreement, plan, arrangement or transaction in or of which the terms thereof would restrict, materially delay, conflict with or impair the ability or right of Company to perform its obligations under the Transaction Documents to which it is a party, including, without limitation, the obligation of Company to deliver the Conversion Shares to Investor pursuant to a Conversion Notice.</w:t>
      </w:r>
    </w:p>
    <w:p>
      <w:pPr>
        <w:spacing w:after="0" w:line="179" w:lineRule="exact"/>
        <w:rPr>
          <w:rFonts w:ascii="Times New Roman" w:cs="Times New Roman" w:eastAsia="Times New Roman" w:hAnsi="Times New Roman"/>
          <w:sz w:val="18"/>
          <w:szCs w:val="18"/>
          <w:color w:val="auto"/>
        </w:rPr>
      </w:pPr>
    </w:p>
    <w:p>
      <w:pPr>
        <w:jc w:val="both"/>
        <w:ind w:firstLine="1936"/>
        <w:spacing w:after="0" w:line="254" w:lineRule="auto"/>
        <w:tabs>
          <w:tab w:leader="none" w:pos="221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Non-Public Information</w:t>
      </w:r>
      <w:r>
        <w:rPr>
          <w:rFonts w:ascii="Times New Roman" w:cs="Times New Roman" w:eastAsia="Times New Roman" w:hAnsi="Times New Roman"/>
          <w:sz w:val="18"/>
          <w:szCs w:val="18"/>
          <w:color w:val="auto"/>
        </w:rPr>
        <w:t>. From and after the filing of the Current Report with the SEC, Company shall have publicly disclosed all material, non-public information delivered to Investor (or Investor’s representatives or agents) by Company or any of its subsidiaries, or any of their respective officers, directors, employees, agents or representatives (if any) in connection with Company and any of its subsidiaries. Company understands and confirms that Investor will rely on the foregoing representations in effecting resales of Conversion Shares under the Registration Statement. Company covenants and agrees that, other than with Investor’s prior consent, it shall refrain from disclosing, and shall cause its officers, directors, employees and agents to refrain from disclosing, any material non-public information (as determined under the 1933 Act, the 1934 Act, or the rules and regulations of the SEC) to Investor without also disseminating such information to the public within a reasonable time period thereafter, unless prior to disclosure of such information Company identifies such information as being material non-public information and provides Investor with the opportunity to accept or refuse to accept such material non-public information for review.</w:t>
      </w:r>
    </w:p>
    <w:p>
      <w:pPr>
        <w:spacing w:after="0" w:line="200" w:lineRule="exact"/>
        <w:rPr>
          <w:sz w:val="20"/>
          <w:szCs w:val="20"/>
          <w:color w:val="auto"/>
        </w:rPr>
      </w:pPr>
    </w:p>
    <w:p>
      <w:pPr>
        <w:spacing w:after="0" w:line="20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337" w:right="339" w:bottom="1440" w:gutter="0" w:footer="0" w:header="0"/>
        </w:sectPr>
      </w:pPr>
    </w:p>
    <w:bookmarkStart w:id="85" w:name="page86"/>
    <w:bookmarkEnd w:id="85"/>
    <w:p>
      <w:pPr>
        <w:ind w:left="820" w:hanging="180"/>
        <w:spacing w:after="0"/>
        <w:tabs>
          <w:tab w:leader="none" w:pos="8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Company’s Obligation to Sell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Initial Closing</w:t>
      </w:r>
      <w:r>
        <w:rPr>
          <w:rFonts w:ascii="Times New Roman" w:cs="Times New Roman" w:eastAsia="Times New Roman" w:hAnsi="Times New Roman"/>
          <w:sz w:val="18"/>
          <w:szCs w:val="18"/>
          <w:color w:val="auto"/>
        </w:rPr>
        <w:t>. The obligation of Company hereunder to issue and sell the First Note and Pre-Delivery Shares at the Initial Closing is subject to the satisfaction, on or before the Initial Closing Date, of each of the following conditions: (i) Investor shall have executed this Agreement and delivered the same to Company; and (ii) Investor shall have delivered the Purchase Price to Company in accordance with Section 1.2 above.</w:t>
      </w:r>
    </w:p>
    <w:p>
      <w:pPr>
        <w:spacing w:after="0" w:line="180" w:lineRule="exact"/>
        <w:rPr>
          <w:sz w:val="20"/>
          <w:szCs w:val="20"/>
          <w:color w:val="auto"/>
        </w:rPr>
      </w:pPr>
    </w:p>
    <w:p>
      <w:pPr>
        <w:jc w:val="both"/>
        <w:ind w:firstLine="1295"/>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Second Closing</w:t>
      </w:r>
      <w:r>
        <w:rPr>
          <w:rFonts w:ascii="Times New Roman" w:cs="Times New Roman" w:eastAsia="Times New Roman" w:hAnsi="Times New Roman"/>
          <w:sz w:val="18"/>
          <w:szCs w:val="18"/>
          <w:color w:val="auto"/>
        </w:rPr>
        <w:t>. The obligation of the Company hereunder to issue and sell the Second Note at the Second Closing is subject to the satisfaction, on or before the Second Closing Date, of the following condition, Investor shall have executed this Agreement and delivered the same to Company.</w:t>
      </w:r>
    </w:p>
    <w:p>
      <w:pPr>
        <w:spacing w:after="0" w:line="176" w:lineRule="exact"/>
        <w:rPr>
          <w:sz w:val="20"/>
          <w:szCs w:val="20"/>
          <w:color w:val="auto"/>
        </w:rPr>
      </w:pPr>
    </w:p>
    <w:p>
      <w:pPr>
        <w:ind w:left="820" w:hanging="180"/>
        <w:spacing w:after="0"/>
        <w:tabs>
          <w:tab w:leader="none" w:pos="8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Investor’s Obligation to Purchase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Initial Closing</w:t>
      </w:r>
      <w:r>
        <w:rPr>
          <w:rFonts w:ascii="Times New Roman" w:cs="Times New Roman" w:eastAsia="Times New Roman" w:hAnsi="Times New Roman"/>
          <w:sz w:val="18"/>
          <w:szCs w:val="18"/>
          <w:color w:val="auto"/>
        </w:rPr>
        <w:t xml:space="preserve">. The obligation of Investor hereunder to purchase the First Note and Pre-Delivery Shares at the Initial Closing is subject to the satisfaction, on or before the Initial Closing Date, of each of the following conditions, provided that these conditions are for Investor’s benefit and may be waived by Investor at any time in its sole discretion: (i) Company shall have executed and delivered each of the Transaction Documents to Investor; (ii) Company shall have delivered to Investor a fully executed Officer’s Certificate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evidencing Company’s approval of the Transaction Documents; (iii) Company shall have provided wire instructions to Investor in writing; and (iv) Company shall have delivered to Investor a copy of the Register of Members of Company issued by Maples Fund Services Limited, the Company’s Cayman share registrar (“</w:t>
      </w:r>
      <w:r>
        <w:rPr>
          <w:rFonts w:ascii="Times New Roman" w:cs="Times New Roman" w:eastAsia="Times New Roman" w:hAnsi="Times New Roman"/>
          <w:sz w:val="18"/>
          <w:szCs w:val="18"/>
          <w:b w:val="1"/>
          <w:bCs w:val="1"/>
          <w:color w:val="auto"/>
        </w:rPr>
        <w:t>Registered Agent</w:t>
      </w:r>
      <w:r>
        <w:rPr>
          <w:rFonts w:ascii="Times New Roman" w:cs="Times New Roman" w:eastAsia="Times New Roman" w:hAnsi="Times New Roman"/>
          <w:sz w:val="18"/>
          <w:szCs w:val="18"/>
          <w:color w:val="auto"/>
        </w:rPr>
        <w:t>”), confirming that the Pre-Delivery Shares are registered in the name of Investor as beneficial owner.</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Second Closing</w:t>
      </w:r>
      <w:r>
        <w:rPr>
          <w:rFonts w:ascii="Times New Roman" w:cs="Times New Roman" w:eastAsia="Times New Roman" w:hAnsi="Times New Roman"/>
          <w:sz w:val="18"/>
          <w:szCs w:val="18"/>
          <w:color w:val="auto"/>
        </w:rPr>
        <w:t>. The obligation of Investor hereunder to purchase the Second Note at the Second Closing is subject to the satisfaction, on or before the Second Closing Date, of each of the following conditions, provided that these conditions are for Investor’s benefit and may be waived by Investor at any time in its sole discretion: (i) the Initial Registration Statement shall have been declared effective by the U.S. Securities and Exchange Commission; (ii) the freely tradable Pre-Delivery Shares, in the form of ADSs, have been delivered in full to Investor’s designated brokerage account and are immediately available for resale by Investor; (iii) No uncured Event of Default (as defined in the First Note) shall have occurred; and (iv) Company shall not be subject to any deficiency notice or determination of non-compliance with the continued listing requirements of the Nasdaq. Notwithstanding anything to the contrary in this Agreement, if each of the conditions set forth in this Section 6.2 have not been satisfied or waived in writing by the Investor on or before the date which is six (6) months following the Initial Closing Date (the “</w:t>
      </w:r>
      <w:r>
        <w:rPr>
          <w:rFonts w:ascii="Times New Roman" w:cs="Times New Roman" w:eastAsia="Times New Roman" w:hAnsi="Times New Roman"/>
          <w:sz w:val="18"/>
          <w:szCs w:val="18"/>
          <w:b w:val="1"/>
          <w:bCs w:val="1"/>
          <w:color w:val="auto"/>
        </w:rPr>
        <w:t>Outside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then the consummation of the Second Closing shall no longer be automatic and shall instead become optional at the sole discretion of Investor.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 may elect to consummate the Second Closing after the Outside Date only by delivering written notice to the Company expressly stating such election.</w:t>
      </w:r>
    </w:p>
    <w:p>
      <w:pPr>
        <w:spacing w:after="0" w:line="200" w:lineRule="exact"/>
        <w:rPr>
          <w:sz w:val="20"/>
          <w:szCs w:val="20"/>
          <w:color w:val="auto"/>
        </w:rPr>
      </w:pPr>
    </w:p>
    <w:p>
      <w:pPr>
        <w:spacing w:after="0" w:line="20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337" w:right="339" w:bottom="1440" w:gutter="0" w:footer="0" w:header="0"/>
        </w:sectPr>
      </w:pPr>
    </w:p>
    <w:bookmarkStart w:id="86" w:name="page87"/>
    <w:bookmarkEnd w:id="86"/>
    <w:p>
      <w:pPr>
        <w:jc w:val="both"/>
        <w:ind w:firstLine="639"/>
        <w:spacing w:after="0" w:line="258" w:lineRule="auto"/>
        <w:tabs>
          <w:tab w:leader="none" w:pos="84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 in Authorized Class B Shares</w:t>
      </w:r>
      <w:r>
        <w:rPr>
          <w:rFonts w:ascii="Times New Roman" w:cs="Times New Roman" w:eastAsia="Times New Roman" w:hAnsi="Times New Roman"/>
          <w:sz w:val="18"/>
          <w:szCs w:val="18"/>
          <w:color w:val="auto"/>
        </w:rPr>
        <w:t>. Company agrees that, within ninety (90) days following the date on which the total number of issued and outstanding Ordinary Shares equals or exceeds 2,500,000,000, it shall take all necessary corporate and regulatory actions to increase the number of authorized Ordinary Shares by not less than 1,000,000,000 shares. Such actions shall include, without limitation, obtaining all requisite board and shareholder approvals, amending Company’s memorandum and articles of association, and making all required regulatory filings in the Cayman Islands and any other applicable jurisdictions.</w:t>
      </w:r>
    </w:p>
    <w:p>
      <w:pPr>
        <w:spacing w:after="0" w:line="183" w:lineRule="exact"/>
        <w:rPr>
          <w:rFonts w:ascii="Times New Roman" w:cs="Times New Roman" w:eastAsia="Times New Roman" w:hAnsi="Times New Roman"/>
          <w:sz w:val="18"/>
          <w:szCs w:val="18"/>
          <w:color w:val="auto"/>
        </w:rPr>
      </w:pPr>
    </w:p>
    <w:p>
      <w:pPr>
        <w:jc w:val="both"/>
        <w:ind w:firstLine="639"/>
        <w:spacing w:after="0" w:line="254" w:lineRule="auto"/>
        <w:tabs>
          <w:tab w:leader="none" w:pos="8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Most Favored Nation</w:t>
      </w:r>
      <w:r>
        <w:rPr>
          <w:rFonts w:ascii="Times New Roman" w:cs="Times New Roman" w:eastAsia="Times New Roman" w:hAnsi="Times New Roman"/>
          <w:sz w:val="18"/>
          <w:szCs w:val="18"/>
          <w:color w:val="auto"/>
        </w:rPr>
        <w:t>. So long as either of the Notes are outstanding, upon any issuance by Company of any debt security with any economic term or condition more favorable to the holder of such security or with a term in favor of the holder of such security that was not similarly provided to Investor in the Transaction Documents, then Company shall notify Investor of such additional or more favorable term and such term, at Investor’s option, shall become a part of the Transaction Documents for the benefit of Investor. Additionally, if Company fails to notify Investor of any such additional or more favorable term, but Investor becomes aware that Company has granted such a term to any third party, Investor may notify Company of such additional or more favorable term and such term shall become a part of the Transaction Documents retroactive to the date on which such term was granted to the applicable third party. The types of terms contained in another security that may be more favorable to the holder of such security include, but are not limited to, terms addressing conversion discounts, conversion lookback periods, interest rates, original issue discounts, stock sale prices, conversion prices, warrant coverage, warrant exercise prices, floor prices, and anti-dilution/conversion and exercise price resets.</w:t>
      </w:r>
    </w:p>
    <w:p>
      <w:pPr>
        <w:spacing w:after="0" w:line="188" w:lineRule="exact"/>
        <w:rPr>
          <w:rFonts w:ascii="Times New Roman" w:cs="Times New Roman" w:eastAsia="Times New Roman" w:hAnsi="Times New Roman"/>
          <w:sz w:val="18"/>
          <w:szCs w:val="18"/>
          <w:color w:val="auto"/>
        </w:rPr>
      </w:pPr>
    </w:p>
    <w:p>
      <w:pPr>
        <w:jc w:val="both"/>
        <w:ind w:firstLine="639"/>
        <w:spacing w:after="0" w:line="253" w:lineRule="auto"/>
        <w:tabs>
          <w:tab w:leader="none" w:pos="82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 Right</w:t>
      </w:r>
      <w:r>
        <w:rPr>
          <w:rFonts w:ascii="Times New Roman" w:cs="Times New Roman" w:eastAsia="Times New Roman" w:hAnsi="Times New Roman"/>
          <w:sz w:val="18"/>
          <w:szCs w:val="18"/>
          <w:color w:val="auto"/>
        </w:rPr>
        <w:t>. Beginning on the Initial Closing Date and ending on the date both of the Notes are paid in full, Company hereby grants to Investor a participation right, whereby Investor shall have the right to participate at Investor’s discretion in up to thirty percent (30%) of the amount sold in any Restricted Issuance (the “</w:t>
      </w:r>
      <w:r>
        <w:rPr>
          <w:rFonts w:ascii="Times New Roman" w:cs="Times New Roman" w:eastAsia="Times New Roman" w:hAnsi="Times New Roman"/>
          <w:sz w:val="18"/>
          <w:szCs w:val="18"/>
          <w:b w:val="1"/>
          <w:bCs w:val="1"/>
          <w:color w:val="auto"/>
        </w:rPr>
        <w:t>Participation Right</w:t>
      </w:r>
      <w:r>
        <w:rPr>
          <w:rFonts w:ascii="Times New Roman" w:cs="Times New Roman" w:eastAsia="Times New Roman" w:hAnsi="Times New Roman"/>
          <w:sz w:val="18"/>
          <w:szCs w:val="18"/>
          <w:color w:val="auto"/>
        </w:rPr>
        <w:t>”). Within two (2) Trading Days following the consummation of a Restricted Issuance, Company will provide Investor with written notice of the consummation of such Restricted Issuance, along with copies of the transaction documents. Investor will then have up to five (5) Trading Days to elect to purchase up to thirty percent (30%) of the amount of debt or equity securities issued in such transaction on the most favorable terms and conditions offered to any other purchaser of the same securities. The parties agree that in the event Company breaches its obligations with respect to the Participation Right, Investor’s sole and exclusive remedy shall be to receive, as liquidated damages, an amount equal to twenty percent (20%) of the amount Investor would have been entitled to invest under the Participation Right. For the avoidance of doubt, Company’s breach of its obligations with respect to the Participation Right will not be considered a Trigger Event (as defined in the First Note) under the Notes.</w:t>
      </w:r>
    </w:p>
    <w:p>
      <w:pPr>
        <w:spacing w:after="0" w:line="194" w:lineRule="exact"/>
        <w:rPr>
          <w:rFonts w:ascii="Times New Roman" w:cs="Times New Roman" w:eastAsia="Times New Roman" w:hAnsi="Times New Roman"/>
          <w:sz w:val="18"/>
          <w:szCs w:val="18"/>
          <w:color w:val="auto"/>
        </w:rPr>
      </w:pPr>
    </w:p>
    <w:p>
      <w:pPr>
        <w:jc w:val="both"/>
        <w:ind w:firstLine="639"/>
        <w:spacing w:after="0" w:line="256" w:lineRule="auto"/>
        <w:tabs>
          <w:tab w:leader="none" w:pos="91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Pre-Delivery Shares</w:t>
      </w:r>
      <w:r>
        <w:rPr>
          <w:rFonts w:ascii="Times New Roman" w:cs="Times New Roman" w:eastAsia="Times New Roman" w:hAnsi="Times New Roman"/>
          <w:sz w:val="18"/>
          <w:szCs w:val="18"/>
          <w:color w:val="auto"/>
        </w:rPr>
        <w:t>. Notwithstanding anything to the contrary contained herein, Investor covenants and agrees with Company that, upon repayment of the Notes by Company in full, Investor shall within twenty (20) Trading Days deliver to Company a number of Ordinary Shares (or an equivalent number of ADSs) equal to the number of Pre-Delivery Shares initially issued to Investor hereunder (as adjusted for any share splits, share dividends, share combinations, recapitalizations, or other similar transactions occurring after the date hereof), and Company shall pay Investor $0.00001 for each such Ordinary Share ($0.00008 for each such ADS) (as adjusted for any share splits, share dividends, share combinations, recapitalizations or other similar transactions occurring after the date hereof).</w:t>
      </w: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337" w:right="339" w:bottom="1440" w:gutter="0" w:footer="0" w:header="0"/>
        </w:sectPr>
      </w:pPr>
    </w:p>
    <w:bookmarkStart w:id="87" w:name="page88"/>
    <w:bookmarkEnd w:id="87"/>
    <w:p>
      <w:pPr>
        <w:jc w:val="both"/>
        <w:ind w:firstLine="639"/>
        <w:spacing w:after="0" w:line="252" w:lineRule="auto"/>
        <w:tabs>
          <w:tab w:leader="none" w:pos="91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Shorting</w:t>
      </w:r>
      <w:r>
        <w:rPr>
          <w:rFonts w:ascii="Times New Roman" w:cs="Times New Roman" w:eastAsia="Times New Roman" w:hAnsi="Times New Roman"/>
          <w:sz w:val="18"/>
          <w:szCs w:val="18"/>
          <w:color w:val="auto"/>
        </w:rPr>
        <w:t xml:space="preserve">. During the period beginning thirty (30) days prior to the Initial Closing Date and ending on the later of (i) the date the Notes have been repaid in full or sold by Investor to a third party that is not an affiliate of Investor, or (ii) the date that the Pre-Delivery Shares have been returned to Company, neither Investor nor any of its subsidiaries, directors, officers, employees or other affiliates has or will directly or indirectly engage in any open market Short Sales (as defined below) of ADSs of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unless and until Company has affirmatively demonstrated by the use of specific evidence that Investor is engaging in open market Short Sales, Investor shall be assumed to be in compliance with the provisions of this Section 11 and Company shall remain fully obligated to fulfill all of its obligations under the Transaction Documents; and provided, further, that (A) Company shall under no circumstances be entitled to request or demand that Investor either (1) provide trading or other records of Investor or of any party or (2) affirmatively demonstrate that Investor or any other party has not engaged in any such Short Sales in breach of these provisions as a condition to Company’s fulfillment of its obligations under any of the Transaction Documents, (B) Company shall not assert Investor’s or any other party’s failure to demonstrate such absence of such Short Sales or provide any trading or other records of Investor or any other party as all or part of a defense to any breach of Company’s obligations under any of the Transaction Documents, and (C) Company shall have no setoff right with respect to any such Short Sales. As used herein, “Short Sale” has the meaning provided in Rule 200 promulgated under Regulation SHO under the 1934 Act, and all short positions effected through any direct or indirect stock pledges (other than pledges in the ordinary course of business as part of prime brokerage arrangements), forward sale contracts, options, puts, calls, swaps and similar arrangements (including on a total return basis), or sales or other short transactions through non-U.S. broker dealers or foreign regulated brokers.</w:t>
      </w:r>
    </w:p>
    <w:p>
      <w:pPr>
        <w:spacing w:after="0" w:line="195" w:lineRule="exact"/>
        <w:rPr>
          <w:rFonts w:ascii="Times New Roman" w:cs="Times New Roman" w:eastAsia="Times New Roman" w:hAnsi="Times New Roman"/>
          <w:sz w:val="18"/>
          <w:szCs w:val="18"/>
          <w:color w:val="auto"/>
        </w:rPr>
      </w:pPr>
    </w:p>
    <w:p>
      <w:pPr>
        <w:ind w:left="900" w:hanging="260"/>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 Patriot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OFAC Certification</w:t>
      </w:r>
      <w:r>
        <w:rPr>
          <w:rFonts w:ascii="Times New Roman" w:cs="Times New Roman" w:eastAsia="Times New Roman" w:hAnsi="Times New Roman"/>
          <w:sz w:val="18"/>
          <w:szCs w:val="18"/>
          <w:color w:val="auto"/>
        </w:rPr>
        <w:t>. Company certifies that (i) it is not acting on behalf of any person, group, entity, or nation named by any Executive Order or the United States Treasury Department, through its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otherwise, as a terrorist, “Specially Designated Nation,” “Blocked Person,” or other banned or blocked person, entity, nation, or transaction pursuant to any law, order, rule or regulation that is enforced or administered by OFAC or another department of the United States government, and (ii) Company is not engaged in this transaction on behalf of, or instigating or facilitating this transaction on behalf of, any such person, group, entity or nation.</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Company, nor any of its subsidiaries, nor any director, officer, agent, employee or other person acting on behalf of Company or any subsidiary has, in the course of his actions for, or on behalf of, Company, used any corporate funds for any unlawful contribution, gift, entertainment or other unlawful expenses relating to political activity; made any direct or indirect unlawful payment to any foreign or domestic government official or employee from corporate funds; violated or is in violation of any provision of the U.S. Foreign Corrupt Practices Act of 1977, as amended, or made any bribe, rebate, payoff, influence payment, kickback or other unlawful payment to any foreign or domestic government official or employee.</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Company shall not (i) be or become subject at any time to any law, regulation, or list of any government agency (including, without limitation, the OFAC) that prohibits or limits Investor from making any advance or extension of credit to Company or from otherwise conducting business with Company, or (ii) fail to provide documentary and other evidence of Company’s identity as may be requested by Investor at any time to enable Investor to verify Company’s identity or to comply with any applicable law or regulation, including, without limitation, Section 326 of the USA Patriot Act of 2001, 31 U.S.C. Section 5318. Company shall comply with all requirements of law relating to money laundering, anti-terrorism, trade embargos, and economic sanctions, now or hereafter in effect. Upon Investor’s request from time to time, Company shall certify in writing to Investor that Company’s representations, warranties, and obligations under this Section 12.3 remain true and correct and have not been breached. Company shall immediately notify Investor in writing if any of such representations, warranties, or covenants are no longer true or have been breached or if Company has a reasonable basis to believe that they may no longer be true or have been breached. In connection with such an event, Company shall comply with all requirements of law and directives of governmental authorities and, at Investor’s request, provide to Investor copies of all notices, reports, and other communications exchanged with, or received from, governmental authorities relating to such an event. Company shall also reimburse Investor any expense incurred by Investor in evaluating the effect of such an event on the loan secured hereby, in obtaining any necessary license from governmental authorities as may be necessary for Investor to enforce its rights under the Transaction Documents, and in complying with all requirements of law applicable to Investor as the result of the existence of such an event and for any penalties or fines imposed upon Investor as a result thereof.</w:t>
      </w:r>
    </w:p>
    <w:p>
      <w:pPr>
        <w:spacing w:after="0" w:line="200" w:lineRule="exact"/>
        <w:rPr>
          <w:sz w:val="20"/>
          <w:szCs w:val="20"/>
          <w:color w:val="auto"/>
        </w:rPr>
      </w:pPr>
    </w:p>
    <w:p>
      <w:pPr>
        <w:spacing w:after="0" w:line="21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337" w:right="339" w:bottom="1440" w:gutter="0" w:footer="0" w:header="0"/>
        </w:sectPr>
      </w:pPr>
    </w:p>
    <w:bookmarkStart w:id="88" w:name="page89"/>
    <w:bookmarkEnd w:id="88"/>
    <w:p>
      <w:pPr>
        <w:jc w:val="both"/>
        <w:ind w:firstLine="639"/>
        <w:spacing w:after="0" w:line="266" w:lineRule="auto"/>
        <w:tabs>
          <w:tab w:leader="none" w:pos="91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provisions set forth in this Section 13 shall apply to this Agreement, as well as all other Transaction Documents as if these terms were fully set forth therein; provided, however, that in the event there is a conflict between any provision set forth in this Section 13 and any provision in any other Transaction Document, the provision in such other Transaction Document shall govern.</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Arbitration of Claims</w:t>
      </w:r>
      <w:r>
        <w:rPr>
          <w:rFonts w:ascii="Times New Roman" w:cs="Times New Roman" w:eastAsia="Times New Roman" w:hAnsi="Times New Roman"/>
          <w:sz w:val="18"/>
          <w:szCs w:val="18"/>
          <w:color w:val="auto"/>
        </w:rPr>
        <w:t xml:space="preserve">. The parties shall submit all Claims (as defined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arising under this Agreement or any other Transaction Document or any other agreement between the parties and their affiliates or any Claim relating to the relationship of the parties to binding arbitration pursuant to the arbitration provisions set forth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b w:val="1"/>
          <w:bCs w:val="1"/>
          <w:color w:val="auto"/>
        </w:rPr>
        <w:t>Arbitration Provisions</w:t>
      </w:r>
      <w:r>
        <w:rPr>
          <w:rFonts w:ascii="Times New Roman" w:cs="Times New Roman" w:eastAsia="Times New Roman" w:hAnsi="Times New Roman"/>
          <w:sz w:val="18"/>
          <w:szCs w:val="18"/>
          <w:color w:val="auto"/>
        </w:rPr>
        <w:t>”). For the avoidance of doubt, the parties agree that the injunction described in Section 13.3 below may be pursued in an arbitration that is separate and apart from any other arbitration regarding all other Claims arising under the Transaction Documents. The parties hereby acknowledge and agree that the Arbitration Provisions are unconditionally binding on the parties hereto and are severable from all other provisions of this Agreement. By executing this Agreement,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Company acknowledges and agrees that Investor may rely upon the foregoing representations and covenants of Company regarding the Arbitration Provisions.</w:t>
      </w:r>
    </w:p>
    <w:p>
      <w:pPr>
        <w:spacing w:after="0" w:line="192" w:lineRule="exact"/>
        <w:rPr>
          <w:sz w:val="20"/>
          <w:szCs w:val="20"/>
          <w:color w:val="auto"/>
        </w:rPr>
      </w:pPr>
    </w:p>
    <w:p>
      <w:pPr>
        <w:jc w:val="both"/>
        <w:ind w:firstLine="1295"/>
        <w:spacing w:after="0" w:line="251"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Agreement shall be construed and enforced in accordance with, and all questions concerning the construction, validity, interpretation and performance of this Agreement shall be governed by, the internal laws of the State of Utah, without giving effect to any choice of law or conflict of law provision or rule (whether of the State of Utah or any other jurisdiction) that would cause the application of the laws of any jurisdiction other than the State of Utah. Each party consents to and expressly agrees that the exclusive venue for arbitration of any dispute arising out of or relating to any Transaction Document or the relationship of the parties or their affiliates shall be in Salt Lake County, Utah. Without modifying the parties’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Transfer Agent and Company, such litigation specifically includes, without limitation any action between or involving Company and the Transfer Agent or otherwise related to Investor in any way (specifically including, without limitation, any action where Company seeks to obtain an injunction, temporary restraining order, or otherwise prohibit the Transfer Agent from issuing ADSs to Investor for any reason)), each party hereto hereby (i) consents to and expressly submits to the exclusive personal jurisdiction of any state or federal court sitting in Salt Lake County, Utah, (ii) expressly submits to the exclusive venue of any such court for the purposes hereof, (iii) agrees to not bring any such action (specifically including, without limitation, any action where Company seeks to obtain an injunction, temporary restraining order, or otherwise prohibit the Transfer Agent from issuing ADSs to Investor for any reason) outside of any state or federal court sitting in Salt Lake County, Utah,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Finally, Company covenants and agrees to name Investor as a party in interest in, and provide written notice to Investor in accordance with Section 13.12 below prior to bringing or filing, any action (including without limitation any filing or action against any person or entity that is not a party to this Agreement, including without limitation the Transfer Agent) that is related in any way to the Transaction Documents or any transaction contemplated herein or therein, including without limitation any action brought by Company to enjoin or prevent the issuance of any ADSs to Investor by the Transfer Agent or depositary bank, and further agrees to timely name Investor as a party to any such action. Company acknowledges that the governing law and venue provisions set forth in this Section 13.2 are material terms to induce Investor to enter into the Transaction Documents and that but for Company’s agreements set forth in this Section 13.2 Investor would not have entered into the Transaction Documents.</w:t>
      </w:r>
    </w:p>
    <w:p>
      <w:pPr>
        <w:spacing w:after="0" w:line="200" w:lineRule="exact"/>
        <w:rPr>
          <w:sz w:val="20"/>
          <w:szCs w:val="20"/>
          <w:color w:val="auto"/>
        </w:rPr>
      </w:pPr>
    </w:p>
    <w:p>
      <w:pPr>
        <w:spacing w:after="0" w:line="22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337" w:right="339" w:bottom="1440" w:gutter="0" w:footer="0" w:header="0"/>
        </w:sectPr>
      </w:pPr>
    </w:p>
    <w:bookmarkStart w:id="89" w:name="page90"/>
    <w:bookmarkEnd w:id="89"/>
    <w:p>
      <w:pPr>
        <w:jc w:val="both"/>
        <w:ind w:left="9" w:firstLine="1296"/>
        <w:spacing w:after="0" w:line="267" w:lineRule="auto"/>
        <w:rPr>
          <w:sz w:val="20"/>
          <w:szCs w:val="20"/>
          <w:color w:val="auto"/>
        </w:rPr>
      </w:pPr>
      <w:r>
        <w:rPr>
          <w:rFonts w:ascii="Times New Roman" w:cs="Times New Roman" w:eastAsia="Times New Roman" w:hAnsi="Times New Roman"/>
          <w:sz w:val="17"/>
          <w:szCs w:val="17"/>
          <w:color w:val="auto"/>
        </w:rPr>
        <w:t xml:space="preserve">13.3. </w:t>
      </w:r>
      <w:r>
        <w:rPr>
          <w:rFonts w:ascii="Times New Roman" w:cs="Times New Roman" w:eastAsia="Times New Roman" w:hAnsi="Times New Roman"/>
          <w:sz w:val="17"/>
          <w:szCs w:val="17"/>
          <w:u w:val="single" w:color="auto"/>
          <w:color w:val="auto"/>
        </w:rPr>
        <w:t>Specific Performance</w:t>
      </w:r>
      <w:r>
        <w:rPr>
          <w:rFonts w:ascii="Times New Roman" w:cs="Times New Roman" w:eastAsia="Times New Roman" w:hAnsi="Times New Roman"/>
          <w:sz w:val="17"/>
          <w:szCs w:val="17"/>
          <w:color w:val="auto"/>
        </w:rPr>
        <w:t>. Company acknowledges and agrees that Investor may suffer irreparable harm in the event that Company fails to perform any material provision of this Agreement or any of the other Transaction Documents in accordance with its specific terms. It is accordingly agreed that Investor shall be entitled to one or more injunctions to prevent or cure breaches of the provisions of this Agreement or such other Transaction Document and to enforce specifically the terms and provisions hereof or thereof, this being in addition to any other remedy to which Investor may be entitled under the Transaction Documents, at law or in equity. Company specifically agrees that: (i) following an Event of Default (as defined in the Notes) under the either of the Notes, Investor shall have the right to seek and receive injunctive relief from a court or an arbitrator prohibiting Company from issuing any of its Ordinary Shares, ADSs or preferred stock to any party unless fifty percent (50%) of the gross proceeds received by Company in connection with such issuance are simultaneously used by Company to make a payment under the Notes; (ii) following a breach of Section 4(vi) above, Investor shall have the right to seek and receive injunctive relief from a court or arbitrator invalidating such lock-up; and</w:t>
      </w:r>
    </w:p>
    <w:p>
      <w:pPr>
        <w:spacing w:after="0" w:line="5" w:lineRule="exact"/>
        <w:rPr>
          <w:sz w:val="20"/>
          <w:szCs w:val="20"/>
          <w:color w:val="auto"/>
        </w:rPr>
      </w:pPr>
    </w:p>
    <w:p>
      <w:pPr>
        <w:jc w:val="both"/>
        <w:ind w:left="9" w:hanging="9"/>
        <w:spacing w:after="0" w:line="251" w:lineRule="auto"/>
        <w:tabs>
          <w:tab w:leader="none" w:pos="33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Company enters into a definitive agreement that contemplates a Fundamental Transaction (as defined in the First Note), unless such agreement contains a closing condition that the Notes are repaid in full upon consummation of the transaction or Investor has provided its written consent in writing to such Fundamental Transaction, Investor shall have the right to seek and receive injunctive relief from a court or arbitrator preventing the consummation of such transaction. Company specifically acknowledges that Investor’s right to obtain specific performance constitutes bargained for leverage and that the loss of such leverage would result in irreparable harm to Investor. For the avoidance of doubt, in the event Investor seeks to obtain an injunction from a court or an arbitrator against Company or specific performance of any provision of any Transaction Document, such action shall not be a waiver of any right of Investor under any Transaction Document, at law, or in equity, including without limitation its rights to arbitrate any Claim pursuant to the terms of the Transaction Documents, nor shall Investor’s pursuit of an injunction prevent Investor, under the doctrines of claim preclusion, issues preclusion, res judicata or other similar legal doctrines, from pursuing other Claims in the future in a separate arbitration.</w:t>
      </w:r>
    </w:p>
    <w:p>
      <w:pPr>
        <w:spacing w:after="0" w:line="193" w:lineRule="exact"/>
        <w:rPr>
          <w:sz w:val="20"/>
          <w:szCs w:val="20"/>
          <w:color w:val="auto"/>
        </w:rPr>
      </w:pPr>
    </w:p>
    <w:p>
      <w:pPr>
        <w:jc w:val="both"/>
        <w:ind w:left="9" w:firstLine="1295"/>
        <w:spacing w:after="0" w:line="255"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Cayman Proceeding</w:t>
      </w:r>
      <w:r>
        <w:rPr>
          <w:rFonts w:ascii="Times New Roman" w:cs="Times New Roman" w:eastAsia="Times New Roman" w:hAnsi="Times New Roman"/>
          <w:sz w:val="18"/>
          <w:szCs w:val="18"/>
          <w:color w:val="auto"/>
        </w:rPr>
        <w:t>. Notwithstanding anything herein or in any of the other Transaction Documents to the contrary and without limiting any other rights and remedies set forth in the Transaction Documents, each of Company and Investor agrees that: (i) Investor has the right to make an application to the Cayman Islands Court to wind up Company pursuant to Cayman Islands statutes, regulations and rules, specifically but not limited to the Cayman Islands Companies Act (as revised) (a “</w:t>
      </w:r>
      <w:r>
        <w:rPr>
          <w:rFonts w:ascii="Times New Roman" w:cs="Times New Roman" w:eastAsia="Times New Roman" w:hAnsi="Times New Roman"/>
          <w:sz w:val="18"/>
          <w:szCs w:val="18"/>
          <w:b w:val="1"/>
          <w:bCs w:val="1"/>
          <w:color w:val="auto"/>
        </w:rPr>
        <w:t>Cayman Proceeding</w:t>
      </w:r>
      <w:r>
        <w:rPr>
          <w:rFonts w:ascii="Times New Roman" w:cs="Times New Roman" w:eastAsia="Times New Roman" w:hAnsi="Times New Roman"/>
          <w:sz w:val="18"/>
          <w:szCs w:val="18"/>
          <w:color w:val="auto"/>
        </w:rPr>
        <w:t>”) following an Event of Default under either of the Notes;</w:t>
      </w:r>
    </w:p>
    <w:p>
      <w:pPr>
        <w:spacing w:after="0" w:line="3" w:lineRule="exact"/>
        <w:rPr>
          <w:sz w:val="20"/>
          <w:szCs w:val="20"/>
          <w:color w:val="auto"/>
        </w:rPr>
      </w:pPr>
    </w:p>
    <w:p>
      <w:pPr>
        <w:jc w:val="both"/>
        <w:ind w:left="9" w:hanging="8"/>
        <w:spacing w:after="0" w:line="253" w:lineRule="auto"/>
        <w:tabs>
          <w:tab w:leader="none" w:pos="27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Cayman Islands will be the exclusive venue for the Cayman Proceeding; (iii) the Cayman Proceeding will be governed by Cayman Islands law; and (iv) in the event Investor brings a Cayman Proceeding and the Cayman Islands Court rules that there is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dispute between the parties with respect to the debt that needs to be resolved, then such dispute between the parties will immediately be removed to Utah for arbitration pursuant to the Arbitration Provisions.</w:t>
      </w:r>
    </w:p>
    <w:p>
      <w:pPr>
        <w:spacing w:after="0" w:line="189" w:lineRule="exact"/>
        <w:rPr>
          <w:sz w:val="20"/>
          <w:szCs w:val="20"/>
          <w:color w:val="auto"/>
        </w:rPr>
      </w:pPr>
    </w:p>
    <w:p>
      <w:pPr>
        <w:jc w:val="both"/>
        <w:ind w:left="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Calculation Disputes</w:t>
      </w:r>
      <w:r>
        <w:rPr>
          <w:rFonts w:ascii="Times New Roman" w:cs="Times New Roman" w:eastAsia="Times New Roman" w:hAnsi="Times New Roman"/>
          <w:sz w:val="18"/>
          <w:szCs w:val="18"/>
          <w:color w:val="auto"/>
        </w:rPr>
        <w:t>. Notwithstanding the Arbitration Provisions, in the case of a dispute as to any determination or arithmetic calculation under the Transaction Documents, including without limitation, calculating the Outstanding Balance, Conversion Price, Conversion Shares, or VWAP (as defined in the First Note) (each, a “</w:t>
      </w:r>
      <w:r>
        <w:rPr>
          <w:rFonts w:ascii="Times New Roman" w:cs="Times New Roman" w:eastAsia="Times New Roman" w:hAnsi="Times New Roman"/>
          <w:sz w:val="18"/>
          <w:szCs w:val="18"/>
          <w:b w:val="1"/>
          <w:bCs w:val="1"/>
          <w:color w:val="auto"/>
        </w:rPr>
        <w:t>Calculation</w:t>
      </w:r>
      <w:r>
        <w:rPr>
          <w:rFonts w:ascii="Times New Roman" w:cs="Times New Roman" w:eastAsia="Times New Roman" w:hAnsi="Times New Roman"/>
          <w:sz w:val="18"/>
          <w:szCs w:val="18"/>
          <w:color w:val="auto"/>
        </w:rPr>
        <w:t>”), Company or Investor (as the case may be) shall submit any disputed Calculation via email or facsimile with confirmation of receipt (i) within two (2) Trading Days after receipt of the applicable notice giving rise to such dispute to Company or Investor (as the case may be) or (ii) if no notice gave rise to such dispute, at any time after Investor learned of the circumstances giving rise to such dispute. If Investor and Company are unable to agree upon such Calculation within two (2) Trading Days of such disputed Calculation being submitted to Company or Investor (as the case may be), then Investor will promptly submit via email or facsimile the disputed Calculation to Unkar Systems Inc. (“</w:t>
      </w:r>
      <w:r>
        <w:rPr>
          <w:rFonts w:ascii="Times New Roman" w:cs="Times New Roman" w:eastAsia="Times New Roman" w:hAnsi="Times New Roman"/>
          <w:sz w:val="18"/>
          <w:szCs w:val="18"/>
          <w:b w:val="1"/>
          <w:bCs w:val="1"/>
          <w:color w:val="auto"/>
        </w:rPr>
        <w:t>Unkar Systems</w:t>
      </w:r>
      <w:r>
        <w:rPr>
          <w:rFonts w:ascii="Times New Roman" w:cs="Times New Roman" w:eastAsia="Times New Roman" w:hAnsi="Times New Roman"/>
          <w:sz w:val="18"/>
          <w:szCs w:val="18"/>
          <w:color w:val="auto"/>
        </w:rPr>
        <w:t>”). Investor shall cause Unkar Systems to perform the Calculation and notify Company and Investor of the results no later than ten (10) Trading Days from the time it receives such disputed Calculation. Unkar Systems’ determination of the disputed Calculation shall be binding upon all parties absent demonstrable error. Unkar Systems’ fee for performing such Calculation shall be paid by the incorrect party, or if both parties are incorrect, by the party whose Calculation is furthest from the correct Calculation as determined by Unkar Systems. In the event Company is the losing party, no extension of the Delivery Date (as defined in the First Note) shall be granted, and Company shall incur all effects for failing to deliver the applicable shares in a timely manner as set forth in the Transaction Documents. Notwithstanding the foregoing, Investor may, in its sole discretion, designate an independent, reputable investment bank or accounting firm other than Unkar Systems to resolve any such dispute, and in such event, all references to “Unkar Systems” herein will be replaced with references to such independent, reputable investment bank or accounting firm so designated by Investor.</w:t>
      </w:r>
    </w:p>
    <w:p>
      <w:pPr>
        <w:spacing w:after="0" w:line="200" w:lineRule="exact"/>
        <w:rPr>
          <w:sz w:val="20"/>
          <w:szCs w:val="20"/>
          <w:color w:val="auto"/>
        </w:rPr>
      </w:pPr>
    </w:p>
    <w:p>
      <w:pPr>
        <w:spacing w:after="0" w:line="211" w:lineRule="exact"/>
        <w:rPr>
          <w:sz w:val="20"/>
          <w:szCs w:val="20"/>
          <w:color w:val="auto"/>
        </w:rPr>
      </w:pPr>
    </w:p>
    <w:p>
      <w:pPr>
        <w:jc w:val="center"/>
        <w:ind w:right="3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17145</wp:posOffset>
            </wp:positionV>
            <wp:extent cx="7132320" cy="171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9"/>
          </w:cols>
          <w:pgMar w:left="651" w:top="337" w:right="339" w:bottom="1440" w:gutter="0" w:footer="0" w:header="0"/>
        </w:sectPr>
      </w:pPr>
    </w:p>
    <w:bookmarkStart w:id="90" w:name="page91"/>
    <w:bookmarkEnd w:id="90"/>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u w:val="single" w:color="auto"/>
          <w:color w:val="auto"/>
        </w:rPr>
        <w:t>No Effect of Failed Second Closing</w:t>
      </w:r>
      <w:r>
        <w:rPr>
          <w:rFonts w:ascii="Times New Roman" w:cs="Times New Roman" w:eastAsia="Times New Roman" w:hAnsi="Times New Roman"/>
          <w:sz w:val="18"/>
          <w:szCs w:val="18"/>
          <w:color w:val="auto"/>
        </w:rPr>
        <w:t>. Notwithstanding anything to the contrary in this Agreement or any other Transaction Document, in the event the Second Closing does not occur for any reason, such failure shall not affect, impair, limit, or otherwise modify any of the rights or remedies of the Investor under this Agreement, the First Note, or any other Transaction Document, each of which shall remain in full force and effect in accordance with its terms.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this Agreement are for convenience of reference only and shall not form part of, or affect the interpretation of, this Agreement.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13.9.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is invalid or unenforceable under any applicable statute or rule of law, then such provision shall be deemed inoperative to the extent that it may conflict therewith and shall be deemed modified to conform to such statute or rule of law. Any provision hereof that may prove invalid or unenforceable under any law shall not affect the validity or enforceability of any other provision hereof.</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13.10.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other Transaction Documents, contains the entire understanding of the parties with respect to the matters covered herein and therein, and except as specifically set forth herein or therein, neither Company nor Investor makes any representation, warranty, covenant, or undertaking with respect to such matters. For the avoidance of doubt, all prior term sheets or other documents between Company and Investor, or any affiliate thereof, related to the transactions contemplated by the Transaction Documents (collectively, “</w:t>
      </w:r>
      <w:r>
        <w:rPr>
          <w:rFonts w:ascii="Times New Roman" w:cs="Times New Roman" w:eastAsia="Times New Roman" w:hAnsi="Times New Roman"/>
          <w:sz w:val="18"/>
          <w:szCs w:val="18"/>
          <w:b w:val="1"/>
          <w:bCs w:val="1"/>
          <w:color w:val="auto"/>
        </w:rPr>
        <w:t>Prior Agreements</w:t>
      </w:r>
      <w:r>
        <w:rPr>
          <w:rFonts w:ascii="Times New Roman" w:cs="Times New Roman" w:eastAsia="Times New Roman" w:hAnsi="Times New Roman"/>
          <w:sz w:val="18"/>
          <w:szCs w:val="18"/>
          <w:color w:val="auto"/>
        </w:rPr>
        <w:t>”), that may have been entered into between Company and Investor, or any affiliate thereof, are hereby null and void and deemed to be replaced in their entirety by the Transaction Documents. To the extent there is a conflict between any term set forth in any Prior Agreement and the term(s) of the Transaction Documents, the Transaction Documents shall govern.</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13.11.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 provision of this Agreement may be waived or amended other than by an instrument in writing signed by both parties hereto.</w:t>
      </w:r>
    </w:p>
    <w:p>
      <w:pPr>
        <w:spacing w:after="0" w:line="3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337" w:right="339" w:bottom="1440" w:gutter="0" w:footer="0" w:header="0"/>
        </w:sectPr>
      </w:pPr>
    </w:p>
    <w:bookmarkStart w:id="91" w:name="page92"/>
    <w:bookmarkEnd w:id="91"/>
    <w:p>
      <w:pPr>
        <w:jc w:val="both"/>
        <w:ind w:left="340" w:firstLine="1296"/>
        <w:spacing w:after="0" w:line="257" w:lineRule="auto"/>
        <w:rPr>
          <w:sz w:val="20"/>
          <w:szCs w:val="20"/>
          <w:color w:val="auto"/>
        </w:rPr>
      </w:pPr>
      <w:r>
        <w:rPr>
          <w:rFonts w:ascii="Times New Roman" w:cs="Times New Roman" w:eastAsia="Times New Roman" w:hAnsi="Times New Roman"/>
          <w:sz w:val="18"/>
          <w:szCs w:val="18"/>
          <w:color w:val="auto"/>
        </w:rPr>
        <w:t xml:space="preserve">13.12.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hereunder shall be given in writing (unless otherwise specified herein) and shall be deemed effectively given on the earliest of: (i) the date delivered, if delivered by personal delivery as against written receipt therefor or by email to an executive officer named below or such officer’s successor, or by facsimile (with successful transmission confirmation which is kept by sending party),</w:t>
      </w:r>
    </w:p>
    <w:p>
      <w:pPr>
        <w:spacing w:after="0" w:line="1" w:lineRule="exact"/>
        <w:rPr>
          <w:sz w:val="20"/>
          <w:szCs w:val="20"/>
          <w:color w:val="auto"/>
        </w:rPr>
      </w:pPr>
    </w:p>
    <w:p>
      <w:pPr>
        <w:jc w:val="both"/>
        <w:ind w:left="340" w:hanging="8"/>
        <w:spacing w:after="0" w:line="253" w:lineRule="auto"/>
        <w:tabs>
          <w:tab w:leader="none" w:pos="60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earlier of the date delivered or the third Trading Day after deposit, postage prepaid, in the United States Postal Service by certified mail or with an international courier, or (iii) the earlier of the date delivered or the third Trading Day after mailing by express courier, with delivery costs and fees prepaid, in each case, addressed to each of the other parties thereunto entitled at the following addresses (or at such other addresses as such party may designate by five (5) calendar days’ advance written notice similarly given to each of the other parties hereto):</w:t>
      </w:r>
    </w:p>
    <w:p>
      <w:pPr>
        <w:spacing w:after="0" w:line="1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to Company:</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Trident Digital Tech Holdings Ltd</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Attn: Soon Huat Lim, Chief Executive Officer</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 24-03, Suntec Tower Three</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8 Temasek Boulevard Road</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Singapore, 038988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Investor:</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Streeterville Capital, LLC</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Attn: John M. Fife, President</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297 Auto Mall Dr. #4</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St. George, Utah 84770</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With a copy to (which copy shall not constitute notice):</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Hansen Black Anderson Ashcraft PLLC</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Attn: Jonathan Hansen, Esq.</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3051 West Maple Loop Drive, Suite 325</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Lehi, Utah 84043</w:t>
      </w:r>
    </w:p>
    <w:p>
      <w:pPr>
        <w:spacing w:after="0" w:line="207" w:lineRule="exact"/>
        <w:rPr>
          <w:sz w:val="20"/>
          <w:szCs w:val="20"/>
          <w:color w:val="auto"/>
        </w:rPr>
      </w:pPr>
    </w:p>
    <w:p>
      <w:pPr>
        <w:jc w:val="both"/>
        <w:ind w:left="34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13.13.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or any of the severable rights and obligations inuring to the benefit of or to be performed by Investor hereunder may be assigned by Investor to a third party, including its affiliates, in whole or in part, without the need to obtain Company’s consent thereto. Company may not assign its rights or obligations under this Agreement or delegate its duties hereunder, whether directly or indirectly, without the prior written consent of Investor, and any such attempted assignment or delegation shall be null and void.</w:t>
      </w:r>
    </w:p>
    <w:p>
      <w:pPr>
        <w:spacing w:after="0" w:line="180" w:lineRule="exact"/>
        <w:rPr>
          <w:sz w:val="20"/>
          <w:szCs w:val="20"/>
          <w:color w:val="auto"/>
        </w:rPr>
      </w:pPr>
    </w:p>
    <w:p>
      <w:pPr>
        <w:jc w:val="both"/>
        <w:ind w:left="340" w:firstLine="1295"/>
        <w:spacing w:after="0" w:line="258" w:lineRule="auto"/>
        <w:rPr>
          <w:sz w:val="20"/>
          <w:szCs w:val="20"/>
          <w:color w:val="auto"/>
        </w:rPr>
      </w:pPr>
      <w:r>
        <w:rPr>
          <w:rFonts w:ascii="Times New Roman" w:cs="Times New Roman" w:eastAsia="Times New Roman" w:hAnsi="Times New Roman"/>
          <w:sz w:val="18"/>
          <w:szCs w:val="18"/>
          <w:color w:val="auto"/>
        </w:rPr>
        <w:t xml:space="preserve">13.14.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of Company and the agreements and covenants set forth in this Agreement shall survive the Closing hereunder, notwithstanding any due diligence investigation conducted by or on behalf of Investor. Company agrees to indemnify and hold harmless Investor and all its officers, directors, employees, attorneys, and agents for loss or damage arising as a result of or related to any breach or alleged breach by Company of any of its representations, warranties and covenants set forth in this Agreement or any of its covenants and obligations under this Agreement, including advancement of expenses as they are incurred.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13.15.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13.16. </w:t>
      </w:r>
      <w:r>
        <w:rPr>
          <w:rFonts w:ascii="Times New Roman" w:cs="Times New Roman" w:eastAsia="Times New Roman" w:hAnsi="Times New Roman"/>
          <w:sz w:val="18"/>
          <w:szCs w:val="18"/>
          <w:u w:val="single" w:color="auto"/>
          <w:color w:val="auto"/>
        </w:rPr>
        <w:t>Investor’s Rights and Remedies Cumulative</w:t>
      </w:r>
      <w:r>
        <w:rPr>
          <w:rFonts w:ascii="Times New Roman" w:cs="Times New Roman" w:eastAsia="Times New Roman" w:hAnsi="Times New Roman"/>
          <w:sz w:val="18"/>
          <w:szCs w:val="18"/>
          <w:color w:val="auto"/>
        </w:rPr>
        <w:t>. All rights, remedies, and powers conferred in this Agreement and the Transaction Documents are cumulative and not exclusive of any other rights or remedies, and shall be in addition to every other right, power, and remedy that Investor may have, whether specifically granted in this Agreement or any other Transaction Document, or existing at law, in equity, or by statute, and any and all such rights and remedies may be exercised from time to time and as often and in such order as Investor may deem expedient.</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13.17. </w:t>
      </w:r>
      <w:r>
        <w:rPr>
          <w:rFonts w:ascii="Times New Roman" w:cs="Times New Roman" w:eastAsia="Times New Roman" w:hAnsi="Times New Roman"/>
          <w:sz w:val="18"/>
          <w:szCs w:val="18"/>
          <w:u w:val="single" w:color="auto"/>
          <w:color w:val="auto"/>
        </w:rPr>
        <w:t>Attorneys’ Fees and Cost of Collection</w:t>
      </w:r>
      <w:r>
        <w:rPr>
          <w:rFonts w:ascii="Times New Roman" w:cs="Times New Roman" w:eastAsia="Times New Roman" w:hAnsi="Times New Roman"/>
          <w:sz w:val="18"/>
          <w:szCs w:val="18"/>
          <w:color w:val="auto"/>
        </w:rPr>
        <w:t>. In the event any suit, action, or arbitration is filed by either party against the other to interpret or enforce any of the Transaction Documents, the unsuccessful party to such action agrees to pay to the prevailing party all costs and expenses, including reasonable attorneys’ fees incurred therein, including the same with respect to an appeal. The “prevailing party” shall be the party in whose favor a judgment is entered, regardless of whether judgment is entered on all claims asserted by such party and regardless of the amount of the judgment; or where, due to the assertion of counterclaims, judgments are entered in favor of and against both parties, then the arbitrator shall determine the “prevailing party” by taking into account the relative dollar amounts of the judgments or, if the judgments involve nonmonetary relief, the relative importance and value of such relief. Nothing herein shall restrict or impair an arbitrator’s or a court’s power to award fees and expenses for frivolous or bad faith pleading. If (i) either of the Notes are placed in the hands of an attorney for collection or enforcement prior to commencing arbitration or legal proceedings, or are collected or enforced through any arbitration or legal proceeding, or Investor otherwise takes action to collect amounts due under either of the Notes or to enforce the provisions of either of the Notes, or (ii) there occurs any bankruptcy, reorganization, receivership of Company or other proceedings affecting Company’s creditors’ rights and involving a claim under either of the Notes; then Company shall pay the costs incurred by Investor for such collection, enforcement or action or in connection with such bankruptcy, reorganization, receivership, or other proceeding, including, without limitation, reasonable attorneys’ fees, expenses, deposition costs, and disbursements.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13.18.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provision of this Agreement shall be effective unless it is in the form of a writing signed by the party granting the waiver. No waiver of any provision or consent to any prohibited action shall constitute a waiver of any other provision or consent to any other prohibited action, whether or not similar. No waiver or consent shall constitute a continuing waiver or consent or commit a party to provide a waiver or consent in the future, except to the extent specifically set forth in writing.</w:t>
      </w:r>
    </w:p>
    <w:p>
      <w:pPr>
        <w:spacing w:after="0" w:line="3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337" w:right="339" w:bottom="1440" w:gutter="0" w:footer="0" w:header="0"/>
        </w:sectPr>
      </w:pPr>
    </w:p>
    <w:bookmarkStart w:id="93" w:name="page94"/>
    <w:bookmarkEnd w:id="93"/>
    <w:p>
      <w:pPr>
        <w:jc w:val="both"/>
        <w:ind w:firstLine="1295"/>
        <w:spacing w:after="0" w:line="256" w:lineRule="auto"/>
        <w:rPr>
          <w:sz w:val="20"/>
          <w:szCs w:val="20"/>
          <w:color w:val="auto"/>
        </w:rPr>
      </w:pPr>
      <w:r>
        <w:rPr>
          <w:rFonts w:ascii="Times New Roman" w:cs="Times New Roman" w:eastAsia="Times New Roman" w:hAnsi="Times New Roman"/>
          <w:sz w:val="18"/>
          <w:szCs w:val="18"/>
          <w:color w:val="auto"/>
        </w:rPr>
        <w:t xml:space="preserve">13.19.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TO THIS AGREEMENT IRREVOCABLY WAIVES ANY AND ALL RIGHTS SUCH PARTY MAY HAVE TO DEMAND THAT ANY ACTION, PROCEEDING, OR COUNTERCLAIM ARISING OUT OF OR IN ANY WAY RELATED TO THIS AGREEMENT, ANY OTHER TRANSACTION DOCUMENT, OR THE RELATIONSHIPS OF THE PARTIES HERETO BE TRIED BY JURY. THIS WAIVER EXTENDS TO ANY AND ALL RIGHTS TO DEMAND A TRIAL BY JURY ARISING UNDER COMMON LAW OR ANY APPLICABLE STATUTE, LAW, RULE, OR REGULATION. FURTHER, EACH PARTY HERETO ACKNOWLEDGES THAT SUCH PARTY IS KNOWINGLY AND VOLUNTARILY WAIVING SUCH PARTY’S RIGHT TO DEMAND TRIAL BY JURY.</w:t>
      </w:r>
    </w:p>
    <w:p>
      <w:pPr>
        <w:spacing w:after="0" w:line="18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13.20. </w:t>
      </w:r>
      <w:r>
        <w:rPr>
          <w:rFonts w:ascii="Times New Roman" w:cs="Times New Roman" w:eastAsia="Times New Roman" w:hAnsi="Times New Roman"/>
          <w:sz w:val="18"/>
          <w:szCs w:val="18"/>
          <w:u w:val="single" w:color="auto"/>
          <w:color w:val="auto"/>
        </w:rPr>
        <w:t>Time is of the Essence</w:t>
      </w:r>
      <w:r>
        <w:rPr>
          <w:rFonts w:ascii="Times New Roman" w:cs="Times New Roman" w:eastAsia="Times New Roman" w:hAnsi="Times New Roman"/>
          <w:sz w:val="18"/>
          <w:szCs w:val="18"/>
          <w:color w:val="auto"/>
        </w:rPr>
        <w:t>. Time is expressly made of the essence with respect to each and every provision of this Agreement and the other Transaction Documents.</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13.21. </w:t>
      </w:r>
      <w:r>
        <w:rPr>
          <w:rFonts w:ascii="Times New Roman" w:cs="Times New Roman" w:eastAsia="Times New Roman" w:hAnsi="Times New Roman"/>
          <w:sz w:val="18"/>
          <w:szCs w:val="18"/>
          <w:u w:val="single" w:color="auto"/>
          <w:color w:val="auto"/>
        </w:rPr>
        <w:t>Voluntary Agreement</w:t>
      </w:r>
      <w:r>
        <w:rPr>
          <w:rFonts w:ascii="Times New Roman" w:cs="Times New Roman" w:eastAsia="Times New Roman" w:hAnsi="Times New Roman"/>
          <w:sz w:val="18"/>
          <w:szCs w:val="18"/>
          <w:color w:val="auto"/>
        </w:rPr>
        <w:t>. Company has carefully read this Agreement and each of the other Transaction Documents and has asked any questions needed for Company to understand the terms, consequences, and binding effect of this Agreement and each of the other Transaction Documents and fully understand them. Company has had the opportunity to seek the advice of an attorney of Company’s choosing, or has waived the right to do so, and is executing this Agreement and each of the other Transaction Documents voluntarily and without any duress or undue influence by Investor or anyone else.</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13.22. </w:t>
      </w:r>
      <w:r>
        <w:rPr>
          <w:rFonts w:ascii="Times New Roman" w:cs="Times New Roman" w:eastAsia="Times New Roman" w:hAnsi="Times New Roman"/>
          <w:sz w:val="18"/>
          <w:szCs w:val="18"/>
          <w:u w:val="single" w:color="auto"/>
          <w:color w:val="auto"/>
        </w:rPr>
        <w:t>Document Imaging</w:t>
      </w:r>
      <w:r>
        <w:rPr>
          <w:rFonts w:ascii="Times New Roman" w:cs="Times New Roman" w:eastAsia="Times New Roman" w:hAnsi="Times New Roman"/>
          <w:sz w:val="18"/>
          <w:szCs w:val="18"/>
          <w:color w:val="auto"/>
        </w:rPr>
        <w:t>. Investor shall be entitled, in its sole discretion, to image or make copies of all or any selection of the agreements, instruments, documents, and items and records governing, arising from or relating to any of Company’s loans, including, without limitation, this Agreement and the other Transaction Documents, and Investor may destroy or archive the paper originals. The parties hereto (i) waive any right to insist or require that Investor produce paper originals, (ii) agree that such images shall be accorded the same force and effect as the paper originals, (iii) agree that Investor is entitled to use such images in lieu of destroyed or archived originals for any purpose, including as admissible evidence in any demand, presentment or other proceedings, and (iv) further agree that any executed facsimile (faxed), scanned, emailed, or other imaged copy of this Agreement or any other Transaction Document shall be deemed to be of the same force and effect as the original manually executed document.</w:t>
      </w:r>
    </w:p>
    <w:p>
      <w:pPr>
        <w:spacing w:after="0" w:line="19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337" w:right="339" w:bottom="1440" w:gutter="0" w:footer="0" w:header="0"/>
        </w:sectPr>
      </w:pPr>
    </w:p>
    <w:bookmarkStart w:id="94" w:name="page95"/>
    <w:bookmarkEnd w:id="94"/>
    <w:p>
      <w:pPr>
        <w:ind w:left="980"/>
        <w:spacing w:after="0"/>
        <w:rPr>
          <w:sz w:val="20"/>
          <w:szCs w:val="20"/>
          <w:color w:val="auto"/>
        </w:rPr>
      </w:pPr>
      <w:r>
        <w:rPr>
          <w:rFonts w:ascii="Times New Roman" w:cs="Times New Roman" w:eastAsia="Times New Roman" w:hAnsi="Times New Roman"/>
          <w:sz w:val="18"/>
          <w:szCs w:val="18"/>
          <w:color w:val="auto"/>
        </w:rPr>
        <w:t>IN WITNESS WHEREOF, the undersigned Investor and Company have caused this Agreement to be duly executed as of the date first above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written.</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INVESTOR:</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treeterville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apital</w:t>
      </w:r>
      <w:r>
        <w:rPr>
          <w:rFonts w:ascii="Times New Roman" w:cs="Times New Roman" w:eastAsia="Times New Roman" w:hAnsi="Times New Roman"/>
          <w:sz w:val="18"/>
          <w:szCs w:val="18"/>
          <w:b w:val="1"/>
          <w:bCs w:val="1"/>
          <w:color w:val="auto"/>
        </w:rPr>
        <w:t>, LLC</w:t>
      </w:r>
    </w:p>
    <w:p>
      <w:pPr>
        <w:spacing w:after="0" w:line="22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By: /s/ John M.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7">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John M. Fife, President</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COMPANY:</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rident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igital</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oldings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Soon Huat Lim,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EXHIBITS:</w:t>
      </w:r>
    </w:p>
    <w:p>
      <w:pPr>
        <w:sectPr>
          <w:pgSz w:w="11900" w:h="16838" w:orient="portrait"/>
          <w:cols w:equalWidth="0" w:num="1">
            <w:col w:w="11240"/>
          </w:cols>
          <w:pgMar w:left="320" w:top="337" w:right="339" w:bottom="1440" w:gutter="0" w:footer="0" w:header="0"/>
        </w:sectPr>
      </w:pP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Exhibit A Exhibit B Exhibit C Exhibit 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Arbitration Provisions</w:t>
      </w:r>
    </w:p>
    <w:p>
      <w:pPr>
        <w:spacing w:after="0" w:line="238" w:lineRule="exact"/>
        <w:rPr>
          <w:sz w:val="20"/>
          <w:szCs w:val="20"/>
          <w:color w:val="auto"/>
        </w:rPr>
      </w:pPr>
    </w:p>
    <w:p>
      <w:pPr>
        <w:sectPr>
          <w:pgSz w:w="11900" w:h="16838" w:orient="portrait"/>
          <w:cols w:equalWidth="0" w:num="2">
            <w:col w:w="720" w:space="420"/>
            <w:col w:w="10100"/>
          </w:cols>
          <w:pgMar w:left="320" w:top="337" w:right="339" w:bottom="1440" w:gutter="0" w:footer="0" w:header="0"/>
          <w:type w:val="continuous"/>
        </w:sectPr>
      </w:pP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Note</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See attached.</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FIRST CONVERTIBLE PROMISSORY NOTE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Effective Date: August 7, 2025</w:t>
            </w:r>
          </w:p>
        </w:tc>
        <w:tc>
          <w:tcPr>
            <w:tcW w:w="5200" w:type="dxa"/>
            <w:vAlign w:val="bottom"/>
          </w:tcPr>
          <w:p>
            <w:pPr>
              <w:ind w:left="3800"/>
              <w:spacing w:after="0"/>
              <w:rPr>
                <w:sz w:val="20"/>
                <w:szCs w:val="20"/>
                <w:color w:val="auto"/>
              </w:rPr>
            </w:pPr>
            <w:r>
              <w:rPr>
                <w:rFonts w:ascii="Times New Roman" w:cs="Times New Roman" w:eastAsia="Times New Roman" w:hAnsi="Times New Roman"/>
                <w:sz w:val="18"/>
                <w:szCs w:val="18"/>
                <w:color w:val="auto"/>
                <w:w w:val="98"/>
              </w:rPr>
              <w:t>U.S. $1,100,000.00</w:t>
            </w:r>
          </w:p>
        </w:tc>
      </w:tr>
    </w:tbl>
    <w:p>
      <w:pPr>
        <w:spacing w:after="0" w:line="194" w:lineRule="exact"/>
        <w:rPr>
          <w:sz w:val="20"/>
          <w:szCs w:val="20"/>
          <w:color w:val="auto"/>
        </w:rPr>
      </w:pPr>
    </w:p>
    <w:p>
      <w:pPr>
        <w:jc w:val="both"/>
        <w:ind w:left="340" w:firstLine="648"/>
        <w:spacing w:after="0" w:line="254" w:lineRule="auto"/>
        <w:rPr>
          <w:sz w:val="20"/>
          <w:szCs w:val="20"/>
          <w:color w:val="auto"/>
        </w:rPr>
      </w:pPr>
      <w:r>
        <w:rPr>
          <w:rFonts w:ascii="Times New Roman" w:cs="Times New Roman" w:eastAsia="Times New Roman" w:hAnsi="Times New Roman"/>
          <w:sz w:val="18"/>
          <w:szCs w:val="18"/>
          <w:color w:val="auto"/>
        </w:rPr>
        <w:t>FOR VALUE RECEIVED, T</w:t>
      </w:r>
      <w:r>
        <w:rPr>
          <w:rFonts w:ascii="Times New Roman" w:cs="Times New Roman" w:eastAsia="Times New Roman" w:hAnsi="Times New Roman"/>
          <w:sz w:val="12"/>
          <w:szCs w:val="12"/>
          <w:color w:val="auto"/>
        </w:rPr>
        <w:t>rident digital tech holdings ltd</w:t>
      </w:r>
      <w:r>
        <w:rPr>
          <w:rFonts w:ascii="Times New Roman" w:cs="Times New Roman" w:eastAsia="Times New Roman" w:hAnsi="Times New Roman"/>
          <w:sz w:val="18"/>
          <w:szCs w:val="18"/>
          <w:color w:val="auto"/>
        </w:rPr>
        <w:t>, a Cayman Islands exempted company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promises to pay to S</w:t>
      </w:r>
      <w:r>
        <w:rPr>
          <w:rFonts w:ascii="Times New Roman" w:cs="Times New Roman" w:eastAsia="Times New Roman" w:hAnsi="Times New Roman"/>
          <w:sz w:val="12"/>
          <w:szCs w:val="12"/>
          <w:color w:val="auto"/>
        </w:rPr>
        <w:t>treeterville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llc</w:t>
      </w:r>
      <w:r>
        <w:rPr>
          <w:rFonts w:ascii="Times New Roman" w:cs="Times New Roman" w:eastAsia="Times New Roman" w:hAnsi="Times New Roman"/>
          <w:sz w:val="18"/>
          <w:szCs w:val="18"/>
          <w:color w:val="auto"/>
        </w:rPr>
        <w:t>, a Utah limited liability company, or its successors or assigns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$1,100,000.00 and any interest, fees, charges, and late fees accrued hereunder on the date that is twelve (12) months after the Purchase Price Date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in accordance with the terms set forth herein and to pay interest on the Outstanding Balance at the rate of eight percent (8%) per annum simple interest from the Purchase Price Date until the same is paid in full. All interest calculations hereunder shall be computed on the basis of a 360-day year comprised of twelve (12) thirty (30)-day months and shall be payable in accordance with the terms of this Note. This First Convertible Promissory Note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 issued and made effective as of August 7, 2025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This Note is issued pursuant to that certain Securities Purchase Agreement dated August 7, 2025, as the same may be amended from time to time, by and between Borrower and Lender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xml:space="preserve">”). Certain capitalized terms used herein are defined in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color w:val="auto"/>
        </w:rPr>
        <w:t xml:space="preserve"> attached hereto and incorporated herein by this reference.</w:t>
      </w:r>
    </w:p>
    <w:p>
      <w:pPr>
        <w:spacing w:after="0" w:line="192" w:lineRule="exact"/>
        <w:rPr>
          <w:sz w:val="20"/>
          <w:szCs w:val="20"/>
          <w:color w:val="auto"/>
        </w:rPr>
      </w:pPr>
    </w:p>
    <w:p>
      <w:pPr>
        <w:jc w:val="both"/>
        <w:ind w:left="340" w:firstLine="648"/>
        <w:spacing w:after="0" w:line="256" w:lineRule="auto"/>
        <w:rPr>
          <w:sz w:val="20"/>
          <w:szCs w:val="20"/>
          <w:color w:val="auto"/>
        </w:rPr>
      </w:pPr>
      <w:r>
        <w:rPr>
          <w:rFonts w:ascii="Times New Roman" w:cs="Times New Roman" w:eastAsia="Times New Roman" w:hAnsi="Times New Roman"/>
          <w:sz w:val="18"/>
          <w:szCs w:val="18"/>
          <w:color w:val="auto"/>
        </w:rPr>
        <w:t>This Note carries an OID of $80,000.00. In addition, Borrower agrees to pay $20,000.00 to Lender to cover Lender’s legal fees, accounting costs, due diligence, monitoring, and other transaction costs incurred in connection with the purchase and sale of this Note (the “</w:t>
      </w:r>
      <w:r>
        <w:rPr>
          <w:rFonts w:ascii="Times New Roman" w:cs="Times New Roman" w:eastAsia="Times New Roman" w:hAnsi="Times New Roman"/>
          <w:sz w:val="18"/>
          <w:szCs w:val="18"/>
          <w:b w:val="1"/>
          <w:bCs w:val="1"/>
          <w:color w:val="auto"/>
        </w:rPr>
        <w:t>Transaction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The OID and Transaction Expense Amount are included in the initial principal balance of this Note and are deemed to be fully earned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non-refundable as of the Purchase Price Date. The purchase price for this Note shall be $1,000,000.00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computed as follows: $1,100,000.00 original principal balance, less the OID, less the Transaction Expense Amount. The Purchase Price shall be payable by Lender by wire transfer of immediately available funds.</w:t>
      </w:r>
    </w:p>
    <w:p>
      <w:pPr>
        <w:spacing w:after="0" w:line="187" w:lineRule="exact"/>
        <w:rPr>
          <w:sz w:val="20"/>
          <w:szCs w:val="20"/>
          <w:color w:val="auto"/>
        </w:rPr>
      </w:pPr>
    </w:p>
    <w:p>
      <w:pPr>
        <w:ind w:left="1620" w:hanging="640"/>
        <w:spacing w:after="0"/>
        <w:tabs>
          <w:tab w:leader="none" w:pos="1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Prepayment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4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All payments owing hereunder shall be in lawful money of the United States of America or Conversion Shares (as defined below), as provided for herein, and delivered to Lender at the address or bank account furnished to Borrower for that purpose. All payments shall be applied first to (a) costs of collection, if any, then to (b) fees and charges, if any, then to (c) accrued and unpaid interest, and thereafter, to (d) principal.</w:t>
      </w:r>
    </w:p>
    <w:p>
      <w:pPr>
        <w:spacing w:after="0" w:line="180" w:lineRule="exact"/>
        <w:rPr>
          <w:sz w:val="20"/>
          <w:szCs w:val="20"/>
          <w:color w:val="auto"/>
        </w:rPr>
      </w:pPr>
    </w:p>
    <w:p>
      <w:pPr>
        <w:jc w:val="both"/>
        <w:ind w:left="340"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Prepayment</w:t>
      </w:r>
      <w:r>
        <w:rPr>
          <w:rFonts w:ascii="Times New Roman" w:cs="Times New Roman" w:eastAsia="Times New Roman" w:hAnsi="Times New Roman"/>
          <w:sz w:val="18"/>
          <w:szCs w:val="18"/>
          <w:color w:val="auto"/>
        </w:rPr>
        <w:t>. So long as no Event of Default (as defined below) has occurred, Borrower shall have the right, exercisable on not less than ten (10) Trading Days prior written notice to Lender to prepay the Outstanding Balance (less such portion of the Outstanding Balance for which Borrower has received a Conversion Notice (as defined below) from Lender where the applicable Conversion Shares have not yet been delivered) of this Note, in part or in full, in accordance with this Section 1.2. Any notice of prepayment hereunder (an “</w:t>
      </w:r>
      <w:r>
        <w:rPr>
          <w:rFonts w:ascii="Times New Roman" w:cs="Times New Roman" w:eastAsia="Times New Roman" w:hAnsi="Times New Roman"/>
          <w:sz w:val="18"/>
          <w:szCs w:val="18"/>
          <w:b w:val="1"/>
          <w:bCs w:val="1"/>
          <w:color w:val="auto"/>
        </w:rPr>
        <w:t>Optional Prepayment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shall be delivered to Lender at its registered address or through email and shall state: (i) that Borrower is exercising its right to prepay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 and (ii) the date of prepayment, which shall be not less than ten (10) Trading Days from the date of the Optional Prepayment Notice. On the date fixed for prepayment (the “</w:t>
      </w:r>
      <w:r>
        <w:rPr>
          <w:rFonts w:ascii="Times New Roman" w:cs="Times New Roman" w:eastAsia="Times New Roman" w:hAnsi="Times New Roman"/>
          <w:sz w:val="18"/>
          <w:szCs w:val="18"/>
          <w:b w:val="1"/>
          <w:bCs w:val="1"/>
          <w:color w:val="auto"/>
        </w:rPr>
        <w:t>Optional Prepayment Date</w:t>
      </w:r>
      <w:r>
        <w:rPr>
          <w:rFonts w:ascii="Times New Roman" w:cs="Times New Roman" w:eastAsia="Times New Roman" w:hAnsi="Times New Roman"/>
          <w:sz w:val="18"/>
          <w:szCs w:val="18"/>
          <w:color w:val="auto"/>
        </w:rPr>
        <w:t>”), Borrower shall make payment of the Optional Prepayment Amount (as defined below) to or upon the order of Lender as may be specified by Lender in writing to Borrower. For the avoidance of doubt, Lender shall be entitled to exercise its Conversion (as defined below) rights until the Optional Prepayment Date. If Borrower exercises its right to prepay this Note, Borrower shall make payment to Lender of an amount in cash equal to 120% multiplied by the Outstanding Balance of this Note (the “</w:t>
      </w:r>
      <w:r>
        <w:rPr>
          <w:rFonts w:ascii="Times New Roman" w:cs="Times New Roman" w:eastAsia="Times New Roman" w:hAnsi="Times New Roman"/>
          <w:sz w:val="18"/>
          <w:szCs w:val="18"/>
          <w:b w:val="1"/>
          <w:bCs w:val="1"/>
          <w:color w:val="auto"/>
        </w:rPr>
        <w:t>Optional Prepayment Amount</w:t>
      </w:r>
      <w:r>
        <w:rPr>
          <w:rFonts w:ascii="Times New Roman" w:cs="Times New Roman" w:eastAsia="Times New Roman" w:hAnsi="Times New Roman"/>
          <w:sz w:val="18"/>
          <w:szCs w:val="18"/>
          <w:color w:val="auto"/>
        </w:rPr>
        <w:t>”). In the event Borrower delivers the Optional Prepayment Amount to Lender prior to the Optional Prepayment Date, the Optional Prepayment Amount shall not be deemed to have been paid to Lender until the Optional Prepayment Date. In the event Borrower delivers the Optional Prepayment Amount without an Optional Prepayment Notice, then the Optional Prepayment Date will be deemed to be the date that is ten (10) Trading Days from the date that the Optional Prepayment Amount was delivered to Lender and Lender shall be entitled to exercise its Conversion rights during such ten (10) Trading Day period. In addition, if Borrower delivers an Optional Prepayment Notice and fails to pay the Optional Prepayment Amount due to Lender within two (2) Trading Days following the Optional Prepayment Date, Borrower shall forever forfeit its right to prepay this Note.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Effectiveness of Registration Statement</w:t>
      </w:r>
      <w:r>
        <w:rPr>
          <w:rFonts w:ascii="Times New Roman" w:cs="Times New Roman" w:eastAsia="Times New Roman" w:hAnsi="Times New Roman"/>
          <w:sz w:val="18"/>
          <w:szCs w:val="18"/>
          <w:color w:val="auto"/>
        </w:rPr>
        <w:t>. In the event the Initial Registration Statement (as defined in the Purchase Agreement) has not been declared effective by the U.S. Securities and Exchange Commission within ninety (90) days of the Effective Date, then the Outstanding Balance will automatically increase by one percent (1.00%) on such 90th day and continue to increase by one percent (1.00%) for each thirty (30) days that the Initial Registration Statement is not declared effective, up to a maximum increase of 4.00%.</w:t>
      </w:r>
    </w:p>
    <w:p>
      <w:pPr>
        <w:spacing w:after="0" w:line="180" w:lineRule="exact"/>
        <w:rPr>
          <w:sz w:val="20"/>
          <w:szCs w:val="20"/>
          <w:color w:val="auto"/>
        </w:rPr>
      </w:pPr>
    </w:p>
    <w:p>
      <w:pPr>
        <w:ind w:left="1280" w:hanging="640"/>
        <w:spacing w:after="0"/>
        <w:tabs>
          <w:tab w:leader="none" w:pos="12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This Note is unsecured.</w:t>
      </w:r>
    </w:p>
    <w:p>
      <w:pPr>
        <w:spacing w:after="0" w:line="225" w:lineRule="exact"/>
        <w:rPr>
          <w:rFonts w:ascii="Times New Roman" w:cs="Times New Roman" w:eastAsia="Times New Roman" w:hAnsi="Times New Roman"/>
          <w:sz w:val="18"/>
          <w:szCs w:val="18"/>
          <w:color w:val="auto"/>
        </w:rPr>
      </w:pPr>
    </w:p>
    <w:p>
      <w:pPr>
        <w:jc w:val="both"/>
        <w:ind w:firstLine="639"/>
        <w:spacing w:after="0" w:line="253" w:lineRule="auto"/>
        <w:tabs>
          <w:tab w:leader="none" w:pos="82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Conversions</w:t>
      </w:r>
      <w:r>
        <w:rPr>
          <w:rFonts w:ascii="Times New Roman" w:cs="Times New Roman" w:eastAsia="Times New Roman" w:hAnsi="Times New Roman"/>
          <w:sz w:val="18"/>
          <w:szCs w:val="18"/>
          <w:color w:val="auto"/>
        </w:rPr>
        <w:t>. At any time on or after the earlier of: (a) the date that is six (6) months from the Purchase Price Date, and (b) the effective date of the Registration Statement (as defined in the Purchase Agreement), and until the Outstanding Balance has been paid in full, at its election, Lender shall have the right to convert (each instance of conversion is referred to herein as a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all or any portion of the Outstanding Balance into fully paid and non-assessable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of Borrower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as per the following conversion formula: the number of Conversion Shares equals the amount of the Outstanding Balance being converted (the “</w:t>
      </w:r>
      <w:r>
        <w:rPr>
          <w:rFonts w:ascii="Times New Roman" w:cs="Times New Roman" w:eastAsia="Times New Roman" w:hAnsi="Times New Roman"/>
          <w:sz w:val="18"/>
          <w:szCs w:val="18"/>
          <w:b w:val="1"/>
          <w:bCs w:val="1"/>
          <w:color w:val="auto"/>
        </w:rPr>
        <w:t>Conversion Amount</w:t>
      </w:r>
      <w:r>
        <w:rPr>
          <w:rFonts w:ascii="Times New Roman" w:cs="Times New Roman" w:eastAsia="Times New Roman" w:hAnsi="Times New Roman"/>
          <w:sz w:val="18"/>
          <w:szCs w:val="18"/>
          <w:color w:val="auto"/>
        </w:rPr>
        <w:t xml:space="preserve">”) divided by the Conversion Price. In the event the Conversion Price is below the Floor Price, Lender will have the right to elect to have the applicable Conversion Amount paid in cash within two (2) Trading Days of receipt of the Conversion Notice (as defined below) rather than delivering Conversion Shares. Conversion notices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Conversion Notice</w:t>
      </w:r>
      <w:r>
        <w:rPr>
          <w:rFonts w:ascii="Times New Roman" w:cs="Times New Roman" w:eastAsia="Times New Roman" w:hAnsi="Times New Roman"/>
          <w:sz w:val="18"/>
          <w:szCs w:val="18"/>
          <w:color w:val="auto"/>
        </w:rPr>
        <w:t>”) may be effectively delivered to Borrower by any method set forth in the “Notices” section of the Purchase Agreement, and all Conversions shall not require further payment from Lender. Borrower shall deliver the Conversion Shares from any Conversion to Lender in accordance with Section 8 below. Investor shall be responsible to pay all fees related to the transfer of ordinary shares to ADSs in order to satisfy any Conversion hereunder.</w:t>
      </w:r>
    </w:p>
    <w:p>
      <w:pPr>
        <w:spacing w:after="0" w:line="191"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Trigger Events; Defaults; and Remedies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Trigger Events</w:t>
      </w:r>
      <w:r>
        <w:rPr>
          <w:rFonts w:ascii="Times New Roman" w:cs="Times New Roman" w:eastAsia="Times New Roman" w:hAnsi="Times New Roman"/>
          <w:sz w:val="18"/>
          <w:szCs w:val="18"/>
          <w:color w:val="auto"/>
        </w:rPr>
        <w:t>. The following are trigger events under this Note (each, a “</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(a) Borrower fails to pay any principal, interest, fees, charges, or any other amount when due and payable hereunder; (b) a receiver, trustee or other similar official shall be appointed over Borrower or a material part of its assets and such appointment shall remain uncontested for twenty (20) days or shall not be dismissed or discharged within sixty (60) days; (c) Borrower becomes insolvent or generally fails to pay, or admits in writing its inability to pay, its debts as they become due; (d) Borrower makes a general assignment for the benefit of creditors; (e) Borrower files a petition for relief under any bankruptcy, insolvency or similar law (domestic or foreign); (f) an involuntary bankruptcy proceeding is commenced or filed against Borrower; (g) Borrower fails to observe or perform any covenant set forth in Section 4 of the Purchase Agreement; (h) the occurrence of a Fundamental Transaction without Lender’s prior written consent; (i) at any time during the period beginning on the date which the Registration Statement becomes effective and ending on the date that is six (6) months from the Purchase Price Date, Borrower fails to maintain an effective registration statement pursuant to which Lender is authorized to sell registered Conversion Shares; (j) Borrower fails to deliver any Conversion Shares in accordance with the terms hereof; (k) Borrower or any pledgor, trustor, or guarantor of this Note defaults or otherwise fails to observe or perform any covenant, obligation, condition, or agreement of Borrower or such pledgor, trustor, or guarantor contained herein or in any other Transaction Document (as defined in the Purchase Agreement), other than those specifically set forth in this Section 4.1 and Section 4 of the Purchase Agreement; (l) any representation, warranty or other statement made or furnished by or on behalf of Borrower or any pledgor, trustor, or guarantor of this Note to Lender herein, in any Transaction Document, or otherwise in connection with the issuance of this Note is false, incorrect, incomplete or misleading in any material respect when made or furnished; (m) Borrower effectuates a reverse split, ratio change or other similar event with respect to its ADSs without twenty (20) Trading Days prior written notice to Lender; (n) any money judgment, writ or similar process is entered or filed against Borrower or any subsidiary of Borrower or any of its property or other assets for more than $100,000.00, and shall remain unvacated, unbonded or unstayed for a period of twenty (20) calendar days unless otherwise consented to by Lender; and (o) Borrower, any subsidiary of Borrower, or any pledgor, trustor, or guarantor of this Note breaches any covenant or other term or condition contained in any Other Agreements.</w:t>
      </w:r>
    </w:p>
    <w:p>
      <w:pPr>
        <w:spacing w:after="0" w:line="200" w:lineRule="exact"/>
        <w:rPr>
          <w:sz w:val="20"/>
          <w:szCs w:val="20"/>
          <w:color w:val="auto"/>
        </w:rPr>
      </w:pPr>
    </w:p>
    <w:p>
      <w:pPr>
        <w:spacing w:after="0" w:line="20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98" w:name="page99"/>
    <w:bookmarkEnd w:id="98"/>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Trigger Event Remedies</w:t>
      </w:r>
      <w:r>
        <w:rPr>
          <w:rFonts w:ascii="Times New Roman" w:cs="Times New Roman" w:eastAsia="Times New Roman" w:hAnsi="Times New Roman"/>
          <w:sz w:val="18"/>
          <w:szCs w:val="18"/>
          <w:color w:val="auto"/>
        </w:rPr>
        <w:t>. At any time following the occurrence of any Trigger Event, Lender may, at its option, increase the Outstanding Balance by applying the Trigger Effect (subject to the limitation set forth below).</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Defaults</w:t>
      </w:r>
      <w:r>
        <w:rPr>
          <w:rFonts w:ascii="Times New Roman" w:cs="Times New Roman" w:eastAsia="Times New Roman" w:hAnsi="Times New Roman"/>
          <w:sz w:val="18"/>
          <w:szCs w:val="18"/>
          <w:color w:val="auto"/>
        </w:rPr>
        <w:t>. At any time following the occurrence of a Trigger Event, Lender may, at its option, send written notice to Borrower demanding that Borrower cure the Trigger Event within five (5) Trading Days. If Borrower fails to cure the Trigger Event within the required five (5) Trading Day cure period, the Trigger Event will automatically become an event of default hereunder (each,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Default Remedies</w:t>
      </w:r>
      <w:r>
        <w:rPr>
          <w:rFonts w:ascii="Times New Roman" w:cs="Times New Roman" w:eastAsia="Times New Roman" w:hAnsi="Times New Roman"/>
          <w:sz w:val="18"/>
          <w:szCs w:val="18"/>
          <w:color w:val="auto"/>
        </w:rPr>
        <w:t>. At any time and from time to time following the occurrence of any Event of Default, Lender may accelerate this Note by written notice to Borrower, with the Outstanding Balance becoming immediately due and payable in cash at the Mandatory Default Amount. Notwithstanding the foregoing, upon the occurrence of any Trigger Event described in clauses (b) – (f) of Section 4.1, an Event of Default will be deemed to have occurred and the Outstanding Balance as of the date of the occurrence of such Trigger Event shall become immediately and automatically due and payable in cash at the Mandatory Default Amount, without any written notice required by Lender for the Trigger Event to become an Event of Default. At any time following the occurrence of any Event of Default, upon written notice given by Lender to Borrower, interest shall accrue on the Outstanding Balance beginning on the date the applicable Event of Default occurred at an interest rate equal to the lesser of eighteen percent (18%) per annum simple interest or the maximum rate permitted under applicable law (“</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For the avoidance of doubt, Lender may continue making Conversions at any time following a Trigger Event or Event of Default until such time as the Outstanding Balance is paid in full. In connection with acceleration described herein, Lender need not provide, and Borrower hereby waives, any presentment, demand, protest, or other notice of any kind, and Lender may immediately and without expiration of any grace period enforce any and all of its rights and remedies hereunder and all other remedies available to it under applicable law. Such acceleration may be rescinded and annulled by Lender at any time prior to payment hereunder, and Lender shall have all rights as a holder of the Note until such time, if any, as Lender receives full payment of this Note. No such rescission or annulment shall affect any subsequent Trigger Event or Event of Default or impair any right consequent thereon. Nothing herein shall limit Lender’s right to pursue any other remedies available to it at law or in equity including, without limitation, a decree of specific performance and/or injunctive relief with respect to Borrower’s failure to timely deliver Conversion Shares upon Conversion of the Note as required pursuant to the terms hereof.</w:t>
      </w:r>
    </w:p>
    <w:p>
      <w:pPr>
        <w:spacing w:after="0" w:line="193" w:lineRule="exact"/>
        <w:rPr>
          <w:sz w:val="20"/>
          <w:szCs w:val="20"/>
          <w:color w:val="auto"/>
        </w:rPr>
      </w:pPr>
    </w:p>
    <w:p>
      <w:pPr>
        <w:jc w:val="both"/>
        <w:ind w:firstLine="639"/>
        <w:spacing w:after="0" w:line="289" w:lineRule="auto"/>
        <w:tabs>
          <w:tab w:leader="none" w:pos="827"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Unconditional Obligation; No Offset</w:t>
      </w:r>
      <w:r>
        <w:rPr>
          <w:rFonts w:ascii="Times New Roman" w:cs="Times New Roman" w:eastAsia="Times New Roman" w:hAnsi="Times New Roman"/>
          <w:sz w:val="17"/>
          <w:szCs w:val="17"/>
          <w:color w:val="auto"/>
        </w:rPr>
        <w:t>. Borrower acknowledges that this Note is an unconditional, valid, binding, and enforceable obligation of Borrower not subject to offset, deduction, or counterclaim of any kind. Borrower hereby waives any rights of offset it now has or may have hereafter against Lender, its successors and assigns, and agrees to make the payments or Conversions called for herein in accordance with the terms of this Note.</w:t>
      </w:r>
    </w:p>
    <w:p>
      <w:pPr>
        <w:spacing w:after="0" w:line="37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99" w:name="page100"/>
    <w:bookmarkEnd w:id="99"/>
    <w:p>
      <w:pPr>
        <w:jc w:val="both"/>
        <w:ind w:firstLine="640"/>
        <w:spacing w:after="0" w:line="261" w:lineRule="auto"/>
        <w:tabs>
          <w:tab w:leader="none" w:pos="84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provision of this Note shall be effective unless it is in the form of a writing signed by the party granting the waiver. No waiver of any provision or consent to any prohibited action shall constitute a waiver of any other provision or consent to any other prohibited action, whether or not similar. No waiver or consent shall constitute a continuing waiver or consent or commit a party to provide a waiver or consent in the future, except to the extent specifically set forth in writing.</w:t>
      </w:r>
    </w:p>
    <w:p>
      <w:pPr>
        <w:spacing w:after="0" w:line="179"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Issuance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Adjustment of Conversion Price upon Subdivision or Combination of ADSs</w:t>
      </w:r>
      <w:r>
        <w:rPr>
          <w:rFonts w:ascii="Times New Roman" w:cs="Times New Roman" w:eastAsia="Times New Roman" w:hAnsi="Times New Roman"/>
          <w:sz w:val="18"/>
          <w:szCs w:val="18"/>
          <w:color w:val="auto"/>
        </w:rPr>
        <w:t>. Without limiting any provision hereof, if Borrower at any time on or after the Effective Date subdivides (by any stock split, stock dividend, recapitalization, change in ordinary share to ADS ratio or otherwise) one or more classes of its outstanding ADSs into a greater number of ADSs, the Fixed Price in effect immediately prior to such subdivision will be proportionately reduced. Without limiting any provision hereof, if Borrower at any time on or after the Effective Date combines (by combination, reverse stock split, change in ADS to ordinary share ratio or otherwise) one or more classes of its outstanding ADSs into a smaller number of ADSs, the Fixed Price in effect immediately prior to such combination will be proportionately increased. Any adjustment pursuant to this Section 7.1 shall become effective immediately after the effective date of such subdivision or combination. If any event requiring an adjustment under this Section 7.1 occurs during the period that a Market Price is calculated hereunder, then the calculation of such Market Price shall be adjusted appropriately to reflect such event.</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In the event that Borrower (or any subsidiary) shall take any action to which the provisions hereof are not strictly applicable, or, if applicable, would not operate to protect Lender from dilution or if any event occurs of the type contemplated by the provisions of this Section 7 but not expressly provided for by such provisions (including, without limitation, the granting of stock appreciation rights, phantom stock rights or other rights with equity features), then Borrower’s board of directors shall in good faith determine and implement an appropriate adjustment in the Conversion Price so as to protect the rights of Lender, provided that no such adjustment pursuant to this Section 7.2 will increase the Conversion Price as otherwise determined pursuant to this Section 7, provided further that if Lender does not accept such adjustments as appropriately protecting its interests hereunder against such dilution, then Borrower’s board of directors and Lender shall agree, in good faith, upon an independent investment bank of nationally recognized standing to make such appropriate adjustments, whose determination shall be final and binding and whose fees and expenses shall be borne by Borrower.</w:t>
      </w:r>
    </w:p>
    <w:p>
      <w:pPr>
        <w:spacing w:after="0" w:line="188" w:lineRule="exact"/>
        <w:rPr>
          <w:sz w:val="20"/>
          <w:szCs w:val="20"/>
          <w:color w:val="auto"/>
        </w:rPr>
      </w:pPr>
    </w:p>
    <w:p>
      <w:pPr>
        <w:jc w:val="both"/>
        <w:ind w:firstLine="638"/>
        <w:spacing w:after="0" w:line="254" w:lineRule="auto"/>
        <w:tabs>
          <w:tab w:leader="none" w:pos="82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Conversion Share Delivery</w:t>
      </w:r>
      <w:r>
        <w:rPr>
          <w:rFonts w:ascii="Times New Roman" w:cs="Times New Roman" w:eastAsia="Times New Roman" w:hAnsi="Times New Roman"/>
          <w:sz w:val="18"/>
          <w:szCs w:val="18"/>
          <w:color w:val="auto"/>
        </w:rPr>
        <w:t>. On or before the close of business on the second (2nd) Trading Day following the date of delivery of a Conversion Notice (the “</w:t>
      </w:r>
      <w:r>
        <w:rPr>
          <w:rFonts w:ascii="Times New Roman" w:cs="Times New Roman" w:eastAsia="Times New Roman" w:hAnsi="Times New Roman"/>
          <w:sz w:val="18"/>
          <w:szCs w:val="18"/>
          <w:b w:val="1"/>
          <w:bCs w:val="1"/>
          <w:color w:val="auto"/>
        </w:rPr>
        <w:t>Delivery Date</w:t>
      </w:r>
      <w:r>
        <w:rPr>
          <w:rFonts w:ascii="Times New Roman" w:cs="Times New Roman" w:eastAsia="Times New Roman" w:hAnsi="Times New Roman"/>
          <w:sz w:val="18"/>
          <w:szCs w:val="18"/>
          <w:color w:val="auto"/>
        </w:rPr>
        <w:t>”), Borrower shall, deliver or cause its depositary bank to issue and deliver the applicable Conversion Shares electronically, via DTC Delivery Free of Payment or Delivery Vs Payment, as applicable and as previously discussed and arranged with the depositary bank, to the account designated by Lender in the applicable Conversion Notice. Moreover, and notwithstanding anything to the contrary herein or in any other Transaction Document, in the event Borrower or its depositary refuses to deliver any Conversion Shares without a restrictive securities legend to Lender on grounds that such issuance is in violation of Rule 144 under the Securities Act of 1933, as amended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Borrower shall deliver or cause its depositary to deliver the applicable Conversion Shares in share form to Lender with a restricted securities legend, but otherwise in accordance with the provisions of this Section 8. In conjunction therewith, Borrower will also deliver to Lender a written explanation from its counsel opining as to why the issuance of the applicable Conversion Shares violates Rule 144.</w:t>
      </w:r>
    </w:p>
    <w:p>
      <w:pPr>
        <w:spacing w:after="0" w:line="200" w:lineRule="exact"/>
        <w:rPr>
          <w:sz w:val="20"/>
          <w:szCs w:val="20"/>
          <w:color w:val="auto"/>
        </w:rPr>
      </w:pPr>
    </w:p>
    <w:p>
      <w:pPr>
        <w:spacing w:after="0" w:line="20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100" w:name="page101"/>
    <w:bookmarkEnd w:id="100"/>
    <w:p>
      <w:pPr>
        <w:jc w:val="both"/>
        <w:ind w:firstLine="639"/>
        <w:spacing w:after="0" w:line="255" w:lineRule="auto"/>
        <w:tabs>
          <w:tab w:leader="none" w:pos="82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Delays</w:t>
      </w:r>
      <w:r>
        <w:rPr>
          <w:rFonts w:ascii="Times New Roman" w:cs="Times New Roman" w:eastAsia="Times New Roman" w:hAnsi="Times New Roman"/>
          <w:sz w:val="18"/>
          <w:szCs w:val="18"/>
          <w:color w:val="auto"/>
        </w:rPr>
        <w:t>. If Borrower fails to deliver Conversion Shares in accordance with the timeframe stated in Section 8, Lender may at any time prior to receiving the applicable Conversion Shares rescind in whole or in part such Conversion, with a corresponding increase to the Outstanding Balance (any returned amount will tack back to the Purchase Price Date for purposes of determining the holding period under Rule 144). In addition, for each Conversion, in the event that Conversion Shares are not delivered by the Delivery Date, a late fee equal to 2% of the applicable Conversion Share Value rounded to the nearest multiple of $100.00 but with a floor of $500.00 per day (but in any event the cumulative amount of such late fees for each Conversion shall not exceed 200% of the applicable Conversion Share Value) will be assessed for each day after the Delivery Date until Conversion Share delivery is made; and such late fees will be added to the Outstanding Balance (such fees, the “</w:t>
      </w:r>
      <w:r>
        <w:rPr>
          <w:rFonts w:ascii="Times New Roman" w:cs="Times New Roman" w:eastAsia="Times New Roman" w:hAnsi="Times New Roman"/>
          <w:sz w:val="18"/>
          <w:szCs w:val="18"/>
          <w:b w:val="1"/>
          <w:bCs w:val="1"/>
          <w:color w:val="auto"/>
        </w:rPr>
        <w:t>Conversion Delay Late Fees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900" w:hanging="261"/>
        <w:spacing w:after="0"/>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Fees</w:t>
      </w:r>
      <w:r>
        <w:rPr>
          <w:rFonts w:ascii="Times New Roman" w:cs="Times New Roman" w:eastAsia="Times New Roman" w:hAnsi="Times New Roman"/>
          <w:sz w:val="18"/>
          <w:szCs w:val="18"/>
          <w:color w:val="auto"/>
        </w:rPr>
        <w:t>. Lender will be responsible for any fees that must be paid in order to issue any Conversion Shares to Lender.</w:t>
      </w:r>
    </w:p>
    <w:p>
      <w:pPr>
        <w:spacing w:after="0" w:line="225" w:lineRule="exact"/>
        <w:rPr>
          <w:rFonts w:ascii="Times New Roman" w:cs="Times New Roman" w:eastAsia="Times New Roman" w:hAnsi="Times New Roman"/>
          <w:sz w:val="18"/>
          <w:szCs w:val="18"/>
          <w:color w:val="auto"/>
        </w:rPr>
      </w:pPr>
    </w:p>
    <w:p>
      <w:pPr>
        <w:jc w:val="both"/>
        <w:ind w:firstLine="639"/>
        <w:spacing w:after="0" w:line="255" w:lineRule="auto"/>
        <w:tabs>
          <w:tab w:leader="none" w:pos="91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Sales Limitation</w:t>
      </w:r>
      <w:r>
        <w:rPr>
          <w:rFonts w:ascii="Times New Roman" w:cs="Times New Roman" w:eastAsia="Times New Roman" w:hAnsi="Times New Roman"/>
          <w:sz w:val="18"/>
          <w:szCs w:val="18"/>
          <w:color w:val="auto"/>
        </w:rPr>
        <w:t>. Lender agrees that so long as no Trigger Event has occurred, Lender will limit its sales of Conversion Shares and Pre-Delivery Shares (as defined in the Purchase Agreement) on the open market in any given calendar week to fifteen percent (15%) of the weekly trading volume of the ADSs on all trading markets for such week (the “</w:t>
      </w:r>
      <w:r>
        <w:rPr>
          <w:rFonts w:ascii="Times New Roman" w:cs="Times New Roman" w:eastAsia="Times New Roman" w:hAnsi="Times New Roman"/>
          <w:sz w:val="18"/>
          <w:szCs w:val="18"/>
          <w:b w:val="1"/>
          <w:bCs w:val="1"/>
          <w:color w:val="auto"/>
        </w:rPr>
        <w:t>Sales Limitation</w:t>
      </w:r>
      <w:r>
        <w:rPr>
          <w:rFonts w:ascii="Times New Roman" w:cs="Times New Roman" w:eastAsia="Times New Roman" w:hAnsi="Times New Roman"/>
          <w:sz w:val="18"/>
          <w:szCs w:val="18"/>
          <w:color w:val="auto"/>
        </w:rPr>
        <w:t>”), unless otherwise authorized by Borrower in writing. In the event Lender breaches such covenant, Borrower’s sole and exclusive remedy shall be the reduction of the Outstanding Balance in an amount equal to fifty percent (50%) of the net proceeds Lender received from excess sales in any given week (or payable in cash if this Note has been satisfied in full). For the avoidance of doubt, both the Sales Limitation and Borrower’s remedy related to such limitation shall expire thirty (30) days after satisfaction in full of the Note.</w:t>
      </w:r>
    </w:p>
    <w:p>
      <w:pPr>
        <w:spacing w:after="0" w:line="188" w:lineRule="exact"/>
        <w:rPr>
          <w:rFonts w:ascii="Times New Roman" w:cs="Times New Roman" w:eastAsia="Times New Roman" w:hAnsi="Times New Roman"/>
          <w:sz w:val="18"/>
          <w:szCs w:val="18"/>
          <w:color w:val="auto"/>
        </w:rPr>
      </w:pPr>
    </w:p>
    <w:p>
      <w:pPr>
        <w:jc w:val="both"/>
        <w:ind w:firstLine="640"/>
        <w:spacing w:after="0" w:line="256" w:lineRule="auto"/>
        <w:tabs>
          <w:tab w:leader="none" w:pos="93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Notwithstanding anything to the contrary contained in this Note or the other Transaction Documents, Borrower shall not effect any conversion of this Note to the extent that, after giving effect to such conversion, Lender (together with its affiliates) would beneficially own a number of ADSs representing 9.99% of the ordinary shares of Borrower outstanding on such date (including for such purpose the ADSs issuable upon such issuance)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For purposes of this section, beneficial ownership of ADSs will be determined pursuant to Section 13(d) of the Securities Exchange Act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The Maximum Percentage is enforceable, unconditional, and non-waivable and shall apply to all affiliates and assigns of Lender.</w:t>
      </w:r>
    </w:p>
    <w:p>
      <w:pPr>
        <w:spacing w:after="0" w:line="187" w:lineRule="exact"/>
        <w:rPr>
          <w:rFonts w:ascii="Times New Roman" w:cs="Times New Roman" w:eastAsia="Times New Roman" w:hAnsi="Times New Roman"/>
          <w:sz w:val="18"/>
          <w:szCs w:val="18"/>
          <w:color w:val="auto"/>
        </w:rPr>
      </w:pPr>
    </w:p>
    <w:p>
      <w:pPr>
        <w:ind w:firstLine="640"/>
        <w:spacing w:after="0" w:line="282" w:lineRule="auto"/>
        <w:tabs>
          <w:tab w:leader="none" w:pos="91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In the event that an opinion of counsel is needed for any Conversion under this Note, Lender has the right to have any such opinion provided by its counsel.</w:t>
      </w:r>
    </w:p>
    <w:p>
      <w:pPr>
        <w:spacing w:after="0" w:line="161" w:lineRule="exact"/>
        <w:rPr>
          <w:rFonts w:ascii="Times New Roman" w:cs="Times New Roman" w:eastAsia="Times New Roman" w:hAnsi="Times New Roman"/>
          <w:sz w:val="18"/>
          <w:szCs w:val="18"/>
          <w:color w:val="auto"/>
        </w:rPr>
      </w:pPr>
    </w:p>
    <w:p>
      <w:pPr>
        <w:jc w:val="both"/>
        <w:ind w:firstLine="640"/>
        <w:spacing w:after="0" w:line="258" w:lineRule="auto"/>
        <w:tabs>
          <w:tab w:leader="none" w:pos="93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Note shall be construed and enforced in accordance with, and all questions concerning the construction, validity, interpretation and performance of this Note shall be governed by, the internal laws of the State of Utah, without giving effect to any choice of law or conflict of law provision or rule (whether of the State of Utah or any other jurisdiction) that would cause the application of the laws of any jurisdiction other than the State of Utah. The provisions set forth in the Purchase Agreement to determine the proper venue for any disputes are incorporated herein by this reference.</w:t>
      </w:r>
    </w:p>
    <w:p>
      <w:pPr>
        <w:spacing w:after="0" w:line="183" w:lineRule="exact"/>
        <w:rPr>
          <w:rFonts w:ascii="Times New Roman" w:cs="Times New Roman" w:eastAsia="Times New Roman" w:hAnsi="Times New Roman"/>
          <w:sz w:val="18"/>
          <w:szCs w:val="18"/>
          <w:color w:val="auto"/>
        </w:rPr>
      </w:pPr>
    </w:p>
    <w:p>
      <w:pPr>
        <w:ind w:firstLine="640"/>
        <w:spacing w:after="0" w:line="282" w:lineRule="auto"/>
        <w:tabs>
          <w:tab w:leader="none" w:pos="91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of Disputes</w:t>
      </w:r>
      <w:r>
        <w:rPr>
          <w:rFonts w:ascii="Times New Roman" w:cs="Times New Roman" w:eastAsia="Times New Roman" w:hAnsi="Times New Roman"/>
          <w:sz w:val="18"/>
          <w:szCs w:val="18"/>
          <w:color w:val="auto"/>
        </w:rPr>
        <w:t>. By its issuance or acceptance of this Note, each party agrees to be bound by the Arbitration Provisions (as defined in the Purchase Agreement) set forth as an exhibit to the Purchase Agreement.</w:t>
      </w:r>
    </w:p>
    <w:p>
      <w:pPr>
        <w:spacing w:after="0" w:line="161" w:lineRule="exact"/>
        <w:rPr>
          <w:rFonts w:ascii="Times New Roman" w:cs="Times New Roman" w:eastAsia="Times New Roman" w:hAnsi="Times New Roman"/>
          <w:sz w:val="18"/>
          <w:szCs w:val="18"/>
          <w:color w:val="auto"/>
        </w:rPr>
      </w:pPr>
    </w:p>
    <w:p>
      <w:pPr>
        <w:ind w:firstLine="640"/>
        <w:spacing w:after="0" w:line="282" w:lineRule="auto"/>
        <w:tabs>
          <w:tab w:leader="none" w:pos="91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After repayment or conversion of the entire Outstanding Balance, this Note shall be deemed paid in full, shall automatically be deemed canceled, and shall not be reissued.</w:t>
      </w:r>
    </w:p>
    <w:p>
      <w:pPr>
        <w:spacing w:after="0" w:line="3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101" w:name="page102"/>
    <w:bookmarkEnd w:id="101"/>
    <w:p>
      <w:pPr>
        <w:ind w:left="900" w:hanging="260"/>
        <w:spacing w:after="0"/>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prior written consent of both parties hereto shall be required for any change or amendment to this Note.</w:t>
      </w:r>
    </w:p>
    <w:p>
      <w:pPr>
        <w:spacing w:after="0" w:line="225" w:lineRule="exact"/>
        <w:rPr>
          <w:rFonts w:ascii="Times New Roman" w:cs="Times New Roman" w:eastAsia="Times New Roman" w:hAnsi="Times New Roman"/>
          <w:sz w:val="18"/>
          <w:szCs w:val="18"/>
          <w:color w:val="auto"/>
        </w:rPr>
      </w:pPr>
    </w:p>
    <w:p>
      <w:pPr>
        <w:jc w:val="both"/>
        <w:ind w:firstLine="639"/>
        <w:spacing w:after="0" w:line="266" w:lineRule="auto"/>
        <w:tabs>
          <w:tab w:leader="none" w:pos="91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w:t>
      </w:r>
      <w:r>
        <w:rPr>
          <w:rFonts w:ascii="Times New Roman" w:cs="Times New Roman" w:eastAsia="Times New Roman" w:hAnsi="Times New Roman"/>
          <w:sz w:val="18"/>
          <w:szCs w:val="18"/>
          <w:color w:val="auto"/>
        </w:rPr>
        <w:t>. Borrower may not assign this Note without the prior written consent of Lender. This Note and any Conversion Shares issued upon conversion of this Note may be offered, sold, assigned, or transferred by Lender without the consent of Borrower, so long as such transfer is in accordance with applicable federal and state securities laws.</w:t>
      </w:r>
    </w:p>
    <w:p>
      <w:pPr>
        <w:spacing w:after="0" w:line="175" w:lineRule="exact"/>
        <w:rPr>
          <w:rFonts w:ascii="Times New Roman" w:cs="Times New Roman" w:eastAsia="Times New Roman" w:hAnsi="Times New Roman"/>
          <w:sz w:val="18"/>
          <w:szCs w:val="18"/>
          <w:color w:val="auto"/>
        </w:rPr>
      </w:pPr>
    </w:p>
    <w:p>
      <w:pPr>
        <w:ind w:firstLine="640"/>
        <w:spacing w:after="0" w:line="282" w:lineRule="auto"/>
        <w:tabs>
          <w:tab w:leader="none" w:pos="94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Note, unless otherwise provided herein, such notice shall be given in accordance with the subsection of the Purchase Agreement titled “Notices.”</w:t>
      </w:r>
    </w:p>
    <w:p>
      <w:pPr>
        <w:spacing w:after="0" w:line="161" w:lineRule="exact"/>
        <w:rPr>
          <w:rFonts w:ascii="Times New Roman" w:cs="Times New Roman" w:eastAsia="Times New Roman" w:hAnsi="Times New Roman"/>
          <w:sz w:val="18"/>
          <w:szCs w:val="18"/>
          <w:color w:val="auto"/>
        </w:rPr>
      </w:pPr>
    </w:p>
    <w:p>
      <w:pPr>
        <w:jc w:val="both"/>
        <w:ind w:firstLine="639"/>
        <w:spacing w:after="0" w:line="255" w:lineRule="auto"/>
        <w:tabs>
          <w:tab w:leader="none" w:pos="91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Lender and Borrower agree that in the event Borrower fails to comply with any of the terms or provisions of this Note, Lender’s damages would be uncertain and difficult (if not impossible) to accurately estimate because of the parties’ inability to predict future interest rates, future share prices, future trading volumes, and other relevant factors. Accordingly, Lender and Borrower agree that any fees, balance adjustments, Default Interest or other charges assessed under this Note are not penalties but instead are intended by the parties to be, and shall be deemed, liquidated damages (under Lender’s and Borrower’s expectations that any such liquidated damages will tack back to the Purchase Price Date for purposes of determining the holding period under Rule 144). Therefore, no additional penalty claims, lost profits, or liquidated damages shall be claimed in excess of agreed liquidated damage amounts under this Note.</w:t>
      </w:r>
    </w:p>
    <w:p>
      <w:pPr>
        <w:spacing w:after="0" w:line="188" w:lineRule="exact"/>
        <w:rPr>
          <w:rFonts w:ascii="Times New Roman" w:cs="Times New Roman" w:eastAsia="Times New Roman" w:hAnsi="Times New Roman"/>
          <w:sz w:val="18"/>
          <w:szCs w:val="18"/>
          <w:color w:val="auto"/>
        </w:rPr>
      </w:pPr>
    </w:p>
    <w:p>
      <w:pPr>
        <w:ind w:firstLine="640"/>
        <w:spacing w:after="0" w:line="282" w:lineRule="auto"/>
        <w:tabs>
          <w:tab w:leader="none" w:pos="93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of this Note is construed to be in violation of any law, such part shall be modified to achieve the objective of Borrower and Lender to the fullest extent permitted by law, and the balance of this Note shall remain in full force and effect.</w:t>
      </w:r>
    </w:p>
    <w:p>
      <w:pPr>
        <w:spacing w:after="0" w:line="16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102" w:name="page103"/>
    <w:bookmarkEnd w:id="102"/>
    <w:p>
      <w:pPr>
        <w:ind w:left="980"/>
        <w:spacing w:after="0"/>
        <w:rPr>
          <w:sz w:val="20"/>
          <w:szCs w:val="20"/>
          <w:color w:val="auto"/>
        </w:rPr>
      </w:pPr>
      <w:r>
        <w:rPr>
          <w:rFonts w:ascii="Times New Roman" w:cs="Times New Roman" w:eastAsia="Times New Roman" w:hAnsi="Times New Roman"/>
          <w:sz w:val="18"/>
          <w:szCs w:val="18"/>
          <w:color w:val="auto"/>
        </w:rPr>
        <w:t>IN WITNESS WHEREOF, Borrower has caused this Note to be duly executed as of the Effective Date.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BORROWER:</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rident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igital</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oldings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7">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Soon Huat Lim,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ACKNOWLEDGED, ACCEPTED,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treeterville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apital</w:t>
      </w:r>
      <w:r>
        <w:rPr>
          <w:rFonts w:ascii="Times New Roman" w:cs="Times New Roman" w:eastAsia="Times New Roman" w:hAnsi="Times New Roman"/>
          <w:sz w:val="18"/>
          <w:szCs w:val="18"/>
          <w:b w:val="1"/>
          <w:bCs w:val="1"/>
          <w:color w:val="auto"/>
        </w:rPr>
        <w:t>,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M.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171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8">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John M. Fife, President</w:t>
      </w:r>
    </w:p>
    <w:p>
      <w:pPr>
        <w:spacing w:after="0" w:line="22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First Convertible Promissory Note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03" w:name="page104"/>
    <w:bookmarkEnd w:id="103"/>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ATTACHMENT 1</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purposes of this Note, the following terms shall have the following meanings:</w:t>
      </w:r>
    </w:p>
    <w:p>
      <w:pPr>
        <w:spacing w:after="0" w:line="22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A1. “</w:t>
      </w:r>
      <w:r>
        <w:rPr>
          <w:rFonts w:ascii="Times New Roman" w:cs="Times New Roman" w:eastAsia="Times New Roman" w:hAnsi="Times New Roman"/>
          <w:sz w:val="18"/>
          <w:szCs w:val="18"/>
          <w:b w:val="1"/>
          <w:bCs w:val="1"/>
          <w:color w:val="auto"/>
        </w:rPr>
        <w:t>Approved ADS Plan</w:t>
      </w:r>
      <w:r>
        <w:rPr>
          <w:rFonts w:ascii="Times New Roman" w:cs="Times New Roman" w:eastAsia="Times New Roman" w:hAnsi="Times New Roman"/>
          <w:sz w:val="18"/>
          <w:szCs w:val="18"/>
          <w:color w:val="auto"/>
        </w:rPr>
        <w:t>” means any equity compensation plan which has been approved by the shareholders of Borrower and is in effect as of the Purchase Price Date, pursuant to which Borrower’s securities may be issued to any employee, officer, or director for services provided to Borrower.</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A2. “</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means the Market Price,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$0.05, or such other applicable fee, to cover the ADS issuance fees.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A3. “</w:t>
      </w:r>
      <w:r>
        <w:rPr>
          <w:rFonts w:ascii="Times New Roman" w:cs="Times New Roman" w:eastAsia="Times New Roman" w:hAnsi="Times New Roman"/>
          <w:sz w:val="18"/>
          <w:szCs w:val="18"/>
          <w:b w:val="1"/>
          <w:bCs w:val="1"/>
          <w:color w:val="auto"/>
        </w:rPr>
        <w:t>Conversion Share Value</w:t>
      </w:r>
      <w:r>
        <w:rPr>
          <w:rFonts w:ascii="Times New Roman" w:cs="Times New Roman" w:eastAsia="Times New Roman" w:hAnsi="Times New Roman"/>
          <w:sz w:val="18"/>
          <w:szCs w:val="18"/>
          <w:color w:val="auto"/>
        </w:rPr>
        <w:t>” means the product of the number of Conversion Shares deliverable pursuant to any Conversion Notice multiplied by the daily VWAP of the ADSs on the Delivery Date for such Conversion.</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A4.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means the Depository Trust Company or any successor thereto.</w:t>
      </w:r>
    </w:p>
    <w:p>
      <w:pPr>
        <w:spacing w:after="0" w:line="225" w:lineRule="exact"/>
        <w:rPr>
          <w:sz w:val="20"/>
          <w:szCs w:val="20"/>
          <w:color w:val="auto"/>
        </w:rPr>
      </w:pPr>
    </w:p>
    <w:p>
      <w:pPr>
        <w:ind w:left="640" w:right="20"/>
        <w:spacing w:after="0" w:line="286" w:lineRule="auto"/>
        <w:rPr>
          <w:sz w:val="20"/>
          <w:szCs w:val="20"/>
          <w:color w:val="auto"/>
        </w:rPr>
      </w:pPr>
      <w:r>
        <w:rPr>
          <w:rFonts w:ascii="Times New Roman" w:cs="Times New Roman" w:eastAsia="Times New Roman" w:hAnsi="Times New Roman"/>
          <w:sz w:val="18"/>
          <w:szCs w:val="18"/>
          <w:color w:val="auto"/>
        </w:rPr>
        <w:t>A5. “</w:t>
      </w:r>
      <w:r>
        <w:rPr>
          <w:rFonts w:ascii="Times New Roman" w:cs="Times New Roman" w:eastAsia="Times New Roman" w:hAnsi="Times New Roman"/>
          <w:sz w:val="18"/>
          <w:szCs w:val="18"/>
          <w:b w:val="1"/>
          <w:bCs w:val="1"/>
          <w:color w:val="auto"/>
        </w:rPr>
        <w:t>DTC/FAST Program</w:t>
      </w:r>
      <w:r>
        <w:rPr>
          <w:rFonts w:ascii="Times New Roman" w:cs="Times New Roman" w:eastAsia="Times New Roman" w:hAnsi="Times New Roman"/>
          <w:sz w:val="18"/>
          <w:szCs w:val="18"/>
          <w:color w:val="auto"/>
        </w:rPr>
        <w:t>” means the DTC’s Fast Automated Securities Transfer program. A6. “</w:t>
      </w:r>
      <w:r>
        <w:rPr>
          <w:rFonts w:ascii="Times New Roman" w:cs="Times New Roman" w:eastAsia="Times New Roman" w:hAnsi="Times New Roman"/>
          <w:sz w:val="18"/>
          <w:szCs w:val="18"/>
          <w:b w:val="1"/>
          <w:bCs w:val="1"/>
          <w:color w:val="auto"/>
        </w:rPr>
        <w:t>DWAC</w:t>
      </w:r>
      <w:r>
        <w:rPr>
          <w:rFonts w:ascii="Times New Roman" w:cs="Times New Roman" w:eastAsia="Times New Roman" w:hAnsi="Times New Roman"/>
          <w:sz w:val="18"/>
          <w:szCs w:val="18"/>
          <w:color w:val="auto"/>
        </w:rPr>
        <w:t>” means the DTC’s Deposit/Withdrawal at Custodian system.</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A7. “</w:t>
      </w:r>
      <w:r>
        <w:rPr>
          <w:rFonts w:ascii="Times New Roman" w:cs="Times New Roman" w:eastAsia="Times New Roman" w:hAnsi="Times New Roman"/>
          <w:sz w:val="18"/>
          <w:szCs w:val="18"/>
          <w:b w:val="1"/>
          <w:bCs w:val="1"/>
          <w:color w:val="auto"/>
        </w:rPr>
        <w:t>DWAC Eligible</w:t>
      </w:r>
      <w:r>
        <w:rPr>
          <w:rFonts w:ascii="Times New Roman" w:cs="Times New Roman" w:eastAsia="Times New Roman" w:hAnsi="Times New Roman"/>
          <w:sz w:val="18"/>
          <w:szCs w:val="18"/>
          <w:color w:val="auto"/>
        </w:rPr>
        <w:t>” means that (a) Borrower’s ADSs are eligible at DTC for full services pursuant to DTC’s operational arrangements, including without limitation transfer through DTC’s DWAC system; (b) Borrower has been approved (without revocation) by DTC’s underwriting department; (c) Borrower’s depositary agent is approved as an agent in the DTC/FAST Program; (d) the Conversion Shares are otherwise eligible for delivery via DWAC; and (e) Borrower’s depositary bank does not have a policy prohibiting or limiting delivery of the Conversion Shares via DWAC.</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A8. “</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xml:space="preserve">” means any ADSs, options, or convertible securities issued or issuable in connection with any Approved ADS Plan;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option term, exercise price, or similar provisions of any issuances pursuant to such Approved ADS Plan are not amended, modified, or changed on or after the Purchase Price Date.</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A9. “</w:t>
      </w:r>
      <w:r>
        <w:rPr>
          <w:rFonts w:ascii="Times New Roman" w:cs="Times New Roman" w:eastAsia="Times New Roman" w:hAnsi="Times New Roman"/>
          <w:sz w:val="18"/>
          <w:szCs w:val="18"/>
          <w:b w:val="1"/>
          <w:bCs w:val="1"/>
          <w:color w:val="auto"/>
        </w:rPr>
        <w:t>Floor Price</w:t>
      </w:r>
      <w:r>
        <w:rPr>
          <w:rFonts w:ascii="Times New Roman" w:cs="Times New Roman" w:eastAsia="Times New Roman" w:hAnsi="Times New Roman"/>
          <w:sz w:val="18"/>
          <w:szCs w:val="18"/>
          <w:color w:val="auto"/>
        </w:rPr>
        <w:t>” means $0.244 per share.</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A10.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that (a) (i) Borrower or any of its Subsidiaries shall, directly or indirectly, in one or more related transactions, consolidate or merge with or into (whether or not Borrower or any of its Subsidiaries is the surviving corporation) any other person or entity, (ii) Borrower or any of its Subsidiaries shall, directly or indirectly, in one or more related transactions, sell, lease, license, assign, transfer, convey or otherwise dispose of all or substantially all of its respective properties or assets to any other person or entity, (iii) Borrower or any of its Subsidiaries shall, directly or indirectly, in one or more related transactions, allow any other person or entity to make a purchase, tender or exchange offer that is accepted by the holders of more than 50% of the outstanding shares of voting stock of Borrower (not including any shares of voting stock of Borrower held by the person or persons making or party to, or associated or affiliated with the persons or entities making or party to, such purchase, tender or exchange offer), (iv) Borrower or any of its Subsidiaries shall, directly or indirectly, in one or more related transactions, consummate a stock or share purchase agreement or other business combination (including, without limitation, a reorganization, recapitalization, spin-off or scheme of arrangement) with any other person or entity whereby such other person or entity acquires more than 50% of the outstanding shares of voting stock of Borrower (not including any shares of voting stock of Borrower held by the other persons or entities making or party to, or associated or affiliated with the other persons or entities making or party to, such stock or share purchase agreement or other business combination), (v) Borrower or any of its Subsidiaries shall, directly or indirectly, in one or more related transactions, reorganize, recapitalize or reclassify the ordinary shares or ADSs, other than an increase in the number of authorized shares of Borrower’s ordinary shares or ADSs, (vi) Borrower transfers any material asset to any Subsidiary, affiliate, person or entity under common ownership or control with Borrower, or (vii) Borrower pays or makes any monetary or non-monetary dividend or distribution to its shareholders; or (b)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Borrower. For the avoidance of doubt, Company or any if the Subsidiaries entering into a definitive agreement that contemplates a Fundamental Transaction will be deemed to be a Fundamental Transaction unless such agreement contains a closing condition that this Note is repaid in full upon consummation of the transaction.</w:t>
      </w:r>
    </w:p>
    <w:p>
      <w:pPr>
        <w:spacing w:after="0" w:line="19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Attachment 1 to First Convertible Promissory Note,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291465</wp:posOffset>
            </wp:positionV>
            <wp:extent cx="7132320" cy="171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104" w:name="page105"/>
    <w:bookmarkEnd w:id="104"/>
    <w:p>
      <w:pPr>
        <w:ind w:left="640"/>
        <w:spacing w:after="0"/>
        <w:rPr>
          <w:sz w:val="20"/>
          <w:szCs w:val="20"/>
          <w:color w:val="auto"/>
        </w:rPr>
      </w:pPr>
      <w:r>
        <w:rPr>
          <w:rFonts w:ascii="Times New Roman" w:cs="Times New Roman" w:eastAsia="Times New Roman" w:hAnsi="Times New Roman"/>
          <w:sz w:val="18"/>
          <w:szCs w:val="18"/>
          <w:color w:val="auto"/>
        </w:rPr>
        <w:t>A11. “</w:t>
      </w:r>
      <w:r>
        <w:rPr>
          <w:rFonts w:ascii="Times New Roman" w:cs="Times New Roman" w:eastAsia="Times New Roman" w:hAnsi="Times New Roman"/>
          <w:sz w:val="18"/>
          <w:szCs w:val="18"/>
          <w:b w:val="1"/>
          <w:bCs w:val="1"/>
          <w:color w:val="auto"/>
        </w:rPr>
        <w:t>Major Trigger Event</w:t>
      </w:r>
      <w:r>
        <w:rPr>
          <w:rFonts w:ascii="Times New Roman" w:cs="Times New Roman" w:eastAsia="Times New Roman" w:hAnsi="Times New Roman"/>
          <w:sz w:val="18"/>
          <w:szCs w:val="18"/>
          <w:color w:val="auto"/>
        </w:rPr>
        <w:t>” means any Trigger Event occurring under Sections 4.1(a) – 4.1(i).</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A12. “</w:t>
      </w:r>
      <w:r>
        <w:rPr>
          <w:rFonts w:ascii="Times New Roman" w:cs="Times New Roman" w:eastAsia="Times New Roman" w:hAnsi="Times New Roman"/>
          <w:sz w:val="18"/>
          <w:szCs w:val="18"/>
          <w:b w:val="1"/>
          <w:bCs w:val="1"/>
          <w:color w:val="auto"/>
        </w:rPr>
        <w:t>Mandatory Default Amount</w:t>
      </w:r>
      <w:r>
        <w:rPr>
          <w:rFonts w:ascii="Times New Roman" w:cs="Times New Roman" w:eastAsia="Times New Roman" w:hAnsi="Times New Roman"/>
          <w:sz w:val="18"/>
          <w:szCs w:val="18"/>
          <w:color w:val="auto"/>
        </w:rPr>
        <w:t>” means the Outstanding Balance following the application of the Trigger Effect.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A13. “</w:t>
      </w:r>
      <w:r>
        <w:rPr>
          <w:rFonts w:ascii="Times New Roman" w:cs="Times New Roman" w:eastAsia="Times New Roman" w:hAnsi="Times New Roman"/>
          <w:sz w:val="18"/>
          <w:szCs w:val="18"/>
          <w:b w:val="1"/>
          <w:bCs w:val="1"/>
          <w:color w:val="auto"/>
        </w:rPr>
        <w:t>Market Price</w:t>
      </w:r>
      <w:r>
        <w:rPr>
          <w:rFonts w:ascii="Times New Roman" w:cs="Times New Roman" w:eastAsia="Times New Roman" w:hAnsi="Times New Roman"/>
          <w:sz w:val="18"/>
          <w:szCs w:val="18"/>
          <w:color w:val="auto"/>
        </w:rPr>
        <w:t>” means 80% multiplied by the lowest daily VWAP in the ten (10) Trading Day period immediately preceding the applicable measurement date.</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A14. “</w:t>
      </w:r>
      <w:r>
        <w:rPr>
          <w:rFonts w:ascii="Times New Roman" w:cs="Times New Roman" w:eastAsia="Times New Roman" w:hAnsi="Times New Roman"/>
          <w:sz w:val="18"/>
          <w:szCs w:val="18"/>
          <w:b w:val="1"/>
          <w:bCs w:val="1"/>
          <w:color w:val="auto"/>
        </w:rPr>
        <w:t>Minor Trigger Event</w:t>
      </w:r>
      <w:r>
        <w:rPr>
          <w:rFonts w:ascii="Times New Roman" w:cs="Times New Roman" w:eastAsia="Times New Roman" w:hAnsi="Times New Roman"/>
          <w:sz w:val="18"/>
          <w:szCs w:val="18"/>
          <w:color w:val="auto"/>
        </w:rPr>
        <w:t>” means any Trigger Event that is not a Major Trigger Event.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A15. “</w:t>
      </w:r>
      <w:r>
        <w:rPr>
          <w:rFonts w:ascii="Times New Roman" w:cs="Times New Roman" w:eastAsia="Times New Roman" w:hAnsi="Times New Roman"/>
          <w:sz w:val="18"/>
          <w:szCs w:val="18"/>
          <w:b w:val="1"/>
          <w:bCs w:val="1"/>
          <w:color w:val="auto"/>
        </w:rPr>
        <w:t>OID</w:t>
      </w:r>
      <w:r>
        <w:rPr>
          <w:rFonts w:ascii="Times New Roman" w:cs="Times New Roman" w:eastAsia="Times New Roman" w:hAnsi="Times New Roman"/>
          <w:sz w:val="18"/>
          <w:szCs w:val="18"/>
          <w:color w:val="auto"/>
        </w:rPr>
        <w:t>” means original issue discount.</w:t>
      </w:r>
    </w:p>
    <w:p>
      <w:pPr>
        <w:spacing w:after="0" w:line="225" w:lineRule="exact"/>
        <w:rPr>
          <w:sz w:val="20"/>
          <w:szCs w:val="20"/>
          <w:color w:val="auto"/>
        </w:rPr>
      </w:pPr>
    </w:p>
    <w:p>
      <w:pPr>
        <w:jc w:val="both"/>
        <w:ind w:firstLine="647"/>
        <w:spacing w:after="0" w:line="268" w:lineRule="auto"/>
        <w:rPr>
          <w:sz w:val="20"/>
          <w:szCs w:val="20"/>
          <w:color w:val="auto"/>
        </w:rPr>
      </w:pPr>
      <w:r>
        <w:rPr>
          <w:rFonts w:ascii="Times New Roman" w:cs="Times New Roman" w:eastAsia="Times New Roman" w:hAnsi="Times New Roman"/>
          <w:sz w:val="18"/>
          <w:szCs w:val="18"/>
          <w:color w:val="auto"/>
        </w:rPr>
        <w:t>A16. “</w:t>
      </w:r>
      <w:r>
        <w:rPr>
          <w:rFonts w:ascii="Times New Roman" w:cs="Times New Roman" w:eastAsia="Times New Roman" w:hAnsi="Times New Roman"/>
          <w:sz w:val="18"/>
          <w:szCs w:val="18"/>
          <w:b w:val="1"/>
          <w:bCs w:val="1"/>
          <w:color w:val="auto"/>
        </w:rPr>
        <w:t>Other Agreements</w:t>
      </w:r>
      <w:r>
        <w:rPr>
          <w:rFonts w:ascii="Times New Roman" w:cs="Times New Roman" w:eastAsia="Times New Roman" w:hAnsi="Times New Roman"/>
          <w:sz w:val="18"/>
          <w:szCs w:val="18"/>
          <w:color w:val="auto"/>
        </w:rPr>
        <w:t>” means, collectively, (a) all existing and future agreements and instruments between, among or by Borrower (or a subsidiary), on the one hand, and Lender (or an affiliate), on the other hand, and (b) any financing agreement or a material agreement that affects Borrower’s ongoing business operations.</w:t>
      </w:r>
    </w:p>
    <w:p>
      <w:pPr>
        <w:spacing w:after="0" w:line="171" w:lineRule="exact"/>
        <w:rPr>
          <w:sz w:val="20"/>
          <w:szCs w:val="20"/>
          <w:color w:val="auto"/>
        </w:rPr>
      </w:pPr>
    </w:p>
    <w:p>
      <w:pPr>
        <w:jc w:val="both"/>
        <w:ind w:firstLine="647"/>
        <w:spacing w:after="0" w:line="262" w:lineRule="auto"/>
        <w:rPr>
          <w:sz w:val="20"/>
          <w:szCs w:val="20"/>
          <w:color w:val="auto"/>
        </w:rPr>
      </w:pPr>
      <w:r>
        <w:rPr>
          <w:rFonts w:ascii="Times New Roman" w:cs="Times New Roman" w:eastAsia="Times New Roman" w:hAnsi="Times New Roman"/>
          <w:sz w:val="18"/>
          <w:szCs w:val="18"/>
          <w:color w:val="auto"/>
        </w:rPr>
        <w:t>A17. “</w:t>
      </w:r>
      <w:r>
        <w:rPr>
          <w:rFonts w:ascii="Times New Roman" w:cs="Times New Roman" w:eastAsia="Times New Roman" w:hAnsi="Times New Roman"/>
          <w:sz w:val="18"/>
          <w:szCs w:val="18"/>
          <w:b w:val="1"/>
          <w:bCs w:val="1"/>
          <w:color w:val="auto"/>
        </w:rPr>
        <w:t>Outstanding Balance</w:t>
      </w:r>
      <w:r>
        <w:rPr>
          <w:rFonts w:ascii="Times New Roman" w:cs="Times New Roman" w:eastAsia="Times New Roman" w:hAnsi="Times New Roman"/>
          <w:sz w:val="18"/>
          <w:szCs w:val="18"/>
          <w:color w:val="auto"/>
        </w:rPr>
        <w:t>” means as of any date of determination, the Purchase Price, as reduced or increased, as the case may be, pursuant to the terms hereof for payment, Conversion, offset, or otherwise, plus the Transaction Expense Amount, plus the OID, plus accrued but unpaid interest, collection and enforcements costs (including attorneys’ fees) incurred by Lender, transfer, stamp, issuance and similar taxes and fees related to Conversions, and any other fees or charges (including without limitation Conversion Delay Late Fees) incurred under this Note.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A18. “</w:t>
      </w:r>
      <w:r>
        <w:rPr>
          <w:rFonts w:ascii="Times New Roman" w:cs="Times New Roman" w:eastAsia="Times New Roman" w:hAnsi="Times New Roman"/>
          <w:sz w:val="18"/>
          <w:szCs w:val="18"/>
          <w:b w:val="1"/>
          <w:bCs w:val="1"/>
          <w:color w:val="auto"/>
        </w:rPr>
        <w:t>Purchase Price Date</w:t>
      </w:r>
      <w:r>
        <w:rPr>
          <w:rFonts w:ascii="Times New Roman" w:cs="Times New Roman" w:eastAsia="Times New Roman" w:hAnsi="Times New Roman"/>
          <w:sz w:val="18"/>
          <w:szCs w:val="18"/>
          <w:color w:val="auto"/>
        </w:rPr>
        <w:t>” means the date the Purchase Price is delivered by Lender to Borrower.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A19.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the New York Stock Exchange (or such other principal market for the ADSs) is open for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w:t>
      </w:r>
    </w:p>
    <w:p>
      <w:pPr>
        <w:spacing w:after="0" w:line="203" w:lineRule="exact"/>
        <w:rPr>
          <w:sz w:val="20"/>
          <w:szCs w:val="20"/>
          <w:color w:val="auto"/>
        </w:rPr>
      </w:pPr>
    </w:p>
    <w:p>
      <w:pPr>
        <w:jc w:val="both"/>
        <w:ind w:firstLine="647"/>
        <w:spacing w:after="0" w:line="257" w:lineRule="auto"/>
        <w:rPr>
          <w:sz w:val="20"/>
          <w:szCs w:val="20"/>
          <w:color w:val="auto"/>
        </w:rPr>
      </w:pPr>
      <w:r>
        <w:rPr>
          <w:rFonts w:ascii="Times New Roman" w:cs="Times New Roman" w:eastAsia="Times New Roman" w:hAnsi="Times New Roman"/>
          <w:sz w:val="18"/>
          <w:szCs w:val="18"/>
          <w:color w:val="auto"/>
        </w:rPr>
        <w:t>A20. “</w:t>
      </w:r>
      <w:r>
        <w:rPr>
          <w:rFonts w:ascii="Times New Roman" w:cs="Times New Roman" w:eastAsia="Times New Roman" w:hAnsi="Times New Roman"/>
          <w:sz w:val="18"/>
          <w:szCs w:val="18"/>
          <w:b w:val="1"/>
          <w:bCs w:val="1"/>
          <w:color w:val="auto"/>
        </w:rPr>
        <w:t>Trigger Effect</w:t>
      </w:r>
      <w:r>
        <w:rPr>
          <w:rFonts w:ascii="Times New Roman" w:cs="Times New Roman" w:eastAsia="Times New Roman" w:hAnsi="Times New Roman"/>
          <w:sz w:val="18"/>
          <w:szCs w:val="18"/>
          <w:color w:val="auto"/>
        </w:rPr>
        <w:t>” means multiplying the Outstanding Balance as of the date the applicable Event of Default occurred by (a) fifteen percent (15%) for each occurrence of any Major Trigger Event, or (b) ten percent (10%) for each occurrence of any Minor Trigger Event, and then adding the resulting product to the Outstanding Balance as of the date the applicable Event of Default occurred, with the sum of the foregoing then becoming the Outstanding Balance under this Note as of the date the applicable Event of Default occurred; provided, however, that the Trigger Effect may only be applied up to three (3) time with respect to a Major Trigger Event and up to three (3) times with respect to a Minor Trigger Event; provided, further, that the Trigger Effect will not apply to any Trigger Event pursuant to Section 4.1(j).</w:t>
      </w:r>
    </w:p>
    <w:p>
      <w:pPr>
        <w:spacing w:after="0" w:line="182" w:lineRule="exact"/>
        <w:rPr>
          <w:sz w:val="20"/>
          <w:szCs w:val="20"/>
          <w:color w:val="auto"/>
        </w:rPr>
      </w:pPr>
    </w:p>
    <w:p>
      <w:pPr>
        <w:jc w:val="both"/>
        <w:ind w:firstLine="647"/>
        <w:spacing w:after="0" w:line="286" w:lineRule="auto"/>
        <w:rPr>
          <w:sz w:val="20"/>
          <w:szCs w:val="20"/>
          <w:color w:val="auto"/>
        </w:rPr>
      </w:pPr>
      <w:r>
        <w:rPr>
          <w:rFonts w:ascii="Times New Roman" w:cs="Times New Roman" w:eastAsia="Times New Roman" w:hAnsi="Times New Roman"/>
          <w:sz w:val="18"/>
          <w:szCs w:val="18"/>
          <w:color w:val="auto"/>
        </w:rPr>
        <w:t>A21.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the volume weighted average price of the ADSs on the principal market for a particular Trading Day or set of Trading Days, as the case may be, as reported by Bloomberg.</w:t>
      </w:r>
    </w:p>
    <w:p>
      <w:pPr>
        <w:spacing w:after="0" w:line="15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2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Attachment 1 to First Convertible Promissory Note,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291465</wp:posOffset>
            </wp:positionV>
            <wp:extent cx="7132320" cy="171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Streeterville Capital, LLC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297 Auto Mall Dr. #4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 George, Utah 84770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Trident Digital Tech Holdings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Soon Huat Lim, CEO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NOTICE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above-captioned Lender hereby gives notice to Trident Digital Tech Holdings Ltd, a Cayman Islands exempted company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pursuant to that certain First Convertible Promissory Note made by Borrower in favor of Lender on August 7, 2025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that Lender elects to convert the portion of the Note balance set forth below into fully paid and non-assessable ADSs of Borrower as of the date of conversion specified below. Said conversion shall be based on the Conversion Price set forth below. In the event of a conflict between this Conversion Notice and the Note, the Note shall govern, or, in the alternative, at the election of Lender in its sole discretion, Lender may provide a new form of Conversion Notice to conform to the Note. Capitalized terms used in this notice without definition shall have the meanings given to them in the Note.</w:t>
      </w:r>
    </w:p>
    <w:p>
      <w:pPr>
        <w:spacing w:after="0" w:line="186" w:lineRule="exact"/>
        <w:rPr>
          <w:sz w:val="20"/>
          <w:szCs w:val="20"/>
          <w:color w:val="auto"/>
        </w:rPr>
      </w:pPr>
    </w:p>
    <w:p>
      <w:pPr>
        <w:ind w:left="1000" w:hanging="547"/>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Conversion:</w:t>
      </w:r>
    </w:p>
    <w:p>
      <w:pPr>
        <w:spacing w:after="0" w:line="2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w:t>
      </w:r>
    </w:p>
    <w:p>
      <w:pPr>
        <w:spacing w:after="0" w:line="9"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Amount:</w:t>
      </w:r>
    </w:p>
    <w:p>
      <w:pPr>
        <w:spacing w:after="0" w:line="9"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-430530</wp:posOffset>
            </wp:positionV>
            <wp:extent cx="117094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2">
                      <a:extLst>
                        <a:ext uri="{28A0092B-C50C-407E-A947-70E740481C1C}"/>
                      </a:extLst>
                    </a:blip>
                    <a:srcRect/>
                    <a:stretch>
                      <a:fillRect/>
                    </a:stretch>
                  </pic:blipFill>
                  <pic:spPr bwMode="auto">
                    <a:xfrm>
                      <a:off x="0" y="0"/>
                      <a:ext cx="1170940" cy="8255"/>
                    </a:xfrm>
                    <a:prstGeom prst="rect">
                      <a:avLst/>
                    </a:prstGeom>
                    <a:noFill/>
                  </pic:spPr>
                </pic:pic>
              </a:graphicData>
            </a:graphic>
          </wp:anchor>
        </w:drawing>
        <w:drawing>
          <wp:anchor simplePos="0" relativeHeight="251657728" behindDoc="1" locked="0" layoutInCell="0" allowOverlap="1">
            <wp:simplePos x="0" y="0"/>
            <wp:positionH relativeFrom="column">
              <wp:posOffset>1311910</wp:posOffset>
            </wp:positionH>
            <wp:positionV relativeFrom="paragraph">
              <wp:posOffset>-293370</wp:posOffset>
            </wp:positionV>
            <wp:extent cx="14566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3">
                      <a:extLst>
                        <a:ext uri="{28A0092B-C50C-407E-A947-70E740481C1C}"/>
                      </a:extLst>
                    </a:blip>
                    <a:srcRect/>
                    <a:stretch>
                      <a:fillRect/>
                    </a:stretch>
                  </pic:blipFill>
                  <pic:spPr bwMode="auto">
                    <a:xfrm>
                      <a:off x="0" y="0"/>
                      <a:ext cx="1456690" cy="8255"/>
                    </a:xfrm>
                    <a:prstGeom prst="rect">
                      <a:avLst/>
                    </a:prstGeom>
                    <a:noFill/>
                  </pic:spPr>
                </pic:pic>
              </a:graphicData>
            </a:graphic>
          </wp:anchor>
        </w:drawing>
        <w:drawing>
          <wp:anchor simplePos="0" relativeHeight="251657728" behindDoc="1" locked="0" layoutInCell="0" allowOverlap="1">
            <wp:simplePos x="0" y="0"/>
            <wp:positionH relativeFrom="column">
              <wp:posOffset>1629410</wp:posOffset>
            </wp:positionH>
            <wp:positionV relativeFrom="paragraph">
              <wp:posOffset>-156210</wp:posOffset>
            </wp:positionV>
            <wp:extent cx="114236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4">
                      <a:extLst>
                        <a:ext uri="{28A0092B-C50C-407E-A947-70E740481C1C}"/>
                      </a:extLst>
                    </a:blip>
                    <a:srcRect/>
                    <a:stretch>
                      <a:fillRect/>
                    </a:stretch>
                  </pic:blipFill>
                  <pic:spPr bwMode="auto">
                    <a:xfrm>
                      <a:off x="0" y="0"/>
                      <a:ext cx="1142365" cy="8255"/>
                    </a:xfrm>
                    <a:prstGeom prst="rect">
                      <a:avLst/>
                    </a:prstGeom>
                    <a:noFill/>
                  </pic:spPr>
                </pic:pic>
              </a:graphicData>
            </a:graphic>
          </wp:anchor>
        </w:drawing>
        <w:drawing>
          <wp:anchor simplePos="0" relativeHeight="251657728" behindDoc="1" locked="0" layoutInCell="0" allowOverlap="1">
            <wp:simplePos x="0" y="0"/>
            <wp:positionH relativeFrom="column">
              <wp:posOffset>1489710</wp:posOffset>
            </wp:positionH>
            <wp:positionV relativeFrom="paragraph">
              <wp:posOffset>-19050</wp:posOffset>
            </wp:positionV>
            <wp:extent cx="131381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5">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85"/>
        </w:trPr>
        <w:tc>
          <w:tcPr>
            <w:tcW w:w="3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E.</w:t>
            </w:r>
          </w:p>
        </w:tc>
        <w:tc>
          <w:tcPr>
            <w:tcW w:w="16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Conversion Shares:</w:t>
            </w:r>
          </w:p>
        </w:tc>
        <w:tc>
          <w:tcPr>
            <w:tcW w:w="1880" w:type="dxa"/>
            <w:vAlign w:val="bottom"/>
            <w:tcBorders>
              <w:bottom w:val="single" w:sz="8" w:color="auto"/>
            </w:tcBorders>
            <w:gridSpan w:val="2"/>
          </w:tcPr>
          <w:p>
            <w:pPr>
              <w:spacing w:after="0"/>
              <w:rPr>
                <w:sz w:val="16"/>
                <w:szCs w:val="16"/>
                <w:color w:val="auto"/>
              </w:rPr>
            </w:pPr>
          </w:p>
        </w:tc>
        <w:tc>
          <w:tcPr>
            <w:tcW w:w="1440" w:type="dxa"/>
            <w:vAlign w:val="bottom"/>
            <w:gridSpan w:val="2"/>
          </w:tcPr>
          <w:p>
            <w:pPr>
              <w:jc w:val="right"/>
              <w:ind w:right="160"/>
              <w:spacing w:after="0" w:line="184" w:lineRule="exact"/>
              <w:rPr>
                <w:sz w:val="20"/>
                <w:szCs w:val="20"/>
                <w:color w:val="auto"/>
              </w:rPr>
            </w:pPr>
            <w:r>
              <w:rPr>
                <w:rFonts w:ascii="Times New Roman" w:cs="Times New Roman" w:eastAsia="Times New Roman" w:hAnsi="Times New Roman"/>
                <w:sz w:val="18"/>
                <w:szCs w:val="18"/>
                <w:color w:val="auto"/>
              </w:rPr>
              <w:t>(C divided by D)</w:t>
            </w:r>
          </w:p>
        </w:tc>
      </w:tr>
      <w:tr>
        <w:trPr>
          <w:trHeight w:val="196"/>
        </w:trPr>
        <w:tc>
          <w:tcPr>
            <w:tcW w:w="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w:t>
            </w:r>
          </w:p>
        </w:tc>
        <w:tc>
          <w:tcPr>
            <w:tcW w:w="322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Remaining Outstanding Balance of Note:</w:t>
            </w:r>
          </w:p>
        </w:tc>
        <w:tc>
          <w:tcPr>
            <w:tcW w:w="320" w:type="dxa"/>
            <w:vAlign w:val="bottom"/>
          </w:tcPr>
          <w:p>
            <w:pPr>
              <w:spacing w:after="0"/>
              <w:rPr>
                <w:sz w:val="17"/>
                <w:szCs w:val="17"/>
                <w:color w:val="auto"/>
              </w:rPr>
            </w:pPr>
          </w:p>
        </w:tc>
        <w:tc>
          <w:tcPr>
            <w:tcW w:w="1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340" w:hanging="332"/>
        <w:spacing w:after="0" w:line="266" w:lineRule="auto"/>
        <w:tabs>
          <w:tab w:leader="none" w:pos="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adjustments for corrections, defaults, interest, and other adjustments permitted by the Transaction Documents (as defined in the Purchase Agreement), the terms of which shall control in the event of any dispute between the terms of this Conversion Notice and such Transaction Documents.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Please transfer the Conversion Shares electronically (via DWAC) to the following account</w:t>
      </w:r>
      <w:r>
        <w:rPr>
          <w:rFonts w:ascii="Times New Roman" w:cs="Times New Roman" w:eastAsia="Times New Roman" w:hAnsi="Times New Roman"/>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w w:val="98"/>
              </w:rPr>
              <w:t>Broker:</w:t>
            </w:r>
          </w:p>
        </w:tc>
        <w:tc>
          <w:tcPr>
            <w:tcW w:w="2920" w:type="dxa"/>
            <w:vAlign w:val="bottom"/>
            <w:tcBorders>
              <w:bottom w:val="single" w:sz="8" w:color="auto"/>
            </w:tcBorders>
            <w:gridSpan w:val="5"/>
          </w:tcPr>
          <w:p>
            <w:pPr>
              <w:spacing w:after="0"/>
              <w:rPr>
                <w:sz w:val="18"/>
                <w:szCs w:val="18"/>
                <w:color w:val="auto"/>
              </w:rPr>
            </w:pPr>
          </w:p>
        </w:tc>
        <w:tc>
          <w:tcPr>
            <w:tcW w:w="324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6"/>
              </w:rPr>
              <w:t>Address:</w:t>
            </w:r>
          </w:p>
        </w:tc>
      </w:tr>
      <w:tr>
        <w:trPr>
          <w:trHeight w:val="196"/>
        </w:trPr>
        <w:tc>
          <w:tcPr>
            <w:tcW w:w="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DTC#:</w:t>
            </w:r>
          </w:p>
        </w:tc>
        <w:tc>
          <w:tcPr>
            <w:tcW w:w="2920" w:type="dxa"/>
            <w:vAlign w:val="bottom"/>
            <w:tcBorders>
              <w:bottom w:val="single" w:sz="8" w:color="auto"/>
            </w:tcBorders>
            <w:gridSpan w:val="5"/>
          </w:tcPr>
          <w:p>
            <w:pPr>
              <w:spacing w:after="0"/>
              <w:rPr>
                <w:sz w:val="17"/>
                <w:szCs w:val="17"/>
                <w:color w:val="auto"/>
              </w:rPr>
            </w:pPr>
          </w:p>
        </w:tc>
        <w:tc>
          <w:tcPr>
            <w:tcW w:w="3240" w:type="dxa"/>
            <w:vAlign w:val="bottom"/>
          </w:tcPr>
          <w:p>
            <w:pPr>
              <w:spacing w:after="0"/>
              <w:rPr>
                <w:sz w:val="17"/>
                <w:szCs w:val="17"/>
                <w:color w:val="auto"/>
              </w:rPr>
            </w:pPr>
          </w:p>
        </w:tc>
      </w:tr>
      <w:tr>
        <w:trPr>
          <w:trHeight w:val="209"/>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 #:</w:t>
            </w:r>
          </w:p>
        </w:tc>
        <w:tc>
          <w:tcPr>
            <w:tcW w:w="2580" w:type="dxa"/>
            <w:vAlign w:val="bottom"/>
            <w:tcBorders>
              <w:bottom w:val="single" w:sz="8" w:color="auto"/>
            </w:tcBorders>
            <w:gridSpan w:val="3"/>
          </w:tcPr>
          <w:p>
            <w:pPr>
              <w:spacing w:after="0"/>
              <w:rPr>
                <w:sz w:val="18"/>
                <w:szCs w:val="18"/>
                <w:color w:val="auto"/>
              </w:rPr>
            </w:pPr>
          </w:p>
        </w:tc>
        <w:tc>
          <w:tcPr>
            <w:tcW w:w="6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0"/>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 Name:</w:t>
            </w:r>
          </w:p>
        </w:tc>
        <w:tc>
          <w:tcPr>
            <w:tcW w:w="2220" w:type="dxa"/>
            <w:vAlign w:val="bottom"/>
            <w:tcBorders>
              <w:bottom w:val="single" w:sz="8" w:color="auto"/>
            </w:tcBorders>
          </w:tcPr>
          <w:p>
            <w:pPr>
              <w:spacing w:after="0"/>
              <w:rPr>
                <w:sz w:val="18"/>
                <w:szCs w:val="18"/>
                <w:color w:val="auto"/>
              </w:rPr>
            </w:pPr>
          </w:p>
        </w:tc>
        <w:tc>
          <w:tcPr>
            <w:tcW w:w="80" w:type="dxa"/>
            <w:vAlign w:val="bottom"/>
            <w:gridSpan w:val="2"/>
          </w:tcPr>
          <w:p>
            <w:pPr>
              <w:spacing w:after="0"/>
              <w:rPr>
                <w:sz w:val="18"/>
                <w:szCs w:val="18"/>
                <w:color w:val="auto"/>
              </w:rPr>
            </w:pPr>
          </w:p>
        </w:tc>
        <w:tc>
          <w:tcPr>
            <w:tcW w:w="32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-419100</wp:posOffset>
            </wp:positionV>
            <wp:extent cx="256286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6">
                      <a:extLst>
                        <a:ext uri="{28A0092B-C50C-407E-A947-70E740481C1C}"/>
                      </a:extLst>
                    </a:blip>
                    <a:srcRect/>
                    <a:stretch>
                      <a:fillRect/>
                    </a:stretch>
                  </pic:blipFill>
                  <pic:spPr bwMode="auto">
                    <a:xfrm>
                      <a:off x="0" y="0"/>
                      <a:ext cx="256286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-273685</wp:posOffset>
            </wp:positionV>
            <wp:extent cx="256286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7">
                      <a:extLst>
                        <a:ext uri="{28A0092B-C50C-407E-A947-70E740481C1C}"/>
                      </a:extLst>
                    </a:blip>
                    <a:srcRect/>
                    <a:stretch>
                      <a:fillRect/>
                    </a:stretch>
                  </pic:blipFill>
                  <pic:spPr bwMode="auto">
                    <a:xfrm>
                      <a:off x="0" y="0"/>
                      <a:ext cx="256286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-128270</wp:posOffset>
            </wp:positionV>
            <wp:extent cx="256286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0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Lender:</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treeterville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apital</w:t>
      </w:r>
      <w:r>
        <w:rPr>
          <w:rFonts w:ascii="Times New Roman" w:cs="Times New Roman" w:eastAsia="Times New Roman" w:hAnsi="Times New Roman"/>
          <w:sz w:val="18"/>
          <w:szCs w:val="18"/>
          <w:b w:val="1"/>
          <w:bCs w:val="1"/>
          <w:color w:val="auto"/>
        </w:rPr>
        <w:t>, LLC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John M. Fife,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Second Note</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See attached.</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SECOND CONVERTIBLE PROMISSORY NOTE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gridSpan w:val="2"/>
          </w:tcPr>
          <w:p>
            <w:pPr>
              <w:jc w:val="right"/>
              <w:ind w:right="3700"/>
              <w:spacing w:after="0"/>
              <w:rPr>
                <w:sz w:val="20"/>
                <w:szCs w:val="20"/>
                <w:color w:val="auto"/>
              </w:rPr>
            </w:pPr>
            <w:r>
              <w:rPr>
                <w:rFonts w:ascii="Times New Roman" w:cs="Times New Roman" w:eastAsia="Times New Roman" w:hAnsi="Times New Roman"/>
                <w:sz w:val="18"/>
                <w:szCs w:val="18"/>
                <w:color w:val="auto"/>
              </w:rPr>
              <w:t>, 2025</w:t>
            </w:r>
          </w:p>
        </w:tc>
        <w:tc>
          <w:tcPr>
            <w:tcW w:w="5100" w:type="dxa"/>
            <w:vAlign w:val="bottom"/>
          </w:tcPr>
          <w:p>
            <w:pPr>
              <w:ind w:left="3700"/>
              <w:spacing w:after="0"/>
              <w:rPr>
                <w:sz w:val="20"/>
                <w:szCs w:val="20"/>
                <w:color w:val="auto"/>
              </w:rPr>
            </w:pPr>
            <w:r>
              <w:rPr>
                <w:rFonts w:ascii="Times New Roman" w:cs="Times New Roman" w:eastAsia="Times New Roman" w:hAnsi="Times New Roman"/>
                <w:sz w:val="18"/>
                <w:szCs w:val="18"/>
                <w:color w:val="auto"/>
                <w:w w:val="98"/>
              </w:rPr>
              <w:t>U.S. $1,080,000.00</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left="340" w:firstLine="648"/>
        <w:spacing w:after="0" w:line="254" w:lineRule="auto"/>
        <w:rPr>
          <w:sz w:val="20"/>
          <w:szCs w:val="20"/>
          <w:color w:val="auto"/>
        </w:rPr>
      </w:pPr>
      <w:r>
        <w:rPr>
          <w:rFonts w:ascii="Times New Roman" w:cs="Times New Roman" w:eastAsia="Times New Roman" w:hAnsi="Times New Roman"/>
          <w:sz w:val="18"/>
          <w:szCs w:val="18"/>
          <w:color w:val="auto"/>
        </w:rPr>
        <w:t>FOR VALUE RECEIVED, T</w:t>
      </w:r>
      <w:r>
        <w:rPr>
          <w:rFonts w:ascii="Times New Roman" w:cs="Times New Roman" w:eastAsia="Times New Roman" w:hAnsi="Times New Roman"/>
          <w:sz w:val="12"/>
          <w:szCs w:val="12"/>
          <w:color w:val="auto"/>
        </w:rPr>
        <w:t>rident digital tech holdings ltd</w:t>
      </w:r>
      <w:r>
        <w:rPr>
          <w:rFonts w:ascii="Times New Roman" w:cs="Times New Roman" w:eastAsia="Times New Roman" w:hAnsi="Times New Roman"/>
          <w:sz w:val="18"/>
          <w:szCs w:val="18"/>
          <w:color w:val="auto"/>
        </w:rPr>
        <w:t>, a Cayman Islands exempted company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promises to pay to S</w:t>
      </w:r>
      <w:r>
        <w:rPr>
          <w:rFonts w:ascii="Times New Roman" w:cs="Times New Roman" w:eastAsia="Times New Roman" w:hAnsi="Times New Roman"/>
          <w:sz w:val="12"/>
          <w:szCs w:val="12"/>
          <w:color w:val="auto"/>
        </w:rPr>
        <w:t>treeterville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llc</w:t>
      </w:r>
      <w:r>
        <w:rPr>
          <w:rFonts w:ascii="Times New Roman" w:cs="Times New Roman" w:eastAsia="Times New Roman" w:hAnsi="Times New Roman"/>
          <w:sz w:val="18"/>
          <w:szCs w:val="18"/>
          <w:color w:val="auto"/>
        </w:rPr>
        <w:t>, a Utah limited liability company, or its successors or assigns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$1,080,000.00 and any interest, fees, charges, and late fees accrued hereunder on the date that is twelve (12) months after the Purchase Price Date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in accordance with the terms set forth herein and to pay interest on the Outstanding Balance at the rate of eight percent (8%) per annum simple interest from the Purchase Price Date until the same is paid in full. All interest calculations hereunder shall be computed on the basis of a 360-day year comprised of twelve (12) thirty (30)-day months and shall be payable in accordance with the terms of this Note. This Second Convertible Promissory Note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 issued and made effective as of the Second Closing Date (as defined in that certain Securities Purchase Agreement dated August 7, 2025, as the same may be amended from time to time, by and between Borrower and Lender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This Note is issued pursuant to the Purchase Agreement. Certain capitalized terms used herein are defined in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color w:val="auto"/>
        </w:rPr>
        <w:t xml:space="preserve"> attached hereto and incorporated herein by this reference.</w:t>
      </w:r>
    </w:p>
    <w:p>
      <w:pPr>
        <w:spacing w:after="0" w:line="192" w:lineRule="exact"/>
        <w:rPr>
          <w:sz w:val="20"/>
          <w:szCs w:val="20"/>
          <w:color w:val="auto"/>
        </w:rPr>
      </w:pPr>
    </w:p>
    <w:p>
      <w:pPr>
        <w:jc w:val="both"/>
        <w:ind w:left="340" w:firstLine="648"/>
        <w:spacing w:after="0" w:line="258" w:lineRule="auto"/>
        <w:rPr>
          <w:sz w:val="20"/>
          <w:szCs w:val="20"/>
          <w:color w:val="auto"/>
        </w:rPr>
      </w:pPr>
      <w:r>
        <w:rPr>
          <w:rFonts w:ascii="Times New Roman" w:cs="Times New Roman" w:eastAsia="Times New Roman" w:hAnsi="Times New Roman"/>
          <w:sz w:val="18"/>
          <w:szCs w:val="18"/>
          <w:color w:val="auto"/>
        </w:rPr>
        <w:t>This Note carries an OID of $80,000.00, which is included in the initial principal balance of this Note and is deemed to be fully earned and non-refundable as of the Purchase Price Date. The purchase price for this Note shall be $1,000,000.00 less the Pre-Delivery Shares Issuance Fees (as defined in the Purchase Agreement)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computed as follows: $1,080,000.00 original principal balance, less the OID, and the Pre-Delivery Shares Issuance Fees. The Purchase Price shall be payable by Lender by wire transfer of immediately available funds within three (3) Trading Days of the Effective Date.</w:t>
      </w:r>
    </w:p>
    <w:p>
      <w:pPr>
        <w:spacing w:after="0" w:line="183" w:lineRule="exact"/>
        <w:rPr>
          <w:sz w:val="20"/>
          <w:szCs w:val="20"/>
          <w:color w:val="auto"/>
        </w:rPr>
      </w:pPr>
    </w:p>
    <w:p>
      <w:pPr>
        <w:ind w:left="1620" w:hanging="640"/>
        <w:spacing w:after="0"/>
        <w:tabs>
          <w:tab w:leader="none" w:pos="16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Prepayment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4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All payments owing hereunder shall be in lawful money of the United States of America or Conversion Shares (as defined below), as provided for herein, and delivered to Lender at the address or bank account furnished to Borrower for that purpose. All payments shall be applied first to (a) costs of collection, if any, then to (b) fees and charges, if any, then to (c) accrued and unpaid interest, and thereafter, to (d) principal.</w:t>
      </w:r>
    </w:p>
    <w:p>
      <w:pPr>
        <w:spacing w:after="0" w:line="180" w:lineRule="exact"/>
        <w:rPr>
          <w:sz w:val="20"/>
          <w:szCs w:val="20"/>
          <w:color w:val="auto"/>
        </w:rPr>
      </w:pPr>
    </w:p>
    <w:p>
      <w:pPr>
        <w:jc w:val="both"/>
        <w:ind w:left="340"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Prepayment</w:t>
      </w:r>
      <w:r>
        <w:rPr>
          <w:rFonts w:ascii="Times New Roman" w:cs="Times New Roman" w:eastAsia="Times New Roman" w:hAnsi="Times New Roman"/>
          <w:sz w:val="18"/>
          <w:szCs w:val="18"/>
          <w:color w:val="auto"/>
        </w:rPr>
        <w:t>. So long as no Event of Default (as defined below) has occurred, Borrower shall have the right, exercisable on not less than ten (10) Trading Days prior written notice to Lender to prepay the Outstanding Balance (less such portion of the Outstanding Balance for which Borrower has received a Conversion Notice (as defined below) from Lender where the applicable Conversion Shares have not yet been delivered) of this Note, in part or in full, in accordance with this Section 1.2. Any notice of prepayment hereunder (an “</w:t>
      </w:r>
      <w:r>
        <w:rPr>
          <w:rFonts w:ascii="Times New Roman" w:cs="Times New Roman" w:eastAsia="Times New Roman" w:hAnsi="Times New Roman"/>
          <w:sz w:val="18"/>
          <w:szCs w:val="18"/>
          <w:b w:val="1"/>
          <w:bCs w:val="1"/>
          <w:color w:val="auto"/>
        </w:rPr>
        <w:t>Optional Prepayment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shall be delivered to Lender at its registered address or through email and shall state: (i) that Borrower is exercising its right to prepay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 and (ii) the date of prepayment, which shall be not less than ten (10) Trading Days from the date of the Optional Prepayment Notice. On the date fixed for prepayment (the “</w:t>
      </w:r>
      <w:r>
        <w:rPr>
          <w:rFonts w:ascii="Times New Roman" w:cs="Times New Roman" w:eastAsia="Times New Roman" w:hAnsi="Times New Roman"/>
          <w:sz w:val="18"/>
          <w:szCs w:val="18"/>
          <w:b w:val="1"/>
          <w:bCs w:val="1"/>
          <w:color w:val="auto"/>
        </w:rPr>
        <w:t>Optional Prepayment Date</w:t>
      </w:r>
      <w:r>
        <w:rPr>
          <w:rFonts w:ascii="Times New Roman" w:cs="Times New Roman" w:eastAsia="Times New Roman" w:hAnsi="Times New Roman"/>
          <w:sz w:val="18"/>
          <w:szCs w:val="18"/>
          <w:color w:val="auto"/>
        </w:rPr>
        <w:t>”), Borrower shall make payment of the Optional Prepayment Amount (as defined below) to or upon the order of Lender as may be specified by Lender in writing to Borrower. For the avoidance of doubt, Lender shall be entitled to exercise its Conversion (as defined below) rights until the Optional Prepayment Date. If Borrower exercises its right to prepay this Note, Borrower shall make payment to Lender of an amount in cash equal to 120% multiplied by the Outstanding Balance of this Note (the “</w:t>
      </w:r>
      <w:r>
        <w:rPr>
          <w:rFonts w:ascii="Times New Roman" w:cs="Times New Roman" w:eastAsia="Times New Roman" w:hAnsi="Times New Roman"/>
          <w:sz w:val="18"/>
          <w:szCs w:val="18"/>
          <w:b w:val="1"/>
          <w:bCs w:val="1"/>
          <w:color w:val="auto"/>
        </w:rPr>
        <w:t>Optional Prepayment Amount</w:t>
      </w:r>
      <w:r>
        <w:rPr>
          <w:rFonts w:ascii="Times New Roman" w:cs="Times New Roman" w:eastAsia="Times New Roman" w:hAnsi="Times New Roman"/>
          <w:sz w:val="18"/>
          <w:szCs w:val="18"/>
          <w:color w:val="auto"/>
        </w:rPr>
        <w:t>”). In the event Borrower delivers the Optional Prepayment Amount to Lender prior to the Optional Prepayment Date, the Optional Prepayment Amount shall not be deemed to have been paid to Lender until the Optional Prepayment Date. In the event Borrower delivers the Optional Prepayment Amount without an Optional Prepayment Notice, then the Optional Prepayment Date will be deemed to be the date that is ten (10) Trading Days from the date that the Optional Prepayment Amount was delivered to Lender and Lender shall be entitled to exercise its Conversion rights during such ten (10) Trading Day period. In addition, if Borrower delivers an Optional Prepayment Notice and fails to pay the Optional Prepayment Amount due to Lender within two (2) Trading Days following the Optional Prepayment Date, Borrower shall forever forfeit its right to prepay this Note.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ind w:left="1280" w:hanging="640"/>
        <w:spacing w:after="0"/>
        <w:tabs>
          <w:tab w:leader="none" w:pos="12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This Note is unsecured.</w:t>
      </w:r>
    </w:p>
    <w:p>
      <w:pPr>
        <w:spacing w:after="0" w:line="225" w:lineRule="exact"/>
        <w:rPr>
          <w:rFonts w:ascii="Times New Roman" w:cs="Times New Roman" w:eastAsia="Times New Roman" w:hAnsi="Times New Roman"/>
          <w:sz w:val="18"/>
          <w:szCs w:val="18"/>
          <w:color w:val="auto"/>
        </w:rPr>
      </w:pPr>
    </w:p>
    <w:p>
      <w:pPr>
        <w:jc w:val="both"/>
        <w:ind w:firstLine="639"/>
        <w:spacing w:after="0" w:line="253" w:lineRule="auto"/>
        <w:tabs>
          <w:tab w:leader="none" w:pos="82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Conversions</w:t>
      </w:r>
      <w:r>
        <w:rPr>
          <w:rFonts w:ascii="Times New Roman" w:cs="Times New Roman" w:eastAsia="Times New Roman" w:hAnsi="Times New Roman"/>
          <w:sz w:val="18"/>
          <w:szCs w:val="18"/>
          <w:color w:val="auto"/>
        </w:rPr>
        <w:t>. At any time on or after the Effective Date and until the Outstanding Balance has been paid in full, at its election, Lender shall have the right to convert (each instance of conversion is referred to herein as a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all or any portion of the Outstanding Balance into fully paid and non-assessable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of Borrower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as per the following conversion formula: the number of Conversion Shares equals the amount of the Outstanding Balance being converted (the “</w:t>
      </w:r>
      <w:r>
        <w:rPr>
          <w:rFonts w:ascii="Times New Roman" w:cs="Times New Roman" w:eastAsia="Times New Roman" w:hAnsi="Times New Roman"/>
          <w:sz w:val="18"/>
          <w:szCs w:val="18"/>
          <w:b w:val="1"/>
          <w:bCs w:val="1"/>
          <w:color w:val="auto"/>
        </w:rPr>
        <w:t>Conversion Amount</w:t>
      </w:r>
      <w:r>
        <w:rPr>
          <w:rFonts w:ascii="Times New Roman" w:cs="Times New Roman" w:eastAsia="Times New Roman" w:hAnsi="Times New Roman"/>
          <w:sz w:val="18"/>
          <w:szCs w:val="18"/>
          <w:color w:val="auto"/>
        </w:rPr>
        <w:t xml:space="preserve">”) divided by the Conversion Price. In the event the Conversion Price is below the Floor Price, Lender will have the right to elect to have the applicable Conversion Amount paid in cash within two (2) Trading Days of receipt of the Conversion Notice (as defined below) rather than delivering Conversion Shares. Conversion notices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Conversion Notice</w:t>
      </w:r>
      <w:r>
        <w:rPr>
          <w:rFonts w:ascii="Times New Roman" w:cs="Times New Roman" w:eastAsia="Times New Roman" w:hAnsi="Times New Roman"/>
          <w:sz w:val="18"/>
          <w:szCs w:val="18"/>
          <w:color w:val="auto"/>
        </w:rPr>
        <w:t>”) may be effectively delivered to Borrower by any method set forth in the “Notices” section of the Purchase Agreement, and all Conversions shall not require further payment from Lender. Borrower shall deliver the Conversion Shares from any Conversion to Lender in accordance with Section 8 below. Investor shall be responsible to pay all fees related to the transfer of ordinary shares to ADSs in order to satisfy any Conversion hereunder.</w:t>
      </w:r>
    </w:p>
    <w:p>
      <w:pPr>
        <w:spacing w:after="0" w:line="194"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Trigger Events; Defaults; and Remedies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Trigger Events</w:t>
      </w:r>
      <w:r>
        <w:rPr>
          <w:rFonts w:ascii="Times New Roman" w:cs="Times New Roman" w:eastAsia="Times New Roman" w:hAnsi="Times New Roman"/>
          <w:sz w:val="18"/>
          <w:szCs w:val="18"/>
          <w:color w:val="auto"/>
        </w:rPr>
        <w:t>. The following are trigger events under this Note (each, a “</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(a) Borrower fails to pay any principal, interest, fees, charges, or any other amount when due and payable hereunder; (b) a receiver, trustee or other similar official shall be appointed over Borrower or a material part of its assets and such appointment shall remain uncontested for twenty (20) days or shall not be dismissed or discharged within sixty (60) days; (c) Borrower becomes insolvent or generally fails to pay, or admits in writing its inability to pay, its debts as they become due; (d) Borrower makes a general assignment for the benefit of creditors; (e) Borrower files a petition for relief under any bankruptcy, insolvency or similar law (domestic or foreign); (f) an involuntary bankruptcy proceeding is commenced or filed against Borrower; (g) Borrower fails to observe or perform any covenant set forth in Section 4 of the Purchase Agreement; (h) the occurrence of a Fundamental Transaction without Lender’s prior written consent; (i) at any time during the period beginning on the date which the Registration Statement becomes effective and ending on the date that is six (6) months from the Purchase Price Date, Borrower fails to maintain an effective registration statement pursuant to which Lender is authorized to sell registered Conversion Shares; (j) Borrower fails to deliver any Conversion Shares in accordance with the terms hereof; (k) Borrower or any pledgor, trustor, or guarantor of this Note defaults or otherwise fails to observe or perform any covenant, obligation, condition, or agreement of Borrower or such pledgor, trustor, or guarantor contained herein or in any other Transaction Document (as defined in the Purchase Agreement), other than those specifically set forth in this Section 4.1 and Section 4 of the Purchase Agreement; (l) any representation, warranty or other statement made or furnished by or on behalf of Borrower or any pledgor, trustor, or guarantor of this Note to Lender herein, in any Transaction Document, or otherwise in connection with the issuance of this Note is false, incorrect, incomplete or misleading in any material respect when made or furnished; (m) Borrower effectuates a reverse split, ratio change or other similar event with respect to its ADSs without twenty (20) Trading Days prior written notice to Lender; (n) any money judgment, writ or similar process is entered or filed against Borrower or any subsidiary of Borrower or any of its property or other assets for more than $100,000.00, and shall remain unvacated, unbonded or unstayed for a period of twenty (20) calendar days unless otherwise consented to by Lender; or (o) Borrower, any subsidiary of Borrower, or any pledgor, trustor, or guarantor of this Note breaches any covenant or other term or condition contained in any Other Agreements.</w:t>
      </w:r>
    </w:p>
    <w:p>
      <w:pPr>
        <w:spacing w:after="0" w:line="200" w:lineRule="exact"/>
        <w:rPr>
          <w:sz w:val="20"/>
          <w:szCs w:val="20"/>
          <w:color w:val="auto"/>
        </w:rPr>
      </w:pPr>
    </w:p>
    <w:p>
      <w:pPr>
        <w:spacing w:after="0" w:line="20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109" w:name="page110"/>
    <w:bookmarkEnd w:id="109"/>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Trigger Event Remedies</w:t>
      </w:r>
      <w:r>
        <w:rPr>
          <w:rFonts w:ascii="Times New Roman" w:cs="Times New Roman" w:eastAsia="Times New Roman" w:hAnsi="Times New Roman"/>
          <w:sz w:val="18"/>
          <w:szCs w:val="18"/>
          <w:color w:val="auto"/>
        </w:rPr>
        <w:t>. At any time following the occurrence of any Trigger Event, Lender may, at its option, increase the Outstanding Balance by applying the Trigger Effect (subject to the limitation set forth below).</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Defaults</w:t>
      </w:r>
      <w:r>
        <w:rPr>
          <w:rFonts w:ascii="Times New Roman" w:cs="Times New Roman" w:eastAsia="Times New Roman" w:hAnsi="Times New Roman"/>
          <w:sz w:val="18"/>
          <w:szCs w:val="18"/>
          <w:color w:val="auto"/>
        </w:rPr>
        <w:t>. At any time following the occurrence of a Trigger Event, Lender may, at its option, send written notice to Borrower demanding that Borrower cure the Trigger Event within five (5) Trading Days. If Borrower fails to cure the Trigger Event within the required five (5) Trading Day cure period, the Trigger Event will automatically become an event of default hereunder (each,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Default Remedies</w:t>
      </w:r>
      <w:r>
        <w:rPr>
          <w:rFonts w:ascii="Times New Roman" w:cs="Times New Roman" w:eastAsia="Times New Roman" w:hAnsi="Times New Roman"/>
          <w:sz w:val="18"/>
          <w:szCs w:val="18"/>
          <w:color w:val="auto"/>
        </w:rPr>
        <w:t>. At any time and from time to time following the occurrence of any Event of Default, Lender may accelerate this Note by written notice to Borrower, with the Outstanding Balance becoming immediately due and payable in cash at the Mandatory Default Amount. Notwithstanding the foregoing, upon the occurrence of any Trigger Event described in clauses (b) – (f) of Section 4.1, an Event of Default will be deemed to have occurred and the Outstanding Balance as of the date of the occurrence of such Trigger Event shall become immediately and automatically due and payable in cash at the Mandatory Default Amount, without any written notice required by Lender for the Trigger Event to become an Event of Default. At any time following the occurrence of any Event of Default, upon written notice given by Lender to Borrower, interest shall accrue on the Outstanding Balance beginning on the date the applicable Event of Default occurred at an interest rate equal to the lesser of eighteen percent (18%) per annum simple interest or the maximum rate permitted under applicable law (“</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For the avoidance of doubt, Lender may continue making Conversions at any time following a Trigger Event or Event of Default until such time as the Outstanding Balance is paid in full. In connection with acceleration described herein, Lender need not provide, and Borrower hereby waives, any presentment, demand, protest, or other notice of any kind, and Lender may immediately and without expiration of any grace period enforce any and all of its rights and remedies hereunder and all other remedies available to it under applicable law. Such acceleration may be rescinded and annulled by Lender at any time prior to payment hereunder, and Lender shall have all rights as a holder of the Note until such time, if any, as Lender receives full payment of this Note. No such rescission or annulment shall affect any subsequent Trigger Event or Event of Default or impair any right consequent thereon. Nothing herein shall limit Lender’s right to pursue any other remedies available to it at law or in equity including, without limitation, a decree of specific performance and/or injunctive relief with respect to Borrower’s failure to timely deliver Conversion Shares upon Conversion of the Note as required pursuant to the terms hereof.</w:t>
      </w:r>
    </w:p>
    <w:p>
      <w:pPr>
        <w:spacing w:after="0" w:line="193" w:lineRule="exact"/>
        <w:rPr>
          <w:sz w:val="20"/>
          <w:szCs w:val="20"/>
          <w:color w:val="auto"/>
        </w:rPr>
      </w:pPr>
    </w:p>
    <w:p>
      <w:pPr>
        <w:jc w:val="both"/>
        <w:ind w:firstLine="639"/>
        <w:spacing w:after="0" w:line="289" w:lineRule="auto"/>
        <w:tabs>
          <w:tab w:leader="none" w:pos="827"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Unconditional Obligation; No Offset</w:t>
      </w:r>
      <w:r>
        <w:rPr>
          <w:rFonts w:ascii="Times New Roman" w:cs="Times New Roman" w:eastAsia="Times New Roman" w:hAnsi="Times New Roman"/>
          <w:sz w:val="17"/>
          <w:szCs w:val="17"/>
          <w:color w:val="auto"/>
        </w:rPr>
        <w:t>. Borrower acknowledges that this Note is an unconditional, valid, binding, and enforceable obligation of Borrower not subject to offset, deduction, or counterclaim of any kind. Borrower hereby waives any rights of offset it now has or may have hereafter against Lender, its successors and assigns, and agrees to make the payments or Conversions called for herein in accordance with the terms of this Note.</w:t>
      </w:r>
    </w:p>
    <w:p>
      <w:pPr>
        <w:spacing w:after="0" w:line="157" w:lineRule="exact"/>
        <w:rPr>
          <w:rFonts w:ascii="Times New Roman" w:cs="Times New Roman" w:eastAsia="Times New Roman" w:hAnsi="Times New Roman"/>
          <w:sz w:val="17"/>
          <w:szCs w:val="17"/>
          <w:color w:val="auto"/>
        </w:rPr>
      </w:pPr>
    </w:p>
    <w:p>
      <w:pPr>
        <w:jc w:val="both"/>
        <w:ind w:firstLine="640"/>
        <w:spacing w:after="0" w:line="261" w:lineRule="auto"/>
        <w:tabs>
          <w:tab w:leader="none" w:pos="84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provision of this Note shall be effective unless it is in the form of a writing signed by the party granting the waiver. No waiver of any provision or consent to any prohibited action shall constitute a waiver of any other provision or consent to any other prohibited action, whether or not similar. No waiver or consent shall constitute a continuing waiver or consent or commit a party to provide a waiver or consent in the future, except to the extent specifically set forth in writing.</w:t>
      </w:r>
    </w:p>
    <w:p>
      <w:pPr>
        <w:spacing w:after="0" w:line="3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110" w:name="page111"/>
    <w:bookmarkEnd w:id="110"/>
    <w:p>
      <w:pPr>
        <w:ind w:left="1280" w:hanging="640"/>
        <w:spacing w:after="0"/>
        <w:tabs>
          <w:tab w:leader="none" w:pos="12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Issuance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Adjustment of Conversion Price upon Subdivision or Combination of ADSs</w:t>
      </w:r>
      <w:r>
        <w:rPr>
          <w:rFonts w:ascii="Times New Roman" w:cs="Times New Roman" w:eastAsia="Times New Roman" w:hAnsi="Times New Roman"/>
          <w:sz w:val="18"/>
          <w:szCs w:val="18"/>
          <w:color w:val="auto"/>
        </w:rPr>
        <w:t>. Without limiting any provision hereof, if Borrower at any time on or after the Effective Date subdivides (by any stock split, stock dividend, recapitalization, change in ordinary share to ADS ratio or otherwise) one or more classes of its outstanding ADSs into a greater number of ADSs, the Fixed Price in effect immediately prior to such subdivision will be proportionately reduced. Without limiting any provision hereof, if Borrower at any time on or after the Effective Date combines (by combination, reverse stock split, change in ADS to ordinary share ratio or otherwise) one or more classes of its outstanding ADSs into a smaller number of ADSs, the Fixed Price in effect immediately prior to such combination will be proportionately increased. Any adjustment pursuant to this Section 7.1 shall become effective immediately after the effective date of such subdivision or combination. If any event requiring an adjustment under this Section 7.1 occurs during the period that a Market Price is calculated hereunder, then the calculation of such Market Price shall be adjusted appropriately to reflect such event.</w:t>
      </w:r>
    </w:p>
    <w:p>
      <w:pPr>
        <w:spacing w:after="0" w:line="188" w:lineRule="exact"/>
        <w:rPr>
          <w:sz w:val="20"/>
          <w:szCs w:val="20"/>
          <w:color w:val="auto"/>
        </w:rPr>
      </w:pPr>
    </w:p>
    <w:p>
      <w:pPr>
        <w:jc w:val="both"/>
        <w:ind w:firstLine="1295"/>
        <w:spacing w:after="0" w:line="25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In the event that Borrower (or any subsidiary) shall take any action to which the provisions hereof are not strictly applicable, or, if applicable, would not operate to protect Lender from dilution or if any event occurs of the type contemplated by the provisions of this Section 7 but not expressly provided for by such provisions (including, without limitation, the granting of stock appreciation rights, phantom stock rights or other rights with equity features), then Borrower’s board of directors shall in good faith determine and implement an appropriate adjustment in the Conversion Price so as to protect the rights of Lender, provided that no such adjustment pursuant to this Section 7.2 will increase the Conversion Price as otherwise determined pursuant to this Section 7, provided further that if Lender does not accept such adjustments as appropriately protecting its interests hereunder against such dilution, then Borrower’s board of directors and Lender shall agree, in good faith, upon an independent investment bank of nationally recognized standing to make such appropriate adjustments, whose determination shall be final and binding and whose fees and expenses shall be borne by Borrower.</w:t>
      </w:r>
    </w:p>
    <w:p>
      <w:pPr>
        <w:spacing w:after="0" w:line="188" w:lineRule="exact"/>
        <w:rPr>
          <w:sz w:val="20"/>
          <w:szCs w:val="20"/>
          <w:color w:val="auto"/>
        </w:rPr>
      </w:pPr>
    </w:p>
    <w:p>
      <w:pPr>
        <w:jc w:val="both"/>
        <w:ind w:firstLine="639"/>
        <w:spacing w:after="0" w:line="254" w:lineRule="auto"/>
        <w:tabs>
          <w:tab w:leader="none" w:pos="82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Conversion Share Delivery</w:t>
      </w:r>
      <w:r>
        <w:rPr>
          <w:rFonts w:ascii="Times New Roman" w:cs="Times New Roman" w:eastAsia="Times New Roman" w:hAnsi="Times New Roman"/>
          <w:sz w:val="18"/>
          <w:szCs w:val="18"/>
          <w:color w:val="auto"/>
        </w:rPr>
        <w:t>. On or before the close of business on the second (2nd) Trading Day following the date of delivery of a Conversion Notice (the “</w:t>
      </w:r>
      <w:r>
        <w:rPr>
          <w:rFonts w:ascii="Times New Roman" w:cs="Times New Roman" w:eastAsia="Times New Roman" w:hAnsi="Times New Roman"/>
          <w:sz w:val="18"/>
          <w:szCs w:val="18"/>
          <w:b w:val="1"/>
          <w:bCs w:val="1"/>
          <w:color w:val="auto"/>
        </w:rPr>
        <w:t>Delivery Date</w:t>
      </w:r>
      <w:r>
        <w:rPr>
          <w:rFonts w:ascii="Times New Roman" w:cs="Times New Roman" w:eastAsia="Times New Roman" w:hAnsi="Times New Roman"/>
          <w:sz w:val="18"/>
          <w:szCs w:val="18"/>
          <w:color w:val="auto"/>
        </w:rPr>
        <w:t>”), Borrower shall, deliver or cause its depositary bank to issue and deliver the applicable Conversion Shares electronically, via DTC Delivery Free of Payment or Delivery Vs Payment, as applicable and as previously discussed and arranged with the depositary bank, to the account designated by Lender in the applicable Conversion Notice. Moreover, and notwithstanding anything to the contrary herein or in any other Transaction Document, in the event Borrower or its depositary refuses to deliver any Conversion Shares without a restrictive securities legend to Lender on grounds that such issuance is in violation of Rule 144 under the Securities Act of 1933, as amended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Borrower shall deliver or cause its depositary to deliver the applicable Conversion Shares in share form to Lender with a restricted securities legend, but otherwise in accordance with the provisions of this Section 8. In conjunction therewith, Borrower will also deliver to Lender a written explanation from its counsel opining as to why the issuance of the applicable Conversion Shares violates Rule 144.</w:t>
      </w:r>
    </w:p>
    <w:p>
      <w:pPr>
        <w:spacing w:after="0" w:line="188" w:lineRule="exact"/>
        <w:rPr>
          <w:rFonts w:ascii="Times New Roman" w:cs="Times New Roman" w:eastAsia="Times New Roman" w:hAnsi="Times New Roman"/>
          <w:sz w:val="18"/>
          <w:szCs w:val="18"/>
          <w:color w:val="auto"/>
        </w:rPr>
      </w:pPr>
    </w:p>
    <w:p>
      <w:pPr>
        <w:jc w:val="both"/>
        <w:ind w:firstLine="639"/>
        <w:spacing w:after="0" w:line="255" w:lineRule="auto"/>
        <w:tabs>
          <w:tab w:leader="none" w:pos="82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Delays</w:t>
      </w:r>
      <w:r>
        <w:rPr>
          <w:rFonts w:ascii="Times New Roman" w:cs="Times New Roman" w:eastAsia="Times New Roman" w:hAnsi="Times New Roman"/>
          <w:sz w:val="18"/>
          <w:szCs w:val="18"/>
          <w:color w:val="auto"/>
        </w:rPr>
        <w:t>. If Borrower fails to deliver Conversion Shares in accordance with the timeframe stated in Section 8, Lender may at any time prior to receiving the applicable Conversion Shares rescind in whole or in part such Conversion, with a corresponding increase to the Outstanding Balance (any returned amount will tack back to the Purchase Price Date for purposes of determining the holding period under Rule 144). In addition, for each Conversion, in the event that Conversion Shares are not delivered by the Delivery Date, a late fee equal to 2% of the applicable Conversion Share Value rounded to the nearest multiple of $100.00 but with a floor of $500.00 per day (but in any event the cumulative amount of such late fees for each Conversion shall not exceed 200% of the applicable Conversion Share Value) will be assessed for each day after the Delivery Date until Conversion Share delivery is made; and such late fees will be added to the Outstanding Balance (such fees, the “</w:t>
      </w:r>
      <w:r>
        <w:rPr>
          <w:rFonts w:ascii="Times New Roman" w:cs="Times New Roman" w:eastAsia="Times New Roman" w:hAnsi="Times New Roman"/>
          <w:sz w:val="18"/>
          <w:szCs w:val="18"/>
          <w:b w:val="1"/>
          <w:bCs w:val="1"/>
          <w:color w:val="auto"/>
        </w:rPr>
        <w:t>Conversion Delay Late Fees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111" w:name="page112"/>
    <w:bookmarkEnd w:id="111"/>
    <w:p>
      <w:pPr>
        <w:ind w:left="900" w:hanging="260"/>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Fees</w:t>
      </w:r>
      <w:r>
        <w:rPr>
          <w:rFonts w:ascii="Times New Roman" w:cs="Times New Roman" w:eastAsia="Times New Roman" w:hAnsi="Times New Roman"/>
          <w:sz w:val="18"/>
          <w:szCs w:val="18"/>
          <w:color w:val="auto"/>
        </w:rPr>
        <w:t>. Lender will be responsible for any fees that must be paid in order to issue any Conversion Shares to Lender.</w:t>
      </w:r>
    </w:p>
    <w:p>
      <w:pPr>
        <w:spacing w:after="0" w:line="225" w:lineRule="exact"/>
        <w:rPr>
          <w:rFonts w:ascii="Times New Roman" w:cs="Times New Roman" w:eastAsia="Times New Roman" w:hAnsi="Times New Roman"/>
          <w:sz w:val="18"/>
          <w:szCs w:val="18"/>
          <w:color w:val="auto"/>
        </w:rPr>
      </w:pPr>
    </w:p>
    <w:p>
      <w:pPr>
        <w:jc w:val="both"/>
        <w:ind w:firstLine="639"/>
        <w:spacing w:after="0" w:line="255" w:lineRule="auto"/>
        <w:tabs>
          <w:tab w:leader="none" w:pos="91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Sales Limitation</w:t>
      </w:r>
      <w:r>
        <w:rPr>
          <w:rFonts w:ascii="Times New Roman" w:cs="Times New Roman" w:eastAsia="Times New Roman" w:hAnsi="Times New Roman"/>
          <w:sz w:val="18"/>
          <w:szCs w:val="18"/>
          <w:color w:val="auto"/>
        </w:rPr>
        <w:t>. Lender agrees that so long as no Trigger Event has occurred, Lender will limit its sales of Conversion Shares and Pre-Delivery Shares (as defined in the Purchase Agreement) on the open market in any given calendar week to fifteen percent (15%) of the weekly trading volume of the ADSs on all trading markets for such week (the “</w:t>
      </w:r>
      <w:r>
        <w:rPr>
          <w:rFonts w:ascii="Times New Roman" w:cs="Times New Roman" w:eastAsia="Times New Roman" w:hAnsi="Times New Roman"/>
          <w:sz w:val="18"/>
          <w:szCs w:val="18"/>
          <w:b w:val="1"/>
          <w:bCs w:val="1"/>
          <w:color w:val="auto"/>
        </w:rPr>
        <w:t>Sales Limitation</w:t>
      </w:r>
      <w:r>
        <w:rPr>
          <w:rFonts w:ascii="Times New Roman" w:cs="Times New Roman" w:eastAsia="Times New Roman" w:hAnsi="Times New Roman"/>
          <w:sz w:val="18"/>
          <w:szCs w:val="18"/>
          <w:color w:val="auto"/>
        </w:rPr>
        <w:t>”), unless otherwise authorized by Borrower in writing. In the event Lender breaches such covenant, Borrower’s sole and exclusive remedy shall be the reduction of the Outstanding Balance in an amount equal to fifty percent (50%) of the net proceeds Lender received from excess sales in any given week (or payable in cash if this Note has been satisfied in full). For the avoidance of doubt, both the Sales Limitation and Borrower’s remedy related to such limitation shall expire thirty (30) days after satisfaction in full of the Note.</w:t>
      </w:r>
    </w:p>
    <w:p>
      <w:pPr>
        <w:spacing w:after="0" w:line="188" w:lineRule="exact"/>
        <w:rPr>
          <w:rFonts w:ascii="Times New Roman" w:cs="Times New Roman" w:eastAsia="Times New Roman" w:hAnsi="Times New Roman"/>
          <w:sz w:val="18"/>
          <w:szCs w:val="18"/>
          <w:color w:val="auto"/>
        </w:rPr>
      </w:pPr>
    </w:p>
    <w:p>
      <w:pPr>
        <w:jc w:val="both"/>
        <w:ind w:firstLine="640"/>
        <w:spacing w:after="0" w:line="256" w:lineRule="auto"/>
        <w:tabs>
          <w:tab w:leader="none" w:pos="93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Notwithstanding anything to the contrary contained in this Note or the other Transaction Documents, Borrower shall not effect any conversion of this Note to the extent that, after giving effect to such conversion, Lender (together with its affiliates) would beneficially own a number of ADSs representing 9.99% of the ordinary shares of Borrower outstanding on such date (including for such purpose the ADSs issuable upon such issuance)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For purposes of this section, beneficial ownership of ADSs will be determined pursuant to Section 13(d) of the Securities Exchange Act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The Maximum Percentage is enforceable, unconditional and non-waivable and shall apply to all affiliates and assigns of Lender.</w:t>
      </w:r>
    </w:p>
    <w:p>
      <w:pPr>
        <w:spacing w:after="0" w:line="187" w:lineRule="exact"/>
        <w:rPr>
          <w:rFonts w:ascii="Times New Roman" w:cs="Times New Roman" w:eastAsia="Times New Roman" w:hAnsi="Times New Roman"/>
          <w:sz w:val="18"/>
          <w:szCs w:val="18"/>
          <w:color w:val="auto"/>
        </w:rPr>
      </w:pPr>
    </w:p>
    <w:p>
      <w:pPr>
        <w:ind w:firstLine="640"/>
        <w:spacing w:after="0" w:line="282" w:lineRule="auto"/>
        <w:tabs>
          <w:tab w:leader="none" w:pos="91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In the event that an opinion of counsel is needed for any Conversion under this Note, Lender has the right to have any such opinion provided by its counsel.</w:t>
      </w:r>
    </w:p>
    <w:p>
      <w:pPr>
        <w:spacing w:after="0" w:line="161" w:lineRule="exact"/>
        <w:rPr>
          <w:rFonts w:ascii="Times New Roman" w:cs="Times New Roman" w:eastAsia="Times New Roman" w:hAnsi="Times New Roman"/>
          <w:sz w:val="18"/>
          <w:szCs w:val="18"/>
          <w:color w:val="auto"/>
        </w:rPr>
      </w:pPr>
    </w:p>
    <w:p>
      <w:pPr>
        <w:jc w:val="both"/>
        <w:ind w:firstLine="640"/>
        <w:spacing w:after="0" w:line="258" w:lineRule="auto"/>
        <w:tabs>
          <w:tab w:leader="none" w:pos="93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Note shall be construed and enforced in accordance with, and all questions concerning the construction, validity, interpretation and performance of this Note shall be governed by, the internal laws of the State of Utah, without giving effect to any choice of law or conflict of law provision or rule (whether of the State of Utah or any other jurisdiction) that would cause the application of the laws of any jurisdiction other than the State of Utah. The provisions set forth in the Purchase Agreement to determine the proper venue for any disputes are incorporated herein by this reference.</w:t>
      </w:r>
    </w:p>
    <w:p>
      <w:pPr>
        <w:spacing w:after="0" w:line="183" w:lineRule="exact"/>
        <w:rPr>
          <w:rFonts w:ascii="Times New Roman" w:cs="Times New Roman" w:eastAsia="Times New Roman" w:hAnsi="Times New Roman"/>
          <w:sz w:val="18"/>
          <w:szCs w:val="18"/>
          <w:color w:val="auto"/>
        </w:rPr>
      </w:pPr>
    </w:p>
    <w:p>
      <w:pPr>
        <w:ind w:firstLine="640"/>
        <w:spacing w:after="0" w:line="282" w:lineRule="auto"/>
        <w:tabs>
          <w:tab w:leader="none" w:pos="91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of Disputes</w:t>
      </w:r>
      <w:r>
        <w:rPr>
          <w:rFonts w:ascii="Times New Roman" w:cs="Times New Roman" w:eastAsia="Times New Roman" w:hAnsi="Times New Roman"/>
          <w:sz w:val="18"/>
          <w:szCs w:val="18"/>
          <w:color w:val="auto"/>
        </w:rPr>
        <w:t>. By its issuance or acceptance of this Note, each party agrees to be bound by the Arbitration Provisions (as defined in the Purchase Agreement) set forth as an exhibit to the Purchase Agreement.</w:t>
      </w:r>
    </w:p>
    <w:p>
      <w:pPr>
        <w:spacing w:after="0" w:line="161" w:lineRule="exact"/>
        <w:rPr>
          <w:rFonts w:ascii="Times New Roman" w:cs="Times New Roman" w:eastAsia="Times New Roman" w:hAnsi="Times New Roman"/>
          <w:sz w:val="18"/>
          <w:szCs w:val="18"/>
          <w:color w:val="auto"/>
        </w:rPr>
      </w:pPr>
    </w:p>
    <w:p>
      <w:pPr>
        <w:ind w:firstLine="640"/>
        <w:spacing w:after="0" w:line="282" w:lineRule="auto"/>
        <w:tabs>
          <w:tab w:leader="none" w:pos="91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After repayment or conversion of the entire Outstanding Balance, this Note shall be deemed paid in full, shall automatically be deemed canceled, and shall not be reissued.</w:t>
      </w:r>
    </w:p>
    <w:p>
      <w:pPr>
        <w:spacing w:after="0" w:line="161" w:lineRule="exact"/>
        <w:rPr>
          <w:rFonts w:ascii="Times New Roman" w:cs="Times New Roman" w:eastAsia="Times New Roman" w:hAnsi="Times New Roman"/>
          <w:sz w:val="18"/>
          <w:szCs w:val="18"/>
          <w:color w:val="auto"/>
        </w:rPr>
      </w:pPr>
    </w:p>
    <w:p>
      <w:pPr>
        <w:ind w:left="900" w:hanging="260"/>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prior written consent of both parties hereto shall be required for any change or amendment to this Note.</w:t>
      </w:r>
    </w:p>
    <w:p>
      <w:pPr>
        <w:spacing w:after="0" w:line="225" w:lineRule="exact"/>
        <w:rPr>
          <w:rFonts w:ascii="Times New Roman" w:cs="Times New Roman" w:eastAsia="Times New Roman" w:hAnsi="Times New Roman"/>
          <w:sz w:val="18"/>
          <w:szCs w:val="18"/>
          <w:color w:val="auto"/>
        </w:rPr>
      </w:pPr>
    </w:p>
    <w:p>
      <w:pPr>
        <w:jc w:val="both"/>
        <w:ind w:firstLine="639"/>
        <w:spacing w:after="0" w:line="266" w:lineRule="auto"/>
        <w:tabs>
          <w:tab w:leader="none" w:pos="91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w:t>
      </w:r>
      <w:r>
        <w:rPr>
          <w:rFonts w:ascii="Times New Roman" w:cs="Times New Roman" w:eastAsia="Times New Roman" w:hAnsi="Times New Roman"/>
          <w:sz w:val="18"/>
          <w:szCs w:val="18"/>
          <w:color w:val="auto"/>
        </w:rPr>
        <w:t>. Borrower may not assign this Note without the prior written consent of Lender. This Note and any Conversion Shares issued upon conversion of this Note may be offered, sold, assigned, or transferred by Lender without the consent of Borrower, so long as such transfer is in accordance with applicable federal and state securities laws.</w:t>
      </w:r>
    </w:p>
    <w:p>
      <w:pPr>
        <w:spacing w:after="0" w:line="175" w:lineRule="exact"/>
        <w:rPr>
          <w:rFonts w:ascii="Times New Roman" w:cs="Times New Roman" w:eastAsia="Times New Roman" w:hAnsi="Times New Roman"/>
          <w:sz w:val="18"/>
          <w:szCs w:val="18"/>
          <w:color w:val="auto"/>
        </w:rPr>
      </w:pPr>
    </w:p>
    <w:p>
      <w:pPr>
        <w:ind w:firstLine="640"/>
        <w:spacing w:after="0" w:line="282" w:lineRule="auto"/>
        <w:tabs>
          <w:tab w:leader="none" w:pos="94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Note, unless otherwise provided herein, such notice shall be given in accordance with the subsection of the Purchase Agreement titled “Notices.”</w:t>
      </w:r>
    </w:p>
    <w:p>
      <w:pPr>
        <w:spacing w:after="0" w:line="3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112" w:name="page113"/>
    <w:bookmarkEnd w:id="112"/>
    <w:p>
      <w:pPr>
        <w:jc w:val="both"/>
        <w:ind w:firstLine="639"/>
        <w:spacing w:after="0" w:line="255" w:lineRule="auto"/>
        <w:tabs>
          <w:tab w:leader="none" w:pos="91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Lender and Borrower agree that in the event Borrower fails to comply with any of the terms or provisions of this Note, Lender’s damages would be uncertain and difficult (if not impossible) to accurately estimate because of the parties’ inability to predict future interest rates, future share prices, future trading volumes, and other relevant factors. Accordingly, Lender and Borrower agree that any fees, balance adjustments, Default Interest or other charges assessed under this Note are not penalties but instead are intended by the parties to be, and shall be deemed, liquidated damages (under Lender’s and Borrower’s expectations that any such liquidated damages will tack back to the Purchase Price Date for purposes of determining the holding period under Rule 144). Therefore, no additional penalty claims, lost profits, or liquidated damages shall be claimed in excess of agreed liquidated damage amounts under this Note.</w:t>
      </w:r>
    </w:p>
    <w:p>
      <w:pPr>
        <w:spacing w:after="0" w:line="188" w:lineRule="exact"/>
        <w:rPr>
          <w:rFonts w:ascii="Times New Roman" w:cs="Times New Roman" w:eastAsia="Times New Roman" w:hAnsi="Times New Roman"/>
          <w:sz w:val="18"/>
          <w:szCs w:val="18"/>
          <w:color w:val="auto"/>
        </w:rPr>
      </w:pPr>
    </w:p>
    <w:p>
      <w:pPr>
        <w:ind w:firstLine="640"/>
        <w:spacing w:after="0" w:line="282" w:lineRule="auto"/>
        <w:tabs>
          <w:tab w:leader="none" w:pos="93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of this Note is construed to be in violation of any law, such part shall be modified to achieve the objective of Borrower and Lender to the fullest extent permitted by law, and the balance of this Note shall remain in full force and effect.</w:t>
      </w:r>
    </w:p>
    <w:p>
      <w:pPr>
        <w:spacing w:after="0" w:line="161" w:lineRule="exact"/>
        <w:rPr>
          <w:rFonts w:ascii="Times New Roman" w:cs="Times New Roman" w:eastAsia="Times New Roman" w:hAnsi="Times New Roman"/>
          <w:sz w:val="18"/>
          <w:szCs w:val="18"/>
          <w:color w:val="auto"/>
        </w:rPr>
      </w:pPr>
    </w:p>
    <w:p>
      <w:pPr>
        <w:jc w:val="both"/>
        <w:ind w:firstLine="639"/>
        <w:spacing w:after="0" w:line="261" w:lineRule="auto"/>
        <w:tabs>
          <w:tab w:leader="none" w:pos="91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 Precedent to Effectiveness</w:t>
      </w:r>
      <w:r>
        <w:rPr>
          <w:rFonts w:ascii="Times New Roman" w:cs="Times New Roman" w:eastAsia="Times New Roman" w:hAnsi="Times New Roman"/>
          <w:sz w:val="18"/>
          <w:szCs w:val="18"/>
          <w:color w:val="auto"/>
        </w:rPr>
        <w:t>. Notwithstanding anything to the contrary contained herein, this Note shall not become effective or enforceable, and no rights or obligations shall arise hereunder, unless and until each of the conditions precedent set forth in Sections 5.2 and 6.2 of the Purchase Agreement have been satisfied in full or waived in writing by the applicable party. Upon such satisfaction or waiver, this Note shall automatically become effective without further action by any party.</w:t>
      </w:r>
    </w:p>
    <w:p>
      <w:pPr>
        <w:spacing w:after="0" w:line="17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113" w:name="page114"/>
    <w:bookmarkEnd w:id="113"/>
    <w:p>
      <w:pPr>
        <w:jc w:val="center"/>
        <w:ind w:right="59"/>
        <w:spacing w:after="0"/>
        <w:rPr>
          <w:sz w:val="20"/>
          <w:szCs w:val="20"/>
          <w:color w:val="auto"/>
        </w:rPr>
      </w:pPr>
      <w:r>
        <w:rPr>
          <w:rFonts w:ascii="Times New Roman" w:cs="Times New Roman" w:eastAsia="Times New Roman" w:hAnsi="Times New Roman"/>
          <w:sz w:val="18"/>
          <w:szCs w:val="18"/>
          <w:color w:val="auto"/>
        </w:rPr>
        <w:t>IN WITNESS WHEREOF, Borrower has caused this Note to be duly executed effective as of the Effective Date.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BORROWER:</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rident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igital</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oldings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Soon Huat Lim,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ACKNOWLEDGED, ACCEPTED,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treeterville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apital</w:t>
      </w:r>
      <w:r>
        <w:rPr>
          <w:rFonts w:ascii="Times New Roman" w:cs="Times New Roman" w:eastAsia="Times New Roman" w:hAnsi="Times New Roman"/>
          <w:sz w:val="18"/>
          <w:szCs w:val="18"/>
          <w:b w:val="1"/>
          <w:bCs w:val="1"/>
          <w:color w:val="auto"/>
        </w:rPr>
        <w:t>,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171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9">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John M. Fife, President</w:t>
      </w:r>
    </w:p>
    <w:p>
      <w:pPr>
        <w:spacing w:after="0" w:line="22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Second Convertible Promissory Note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14" w:name="page115"/>
    <w:bookmarkEnd w:id="114"/>
    <w:p>
      <w:pPr>
        <w:ind w:left="4900"/>
        <w:spacing w:after="0"/>
        <w:rPr>
          <w:sz w:val="20"/>
          <w:szCs w:val="20"/>
          <w:color w:val="auto"/>
        </w:rPr>
      </w:pPr>
      <w:r>
        <w:rPr>
          <w:rFonts w:ascii="Times New Roman" w:cs="Times New Roman" w:eastAsia="Times New Roman" w:hAnsi="Times New Roman"/>
          <w:sz w:val="18"/>
          <w:szCs w:val="18"/>
          <w:b w:val="1"/>
          <w:bCs w:val="1"/>
          <w:color w:val="auto"/>
        </w:rPr>
        <w:t>ATTACHMENT 1</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purposes of this Note, the following terms shall have the following meanings:</w:t>
      </w:r>
    </w:p>
    <w:p>
      <w:pPr>
        <w:spacing w:after="0" w:line="221" w:lineRule="exact"/>
        <w:rPr>
          <w:sz w:val="20"/>
          <w:szCs w:val="20"/>
          <w:color w:val="auto"/>
        </w:rPr>
      </w:pPr>
    </w:p>
    <w:p>
      <w:pPr>
        <w:jc w:val="both"/>
        <w:ind w:left="340" w:right="20" w:firstLine="648"/>
        <w:spacing w:after="0" w:line="268" w:lineRule="auto"/>
        <w:rPr>
          <w:sz w:val="20"/>
          <w:szCs w:val="20"/>
          <w:color w:val="auto"/>
        </w:rPr>
      </w:pPr>
      <w:r>
        <w:rPr>
          <w:rFonts w:ascii="Times New Roman" w:cs="Times New Roman" w:eastAsia="Times New Roman" w:hAnsi="Times New Roman"/>
          <w:sz w:val="18"/>
          <w:szCs w:val="18"/>
          <w:color w:val="auto"/>
        </w:rPr>
        <w:t>A1. “</w:t>
      </w:r>
      <w:r>
        <w:rPr>
          <w:rFonts w:ascii="Times New Roman" w:cs="Times New Roman" w:eastAsia="Times New Roman" w:hAnsi="Times New Roman"/>
          <w:sz w:val="18"/>
          <w:szCs w:val="18"/>
          <w:b w:val="1"/>
          <w:bCs w:val="1"/>
          <w:color w:val="auto"/>
        </w:rPr>
        <w:t>Approved ADS Plan</w:t>
      </w:r>
      <w:r>
        <w:rPr>
          <w:rFonts w:ascii="Times New Roman" w:cs="Times New Roman" w:eastAsia="Times New Roman" w:hAnsi="Times New Roman"/>
          <w:sz w:val="18"/>
          <w:szCs w:val="18"/>
          <w:color w:val="auto"/>
        </w:rPr>
        <w:t>” means any equity compensation plan which has been approved by the shareholders of Borrower and is in effect as of the Purchase Price Date, pursuant to which Borrower’s securities may be issued to any employee, officer, or director for services provided to Borrower.</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A2. “</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means the Market Price,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$0.05, or such other applicable fee, to cover the ADS issuance fees.</w:t>
      </w:r>
    </w:p>
    <w:p>
      <w:pPr>
        <w:spacing w:after="0" w:line="225" w:lineRule="exact"/>
        <w:rPr>
          <w:sz w:val="20"/>
          <w:szCs w:val="20"/>
          <w:color w:val="auto"/>
        </w:rPr>
      </w:pPr>
    </w:p>
    <w:p>
      <w:pPr>
        <w:jc w:val="both"/>
        <w:ind w:left="340" w:firstLine="648"/>
        <w:spacing w:after="0" w:line="286" w:lineRule="auto"/>
        <w:rPr>
          <w:sz w:val="20"/>
          <w:szCs w:val="20"/>
          <w:color w:val="auto"/>
        </w:rPr>
      </w:pPr>
      <w:r>
        <w:rPr>
          <w:rFonts w:ascii="Times New Roman" w:cs="Times New Roman" w:eastAsia="Times New Roman" w:hAnsi="Times New Roman"/>
          <w:sz w:val="18"/>
          <w:szCs w:val="18"/>
          <w:color w:val="auto"/>
        </w:rPr>
        <w:t>A3. “</w:t>
      </w:r>
      <w:r>
        <w:rPr>
          <w:rFonts w:ascii="Times New Roman" w:cs="Times New Roman" w:eastAsia="Times New Roman" w:hAnsi="Times New Roman"/>
          <w:sz w:val="18"/>
          <w:szCs w:val="18"/>
          <w:b w:val="1"/>
          <w:bCs w:val="1"/>
          <w:color w:val="auto"/>
        </w:rPr>
        <w:t>Conversion Share Value</w:t>
      </w:r>
      <w:r>
        <w:rPr>
          <w:rFonts w:ascii="Times New Roman" w:cs="Times New Roman" w:eastAsia="Times New Roman" w:hAnsi="Times New Roman"/>
          <w:sz w:val="18"/>
          <w:szCs w:val="18"/>
          <w:color w:val="auto"/>
        </w:rPr>
        <w:t>” means the product of the number of Conversion Shares deliverable pursuant to any Conversion Notice multiplied by the daily VWAP of the ADSs on the Delivery Date for such Conversion.</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A4.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means the Depository Trust Company or any successor thereto.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A5. “</w:t>
      </w:r>
      <w:r>
        <w:rPr>
          <w:rFonts w:ascii="Times New Roman" w:cs="Times New Roman" w:eastAsia="Times New Roman" w:hAnsi="Times New Roman"/>
          <w:sz w:val="18"/>
          <w:szCs w:val="18"/>
          <w:b w:val="1"/>
          <w:bCs w:val="1"/>
          <w:color w:val="auto"/>
        </w:rPr>
        <w:t>DTC/FAST Program</w:t>
      </w:r>
      <w:r>
        <w:rPr>
          <w:rFonts w:ascii="Times New Roman" w:cs="Times New Roman" w:eastAsia="Times New Roman" w:hAnsi="Times New Roman"/>
          <w:sz w:val="18"/>
          <w:szCs w:val="18"/>
          <w:color w:val="auto"/>
        </w:rPr>
        <w:t>” means the DTC’s Fast Automated Securities Transfer program.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A6. “</w:t>
      </w:r>
      <w:r>
        <w:rPr>
          <w:rFonts w:ascii="Times New Roman" w:cs="Times New Roman" w:eastAsia="Times New Roman" w:hAnsi="Times New Roman"/>
          <w:sz w:val="18"/>
          <w:szCs w:val="18"/>
          <w:b w:val="1"/>
          <w:bCs w:val="1"/>
          <w:color w:val="auto"/>
        </w:rPr>
        <w:t>DWAC</w:t>
      </w:r>
      <w:r>
        <w:rPr>
          <w:rFonts w:ascii="Times New Roman" w:cs="Times New Roman" w:eastAsia="Times New Roman" w:hAnsi="Times New Roman"/>
          <w:sz w:val="18"/>
          <w:szCs w:val="18"/>
          <w:color w:val="auto"/>
        </w:rPr>
        <w:t>” means the DTC’s Deposit/Withdrawal at Custodian system.</w:t>
      </w:r>
    </w:p>
    <w:p>
      <w:pPr>
        <w:spacing w:after="0" w:line="225" w:lineRule="exact"/>
        <w:rPr>
          <w:sz w:val="20"/>
          <w:szCs w:val="20"/>
          <w:color w:val="auto"/>
        </w:rPr>
      </w:pPr>
    </w:p>
    <w:p>
      <w:pPr>
        <w:jc w:val="both"/>
        <w:ind w:left="340" w:firstLine="648"/>
        <w:spacing w:after="0" w:line="262" w:lineRule="auto"/>
        <w:rPr>
          <w:sz w:val="20"/>
          <w:szCs w:val="20"/>
          <w:color w:val="auto"/>
        </w:rPr>
      </w:pPr>
      <w:r>
        <w:rPr>
          <w:rFonts w:ascii="Times New Roman" w:cs="Times New Roman" w:eastAsia="Times New Roman" w:hAnsi="Times New Roman"/>
          <w:sz w:val="18"/>
          <w:szCs w:val="18"/>
          <w:color w:val="auto"/>
        </w:rPr>
        <w:t>A7. “</w:t>
      </w:r>
      <w:r>
        <w:rPr>
          <w:rFonts w:ascii="Times New Roman" w:cs="Times New Roman" w:eastAsia="Times New Roman" w:hAnsi="Times New Roman"/>
          <w:sz w:val="18"/>
          <w:szCs w:val="18"/>
          <w:b w:val="1"/>
          <w:bCs w:val="1"/>
          <w:color w:val="auto"/>
        </w:rPr>
        <w:t>DWAC Eligible</w:t>
      </w:r>
      <w:r>
        <w:rPr>
          <w:rFonts w:ascii="Times New Roman" w:cs="Times New Roman" w:eastAsia="Times New Roman" w:hAnsi="Times New Roman"/>
          <w:sz w:val="18"/>
          <w:szCs w:val="18"/>
          <w:color w:val="auto"/>
        </w:rPr>
        <w:t>” means that (a) Borrower’s ADSs are eligible at DTC for full services pursuant to DTC’s operational arrangements, including without limitation transfer through DTC’s DWAC system; (b) Borrower has been approved (without revocation) by DTC’s underwriting department; (c) Borrower’s depositary agent is approved as an agent in the DTC/FAST Program; (d) the Conversion Shares are otherwise eligible for delivery via DWAC; and (e) Borrower’s depositary bank does not have a policy prohibiting or limiting delivery of the Conversion Shares via DWAC.</w:t>
      </w:r>
    </w:p>
    <w:p>
      <w:pPr>
        <w:spacing w:after="0" w:line="176" w:lineRule="exact"/>
        <w:rPr>
          <w:sz w:val="20"/>
          <w:szCs w:val="20"/>
          <w:color w:val="auto"/>
        </w:rPr>
      </w:pPr>
    </w:p>
    <w:p>
      <w:pPr>
        <w:jc w:val="both"/>
        <w:ind w:left="340" w:firstLine="648"/>
        <w:spacing w:after="0" w:line="268" w:lineRule="auto"/>
        <w:rPr>
          <w:sz w:val="20"/>
          <w:szCs w:val="20"/>
          <w:color w:val="auto"/>
        </w:rPr>
      </w:pPr>
      <w:r>
        <w:rPr>
          <w:rFonts w:ascii="Times New Roman" w:cs="Times New Roman" w:eastAsia="Times New Roman" w:hAnsi="Times New Roman"/>
          <w:sz w:val="18"/>
          <w:szCs w:val="18"/>
          <w:color w:val="auto"/>
        </w:rPr>
        <w:t>A8. “</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xml:space="preserve">” means any ADSs, options, or convertible securities issued or issuable in connection with any Approved ADS Plan;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option term, exercise price, or similar provisions of any issuances pursuant to such Approved ADS Plan are not amended, modified, or changed on or after the Purchase Price Date.</w:t>
      </w:r>
    </w:p>
    <w:p>
      <w:pPr>
        <w:spacing w:after="0" w:line="178" w:lineRule="exact"/>
        <w:rPr>
          <w:sz w:val="20"/>
          <w:szCs w:val="20"/>
          <w:color w:val="auto"/>
        </w:rPr>
      </w:pPr>
    </w:p>
    <w:p>
      <w:pPr>
        <w:ind w:left="980"/>
        <w:spacing w:after="0"/>
        <w:tabs>
          <w:tab w:leader="none" w:pos="3120" w:val="left"/>
        </w:tabs>
        <w:rPr>
          <w:sz w:val="20"/>
          <w:szCs w:val="20"/>
          <w:color w:val="auto"/>
        </w:rPr>
      </w:pPr>
      <w:r>
        <w:rPr>
          <w:rFonts w:ascii="Times New Roman" w:cs="Times New Roman" w:eastAsia="Times New Roman" w:hAnsi="Times New Roman"/>
          <w:sz w:val="18"/>
          <w:szCs w:val="18"/>
          <w:color w:val="auto"/>
        </w:rPr>
        <w:t>A9. “</w:t>
      </w:r>
      <w:r>
        <w:rPr>
          <w:rFonts w:ascii="Times New Roman" w:cs="Times New Roman" w:eastAsia="Times New Roman" w:hAnsi="Times New Roman"/>
          <w:sz w:val="18"/>
          <w:szCs w:val="18"/>
          <w:b w:val="1"/>
          <w:bCs w:val="1"/>
          <w:color w:val="auto"/>
        </w:rPr>
        <w:t>Floor Price</w:t>
      </w:r>
      <w:r>
        <w:rPr>
          <w:rFonts w:ascii="Times New Roman" w:cs="Times New Roman" w:eastAsia="Times New Roman" w:hAnsi="Times New Roman"/>
          <w:sz w:val="18"/>
          <w:szCs w:val="18"/>
          <w:color w:val="auto"/>
        </w:rPr>
        <w:t>” means [</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1856105</wp:posOffset>
            </wp:positionH>
            <wp:positionV relativeFrom="paragraph">
              <wp:posOffset>-57150</wp:posOffset>
            </wp:positionV>
            <wp:extent cx="142875"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71">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123" w:lineRule="exact"/>
        <w:rPr>
          <w:sz w:val="20"/>
          <w:szCs w:val="20"/>
          <w:color w:val="auto"/>
        </w:rPr>
      </w:pPr>
    </w:p>
    <w:p>
      <w:pPr>
        <w:jc w:val="both"/>
        <w:ind w:left="340" w:firstLine="648"/>
        <w:spacing w:after="0" w:line="252" w:lineRule="auto"/>
        <w:rPr>
          <w:sz w:val="20"/>
          <w:szCs w:val="20"/>
          <w:color w:val="auto"/>
        </w:rPr>
      </w:pPr>
      <w:r>
        <w:rPr>
          <w:rFonts w:ascii="Times New Roman" w:cs="Times New Roman" w:eastAsia="Times New Roman" w:hAnsi="Times New Roman"/>
          <w:sz w:val="18"/>
          <w:szCs w:val="18"/>
          <w:color w:val="auto"/>
        </w:rPr>
        <w:t>A10.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that (a) (i) Borrower or any of its Subsidiaries shall, directly or indirectly, in one or more related transactions, consolidate or merge with or into (whether or not Borrower or any of its Subsidiaries is the surviving corporation) any other person or entity, (ii) Borrower or any of its Subsidiaries shall, directly or indirectly, in one or more related transactions, sell, lease, license, assign, transfer, convey or otherwise dispose of all or substantially all of its respective properties or assets to any other person or entity, (iii) Borrower or any of its Subsidiaries shall, directly or indirectly, in one or more related transactions, allow any other person or entity to make a purchase, tender or exchange offer that is accepted by the holders of more than 50% of the outstanding shares of voting stock of Borrower (not including any shares of voting stock of Borrower held by the person or persons making or party to, or associated or affiliated with the persons or entities making or party to, such purchase, tender or exchange offer), (iv) Borrower or any of its Subsidiaries shall, directly or indirectly, in one or more related transactions, consummate a stock or share purchase agreement or other business combination (including, without limitation, a reorganization, recapitalization, spin-off or scheme of arrangement) with any other person or entity whereby such other person or entity acquires more than 50% of the outstanding shares of voting stock of Borrower (not including any shares of voting stock of Borrower held by the other persons or entities making or party to, or associated or affiliated with the other persons or entities making or party to, such stock or share purchase agreement or other business combination), (v) Borrower or any of its Subsidiaries shall, directly or indirectly, in one or more related transactions, reorganize, recapitalize or reclassify the ordinary shares or ADSs, other than an increase in the number of authorized shares of Borrower’s ordinary shares or ADSs, (vi) Borrower transfers any material asset to any Subsidiary, affiliate, person or entity under common ownership or control with Borrower, or (vii) Borrower pays or makes any monetary or non-monetary dividend or distribution to its shareholders; or (b)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Borrower. For the avoidance of doubt, Company or any if the Subsidiaries entering into a definitive agreement that contemplates a Fundamental Transaction will be deemed to be a Fundamental Transaction unless such agreement contains a closing condition that this Note is repaid in full upon consummation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783080" cy="171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2" w:lineRule="exact"/>
        <w:rPr>
          <w:sz w:val="20"/>
          <w:szCs w:val="20"/>
          <w:color w:val="auto"/>
        </w:rPr>
      </w:pPr>
    </w:p>
    <w:p>
      <w:pPr>
        <w:ind w:left="340" w:hanging="332"/>
        <w:spacing w:after="0"/>
        <w:tabs>
          <w:tab w:leader="none" w:pos="340" w:val="left"/>
        </w:tabs>
        <w:numPr>
          <w:ilvl w:val="0"/>
          <w:numId w:val="1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20.00% of the Nasdaq Minimum Price on the Effective Date.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Attachment 1 to Second Convertible Promissory Note,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5" w:name="page116"/>
    <w:bookmarkEnd w:id="115"/>
    <w:p>
      <w:pPr>
        <w:ind w:left="640"/>
        <w:spacing w:after="0"/>
        <w:rPr>
          <w:sz w:val="20"/>
          <w:szCs w:val="20"/>
          <w:color w:val="auto"/>
        </w:rPr>
      </w:pPr>
      <w:r>
        <w:rPr>
          <w:rFonts w:ascii="Times New Roman" w:cs="Times New Roman" w:eastAsia="Times New Roman" w:hAnsi="Times New Roman"/>
          <w:sz w:val="18"/>
          <w:szCs w:val="18"/>
          <w:color w:val="auto"/>
        </w:rPr>
        <w:t>A11. “</w:t>
      </w:r>
      <w:r>
        <w:rPr>
          <w:rFonts w:ascii="Times New Roman" w:cs="Times New Roman" w:eastAsia="Times New Roman" w:hAnsi="Times New Roman"/>
          <w:sz w:val="18"/>
          <w:szCs w:val="18"/>
          <w:b w:val="1"/>
          <w:bCs w:val="1"/>
          <w:color w:val="auto"/>
        </w:rPr>
        <w:t>Major Trigger Event</w:t>
      </w:r>
      <w:r>
        <w:rPr>
          <w:rFonts w:ascii="Times New Roman" w:cs="Times New Roman" w:eastAsia="Times New Roman" w:hAnsi="Times New Roman"/>
          <w:sz w:val="18"/>
          <w:szCs w:val="18"/>
          <w:color w:val="auto"/>
        </w:rPr>
        <w:t>” means any Trigger Event occurring under Sections 4.1(a) – 4.1(i).</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A12. “</w:t>
      </w:r>
      <w:r>
        <w:rPr>
          <w:rFonts w:ascii="Times New Roman" w:cs="Times New Roman" w:eastAsia="Times New Roman" w:hAnsi="Times New Roman"/>
          <w:sz w:val="18"/>
          <w:szCs w:val="18"/>
          <w:b w:val="1"/>
          <w:bCs w:val="1"/>
          <w:color w:val="auto"/>
        </w:rPr>
        <w:t>Mandatory Default Amount</w:t>
      </w:r>
      <w:r>
        <w:rPr>
          <w:rFonts w:ascii="Times New Roman" w:cs="Times New Roman" w:eastAsia="Times New Roman" w:hAnsi="Times New Roman"/>
          <w:sz w:val="18"/>
          <w:szCs w:val="18"/>
          <w:color w:val="auto"/>
        </w:rPr>
        <w:t>” means the Outstanding Balance following the application of the Trigger Effect.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A13. “</w:t>
      </w:r>
      <w:r>
        <w:rPr>
          <w:rFonts w:ascii="Times New Roman" w:cs="Times New Roman" w:eastAsia="Times New Roman" w:hAnsi="Times New Roman"/>
          <w:sz w:val="18"/>
          <w:szCs w:val="18"/>
          <w:b w:val="1"/>
          <w:bCs w:val="1"/>
          <w:color w:val="auto"/>
        </w:rPr>
        <w:t>Market Price</w:t>
      </w:r>
      <w:r>
        <w:rPr>
          <w:rFonts w:ascii="Times New Roman" w:cs="Times New Roman" w:eastAsia="Times New Roman" w:hAnsi="Times New Roman"/>
          <w:sz w:val="18"/>
          <w:szCs w:val="18"/>
          <w:color w:val="auto"/>
        </w:rPr>
        <w:t>” means 80% multiplied by the lowest daily VWAP in the ten (10) Trading Day period immediately preceding the applicable measurement date.</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A14. “</w:t>
      </w:r>
      <w:r>
        <w:rPr>
          <w:rFonts w:ascii="Times New Roman" w:cs="Times New Roman" w:eastAsia="Times New Roman" w:hAnsi="Times New Roman"/>
          <w:sz w:val="18"/>
          <w:szCs w:val="18"/>
          <w:b w:val="1"/>
          <w:bCs w:val="1"/>
          <w:color w:val="auto"/>
        </w:rPr>
        <w:t>Minor Trigger Event</w:t>
      </w:r>
      <w:r>
        <w:rPr>
          <w:rFonts w:ascii="Times New Roman" w:cs="Times New Roman" w:eastAsia="Times New Roman" w:hAnsi="Times New Roman"/>
          <w:sz w:val="18"/>
          <w:szCs w:val="18"/>
          <w:color w:val="auto"/>
        </w:rPr>
        <w:t>” means any Trigger Event that is not a Major Trigger Event.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A15. “</w:t>
      </w:r>
      <w:r>
        <w:rPr>
          <w:rFonts w:ascii="Times New Roman" w:cs="Times New Roman" w:eastAsia="Times New Roman" w:hAnsi="Times New Roman"/>
          <w:sz w:val="18"/>
          <w:szCs w:val="18"/>
          <w:b w:val="1"/>
          <w:bCs w:val="1"/>
          <w:color w:val="auto"/>
        </w:rPr>
        <w:t>OID</w:t>
      </w:r>
      <w:r>
        <w:rPr>
          <w:rFonts w:ascii="Times New Roman" w:cs="Times New Roman" w:eastAsia="Times New Roman" w:hAnsi="Times New Roman"/>
          <w:sz w:val="18"/>
          <w:szCs w:val="18"/>
          <w:color w:val="auto"/>
        </w:rPr>
        <w:t>” means original issue discount.</w:t>
      </w:r>
    </w:p>
    <w:p>
      <w:pPr>
        <w:spacing w:after="0" w:line="225" w:lineRule="exact"/>
        <w:rPr>
          <w:sz w:val="20"/>
          <w:szCs w:val="20"/>
          <w:color w:val="auto"/>
        </w:rPr>
      </w:pPr>
    </w:p>
    <w:p>
      <w:pPr>
        <w:jc w:val="both"/>
        <w:ind w:firstLine="647"/>
        <w:spacing w:after="0" w:line="268" w:lineRule="auto"/>
        <w:rPr>
          <w:sz w:val="20"/>
          <w:szCs w:val="20"/>
          <w:color w:val="auto"/>
        </w:rPr>
      </w:pPr>
      <w:r>
        <w:rPr>
          <w:rFonts w:ascii="Times New Roman" w:cs="Times New Roman" w:eastAsia="Times New Roman" w:hAnsi="Times New Roman"/>
          <w:sz w:val="18"/>
          <w:szCs w:val="18"/>
          <w:color w:val="auto"/>
        </w:rPr>
        <w:t>A16. “</w:t>
      </w:r>
      <w:r>
        <w:rPr>
          <w:rFonts w:ascii="Times New Roman" w:cs="Times New Roman" w:eastAsia="Times New Roman" w:hAnsi="Times New Roman"/>
          <w:sz w:val="18"/>
          <w:szCs w:val="18"/>
          <w:b w:val="1"/>
          <w:bCs w:val="1"/>
          <w:color w:val="auto"/>
        </w:rPr>
        <w:t>Other Agreements</w:t>
      </w:r>
      <w:r>
        <w:rPr>
          <w:rFonts w:ascii="Times New Roman" w:cs="Times New Roman" w:eastAsia="Times New Roman" w:hAnsi="Times New Roman"/>
          <w:sz w:val="18"/>
          <w:szCs w:val="18"/>
          <w:color w:val="auto"/>
        </w:rPr>
        <w:t>” means, collectively, (a) all existing and future agreements and instruments between, among or by Borrower (or a subsidiary), on the one hand, and Lender (or an affiliate), on the other hand, and (b) any financing agreement or a material agreement that affects Borrower’s ongoing business operations.</w:t>
      </w:r>
    </w:p>
    <w:p>
      <w:pPr>
        <w:spacing w:after="0" w:line="171" w:lineRule="exact"/>
        <w:rPr>
          <w:sz w:val="20"/>
          <w:szCs w:val="20"/>
          <w:color w:val="auto"/>
        </w:rPr>
      </w:pPr>
    </w:p>
    <w:p>
      <w:pPr>
        <w:jc w:val="both"/>
        <w:ind w:firstLine="647"/>
        <w:spacing w:after="0" w:line="262" w:lineRule="auto"/>
        <w:rPr>
          <w:sz w:val="20"/>
          <w:szCs w:val="20"/>
          <w:color w:val="auto"/>
        </w:rPr>
      </w:pPr>
      <w:r>
        <w:rPr>
          <w:rFonts w:ascii="Times New Roman" w:cs="Times New Roman" w:eastAsia="Times New Roman" w:hAnsi="Times New Roman"/>
          <w:sz w:val="18"/>
          <w:szCs w:val="18"/>
          <w:color w:val="auto"/>
        </w:rPr>
        <w:t>A17. “</w:t>
      </w:r>
      <w:r>
        <w:rPr>
          <w:rFonts w:ascii="Times New Roman" w:cs="Times New Roman" w:eastAsia="Times New Roman" w:hAnsi="Times New Roman"/>
          <w:sz w:val="18"/>
          <w:szCs w:val="18"/>
          <w:b w:val="1"/>
          <w:bCs w:val="1"/>
          <w:color w:val="auto"/>
        </w:rPr>
        <w:t>Outstanding Balance</w:t>
      </w:r>
      <w:r>
        <w:rPr>
          <w:rFonts w:ascii="Times New Roman" w:cs="Times New Roman" w:eastAsia="Times New Roman" w:hAnsi="Times New Roman"/>
          <w:sz w:val="18"/>
          <w:szCs w:val="18"/>
          <w:color w:val="auto"/>
        </w:rPr>
        <w:t>” means as of any date of determination, the Purchase Price, as reduced or increased, as the case may be, pursuant to the terms hereof for payment, Conversion, offset, or otherwise, plus the OID, plus accrued but unpaid interest, collection and enforcements costs (including attorneys’ fees) incurred by Lender, transfer, stamp, issuance and similar taxes and fees related to Conversions, and any other fees or charges (including without limitation Conversion Delay Late Fees) incurred under this Note.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A18. “</w:t>
      </w:r>
      <w:r>
        <w:rPr>
          <w:rFonts w:ascii="Times New Roman" w:cs="Times New Roman" w:eastAsia="Times New Roman" w:hAnsi="Times New Roman"/>
          <w:sz w:val="18"/>
          <w:szCs w:val="18"/>
          <w:b w:val="1"/>
          <w:bCs w:val="1"/>
          <w:color w:val="auto"/>
        </w:rPr>
        <w:t>Purchase Price Date</w:t>
      </w:r>
      <w:r>
        <w:rPr>
          <w:rFonts w:ascii="Times New Roman" w:cs="Times New Roman" w:eastAsia="Times New Roman" w:hAnsi="Times New Roman"/>
          <w:sz w:val="18"/>
          <w:szCs w:val="18"/>
          <w:color w:val="auto"/>
        </w:rPr>
        <w:t>” means the date the Purchase Price is delivered by Lender to Borrower.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A19.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the New York Stock Exchange (or such other principal market for the ADSs) is open for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w:t>
      </w:r>
    </w:p>
    <w:p>
      <w:pPr>
        <w:spacing w:after="0" w:line="203" w:lineRule="exact"/>
        <w:rPr>
          <w:sz w:val="20"/>
          <w:szCs w:val="20"/>
          <w:color w:val="auto"/>
        </w:rPr>
      </w:pPr>
    </w:p>
    <w:p>
      <w:pPr>
        <w:jc w:val="both"/>
        <w:ind w:firstLine="647"/>
        <w:spacing w:after="0" w:line="257" w:lineRule="auto"/>
        <w:rPr>
          <w:sz w:val="20"/>
          <w:szCs w:val="20"/>
          <w:color w:val="auto"/>
        </w:rPr>
      </w:pPr>
      <w:r>
        <w:rPr>
          <w:rFonts w:ascii="Times New Roman" w:cs="Times New Roman" w:eastAsia="Times New Roman" w:hAnsi="Times New Roman"/>
          <w:sz w:val="18"/>
          <w:szCs w:val="18"/>
          <w:color w:val="auto"/>
        </w:rPr>
        <w:t>A20. “</w:t>
      </w:r>
      <w:r>
        <w:rPr>
          <w:rFonts w:ascii="Times New Roman" w:cs="Times New Roman" w:eastAsia="Times New Roman" w:hAnsi="Times New Roman"/>
          <w:sz w:val="18"/>
          <w:szCs w:val="18"/>
          <w:b w:val="1"/>
          <w:bCs w:val="1"/>
          <w:color w:val="auto"/>
        </w:rPr>
        <w:t>Trigger Effect</w:t>
      </w:r>
      <w:r>
        <w:rPr>
          <w:rFonts w:ascii="Times New Roman" w:cs="Times New Roman" w:eastAsia="Times New Roman" w:hAnsi="Times New Roman"/>
          <w:sz w:val="18"/>
          <w:szCs w:val="18"/>
          <w:color w:val="auto"/>
        </w:rPr>
        <w:t>” means multiplying the Outstanding Balance as of the date the applicable Event of Default occurred by (a) fifteen percent (15%) for each occurrence of any Major Trigger Event, or (b) ten percent (10%) for each occurrence of any Minor Trigger Event, and then adding the resulting product to the Outstanding Balance as of the date the applicable Event of Default occurred, with the sum of the foregoing then becoming the Outstanding Balance under this Note as of the date the applicable Event of Default occurred; provided, however, that the Trigger Effect may only be applied up to three (3) time with respect to a Major Trigger Event and up to three (3) times with respect to a Minor Trigger Event; provided, further, that the Trigger Effect will not apply to any Trigger Event pursuant to Section 4.1(j).</w:t>
      </w:r>
    </w:p>
    <w:p>
      <w:pPr>
        <w:spacing w:after="0" w:line="182" w:lineRule="exact"/>
        <w:rPr>
          <w:sz w:val="20"/>
          <w:szCs w:val="20"/>
          <w:color w:val="auto"/>
        </w:rPr>
      </w:pPr>
    </w:p>
    <w:p>
      <w:pPr>
        <w:jc w:val="both"/>
        <w:ind w:firstLine="647"/>
        <w:spacing w:after="0" w:line="286" w:lineRule="auto"/>
        <w:rPr>
          <w:sz w:val="20"/>
          <w:szCs w:val="20"/>
          <w:color w:val="auto"/>
        </w:rPr>
      </w:pPr>
      <w:r>
        <w:rPr>
          <w:rFonts w:ascii="Times New Roman" w:cs="Times New Roman" w:eastAsia="Times New Roman" w:hAnsi="Times New Roman"/>
          <w:sz w:val="18"/>
          <w:szCs w:val="18"/>
          <w:color w:val="auto"/>
        </w:rPr>
        <w:t>A21.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the volume weighted average price of the ADSs on the principal market for a particular Trading Day or set of Trading Days, as the case may be, as reported by Bloomberg.</w:t>
      </w:r>
    </w:p>
    <w:p>
      <w:pPr>
        <w:spacing w:after="0" w:line="15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Attachment 1 to Second Convertible Promissory Note,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291465</wp:posOffset>
            </wp:positionV>
            <wp:extent cx="7132320" cy="171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Streeterville Capital, LLC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297 Auto Mall Dr. #4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 George, Utah 84770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Trident Digital Tech Holdings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Soon Huat Lim, CEO</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CONVERSION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above-captioned Lender hereby gives notice to Trident Digital Tech Holdings Ltd, a Cayman Islands exempted company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pursuant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that certain Second Convertible Promissory Note made by Borrower in favor of Lender on , 202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that Lender elects to convert the portion of the Note balance set forth below into fully paid and non-assessable ADSs of Borrower as of the date of conversion specified below. Said conversion shall be based on the Conversion Price set forth below. In the event of a conflict between this Conversion Notice and the Note, the Note shall govern, or, in the alternative, at the election of Lender in its sole discretion, Lender may provide a new form of Conversion Notice to conform to the Note. Capitalized terms used in this notice without definition shall have the meanings given to them in the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4416425</wp:posOffset>
            </wp:positionH>
            <wp:positionV relativeFrom="paragraph">
              <wp:posOffset>-580390</wp:posOffset>
            </wp:positionV>
            <wp:extent cx="63373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75">
                      <a:extLst>
                        <a:ext uri="{28A0092B-C50C-407E-A947-70E740481C1C}"/>
                      </a:extLst>
                    </a:blip>
                    <a:srcRect/>
                    <a:stretch>
                      <a:fillRect/>
                    </a:stretch>
                  </pic:blipFill>
                  <pic:spPr bwMode="auto">
                    <a:xfrm>
                      <a:off x="0" y="0"/>
                      <a:ext cx="633730" cy="8255"/>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-580390</wp:posOffset>
            </wp:positionV>
            <wp:extent cx="13970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76">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spacing w:after="0" w:line="167" w:lineRule="exact"/>
        <w:rPr>
          <w:sz w:val="20"/>
          <w:szCs w:val="20"/>
          <w:color w:val="auto"/>
        </w:rPr>
      </w:pPr>
    </w:p>
    <w:p>
      <w:pPr>
        <w:ind w:left="1000" w:hanging="547"/>
        <w:spacing w:after="0"/>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Conversion:</w:t>
      </w:r>
    </w:p>
    <w:p>
      <w:pPr>
        <w:spacing w:after="0" w:line="2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w:t>
      </w:r>
    </w:p>
    <w:p>
      <w:pPr>
        <w:spacing w:after="0" w:line="9"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Amount:</w:t>
      </w:r>
    </w:p>
    <w:p>
      <w:pPr>
        <w:spacing w:after="0" w:line="9"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-430530</wp:posOffset>
            </wp:positionV>
            <wp:extent cx="94234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77">
                      <a:extLst>
                        <a:ext uri="{28A0092B-C50C-407E-A947-70E740481C1C}"/>
                      </a:extLst>
                    </a:blip>
                    <a:srcRect/>
                    <a:stretch>
                      <a:fillRect/>
                    </a:stretch>
                  </pic:blipFill>
                  <pic:spPr bwMode="auto">
                    <a:xfrm>
                      <a:off x="0" y="0"/>
                      <a:ext cx="942340" cy="8255"/>
                    </a:xfrm>
                    <a:prstGeom prst="rect">
                      <a:avLst/>
                    </a:prstGeom>
                    <a:noFill/>
                  </pic:spPr>
                </pic:pic>
              </a:graphicData>
            </a:graphic>
          </wp:anchor>
        </w:drawing>
        <w:drawing>
          <wp:anchor simplePos="0" relativeHeight="251657728" behindDoc="1" locked="0" layoutInCell="0" allowOverlap="1">
            <wp:simplePos x="0" y="0"/>
            <wp:positionH relativeFrom="column">
              <wp:posOffset>1311910</wp:posOffset>
            </wp:positionH>
            <wp:positionV relativeFrom="paragraph">
              <wp:posOffset>-293370</wp:posOffset>
            </wp:positionV>
            <wp:extent cx="125666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78">
                      <a:extLst>
                        <a:ext uri="{28A0092B-C50C-407E-A947-70E740481C1C}"/>
                      </a:extLst>
                    </a:blip>
                    <a:srcRect/>
                    <a:stretch>
                      <a:fillRect/>
                    </a:stretch>
                  </pic:blipFill>
                  <pic:spPr bwMode="auto">
                    <a:xfrm>
                      <a:off x="0" y="0"/>
                      <a:ext cx="1256665" cy="8255"/>
                    </a:xfrm>
                    <a:prstGeom prst="rect">
                      <a:avLst/>
                    </a:prstGeom>
                    <a:noFill/>
                  </pic:spPr>
                </pic:pic>
              </a:graphicData>
            </a:graphic>
          </wp:anchor>
        </w:drawing>
        <w:drawing>
          <wp:anchor simplePos="0" relativeHeight="251657728" behindDoc="1" locked="0" layoutInCell="0" allowOverlap="1">
            <wp:simplePos x="0" y="0"/>
            <wp:positionH relativeFrom="column">
              <wp:posOffset>1629410</wp:posOffset>
            </wp:positionH>
            <wp:positionV relativeFrom="paragraph">
              <wp:posOffset>-156210</wp:posOffset>
            </wp:positionV>
            <wp:extent cx="88519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9">
                      <a:extLst>
                        <a:ext uri="{28A0092B-C50C-407E-A947-70E740481C1C}"/>
                      </a:extLst>
                    </a:blip>
                    <a:srcRect/>
                    <a:stretch>
                      <a:fillRect/>
                    </a:stretch>
                  </pic:blipFill>
                  <pic:spPr bwMode="auto">
                    <a:xfrm>
                      <a:off x="0" y="0"/>
                      <a:ext cx="885190" cy="8890"/>
                    </a:xfrm>
                    <a:prstGeom prst="rect">
                      <a:avLst/>
                    </a:prstGeom>
                    <a:noFill/>
                  </pic:spPr>
                </pic:pic>
              </a:graphicData>
            </a:graphic>
          </wp:anchor>
        </w:drawing>
        <w:drawing>
          <wp:anchor simplePos="0" relativeHeight="251657728" behindDoc="1" locked="0" layoutInCell="0" allowOverlap="1">
            <wp:simplePos x="0" y="0"/>
            <wp:positionH relativeFrom="column">
              <wp:posOffset>1489710</wp:posOffset>
            </wp:positionH>
            <wp:positionV relativeFrom="paragraph">
              <wp:posOffset>-19050</wp:posOffset>
            </wp:positionV>
            <wp:extent cx="105664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80">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85"/>
        </w:trPr>
        <w:tc>
          <w:tcPr>
            <w:tcW w:w="3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E.</w:t>
            </w:r>
          </w:p>
        </w:tc>
        <w:tc>
          <w:tcPr>
            <w:tcW w:w="16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Conversion Shares:</w:t>
            </w:r>
          </w:p>
        </w:tc>
        <w:tc>
          <w:tcPr>
            <w:tcW w:w="15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color w:val="auto"/>
                <w:w w:val="99"/>
              </w:rPr>
              <w:t>(C divided by D)</w:t>
            </w:r>
          </w:p>
        </w:tc>
      </w:tr>
      <w:tr>
        <w:trPr>
          <w:trHeight w:val="196"/>
        </w:trPr>
        <w:tc>
          <w:tcPr>
            <w:tcW w:w="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w:t>
            </w:r>
          </w:p>
        </w:tc>
        <w:tc>
          <w:tcPr>
            <w:tcW w:w="31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w w:val="99"/>
              </w:rPr>
              <w:t>Remaining Outstanding Balance of Note:</w:t>
            </w:r>
          </w:p>
        </w:tc>
        <w:tc>
          <w:tcPr>
            <w:tcW w:w="40" w:type="dxa"/>
            <w:vAlign w:val="bottom"/>
          </w:tcPr>
          <w:p>
            <w:pPr>
              <w:spacing w:after="0"/>
              <w:rPr>
                <w:sz w:val="17"/>
                <w:szCs w:val="17"/>
                <w:color w:val="auto"/>
              </w:rPr>
            </w:pPr>
          </w:p>
        </w:tc>
        <w:tc>
          <w:tcPr>
            <w:tcW w:w="1240" w:type="dxa"/>
            <w:vAlign w:val="bottom"/>
            <w:gridSpan w:val="2"/>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340" w:hanging="332"/>
        <w:spacing w:after="0" w:line="266" w:lineRule="auto"/>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adjustments for corrections, defaults, interest, and other adjustments permitted by the Transaction Documents (as defined in the Purchase Agreement), the terms of which shall control in the event of any dispute between the terms of this Conversion Notice and such Transaction Documents.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Please transfer the Conversion Shares electronically (via DWAC) to the following account</w:t>
      </w:r>
      <w:r>
        <w:rPr>
          <w:rFonts w:ascii="Times New Roman" w:cs="Times New Roman" w:eastAsia="Times New Roman" w:hAnsi="Times New Roman"/>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w w:val="98"/>
              </w:rPr>
              <w:t>Broker:</w:t>
            </w:r>
          </w:p>
        </w:tc>
        <w:tc>
          <w:tcPr>
            <w:tcW w:w="2960" w:type="dxa"/>
            <w:vAlign w:val="bottom"/>
            <w:tcBorders>
              <w:bottom w:val="single" w:sz="8" w:color="auto"/>
            </w:tcBorders>
            <w:gridSpan w:val="5"/>
          </w:tcPr>
          <w:p>
            <w:pPr>
              <w:spacing w:after="0"/>
              <w:rPr>
                <w:sz w:val="18"/>
                <w:szCs w:val="18"/>
                <w:color w:val="auto"/>
              </w:rPr>
            </w:pPr>
          </w:p>
        </w:tc>
        <w:tc>
          <w:tcPr>
            <w:tcW w:w="3200" w:type="dxa"/>
            <w:vAlign w:val="bottom"/>
          </w:tcPr>
          <w:p>
            <w:pPr>
              <w:ind w:left="2560"/>
              <w:spacing w:after="0"/>
              <w:rPr>
                <w:sz w:val="20"/>
                <w:szCs w:val="20"/>
                <w:color w:val="auto"/>
              </w:rPr>
            </w:pPr>
            <w:r>
              <w:rPr>
                <w:rFonts w:ascii="Times New Roman" w:cs="Times New Roman" w:eastAsia="Times New Roman" w:hAnsi="Times New Roman"/>
                <w:sz w:val="18"/>
                <w:szCs w:val="18"/>
                <w:color w:val="auto"/>
                <w:w w:val="96"/>
              </w:rPr>
              <w:t>Address:</w:t>
            </w:r>
          </w:p>
        </w:tc>
      </w:tr>
      <w:tr>
        <w:trPr>
          <w:trHeight w:val="196"/>
        </w:trPr>
        <w:tc>
          <w:tcPr>
            <w:tcW w:w="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DTC#:</w:t>
            </w:r>
          </w:p>
        </w:tc>
        <w:tc>
          <w:tcPr>
            <w:tcW w:w="2960" w:type="dxa"/>
            <w:vAlign w:val="bottom"/>
            <w:tcBorders>
              <w:bottom w:val="single" w:sz="8" w:color="auto"/>
            </w:tcBorders>
            <w:gridSpan w:val="5"/>
          </w:tcPr>
          <w:p>
            <w:pPr>
              <w:spacing w:after="0"/>
              <w:rPr>
                <w:sz w:val="17"/>
                <w:szCs w:val="17"/>
                <w:color w:val="auto"/>
              </w:rPr>
            </w:pPr>
          </w:p>
        </w:tc>
        <w:tc>
          <w:tcPr>
            <w:tcW w:w="3200" w:type="dxa"/>
            <w:vAlign w:val="bottom"/>
          </w:tcPr>
          <w:p>
            <w:pPr>
              <w:spacing w:after="0"/>
              <w:rPr>
                <w:sz w:val="17"/>
                <w:szCs w:val="17"/>
                <w:color w:val="auto"/>
              </w:rPr>
            </w:pPr>
          </w:p>
        </w:tc>
      </w:tr>
      <w:tr>
        <w:trPr>
          <w:trHeight w:val="210"/>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 #:</w:t>
            </w:r>
          </w:p>
        </w:tc>
        <w:tc>
          <w:tcPr>
            <w:tcW w:w="2660" w:type="dxa"/>
            <w:vAlign w:val="bottom"/>
            <w:tcBorders>
              <w:bottom w:val="single" w:sz="8" w:color="auto"/>
            </w:tcBorders>
            <w:gridSpan w:val="3"/>
          </w:tcPr>
          <w:p>
            <w:pPr>
              <w:spacing w:after="0"/>
              <w:rPr>
                <w:sz w:val="18"/>
                <w:szCs w:val="18"/>
                <w:color w:val="auto"/>
              </w:rPr>
            </w:pPr>
          </w:p>
        </w:tc>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210"/>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 Name:</w:t>
            </w:r>
          </w:p>
        </w:tc>
        <w:tc>
          <w:tcPr>
            <w:tcW w:w="2300" w:type="dxa"/>
            <w:vAlign w:val="bottom"/>
            <w:tcBorders>
              <w:bottom w:val="single" w:sz="8" w:color="auto"/>
            </w:tcBorders>
          </w:tcPr>
          <w:p>
            <w:pPr>
              <w:spacing w:after="0"/>
              <w:rPr>
                <w:sz w:val="18"/>
                <w:szCs w:val="18"/>
                <w:color w:val="auto"/>
              </w:rPr>
            </w:pPr>
          </w:p>
        </w:tc>
        <w:tc>
          <w:tcPr>
            <w:tcW w:w="40" w:type="dxa"/>
            <w:vAlign w:val="bottom"/>
            <w:gridSpan w:val="2"/>
          </w:tcPr>
          <w:p>
            <w:pPr>
              <w:spacing w:after="0"/>
              <w:rPr>
                <w:sz w:val="18"/>
                <w:szCs w:val="18"/>
                <w:color w:val="auto"/>
              </w:rPr>
            </w:pPr>
          </w:p>
        </w:tc>
        <w:tc>
          <w:tcPr>
            <w:tcW w:w="3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-419100</wp:posOffset>
            </wp:positionV>
            <wp:extent cx="256286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81">
                      <a:extLst>
                        <a:ext uri="{28A0092B-C50C-407E-A947-70E740481C1C}"/>
                      </a:extLst>
                    </a:blip>
                    <a:srcRect/>
                    <a:stretch>
                      <a:fillRect/>
                    </a:stretch>
                  </pic:blipFill>
                  <pic:spPr bwMode="auto">
                    <a:xfrm>
                      <a:off x="0" y="0"/>
                      <a:ext cx="256286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-273685</wp:posOffset>
            </wp:positionV>
            <wp:extent cx="256286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82">
                      <a:extLst>
                        <a:ext uri="{28A0092B-C50C-407E-A947-70E740481C1C}"/>
                      </a:extLst>
                    </a:blip>
                    <a:srcRect/>
                    <a:stretch>
                      <a:fillRect/>
                    </a:stretch>
                  </pic:blipFill>
                  <pic:spPr bwMode="auto">
                    <a:xfrm>
                      <a:off x="0" y="0"/>
                      <a:ext cx="256286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-128270</wp:posOffset>
            </wp:positionV>
            <wp:extent cx="256286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8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0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Lender:</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treeterville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apital</w:t>
      </w:r>
      <w:r>
        <w:rPr>
          <w:rFonts w:ascii="Times New Roman" w:cs="Times New Roman" w:eastAsia="Times New Roman" w:hAnsi="Times New Roman"/>
          <w:sz w:val="18"/>
          <w:szCs w:val="18"/>
          <w:b w:val="1"/>
          <w:bCs w:val="1"/>
          <w:color w:val="auto"/>
        </w:rPr>
        <w:t>, LLC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8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John M. Fife,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Officer’s Certificate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171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9" w:name="page120"/>
    <w:bookmarkEnd w:id="119"/>
    <w:p>
      <w:pPr>
        <w:jc w:val="center"/>
        <w:ind w:right="211"/>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225" w:lineRule="exact"/>
        <w:rPr>
          <w:sz w:val="20"/>
          <w:szCs w:val="20"/>
          <w:color w:val="auto"/>
        </w:rPr>
      </w:pPr>
    </w:p>
    <w:p>
      <w:pPr>
        <w:jc w:val="center"/>
        <w:ind w:right="211"/>
        <w:spacing w:after="0"/>
        <w:rPr>
          <w:sz w:val="20"/>
          <w:szCs w:val="20"/>
          <w:color w:val="auto"/>
        </w:rPr>
      </w:pPr>
      <w:r>
        <w:rPr>
          <w:rFonts w:ascii="Times New Roman" w:cs="Times New Roman" w:eastAsia="Times New Roman" w:hAnsi="Times New Roman"/>
          <w:sz w:val="18"/>
          <w:szCs w:val="18"/>
          <w:b w:val="1"/>
          <w:bCs w:val="1"/>
          <w:color w:val="auto"/>
        </w:rPr>
        <w:t>ARBITRATION PROVISIONS</w:t>
      </w:r>
    </w:p>
    <w:p>
      <w:pPr>
        <w:spacing w:after="0" w:line="225" w:lineRule="exact"/>
        <w:rPr>
          <w:sz w:val="20"/>
          <w:szCs w:val="20"/>
          <w:color w:val="auto"/>
        </w:rPr>
      </w:pPr>
    </w:p>
    <w:p>
      <w:pPr>
        <w:jc w:val="both"/>
        <w:ind w:left="9" w:hanging="9"/>
        <w:spacing w:after="0" w:line="253" w:lineRule="auto"/>
        <w:tabs>
          <w:tab w:leader="none" w:pos="20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For purposes of these arbitration provisions (the “</w:t>
      </w:r>
      <w:r>
        <w:rPr>
          <w:rFonts w:ascii="Times New Roman" w:cs="Times New Roman" w:eastAsia="Times New Roman" w:hAnsi="Times New Roman"/>
          <w:sz w:val="18"/>
          <w:szCs w:val="18"/>
          <w:b w:val="1"/>
          <w:bCs w:val="1"/>
          <w:color w:val="auto"/>
        </w:rPr>
        <w:t>Arbitration Provisions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means any disputes, claims, demands, causes of action, requests for injunctive relief, requests for specific performance, liabilities, damages, losses, or controversies whatsoever arising from, related to, or connected with the transactions contemplated in the Transaction Documents and any communications between the parties related thereto, including without limitation any claims of mutual mistake, mistake, fraud, misrepresentation, failure of formation, failure of consideration, promissory estoppel, unconscionability, failure of condition precedent, rescission, and any statutory claims, tort claims, contract claims, or claims to void, invalidate or terminate the Agreement (or these Arbitration Provisions (defined below)) or any of the other Transaction Documents. For the avoidance of doubt, Investor’s pursuit of an injunction or other Claim pursuant to these Arbitration Provisions or with a court will not later prevent Investor under the doctrines of claim preclusion, issue preclusion, res judicata or other similar legal doctrines from pursuing other Claims in a separate arbitration in the future. The parties to the Agreement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hereby agree that the Claims may be arbitrated in one or more arbitrations pursuant to these Arbitration Provisions (one for an injunction or injunctions and a separate one for all other Claims). The term “Claims” specifically excludes a dispute over Calculations. The parties to the Agreement hereby agree that these Arbitration Provisions are binding on each of them. As a result, any attempt to rescind the Agreement (or these Arbitration Provisions) or any other Transaction Document) or declare the Agreement (or these Arbitration Provisions) or any other Transaction Document invalid or unenforceable pursuant to Section 29 of the 1934 Act or for any other reason is subject to these Arbitration Provisions. Any capitalized term not defined in these Arbitration Provisions shall have the meaning set forth in the Agreement.</w:t>
      </w:r>
    </w:p>
    <w:p>
      <w:pPr>
        <w:spacing w:after="0" w:line="183" w:lineRule="exact"/>
        <w:rPr>
          <w:rFonts w:ascii="Times New Roman" w:cs="Times New Roman" w:eastAsia="Times New Roman" w:hAnsi="Times New Roman"/>
          <w:sz w:val="18"/>
          <w:szCs w:val="18"/>
          <w:color w:val="auto"/>
        </w:rPr>
      </w:pPr>
    </w:p>
    <w:p>
      <w:pPr>
        <w:jc w:val="both"/>
        <w:ind w:left="9" w:hanging="9"/>
        <w:spacing w:after="0" w:line="254" w:lineRule="auto"/>
        <w:tabs>
          <w:tab w:leader="none" w:pos="20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Except as otherwise provided herein, all Claims must be submitted to arbitration (“</w:t>
      </w:r>
      <w:r>
        <w:rPr>
          <w:rFonts w:ascii="Times New Roman" w:cs="Times New Roman" w:eastAsia="Times New Roman" w:hAnsi="Times New Roman"/>
          <w:sz w:val="18"/>
          <w:szCs w:val="18"/>
          <w:b w:val="1"/>
          <w:bCs w:val="1"/>
          <w:color w:val="auto"/>
        </w:rPr>
        <w:t>Arbitration</w:t>
      </w:r>
      <w:r>
        <w:rPr>
          <w:rFonts w:ascii="Times New Roman" w:cs="Times New Roman" w:eastAsia="Times New Roman" w:hAnsi="Times New Roman"/>
          <w:sz w:val="18"/>
          <w:szCs w:val="18"/>
          <w:color w:val="auto"/>
        </w:rPr>
        <w:t>”) to be conducted exclusively in Salt Lake County, Utah and pursuant to the terms set forth in these Arbitration Provisions. Subject to the arbitration appeal right provided for in Paragraph 5 below (the “</w:t>
      </w:r>
      <w:r>
        <w:rPr>
          <w:rFonts w:ascii="Times New Roman" w:cs="Times New Roman" w:eastAsia="Times New Roman" w:hAnsi="Times New Roman"/>
          <w:sz w:val="18"/>
          <w:szCs w:val="18"/>
          <w:b w:val="1"/>
          <w:bCs w:val="1"/>
          <w:color w:val="auto"/>
        </w:rPr>
        <w:t>Appeal Right</w:t>
      </w:r>
      <w:r>
        <w:rPr>
          <w:rFonts w:ascii="Times New Roman" w:cs="Times New Roman" w:eastAsia="Times New Roman" w:hAnsi="Times New Roman"/>
          <w:sz w:val="18"/>
          <w:szCs w:val="18"/>
          <w:color w:val="auto"/>
        </w:rPr>
        <w:t>”), the parties agree that the award of the arbitrator rendered pursuant to Paragraph 4 below (the “</w:t>
      </w:r>
      <w:r>
        <w:rPr>
          <w:rFonts w:ascii="Times New Roman" w:cs="Times New Roman" w:eastAsia="Times New Roman" w:hAnsi="Times New Roman"/>
          <w:sz w:val="18"/>
          <w:szCs w:val="18"/>
          <w:b w:val="1"/>
          <w:bCs w:val="1"/>
          <w:color w:val="auto"/>
        </w:rPr>
        <w:t>Arbitration Award</w:t>
      </w:r>
      <w:r>
        <w:rPr>
          <w:rFonts w:ascii="Times New Roman" w:cs="Times New Roman" w:eastAsia="Times New Roman" w:hAnsi="Times New Roman"/>
          <w:sz w:val="18"/>
          <w:szCs w:val="18"/>
          <w:color w:val="auto"/>
        </w:rPr>
        <w:t>”) shall be (a) final and binding upon the parties, (b) the sole and exclusive remedy between them regarding any Claims, counterclaims, issues, or accountings presented or pleaded to the arbitrator, and (c) promptly payable in United States dollars free of any tax, deduction or offset (with respect to monetary awards). Subject to the Appeal Right, any costs or fees, including without limitation attorneys’ fees, incurred in connection with or incident to enforcing the Arbitration Award shall, to the maximum extent permitted by law, be charged against the party resisting such enforcement. The Arbitration Award shall include default interest (as defined or otherwise provided for in the Note, “</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(with respect to monetary awards) at the rate specified in the Note for Default Interest both before and after the Arbitration Award. Judgment upon the Arbitration Award will be entered and enforced by any state or federal court sitting in Salt Lake County, Utah.</w:t>
      </w:r>
    </w:p>
    <w:p>
      <w:pPr>
        <w:spacing w:after="0" w:line="189" w:lineRule="exact"/>
        <w:rPr>
          <w:rFonts w:ascii="Times New Roman" w:cs="Times New Roman" w:eastAsia="Times New Roman" w:hAnsi="Times New Roman"/>
          <w:sz w:val="18"/>
          <w:szCs w:val="18"/>
          <w:color w:val="auto"/>
        </w:rPr>
      </w:pPr>
    </w:p>
    <w:p>
      <w:pPr>
        <w:jc w:val="both"/>
        <w:ind w:left="9" w:hanging="9"/>
        <w:spacing w:after="0" w:line="258" w:lineRule="auto"/>
        <w:tabs>
          <w:tab w:leader="none" w:pos="18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Arbitration Act</w:t>
      </w:r>
      <w:r>
        <w:rPr>
          <w:rFonts w:ascii="Times New Roman" w:cs="Times New Roman" w:eastAsia="Times New Roman" w:hAnsi="Times New Roman"/>
          <w:sz w:val="18"/>
          <w:szCs w:val="18"/>
          <w:color w:val="auto"/>
        </w:rPr>
        <w:t xml:space="preserve">. The parties hereby incorporate herein the provisions and procedures set forth in the Utah Uniform Arbitration Act, U.C.A. § 78B-11-101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(as amended or superseded from time to time, the “</w:t>
      </w:r>
      <w:r>
        <w:rPr>
          <w:rFonts w:ascii="Times New Roman" w:cs="Times New Roman" w:eastAsia="Times New Roman" w:hAnsi="Times New Roman"/>
          <w:sz w:val="18"/>
          <w:szCs w:val="18"/>
          <w:b w:val="1"/>
          <w:bCs w:val="1"/>
          <w:color w:val="auto"/>
        </w:rPr>
        <w:t>Arbitration Act</w:t>
      </w:r>
      <w:r>
        <w:rPr>
          <w:rFonts w:ascii="Times New Roman" w:cs="Times New Roman" w:eastAsia="Times New Roman" w:hAnsi="Times New Roman"/>
          <w:sz w:val="18"/>
          <w:szCs w:val="18"/>
          <w:color w:val="auto"/>
        </w:rPr>
        <w:t>”). Notwithstanding the foregoing, pursuant to, and to the maximum extent permitted by, Section 105 of the Arbitration Act, in the event of conflict or variation between the terms of these Arbitration Provisions and the provisions of the Arbitration Act, the terms of these Arbitration Provisions shall control and the parties hereby waive or otherwise agree to vary the effect of all requirements of the Arbitration Act that may conflict with or vary from these Arbitration Provisions.</w:t>
      </w:r>
    </w:p>
    <w:p>
      <w:pPr>
        <w:spacing w:after="0" w:line="183" w:lineRule="exact"/>
        <w:rPr>
          <w:rFonts w:ascii="Times New Roman" w:cs="Times New Roman" w:eastAsia="Times New Roman" w:hAnsi="Times New Roman"/>
          <w:sz w:val="18"/>
          <w:szCs w:val="18"/>
          <w:color w:val="auto"/>
        </w:rPr>
      </w:pPr>
    </w:p>
    <w:p>
      <w:pPr>
        <w:ind w:left="189" w:hanging="188"/>
        <w:spacing w:after="0"/>
        <w:tabs>
          <w:tab w:leader="none" w:pos="18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Proceedings</w:t>
      </w:r>
      <w:r>
        <w:rPr>
          <w:rFonts w:ascii="Times New Roman" w:cs="Times New Roman" w:eastAsia="Times New Roman" w:hAnsi="Times New Roman"/>
          <w:sz w:val="18"/>
          <w:szCs w:val="18"/>
          <w:color w:val="auto"/>
        </w:rPr>
        <w:t>. Arbitration between the parties will be subject to the following:</w:t>
      </w:r>
    </w:p>
    <w:p>
      <w:pPr>
        <w:spacing w:after="0" w:line="223" w:lineRule="exact"/>
        <w:rPr>
          <w:sz w:val="20"/>
          <w:szCs w:val="20"/>
          <w:color w:val="auto"/>
        </w:rPr>
      </w:pPr>
    </w:p>
    <w:p>
      <w:pPr>
        <w:jc w:val="both"/>
        <w:ind w:left="9" w:firstLine="324"/>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i w:val="1"/>
          <w:iCs w:val="1"/>
          <w:color w:val="auto"/>
        </w:rPr>
        <w:t>Initiation of Arbitration</w:t>
      </w:r>
      <w:r>
        <w:rPr>
          <w:rFonts w:ascii="Times New Roman" w:cs="Times New Roman" w:eastAsia="Times New Roman" w:hAnsi="Times New Roman"/>
          <w:sz w:val="18"/>
          <w:szCs w:val="18"/>
          <w:color w:val="auto"/>
        </w:rPr>
        <w:t>. Pursuant to Section 110 of the Arbitration Act, the parties agree that a party may initiate Arbitration by giving written notice to the other party (“</w:t>
      </w:r>
      <w:r>
        <w:rPr>
          <w:rFonts w:ascii="Times New Roman" w:cs="Times New Roman" w:eastAsia="Times New Roman" w:hAnsi="Times New Roman"/>
          <w:sz w:val="18"/>
          <w:szCs w:val="18"/>
          <w:b w:val="1"/>
          <w:bCs w:val="1"/>
          <w:color w:val="auto"/>
        </w:rPr>
        <w:t>Arbitration Notice</w:t>
      </w:r>
      <w:r>
        <w:rPr>
          <w:rFonts w:ascii="Times New Roman" w:cs="Times New Roman" w:eastAsia="Times New Roman" w:hAnsi="Times New Roman"/>
          <w:sz w:val="18"/>
          <w:szCs w:val="18"/>
          <w:color w:val="auto"/>
        </w:rPr>
        <w:t>”) in the same manner that notice is permitted under Section 13.12 of the Agreement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Provision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Arbitration Notice may not be given by email or fax. Arbitration will be deemed initiated as of the date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Arbitration Notice is deemed delivered to such other party under the Notice Provision (the “</w:t>
      </w:r>
      <w:r>
        <w:rPr>
          <w:rFonts w:ascii="Times New Roman" w:cs="Times New Roman" w:eastAsia="Times New Roman" w:hAnsi="Times New Roman"/>
          <w:sz w:val="18"/>
          <w:szCs w:val="18"/>
          <w:b w:val="1"/>
          <w:bCs w:val="1"/>
          <w:color w:val="auto"/>
        </w:rPr>
        <w:t>Service Date</w:t>
      </w:r>
      <w:r>
        <w:rPr>
          <w:rFonts w:ascii="Times New Roman" w:cs="Times New Roman" w:eastAsia="Times New Roman" w:hAnsi="Times New Roman"/>
          <w:sz w:val="18"/>
          <w:szCs w:val="18"/>
          <w:color w:val="auto"/>
        </w:rPr>
        <w:t>”). After the Service Date, information may be delivered, and notices may be given, by email or fax pursuant to the Notice Provision or any other method permitted thereunder. The Arbitration Notice must describe the nature of the controversy, the remedies sought, and the election to commence Arbitration proceedings. All Claims in the Arbitration Notice must be pleaded consistent with the Utah Rules of Civil Procedure.</w:t>
      </w:r>
    </w:p>
    <w:p>
      <w:pPr>
        <w:spacing w:after="0" w:line="200" w:lineRule="exact"/>
        <w:rPr>
          <w:sz w:val="20"/>
          <w:szCs w:val="20"/>
          <w:color w:val="auto"/>
        </w:rPr>
      </w:pPr>
    </w:p>
    <w:p>
      <w:pPr>
        <w:spacing w:after="0" w:line="201" w:lineRule="exact"/>
        <w:rPr>
          <w:sz w:val="20"/>
          <w:szCs w:val="20"/>
          <w:color w:val="auto"/>
        </w:rPr>
      </w:pPr>
    </w:p>
    <w:p>
      <w:pPr>
        <w:jc w:val="center"/>
        <w:ind w:right="311"/>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17145</wp:posOffset>
            </wp:positionV>
            <wp:extent cx="7132320" cy="171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9"/>
          </w:cols>
          <w:pgMar w:left="651" w:top="900" w:right="339" w:bottom="1440" w:gutter="0" w:footer="0" w:header="0"/>
        </w:sectPr>
      </w:pPr>
    </w:p>
    <w:bookmarkStart w:id="120" w:name="page121"/>
    <w:bookmarkEnd w:id="120"/>
    <w:p>
      <w:pPr>
        <w:ind w:left="329"/>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i w:val="1"/>
          <w:iCs w:val="1"/>
          <w:color w:val="auto"/>
        </w:rPr>
        <w:t>Selection and Payment of Arbitrator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9" w:firstLine="800"/>
        <w:spacing w:after="0" w:line="255" w:lineRule="auto"/>
        <w:tabs>
          <w:tab w:leader="none" w:pos="106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calendar days after the Service Date, Investor shall select and submit to Company the names of three (3) arbitrators that are designated as “neutrals” or qualified arbitrators by Utah ADR Services (http://www.utahadrservices.com) (such three (3) designated persons hereunder are referred to herein as the “</w:t>
      </w:r>
      <w:r>
        <w:rPr>
          <w:rFonts w:ascii="Times New Roman" w:cs="Times New Roman" w:eastAsia="Times New Roman" w:hAnsi="Times New Roman"/>
          <w:sz w:val="18"/>
          <w:szCs w:val="18"/>
          <w:b w:val="1"/>
          <w:bCs w:val="1"/>
          <w:color w:val="auto"/>
        </w:rPr>
        <w:t>Proposed Arbitrators</w:t>
      </w:r>
      <w:r>
        <w:rPr>
          <w:rFonts w:ascii="Times New Roman" w:cs="Times New Roman" w:eastAsia="Times New Roman" w:hAnsi="Times New Roman"/>
          <w:sz w:val="18"/>
          <w:szCs w:val="18"/>
          <w:color w:val="auto"/>
        </w:rPr>
        <w:t>”). For the avoidance of doubt, each Proposed Arbitrator must be qualified as a “neutral” with Utah ADR Services. Within five (5) calendar days after Investor has submitted to Company the names of the Proposed Arbitrators, Company must select, by written notice to Investor, one (1) of the Proposed Arbitrators to act as the arbitrator for the parties under these Arbitration Provisions. If Company fails to select one of the Proposed Arbitrators in writing within such 5-day period, then Investor may select the arbitrator from the Proposed Arbitrators by providing written notice of such selection to Company.</w:t>
      </w:r>
    </w:p>
    <w:p>
      <w:pPr>
        <w:spacing w:after="0" w:line="188" w:lineRule="exact"/>
        <w:rPr>
          <w:rFonts w:ascii="Times New Roman" w:cs="Times New Roman" w:eastAsia="Times New Roman" w:hAnsi="Times New Roman"/>
          <w:sz w:val="18"/>
          <w:szCs w:val="18"/>
          <w:color w:val="auto"/>
        </w:rPr>
      </w:pPr>
    </w:p>
    <w:p>
      <w:pPr>
        <w:jc w:val="both"/>
        <w:ind w:left="9" w:firstLine="800"/>
        <w:spacing w:after="0" w:line="257" w:lineRule="auto"/>
        <w:tabs>
          <w:tab w:leader="none" w:pos="110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Investor fails to submit to Company the Proposed Arbitrators within ten (10) calendar days after the Service Date pursuant to subparagraph (a) above, then Company may at any time prior to Investor so designating the Proposed Arbitrators, identify the names of three (3) arbitrators that are designated as “neutrals” or qualified arbitrators by Utah ADR Service by written notice to Investor. Investor may then, within five</w:t>
      </w:r>
    </w:p>
    <w:p>
      <w:pPr>
        <w:spacing w:after="0" w:line="1" w:lineRule="exact"/>
        <w:rPr>
          <w:rFonts w:ascii="Times New Roman" w:cs="Times New Roman" w:eastAsia="Times New Roman" w:hAnsi="Times New Roman"/>
          <w:sz w:val="18"/>
          <w:szCs w:val="18"/>
          <w:color w:val="auto"/>
        </w:rPr>
      </w:pPr>
    </w:p>
    <w:p>
      <w:pPr>
        <w:jc w:val="both"/>
        <w:ind w:left="9" w:hanging="9"/>
        <w:spacing w:after="0" w:line="253" w:lineRule="auto"/>
        <w:tabs>
          <w:tab w:leader="none" w:pos="28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after Company has submitted notice of its Proposed Arbitrators to Investor, select, by written notice to Company, one (1) of the Proposed Arbitrators to act as the arbitrator for the parties under these Arbitration Provisions. If Investor fails to select in writing and within such 5-day period one (1) of the three (3) Proposed Arbitrators selected by Company, then Company may select the arbitrator from its three (3) previously selected Proposed Arbitrators by providing written notice of such selection to Investor.</w:t>
      </w:r>
    </w:p>
    <w:p>
      <w:pPr>
        <w:spacing w:after="0" w:line="188" w:lineRule="exact"/>
        <w:rPr>
          <w:rFonts w:ascii="Times New Roman" w:cs="Times New Roman" w:eastAsia="Times New Roman" w:hAnsi="Times New Roman"/>
          <w:sz w:val="18"/>
          <w:szCs w:val="18"/>
          <w:color w:val="auto"/>
        </w:rPr>
      </w:pPr>
    </w:p>
    <w:p>
      <w:pPr>
        <w:jc w:val="both"/>
        <w:ind w:left="9" w:firstLine="800"/>
        <w:spacing w:after="0" w:line="261" w:lineRule="auto"/>
        <w:tabs>
          <w:tab w:leader="none" w:pos="107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Proposed Arbitrator chosen to serve as arbitrator declines or is otherwise unable to serve as arbitrator, then the party that selected such Proposed Arbitrator may select one (1) of the other three (3) Proposed Arbitrators within three (3) calendar days of the date the chosen Proposed Arbitrator declines or notifies the parties he or she is unable to serve as arbitrator. If all three (3) Proposed Arbitrators decline or are otherwise unable to serve as arbitrator, then the arbitrator selection process shall begin again in accordance with this Paragraph 4.2.</w:t>
      </w:r>
    </w:p>
    <w:p>
      <w:pPr>
        <w:spacing w:after="0" w:line="179" w:lineRule="exact"/>
        <w:rPr>
          <w:rFonts w:ascii="Times New Roman" w:cs="Times New Roman" w:eastAsia="Times New Roman" w:hAnsi="Times New Roman"/>
          <w:sz w:val="18"/>
          <w:szCs w:val="18"/>
          <w:color w:val="auto"/>
        </w:rPr>
      </w:pPr>
    </w:p>
    <w:p>
      <w:pPr>
        <w:jc w:val="both"/>
        <w:ind w:left="9" w:firstLine="800"/>
        <w:spacing w:after="0" w:line="258" w:lineRule="auto"/>
        <w:tabs>
          <w:tab w:leader="none" w:pos="1082"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the Proposed Arbitrator selected pursuant to this Paragraph 4.2 agrees in writing (including via email) delivered to both parties to serve as the arbitrator hereunder is referred to herein as the “</w:t>
      </w:r>
      <w:r>
        <w:rPr>
          <w:rFonts w:ascii="Times New Roman" w:cs="Times New Roman" w:eastAsia="Times New Roman" w:hAnsi="Times New Roman"/>
          <w:sz w:val="18"/>
          <w:szCs w:val="18"/>
          <w:b w:val="1"/>
          <w:bCs w:val="1"/>
          <w:color w:val="auto"/>
        </w:rPr>
        <w:t>Arbitration Commencement Date</w:t>
      </w:r>
      <w:r>
        <w:rPr>
          <w:rFonts w:ascii="Times New Roman" w:cs="Times New Roman" w:eastAsia="Times New Roman" w:hAnsi="Times New Roman"/>
          <w:sz w:val="18"/>
          <w:szCs w:val="18"/>
          <w:color w:val="auto"/>
        </w:rPr>
        <w:t>”. If an arbitrator resigns or is unable to act during the Arbitration, a replacement arbitrator shall be chosen in accordance with this Paragraph 4.2 to continue the Arbitration. If Utah ADR Services ceases to exist or to provide a list of neutrals and there is no successor thereto, then the arbitrator shall be selected under the then prevailing rules of the American Arbitration Association.</w:t>
      </w:r>
    </w:p>
    <w:p>
      <w:pPr>
        <w:spacing w:after="0" w:line="183" w:lineRule="exact"/>
        <w:rPr>
          <w:rFonts w:ascii="Times New Roman" w:cs="Times New Roman" w:eastAsia="Times New Roman" w:hAnsi="Times New Roman"/>
          <w:sz w:val="18"/>
          <w:szCs w:val="18"/>
          <w:color w:val="auto"/>
        </w:rPr>
      </w:pPr>
    </w:p>
    <w:p>
      <w:pPr>
        <w:jc w:val="both"/>
        <w:ind w:left="9" w:firstLine="800"/>
        <w:spacing w:after="0" w:line="266" w:lineRule="auto"/>
        <w:tabs>
          <w:tab w:leader="none" w:pos="1068"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4.10 below, the cost of the arbitrator must be paid equally by both parties. Subject to Paragraph 4.10 below, if one party refuses or fails to pay its portion of the arbitrator fee, then the other party can advance such unpaid amount (subject to the accrual of Default Interest thereupon), with such amount being added to or subtracted from, as applicable, the Arbitration Award.</w:t>
      </w:r>
    </w:p>
    <w:p>
      <w:pPr>
        <w:spacing w:after="0" w:line="174" w:lineRule="exact"/>
        <w:rPr>
          <w:sz w:val="20"/>
          <w:szCs w:val="20"/>
          <w:color w:val="auto"/>
        </w:rPr>
      </w:pPr>
    </w:p>
    <w:p>
      <w:pPr>
        <w:jc w:val="both"/>
        <w:ind w:left="9" w:firstLine="324"/>
        <w:spacing w:after="0" w:line="257"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i w:val="1"/>
          <w:iCs w:val="1"/>
          <w:color w:val="auto"/>
        </w:rPr>
        <w:t>Applicability of Certain Utah Rules</w:t>
      </w:r>
      <w:r>
        <w:rPr>
          <w:rFonts w:ascii="Times New Roman" w:cs="Times New Roman" w:eastAsia="Times New Roman" w:hAnsi="Times New Roman"/>
          <w:sz w:val="18"/>
          <w:szCs w:val="18"/>
          <w:color w:val="auto"/>
        </w:rPr>
        <w:t>. The parties agree that the Arbitration shall be conducted generally in accordance with the Utah Rules of Civil Procedure and the Utah Rules of Evidence. More specifically, the Utah Rules of Civil Procedure shall apply, without limitation, to the filing of any pleadings, motions or memoranda, the conducting of discovery, and the taking of any depositions. The Utah Rules of Evidence shall apply to any hearings, whether telephonic or in person, held by the arbitrator. Notwithstanding the foregoing, it is the parties’ intent that the incorporation of such rules will in no event supersede these Arbitration Provisions. In the event of any conflict between the Utah Rules of Civil Procedure or the Utah Rules of Evidence and these Arbitration Provisions, these Arbitration Provisions shall control.</w:t>
      </w:r>
    </w:p>
    <w:p>
      <w:pPr>
        <w:spacing w:after="0" w:line="182" w:lineRule="exact"/>
        <w:rPr>
          <w:sz w:val="20"/>
          <w:szCs w:val="20"/>
          <w:color w:val="auto"/>
        </w:rPr>
      </w:pPr>
    </w:p>
    <w:p>
      <w:pPr>
        <w:jc w:val="both"/>
        <w:ind w:left="9" w:firstLine="323"/>
        <w:spacing w:after="0" w:line="257"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i w:val="1"/>
          <w:iCs w:val="1"/>
          <w:color w:val="auto"/>
        </w:rPr>
        <w:t>Answer and Default</w:t>
      </w:r>
      <w:r>
        <w:rPr>
          <w:rFonts w:ascii="Times New Roman" w:cs="Times New Roman" w:eastAsia="Times New Roman" w:hAnsi="Times New Roman"/>
          <w:sz w:val="18"/>
          <w:szCs w:val="18"/>
          <w:color w:val="auto"/>
        </w:rPr>
        <w:t>. An answer and any counterclaims to the Arbitration Notice shall be required to be delivered to the party initiating the Arbitration within twenty (20) calendar days after the Arbitration Commencement Date. If an answer is not delivered by the required deadline, the arbitrator must provide written notice to the defaulting party stating that the arbitrator will enter a default award against such party if such party does not file an answer within five (5) calendar days of receipt of such notice. If an answer is not filed within the five (5) day extension period, the arbitrator must render a default award, consistent with the relief requested in the Arbitration Notice, against a party that fails to submit an answer within such time period.</w:t>
      </w:r>
    </w:p>
    <w:p>
      <w:pPr>
        <w:spacing w:after="0" w:line="400" w:lineRule="exact"/>
        <w:rPr>
          <w:sz w:val="20"/>
          <w:szCs w:val="20"/>
          <w:color w:val="auto"/>
        </w:rPr>
      </w:pPr>
    </w:p>
    <w:p>
      <w:pPr>
        <w:jc w:val="center"/>
        <w:ind w:right="311"/>
        <w:spacing w:after="0"/>
        <w:rPr>
          <w:sz w:val="20"/>
          <w:szCs w:val="20"/>
          <w:color w:val="auto"/>
        </w:rPr>
      </w:pPr>
      <w:r>
        <w:rPr>
          <w:rFonts w:ascii="Times New Roman" w:cs="Times New Roman" w:eastAsia="Times New Roman" w:hAnsi="Times New Roman"/>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17145</wp:posOffset>
            </wp:positionV>
            <wp:extent cx="7132320" cy="171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9"/>
          </w:cols>
          <w:pgMar w:left="651" w:top="902" w:right="339" w:bottom="1440" w:gutter="0" w:footer="0" w:header="0"/>
        </w:sectPr>
      </w:pPr>
    </w:p>
    <w:bookmarkStart w:id="121" w:name="page122"/>
    <w:bookmarkEnd w:id="121"/>
    <w:p>
      <w:pPr>
        <w:jc w:val="both"/>
        <w:ind w:left="9" w:firstLine="324"/>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i w:val="1"/>
          <w:iCs w:val="1"/>
          <w:color w:val="auto"/>
        </w:rPr>
        <w:t>Related Litigation</w:t>
      </w:r>
      <w:r>
        <w:rPr>
          <w:rFonts w:ascii="Times New Roman" w:cs="Times New Roman" w:eastAsia="Times New Roman" w:hAnsi="Times New Roman"/>
          <w:sz w:val="18"/>
          <w:szCs w:val="18"/>
          <w:color w:val="auto"/>
        </w:rPr>
        <w:t>. The party that delivers the Arbitration Notice to the other party shall have the option to also commence concurrent legal proceedings with any state or federal court sitting in Salt Lake County, Utah (“</w:t>
      </w:r>
      <w:r>
        <w:rPr>
          <w:rFonts w:ascii="Times New Roman" w:cs="Times New Roman" w:eastAsia="Times New Roman" w:hAnsi="Times New Roman"/>
          <w:sz w:val="18"/>
          <w:szCs w:val="18"/>
          <w:b w:val="1"/>
          <w:bCs w:val="1"/>
          <w:color w:val="auto"/>
        </w:rPr>
        <w:t>Litigation Proceedings</w:t>
      </w:r>
      <w:r>
        <w:rPr>
          <w:rFonts w:ascii="Times New Roman" w:cs="Times New Roman" w:eastAsia="Times New Roman" w:hAnsi="Times New Roman"/>
          <w:sz w:val="18"/>
          <w:szCs w:val="18"/>
          <w:color w:val="auto"/>
        </w:rPr>
        <w:t>”), subject to the following: (a) the complaint in the Litigation Proceedings is to be substantially similar to the claims set forth in the Arbitration Notice, provided that an additional cause of action to compel arbitration will also be included therein, (b) so long as the other party files an answer to the complaint in the Litigation Proceedings and an answer to the Arbitration Notice, the Litigation Proceedings will be stayed pending an Arbitration Award (or Appeal Panel Award (defined below), as applicable) hereunder, (c) if the other party fails to file an answer in the Litigation Proceedings or an answer in the Arbitration proceedings, then the party initiating Arbitration shall be entitled to a default judgment consistent with the relief requested, to be entered in the Litigation Proceedings, and</w:t>
      </w:r>
    </w:p>
    <w:p>
      <w:pPr>
        <w:spacing w:after="0" w:line="5" w:lineRule="exact"/>
        <w:rPr>
          <w:sz w:val="20"/>
          <w:szCs w:val="20"/>
          <w:color w:val="auto"/>
        </w:rPr>
      </w:pPr>
    </w:p>
    <w:p>
      <w:pPr>
        <w:jc w:val="both"/>
        <w:ind w:left="9" w:hanging="9"/>
        <w:spacing w:after="0" w:line="253" w:lineRule="auto"/>
        <w:tabs>
          <w:tab w:leader="none" w:pos="26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legal or procedural issue arising under the Arbitration Act that requires a decision of a court of competent jurisdiction may be determined in the Litigation Proceedings. Any award of the arbitrator (or of the Appeal Panel (defined below)) may be entered in such Litigation Proceedings pursuant to the Arbitration Act. In the event either party successfully petitions a court to compel arbitration, the losing party in such action shall be required to pay the prevailing party’s attorneys’ fees and costs incurred in connection with such action.</w:t>
      </w:r>
    </w:p>
    <w:p>
      <w:pPr>
        <w:spacing w:after="0" w:line="187" w:lineRule="exact"/>
        <w:rPr>
          <w:sz w:val="20"/>
          <w:szCs w:val="20"/>
          <w:color w:val="auto"/>
        </w:rPr>
      </w:pPr>
    </w:p>
    <w:p>
      <w:pPr>
        <w:ind w:left="329"/>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i w:val="1"/>
          <w:iCs w:val="1"/>
          <w:color w:val="auto"/>
        </w:rPr>
        <w:t>Discovery</w:t>
      </w:r>
      <w:r>
        <w:rPr>
          <w:rFonts w:ascii="Times New Roman" w:cs="Times New Roman" w:eastAsia="Times New Roman" w:hAnsi="Times New Roman"/>
          <w:sz w:val="18"/>
          <w:szCs w:val="18"/>
          <w:color w:val="auto"/>
        </w:rPr>
        <w:t>. Pursuant to Section 118(8) of the Arbitration Act, the parties agree that discovery shall be conducted as follows:</w:t>
      </w:r>
    </w:p>
    <w:p>
      <w:pPr>
        <w:spacing w:after="0" w:line="227" w:lineRule="exact"/>
        <w:rPr>
          <w:sz w:val="20"/>
          <w:szCs w:val="20"/>
          <w:color w:val="auto"/>
        </w:rPr>
      </w:pPr>
    </w:p>
    <w:p>
      <w:pPr>
        <w:jc w:val="both"/>
        <w:ind w:left="9" w:firstLine="800"/>
        <w:spacing w:after="0" w:line="261" w:lineRule="auto"/>
        <w:tabs>
          <w:tab w:leader="none" w:pos="106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discovery will only be allowed if the likely benefits of the proposed written discovery outweigh the burden or expense thereof, and the written discovery sought is likely to reveal information that will satisfy a specific element of a claim or defense already pleaded in the Arbitration. The party seeking written discovery shall always have the burden of showing that all of the standards and limitations set forth in these Arbitration Provisions are satisfied. The scope of discovery in the Arbitration proceedings shall also be limited as follows:</w:t>
      </w:r>
    </w:p>
    <w:p>
      <w:pPr>
        <w:spacing w:after="0" w:line="179" w:lineRule="exact"/>
        <w:rPr>
          <w:rFonts w:ascii="Times New Roman" w:cs="Times New Roman" w:eastAsia="Times New Roman" w:hAnsi="Times New Roman"/>
          <w:sz w:val="18"/>
          <w:szCs w:val="18"/>
          <w:color w:val="auto"/>
        </w:rPr>
      </w:pPr>
    </w:p>
    <w:p>
      <w:pPr>
        <w:ind w:left="1509" w:hanging="212"/>
        <w:spacing w:after="0"/>
        <w:tabs>
          <w:tab w:leader="none" w:pos="1509"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facts directly connected with the transactions contemplated by the Agreement.</w:t>
      </w:r>
    </w:p>
    <w:p>
      <w:pPr>
        <w:spacing w:after="0" w:line="225" w:lineRule="exact"/>
        <w:rPr>
          <w:rFonts w:ascii="Times New Roman" w:cs="Times New Roman" w:eastAsia="Times New Roman" w:hAnsi="Times New Roman"/>
          <w:sz w:val="18"/>
          <w:szCs w:val="18"/>
          <w:color w:val="auto"/>
        </w:rPr>
      </w:pPr>
    </w:p>
    <w:p>
      <w:pPr>
        <w:ind w:left="649" w:firstLine="647"/>
        <w:spacing w:after="0" w:line="282" w:lineRule="auto"/>
        <w:tabs>
          <w:tab w:leader="none" w:pos="1595"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facts and information that cannot be obtained from another source or in another manner that is more convenient, less burdensome or less expensive than in the manner requested.</w:t>
      </w:r>
    </w:p>
    <w:p>
      <w:pPr>
        <w:spacing w:after="0" w:line="161" w:lineRule="exact"/>
        <w:rPr>
          <w:rFonts w:ascii="Times New Roman" w:cs="Times New Roman" w:eastAsia="Times New Roman" w:hAnsi="Times New Roman"/>
          <w:sz w:val="18"/>
          <w:szCs w:val="18"/>
          <w:color w:val="auto"/>
        </w:rPr>
      </w:pPr>
    </w:p>
    <w:p>
      <w:pPr>
        <w:jc w:val="both"/>
        <w:ind w:left="9" w:firstLine="800"/>
        <w:spacing w:after="0" w:line="254" w:lineRule="auto"/>
        <w:tabs>
          <w:tab w:leader="none" w:pos="107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allowed (i) more than fifteen (15) interrogatories (including discrete subparts), (ii) more than fifteen (15) requests for admission (including discrete subparts), (iii) more than ten (10) document requests (including discrete subparts), or (iv) more than three (3) depositions (excluding expert depositions) for a maximum of seven (7) hours per deposition. The costs associated with depositions will be borne by the party taking the deposition. The party defending the deposition will submit a notice to the party taking the deposition of the estimated attorneys’ fees that such party expects to incur in connection with defending the deposition. If the party defending the deposition fails to submit an estimate of attorneys’ fees within five (5) calendar days of its receipt of a deposition notice, then such party shall be deemed to have waived its right to the estimated attorneys’ fees. The party taking the deposition must pay the party defending the deposition the estimated attorneys’ fees prior to taking the deposition, unless such obligation is deemed to be waived as set forth in the immediately preceding sentence. If the party taking the deposition believes that the estimated attorneys’ fees are unreasonable, such party may submit the issue to the arbitrator for a decision. All depositions will be taken in Utah.</w:t>
      </w:r>
    </w:p>
    <w:p>
      <w:pPr>
        <w:spacing w:after="0" w:line="188" w:lineRule="exact"/>
        <w:rPr>
          <w:rFonts w:ascii="Times New Roman" w:cs="Times New Roman" w:eastAsia="Times New Roman" w:hAnsi="Times New Roman"/>
          <w:sz w:val="18"/>
          <w:szCs w:val="18"/>
          <w:color w:val="auto"/>
        </w:rPr>
      </w:pPr>
    </w:p>
    <w:p>
      <w:pPr>
        <w:jc w:val="both"/>
        <w:ind w:left="9" w:firstLine="800"/>
        <w:spacing w:after="0" w:line="252" w:lineRule="auto"/>
        <w:tabs>
          <w:tab w:leader="none" w:pos="107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discovery requests (including document production requests included in deposition notices) must be submitted in writing to the arbitrator and the other party. The party submitting the written discovery requests must include with such discovery requests a detailed explanation of how the proposed discovery requests satisfy the requirements of these Arbitration Provisions and the Utah Rules of Civil Procedure. The receiving party will then be allowed, within five (5) calendar days of receiving the proposed discovery requests, to submit to the arbitrator an estimate of the attorneys’ fees and costs associated with responding to such written discovery requests and a written challenge to each applicable discovery request. After receipt of an estimate of attorneys’ fees and costs and/or challenge(s) to one or more discovery requests, consistent with subparagraph (c) above, the arbitrator will within three (3) calendar days make a finding as to the likely attorneys’ fees and costs associated with responding to the discovery requests and issue an order that (i) requires the requesting party to prepay the attorneys’ fees and costs associated with responding to the discovery requests, and (ii) requires the responding party to respond to the discovery requests as limited by the arbitrator within twenty-five (25) calendar days of the arbitrator’s finding with respect to such discovery requests. If a party entitled to submit an estimate of attorneys’ fees and costs and/or a challenge to discovery requests fails to do so within such 5-day period, the arbitrator will make a finding that (A) there are no attorneys’ fees or costs associated with responding to such discovery requests, and (B) the responding party must respond to such discovery requests (as may be limited by the arbitrator) within twenty-five (25) calendar days of the arbitrator’s finding with respect to such discovery requests. Any party submitting any written discovery requests, including without limitation interrogatories, requests for production subpoenas to a party or a third party, or requests for admissions, must prepay the estimated attorneys’ fees and costs, before the responding party has any obligation to produce or respond to the same, unless such obligation is deemed waived as set forth above.</w:t>
      </w:r>
    </w:p>
    <w:p>
      <w:pPr>
        <w:spacing w:after="0" w:line="200" w:lineRule="exact"/>
        <w:rPr>
          <w:sz w:val="20"/>
          <w:szCs w:val="20"/>
          <w:color w:val="auto"/>
        </w:rPr>
      </w:pPr>
    </w:p>
    <w:p>
      <w:pPr>
        <w:spacing w:after="0" w:line="211" w:lineRule="exact"/>
        <w:rPr>
          <w:sz w:val="20"/>
          <w:szCs w:val="20"/>
          <w:color w:val="auto"/>
        </w:rPr>
      </w:pPr>
    </w:p>
    <w:p>
      <w:pPr>
        <w:jc w:val="center"/>
        <w:ind w:right="311"/>
        <w:spacing w:after="0"/>
        <w:rPr>
          <w:sz w:val="20"/>
          <w:szCs w:val="20"/>
          <w:color w:val="auto"/>
        </w:rPr>
      </w:pPr>
      <w:r>
        <w:rPr>
          <w:rFonts w:ascii="Times New Roman" w:cs="Times New Roman" w:eastAsia="Times New Roman" w:hAnsi="Times New Roman"/>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17145</wp:posOffset>
            </wp:positionV>
            <wp:extent cx="7132320" cy="171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9"/>
          </w:cols>
          <w:pgMar w:left="651" w:top="902" w:right="339" w:bottom="1440" w:gutter="0" w:footer="0" w:header="0"/>
        </w:sectPr>
      </w:pPr>
    </w:p>
    <w:bookmarkStart w:id="122" w:name="page123"/>
    <w:bookmarkEnd w:id="122"/>
    <w:p>
      <w:pPr>
        <w:jc w:val="both"/>
        <w:ind w:firstLine="801"/>
        <w:spacing w:after="0" w:line="261" w:lineRule="auto"/>
        <w:tabs>
          <w:tab w:leader="none" w:pos="107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allow a written discovery request, the arbitrator must find that the discovery request satisfies the standards set forth in these Arbitration Provisions and the Utah Rules of Civil Procedure. The arbitrator must strictly enforce these standards. If a discovery request does not satisfy any of the standards set forth in these Arbitration Provisions or the Utah Rules of Civil Procedure, the arbitrator may modify such discovery request to satisfy the applicable standards, or strike such discovery request in whole or in part.</w:t>
      </w:r>
    </w:p>
    <w:p>
      <w:pPr>
        <w:spacing w:after="0" w:line="179" w:lineRule="exact"/>
        <w:rPr>
          <w:rFonts w:ascii="Times New Roman" w:cs="Times New Roman" w:eastAsia="Times New Roman" w:hAnsi="Times New Roman"/>
          <w:sz w:val="18"/>
          <w:szCs w:val="18"/>
          <w:color w:val="auto"/>
        </w:rPr>
      </w:pPr>
    </w:p>
    <w:p>
      <w:pPr>
        <w:jc w:val="both"/>
        <w:ind w:firstLine="800"/>
        <w:spacing w:after="0" w:line="255" w:lineRule="auto"/>
        <w:tabs>
          <w:tab w:leader="none" w:pos="105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may submit expert reports (and rebuttals thereto), provided that such reports must be submitted within sixty (60) days of the Arbitration Commencement Date. Each party will be allowed a maximum of two (2) experts. Expert reports must contain the following: (i) a complete statement of all opinions the expert will offer at trial and the basis and reasons for them; (ii) the expert’s name and qualifications, including a list of all the expert’s publications within the preceding ten (10) years, and a list of any other cases in which the expert has testified at trial or in a deposition or prepared a report within the preceding ten (10) years; and (iii) the compensation to be paid for the expert’s report and testimony. The parties are entitled to depose any other party’s expert witness one (1) time for no more than four (4) hours. An expert may not testify in a party’s case-in-chief concerning any matter not fairly disclosed in the expert report.</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i w:val="1"/>
          <w:iCs w:val="1"/>
          <w:color w:val="auto"/>
        </w:rPr>
        <w:t>Dispositive Motions</w:t>
      </w:r>
      <w:r>
        <w:rPr>
          <w:rFonts w:ascii="Times New Roman" w:cs="Times New Roman" w:eastAsia="Times New Roman" w:hAnsi="Times New Roman"/>
          <w:sz w:val="18"/>
          <w:szCs w:val="18"/>
          <w:color w:val="auto"/>
        </w:rPr>
        <w:t>. Each party shall have the right to submit dispositive motions pursuant Rule 12 or Rule 56 of the Utah Rules of Civil Procedure (a “</w:t>
      </w:r>
      <w:r>
        <w:rPr>
          <w:rFonts w:ascii="Times New Roman" w:cs="Times New Roman" w:eastAsia="Times New Roman" w:hAnsi="Times New Roman"/>
          <w:sz w:val="18"/>
          <w:szCs w:val="18"/>
          <w:b w:val="1"/>
          <w:bCs w:val="1"/>
          <w:color w:val="auto"/>
        </w:rPr>
        <w:t>Dispositive Motion</w:t>
      </w:r>
      <w:r>
        <w:rPr>
          <w:rFonts w:ascii="Times New Roman" w:cs="Times New Roman" w:eastAsia="Times New Roman" w:hAnsi="Times New Roman"/>
          <w:sz w:val="18"/>
          <w:szCs w:val="18"/>
          <w:color w:val="auto"/>
        </w:rPr>
        <w:t>”). The party submitting the Dispositive Motion may, but is not required to, deliver to the arbitrator and to the other party a memorandum in support (the “</w:t>
      </w:r>
      <w:r>
        <w:rPr>
          <w:rFonts w:ascii="Times New Roman" w:cs="Times New Roman" w:eastAsia="Times New Roman" w:hAnsi="Times New Roman"/>
          <w:sz w:val="18"/>
          <w:szCs w:val="18"/>
          <w:b w:val="1"/>
          <w:bCs w:val="1"/>
          <w:color w:val="auto"/>
        </w:rPr>
        <w:t>Memorandum in Support</w:t>
      </w:r>
      <w:r>
        <w:rPr>
          <w:rFonts w:ascii="Times New Roman" w:cs="Times New Roman" w:eastAsia="Times New Roman" w:hAnsi="Times New Roman"/>
          <w:sz w:val="18"/>
          <w:szCs w:val="18"/>
          <w:color w:val="auto"/>
        </w:rPr>
        <w:t>”) of the Dispositive Motion. Within seven (7) calendar days of delivery of the Memorandum in Support, the other party shall deliver to the arbitrator and to the other party a memorandum in opposition to the Memorandum in Support (the “</w:t>
      </w:r>
      <w:r>
        <w:rPr>
          <w:rFonts w:ascii="Times New Roman" w:cs="Times New Roman" w:eastAsia="Times New Roman" w:hAnsi="Times New Roman"/>
          <w:sz w:val="18"/>
          <w:szCs w:val="18"/>
          <w:b w:val="1"/>
          <w:bCs w:val="1"/>
          <w:color w:val="auto"/>
        </w:rPr>
        <w:t>Memorandum in Opposition</w:t>
      </w:r>
      <w:r>
        <w:rPr>
          <w:rFonts w:ascii="Times New Roman" w:cs="Times New Roman" w:eastAsia="Times New Roman" w:hAnsi="Times New Roman"/>
          <w:sz w:val="18"/>
          <w:szCs w:val="18"/>
          <w:color w:val="auto"/>
        </w:rPr>
        <w:t>”). Within seven (7) calendar days of delivery of the Memorandum in Opposition, as applicable, the party that submitted the Memorandum in Support shall deliver to the arbitrator and to the other party a reply memorandum to the Memorandum in Opposition (“</w:t>
      </w:r>
      <w:r>
        <w:rPr>
          <w:rFonts w:ascii="Times New Roman" w:cs="Times New Roman" w:eastAsia="Times New Roman" w:hAnsi="Times New Roman"/>
          <w:sz w:val="18"/>
          <w:szCs w:val="18"/>
          <w:b w:val="1"/>
          <w:bCs w:val="1"/>
          <w:color w:val="auto"/>
        </w:rPr>
        <w:t>Reply Memorandum</w:t>
      </w:r>
      <w:r>
        <w:rPr>
          <w:rFonts w:ascii="Times New Roman" w:cs="Times New Roman" w:eastAsia="Times New Roman" w:hAnsi="Times New Roman"/>
          <w:sz w:val="18"/>
          <w:szCs w:val="18"/>
          <w:color w:val="auto"/>
        </w:rPr>
        <w:t>”). If the applicable party shall fail to deliver the Memorandum in Opposition as required above, or if the other party fails to deliver the Reply Memorandum as required above, then the applicable party shall lose its right to so deliver the same, and the Dispositive Motion shall proceed regardless.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All information disclosed by either party (or such party’s agents) during the Arbitration process (including without limitation information disclosed during the discovery process or any Appeal (defined below)) shall be considered confidential in nature. Each party agrees not to disclose any confidential information received from the other party (or its agents) during the Arbitration process (including without limitation during the discovery process or any Appeal) unless (a) prior to or after the time of disclosure such information becomes public knowledge or part of the public domain, not as a result of any inaction or action of the receiving party or its agents, (b) such information is required by a court order, subpoena or similar legal duress to be disclosed if such receiving party has notified the other party thereof in writing and given it a reasonable opportunity to obtain a protective order from a court of competent jurisdiction prior to disclosure, or (c) such information is disclosed to the receiving party’s agents, representatives and legal counsel on a need to know basis who each agree in writing not to disclose such information to any third party. Pursuant to Section 118(5) of the Arbitration Act, the arbitrator is hereby authorized and directed to issue a protective order to prevent the disclosure of privileged information and confidential information upon the written request of either party.</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i w:val="1"/>
          <w:iCs w:val="1"/>
          <w:color w:val="auto"/>
        </w:rPr>
        <w:t>Authorization; Timing; Scheduling Order</w:t>
      </w:r>
      <w:r>
        <w:rPr>
          <w:rFonts w:ascii="Times New Roman" w:cs="Times New Roman" w:eastAsia="Times New Roman" w:hAnsi="Times New Roman"/>
          <w:sz w:val="18"/>
          <w:szCs w:val="18"/>
          <w:color w:val="auto"/>
        </w:rPr>
        <w:t>. Subject to all other sections of these Arbitration Provisions, the parties hereby authorize and direct the arbitrator to take such actions and make such rulings as may be necessary to carry out the parties’ intent for the Arbitration proceedings to be efficient and expeditious. Pursuant to Section 120 of the Arbitration Act, the parties hereby agree that an Arbitration Award must be made within one hundred twenty (120) calendar days after the Arbitration Commencement Date. The arbitrator is hereby authorized and directed to hold a scheduling conference within ten (10) calendar days after the Arbitration Commencement Date in order to establish a scheduling order with various binding deadlines for discovery, expert testimony, and the submission of documents by the parties to enable the arbitrator to render a decision prior to the end of such 120-day period.</w:t>
      </w:r>
    </w:p>
    <w:p>
      <w:pPr>
        <w:spacing w:after="0" w:line="200" w:lineRule="exact"/>
        <w:rPr>
          <w:sz w:val="20"/>
          <w:szCs w:val="20"/>
          <w:color w:val="auto"/>
        </w:rPr>
      </w:pPr>
    </w:p>
    <w:p>
      <w:pPr>
        <w:spacing w:after="0" w:line="20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123" w:name="page124"/>
    <w:bookmarkEnd w:id="123"/>
    <w:p>
      <w:pPr>
        <w:jc w:val="both"/>
        <w:ind w:left="8" w:firstLine="324"/>
        <w:spacing w:after="0" w:line="267"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i w:val="1"/>
          <w:iCs w:val="1"/>
          <w:color w:val="auto"/>
        </w:rPr>
        <w:t>Relief</w:t>
      </w:r>
      <w:r>
        <w:rPr>
          <w:rFonts w:ascii="Times New Roman" w:cs="Times New Roman" w:eastAsia="Times New Roman" w:hAnsi="Times New Roman"/>
          <w:sz w:val="18"/>
          <w:szCs w:val="18"/>
          <w:color w:val="auto"/>
        </w:rPr>
        <w:t>. The arbitrator shall have the right to award or include in the Arbitration Award (or in a preliminary ruling) any relief which the arbitrator deems proper under the circumstances, including, without limitation, specific performance and injunctive relief, provided that the arbitrator may not award exemplary or punitive damages.</w:t>
      </w:r>
    </w:p>
    <w:p>
      <w:pPr>
        <w:spacing w:after="0" w:line="173" w:lineRule="exact"/>
        <w:rPr>
          <w:sz w:val="20"/>
          <w:szCs w:val="20"/>
          <w:color w:val="auto"/>
        </w:rPr>
      </w:pPr>
    </w:p>
    <w:p>
      <w:pPr>
        <w:jc w:val="both"/>
        <w:ind w:left="8" w:firstLine="324"/>
        <w:spacing w:after="0" w:line="258"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i w:val="1"/>
          <w:iCs w:val="1"/>
          <w:color w:val="auto"/>
        </w:rPr>
        <w:t>Fees and Costs</w:t>
      </w:r>
      <w:r>
        <w:rPr>
          <w:rFonts w:ascii="Times New Roman" w:cs="Times New Roman" w:eastAsia="Times New Roman" w:hAnsi="Times New Roman"/>
          <w:sz w:val="18"/>
          <w:szCs w:val="18"/>
          <w:color w:val="auto"/>
        </w:rPr>
        <w:t>. As part of the Arbitration Award, the arbitrator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(b) reimburse the prevailing party for all reasonable attorneys’ fees, arbitrator costs and fees, deposition costs, other discovery costs, and other expenses, costs or fees paid or otherwise incurred by the prevailing party in connection with the Arbitration.</w:t>
      </w:r>
    </w:p>
    <w:p>
      <w:pPr>
        <w:spacing w:after="0" w:line="183" w:lineRule="exact"/>
        <w:rPr>
          <w:sz w:val="20"/>
          <w:szCs w:val="20"/>
          <w:color w:val="auto"/>
        </w:rPr>
      </w:pPr>
    </w:p>
    <w:p>
      <w:pPr>
        <w:jc w:val="both"/>
        <w:ind w:left="8" w:firstLine="323"/>
        <w:spacing w:after="0" w:line="267"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i w:val="1"/>
          <w:iCs w:val="1"/>
          <w:color w:val="auto"/>
        </w:rPr>
        <w:t>Motion to Vacate</w:t>
      </w:r>
      <w:r>
        <w:rPr>
          <w:rFonts w:ascii="Times New Roman" w:cs="Times New Roman" w:eastAsia="Times New Roman" w:hAnsi="Times New Roman"/>
          <w:sz w:val="18"/>
          <w:szCs w:val="18"/>
          <w:color w:val="auto"/>
        </w:rPr>
        <w:t>. Following the entry of the Arbitration Award, if either party desires to file a Motion to Vacate the Arbitration Award with a court in Salt Lake County, Utah, it must do so within the earlier of: (a) thirty (30) days of entry of the Arbitration; and (b) in response to the prevailing party’s Motion of Confirm the Arbitration Award.</w:t>
      </w:r>
    </w:p>
    <w:p>
      <w:pPr>
        <w:spacing w:after="0" w:line="175" w:lineRule="exact"/>
        <w:rPr>
          <w:sz w:val="20"/>
          <w:szCs w:val="20"/>
          <w:color w:val="auto"/>
        </w:rPr>
      </w:pPr>
    </w:p>
    <w:p>
      <w:pPr>
        <w:ind w:left="308" w:hanging="308"/>
        <w:spacing w:after="0"/>
        <w:tabs>
          <w:tab w:leader="none" w:pos="30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Appeal</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left="8" w:firstLine="324"/>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i w:val="1"/>
          <w:iCs w:val="1"/>
          <w:color w:val="auto"/>
        </w:rPr>
        <w:t>Initiation of Appeal.</w:t>
      </w:r>
      <w:r>
        <w:rPr>
          <w:rFonts w:ascii="Times New Roman" w:cs="Times New Roman" w:eastAsia="Times New Roman" w:hAnsi="Times New Roman"/>
          <w:sz w:val="18"/>
          <w:szCs w:val="18"/>
          <w:color w:val="auto"/>
        </w:rPr>
        <w:t xml:space="preserve"> Following the entry of the Arbitration Award, either party (the “</w:t>
      </w:r>
      <w:r>
        <w:rPr>
          <w:rFonts w:ascii="Times New Roman" w:cs="Times New Roman" w:eastAsia="Times New Roman" w:hAnsi="Times New Roman"/>
          <w:sz w:val="18"/>
          <w:szCs w:val="18"/>
          <w:b w:val="1"/>
          <w:bCs w:val="1"/>
          <w:color w:val="auto"/>
        </w:rPr>
        <w:t>Appellant</w:t>
      </w:r>
      <w:r>
        <w:rPr>
          <w:rFonts w:ascii="Times New Roman" w:cs="Times New Roman" w:eastAsia="Times New Roman" w:hAnsi="Times New Roman"/>
          <w:sz w:val="18"/>
          <w:szCs w:val="18"/>
          <w:color w:val="auto"/>
        </w:rPr>
        <w:t>”) shall have a period of thirty (30) calendar days in which to notify the other party (the “</w:t>
      </w:r>
      <w:r>
        <w:rPr>
          <w:rFonts w:ascii="Times New Roman" w:cs="Times New Roman" w:eastAsia="Times New Roman" w:hAnsi="Times New Roman"/>
          <w:sz w:val="18"/>
          <w:szCs w:val="18"/>
          <w:b w:val="1"/>
          <w:bCs w:val="1"/>
          <w:color w:val="auto"/>
        </w:rPr>
        <w:t>Appellee</w:t>
      </w:r>
      <w:r>
        <w:rPr>
          <w:rFonts w:ascii="Times New Roman" w:cs="Times New Roman" w:eastAsia="Times New Roman" w:hAnsi="Times New Roman"/>
          <w:sz w:val="18"/>
          <w:szCs w:val="18"/>
          <w:color w:val="auto"/>
        </w:rPr>
        <w:t>”), in writing, that the Appellant elects to appeal (the “</w:t>
      </w:r>
      <w:r>
        <w:rPr>
          <w:rFonts w:ascii="Times New Roman" w:cs="Times New Roman" w:eastAsia="Times New Roman" w:hAnsi="Times New Roman"/>
          <w:sz w:val="18"/>
          <w:szCs w:val="18"/>
          <w:b w:val="1"/>
          <w:bCs w:val="1"/>
          <w:color w:val="auto"/>
        </w:rPr>
        <w:t>Appeal</w:t>
      </w:r>
      <w:r>
        <w:rPr>
          <w:rFonts w:ascii="Times New Roman" w:cs="Times New Roman" w:eastAsia="Times New Roman" w:hAnsi="Times New Roman"/>
          <w:sz w:val="18"/>
          <w:szCs w:val="18"/>
          <w:color w:val="auto"/>
        </w:rPr>
        <w:t>”) the Arbitration Award (such notice, an “</w:t>
      </w:r>
      <w:r>
        <w:rPr>
          <w:rFonts w:ascii="Times New Roman" w:cs="Times New Roman" w:eastAsia="Times New Roman" w:hAnsi="Times New Roman"/>
          <w:sz w:val="18"/>
          <w:szCs w:val="18"/>
          <w:b w:val="1"/>
          <w:bCs w:val="1"/>
          <w:color w:val="auto"/>
        </w:rPr>
        <w:t>Appeal Notice</w:t>
      </w:r>
      <w:r>
        <w:rPr>
          <w:rFonts w:ascii="Times New Roman" w:cs="Times New Roman" w:eastAsia="Times New Roman" w:hAnsi="Times New Roman"/>
          <w:sz w:val="18"/>
          <w:szCs w:val="18"/>
          <w:color w:val="auto"/>
        </w:rPr>
        <w:t>”) to a panel of arbitrators as provided in Paragraph 5.2 below. The date the Appellant delivers an Appeal Notice to the Appellee is referred to herein as the “</w:t>
      </w:r>
      <w:r>
        <w:rPr>
          <w:rFonts w:ascii="Times New Roman" w:cs="Times New Roman" w:eastAsia="Times New Roman" w:hAnsi="Times New Roman"/>
          <w:sz w:val="18"/>
          <w:szCs w:val="18"/>
          <w:b w:val="1"/>
          <w:bCs w:val="1"/>
          <w:color w:val="auto"/>
        </w:rPr>
        <w:t>Appeal Date</w:t>
      </w:r>
      <w:r>
        <w:rPr>
          <w:rFonts w:ascii="Times New Roman" w:cs="Times New Roman" w:eastAsia="Times New Roman" w:hAnsi="Times New Roman"/>
          <w:sz w:val="18"/>
          <w:szCs w:val="18"/>
          <w:color w:val="auto"/>
        </w:rPr>
        <w:t>”. The Appeal Notice must be delivered to the Appellee in accordance with the provisions of Paragraph 4.1 above with respect to delivery of an Arbitration Notice. In addition, together with delivery of the Appeal Notice to the Appellee, the Appellant must also pay for (and provide proof of such payment to the Appellee together with delivery of the Appeal Notice) a bond in the amount of 110% of the sum the Appellant owes to the Appellee as a result of the Arbitration Award the Appellant is appealing. In the event an Appellant delivers an Appeal Notice to the Appellee (together with proof of payment of the applicable bond) in compliance with the provisions of this Paragraph 5.1, the Appeal will occur as a matter of right and, except as specifically set forth herein, will not be further conditioned. In the event a party does not deliver an Appeal Notice (along with proof of payment of the applicable bond) to the other party within the deadline prescribed in this Paragraph 5.1, such party shall lose its right to appeal the Arbitration Award. The Arbitration Award will be considered final until the Appeal Notice has been properly delivered and the applicable appeal bond has been posted (along with proof of payment of the applicable bond). The parties acknowledge and agree that any Appeal shall be deemed part of the parties’ agreement to arbitrate for purposes of these Arbitration Provisions and the Arbitration Act.</w:t>
      </w:r>
    </w:p>
    <w:p>
      <w:pPr>
        <w:spacing w:after="0" w:line="189" w:lineRule="exact"/>
        <w:rPr>
          <w:sz w:val="20"/>
          <w:szCs w:val="20"/>
          <w:color w:val="auto"/>
        </w:rPr>
      </w:pPr>
    </w:p>
    <w:p>
      <w:pPr>
        <w:jc w:val="both"/>
        <w:ind w:left="8" w:firstLine="324"/>
        <w:spacing w:after="0" w:line="267"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i w:val="1"/>
          <w:iCs w:val="1"/>
          <w:color w:val="auto"/>
        </w:rPr>
        <w:t>Selection and Payment of Appeal Panel.</w:t>
      </w:r>
      <w:r>
        <w:rPr>
          <w:rFonts w:ascii="Times New Roman" w:cs="Times New Roman" w:eastAsia="Times New Roman" w:hAnsi="Times New Roman"/>
          <w:sz w:val="18"/>
          <w:szCs w:val="18"/>
          <w:color w:val="auto"/>
        </w:rPr>
        <w:t xml:space="preserve"> In the event an Appellant delivers an Appeal Notice to the Appellee (together with proof of payment of the applicable bond) in compliance with the provisions of Paragraph 5.1 above, the Appeal will be heard by a three (3) person arbitration panel (the “</w:t>
      </w:r>
      <w:r>
        <w:rPr>
          <w:rFonts w:ascii="Times New Roman" w:cs="Times New Roman" w:eastAsia="Times New Roman" w:hAnsi="Times New Roman"/>
          <w:sz w:val="18"/>
          <w:szCs w:val="18"/>
          <w:b w:val="1"/>
          <w:bCs w:val="1"/>
          <w:color w:val="auto"/>
        </w:rPr>
        <w:t>Appeal Panel</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left="8" w:firstLine="800"/>
        <w:spacing w:after="0" w:line="254" w:lineRule="auto"/>
        <w:tabs>
          <w:tab w:leader="none" w:pos="108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calendar days after the Appeal Date, the Appellee shall select and submit to the Appellant the names of five (5) arbitrators that are designated as “neutrals” or qualified arbitrators by Utah ADR Services (http://www.utahadrservices.com) (such five (5) designated persons hereunder are referred to herein as the “</w:t>
      </w:r>
      <w:r>
        <w:rPr>
          <w:rFonts w:ascii="Times New Roman" w:cs="Times New Roman" w:eastAsia="Times New Roman" w:hAnsi="Times New Roman"/>
          <w:sz w:val="18"/>
          <w:szCs w:val="18"/>
          <w:b w:val="1"/>
          <w:bCs w:val="1"/>
          <w:color w:val="auto"/>
        </w:rPr>
        <w:t>Proposed Appeal Arbitrators</w:t>
      </w:r>
      <w:r>
        <w:rPr>
          <w:rFonts w:ascii="Times New Roman" w:cs="Times New Roman" w:eastAsia="Times New Roman" w:hAnsi="Times New Roman"/>
          <w:sz w:val="18"/>
          <w:szCs w:val="18"/>
          <w:color w:val="auto"/>
        </w:rPr>
        <w:t>”). For the avoidance of doubt, each Proposed Appeal Arbitrator must be qualified as a “neutral” with Utah ADR Services, and shall not be the arbitrator who rendered the Arbitration Award being appealed (the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Arbitrator</w:t>
      </w:r>
      <w:r>
        <w:rPr>
          <w:rFonts w:ascii="Times New Roman" w:cs="Times New Roman" w:eastAsia="Times New Roman" w:hAnsi="Times New Roman"/>
          <w:sz w:val="18"/>
          <w:szCs w:val="18"/>
          <w:color w:val="auto"/>
        </w:rPr>
        <w:t>”). Within five (5) calendar days after the Appellee has submitted to the Appellant the names of the Proposed Appeal Arbitrators,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Appellant must select, by written notice to the Appellee, three (3) of the Proposed Appeal Arbitrators to act as the members of the Appeal Panel. If the Appellant fails to select three (3) of the Proposed Appeal Arbitrators in writing within such 5-day period, then the Appellee may select such three (3) arbitrators from the Proposed Appeal Arbitrators by providing written notice of such selection to the Appellant.</w:t>
      </w:r>
    </w:p>
    <w:p>
      <w:pPr>
        <w:spacing w:after="0" w:line="200" w:lineRule="exact"/>
        <w:rPr>
          <w:sz w:val="20"/>
          <w:szCs w:val="20"/>
          <w:color w:val="auto"/>
        </w:rPr>
      </w:pPr>
    </w:p>
    <w:p>
      <w:pPr>
        <w:spacing w:after="0" w:line="20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2" w:right="339" w:bottom="1440" w:gutter="0" w:footer="0" w:header="0"/>
        </w:sectPr>
      </w:pPr>
    </w:p>
    <w:bookmarkStart w:id="124" w:name="page125"/>
    <w:bookmarkEnd w:id="124"/>
    <w:p>
      <w:pPr>
        <w:jc w:val="both"/>
        <w:ind w:firstLine="801"/>
        <w:spacing w:after="0" w:line="254" w:lineRule="auto"/>
        <w:tabs>
          <w:tab w:leader="none" w:pos="107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Appellee fails to submit to the Appellant the names of the Proposed Appeal Arbitrators within ten (10) calendar days after the Appeal Date pursuant to subparagraph (a) above, then the Appellant may at any time prior to the Appellee so designating the Proposed Appeal Arbitrators, identify the names of five (5) arbitrators that are designated as “neutrals” or qualified arbitrators by Utah ADR Service (none of whom may be the Original Arbitrator) by written notice to the Appellee. The Appellee may then, within five (5) calendar days after the Appellant has submitted notice of its selected arbitrators to the Appellee, select, by written notice to the Appellant, three (3) of such selected arbitrators to serve on the Appeal Panel. If the Appellee fails to select in writing within such 5-day period three (3) of the arbitrators selected by the Appellant to serve as the members of the Appeal Panel, then the Appellant may select the three (3) members of the Appeal Panel from the Appellant’s list of five (5) arbitrators by providing written notice of such selection to the Appellee.</w:t>
      </w:r>
    </w:p>
    <w:p>
      <w:pPr>
        <w:spacing w:after="0" w:line="191" w:lineRule="exact"/>
        <w:rPr>
          <w:rFonts w:ascii="Times New Roman" w:cs="Times New Roman" w:eastAsia="Times New Roman" w:hAnsi="Times New Roman"/>
          <w:sz w:val="18"/>
          <w:szCs w:val="18"/>
          <w:color w:val="auto"/>
        </w:rPr>
      </w:pPr>
    </w:p>
    <w:p>
      <w:pPr>
        <w:jc w:val="both"/>
        <w:ind w:firstLine="801"/>
        <w:spacing w:after="0" w:line="258" w:lineRule="auto"/>
        <w:tabs>
          <w:tab w:leader="none" w:pos="107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selected Proposed Appeal Arbitrator declines or is otherwise unable to serve, then the party that selected such Proposed Appeal Arbitrator may select one (1) of the other five (5) designated Proposed Appeal Arbitrators within three (3) calendar days of the date a chosen Proposed Appeal Arbitrator declines or notifies the parties he or she is unable to serve as an arbitrator. If at least three (3) of the five (5) designated Proposed Appeal Arbitrators decline or are otherwise unable to serve, then the Proposed Appeal Arbitrator selection process shall begin again in accordance with this Paragraph 5.2;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Proposed Appeal Arbitrators who have already agreed to serve shall remain on the Appeal Panel.</w:t>
      </w:r>
    </w:p>
    <w:p>
      <w:pPr>
        <w:spacing w:after="0" w:line="183" w:lineRule="exact"/>
        <w:rPr>
          <w:rFonts w:ascii="Times New Roman" w:cs="Times New Roman" w:eastAsia="Times New Roman" w:hAnsi="Times New Roman"/>
          <w:sz w:val="18"/>
          <w:szCs w:val="18"/>
          <w:color w:val="auto"/>
        </w:rPr>
      </w:pPr>
    </w:p>
    <w:p>
      <w:pPr>
        <w:ind w:left="1060" w:hanging="259"/>
        <w:spacing w:after="0"/>
        <w:tabs>
          <w:tab w:leader="none" w:pos="10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all three (3) Proposed Appeal Arbitrators selected pursuant to this Paragraph</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5.2 agree in writing (including via email) delivered to both the Appellant and the Appellee to serve as members of the Appeal Panel hereunder is referred to herein as the “</w:t>
      </w:r>
      <w:r>
        <w:rPr>
          <w:rFonts w:ascii="Times New Roman" w:cs="Times New Roman" w:eastAsia="Times New Roman" w:hAnsi="Times New Roman"/>
          <w:sz w:val="18"/>
          <w:szCs w:val="18"/>
          <w:b w:val="1"/>
          <w:bCs w:val="1"/>
          <w:color w:val="auto"/>
        </w:rPr>
        <w:t>Appeal Commencement Date</w:t>
      </w:r>
      <w:r>
        <w:rPr>
          <w:rFonts w:ascii="Times New Roman" w:cs="Times New Roman" w:eastAsia="Times New Roman" w:hAnsi="Times New Roman"/>
          <w:sz w:val="18"/>
          <w:szCs w:val="18"/>
          <w:color w:val="auto"/>
        </w:rPr>
        <w:t>”. No later than five (5) calendar days after the Appeal Commencement Date, the Appellee shall designate in writing (including via email) to the Appellant and the Appeal Panel the name of one (1) of the three (3) members of the Appeal Panel to serve as the lead arbitrator in the Appeal proceedings. Each member of the Appeal Panel shall be deemed an arbitrator for purposes of these Arbitration Provisions and the Arbitration Act, provided that, in conducting the Appeal, the Appeal Panel may only act or make determinations upon the approval or vote of no less than the majority vote of its members, as announced or communicated by the lead arbitrator on the Appeal Panel. If an arbitrator on the Appeal Panel ceases or is unable to act during the Appeal proceedings, a replacement arbitrator shall be chosen in accordance with Paragraph 5.2 above to continue the Appeal as a member of the Appeal Panel. If Utah ADR Services ceases to exist or to provide a list of neutrals, then the arbitrators for the Appeal Panel shall be selected under the then prevailing rules of the American Arbitration Association.</w:t>
      </w:r>
    </w:p>
    <w:p>
      <w:pPr>
        <w:spacing w:after="0" w:line="18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 Subject to Paragraph 5.7 below, the cost of the Appeal Panel must be paid entirely by the Appellant.</w:t>
      </w:r>
    </w:p>
    <w:p>
      <w:pPr>
        <w:spacing w:after="0" w:line="223"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i w:val="1"/>
          <w:iCs w:val="1"/>
          <w:color w:val="auto"/>
        </w:rPr>
        <w:t>Appeal Procedure.</w:t>
      </w:r>
      <w:r>
        <w:rPr>
          <w:rFonts w:ascii="Times New Roman" w:cs="Times New Roman" w:eastAsia="Times New Roman" w:hAnsi="Times New Roman"/>
          <w:sz w:val="18"/>
          <w:szCs w:val="18"/>
          <w:color w:val="auto"/>
        </w:rPr>
        <w:t xml:space="preserve"> The Appeal will be deemed an appeal of the entire Arbitration Award. In conducting the Appeal, the Appeal Panel shall conduct a de novo review of all Claims described or otherwise set forth in the Arbitration Notice. Subject to the foregoing and all other provisions of this Paragraph 5, the Appeal Panel shall conduct the Appeal in a manner the Appeal Panel considers appropriate for a fair and expeditious disposition of the Appeal, may hold one or more hearings and permit oral argument, and may review all previous evidence and discovery, together with all briefs, pleadings and other documents filed with the Original Arbitrator (as well as any documents filed with the Appeal Panel pursuant to Paragraph 5.4(a) below). Notwithstanding the foregoing, in connection with the Appeal, the Appeal Panel shall not permit the parties to conduct any additional discovery or raise any new Claims to be arbitrated, shall not permit new witnesses or affidavits, and shall not base any of its findings or determinations on the Original Arbitrator’s findings or the Arbitration Award.</w:t>
      </w:r>
    </w:p>
    <w:p>
      <w:pPr>
        <w:spacing w:after="0" w:line="185" w:lineRule="exact"/>
        <w:rPr>
          <w:sz w:val="20"/>
          <w:szCs w:val="20"/>
          <w:color w:val="auto"/>
        </w:rPr>
      </w:pPr>
    </w:p>
    <w:p>
      <w:pPr>
        <w:ind w:left="300"/>
        <w:spacing w:after="0"/>
        <w:tabs>
          <w:tab w:leader="none" w:pos="76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i w:val="1"/>
          <w:iCs w:val="1"/>
          <w:color w:val="auto"/>
        </w:rPr>
        <w:t>Timing.</w:t>
      </w:r>
    </w:p>
    <w:p>
      <w:pPr>
        <w:spacing w:after="0" w:line="227" w:lineRule="exact"/>
        <w:rPr>
          <w:sz w:val="20"/>
          <w:szCs w:val="20"/>
          <w:color w:val="auto"/>
        </w:rPr>
      </w:pPr>
    </w:p>
    <w:p>
      <w:pPr>
        <w:jc w:val="both"/>
        <w:ind w:firstLine="841"/>
        <w:spacing w:after="0" w:line="253" w:lineRule="auto"/>
        <w:tabs>
          <w:tab w:leader="none" w:pos="111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seven (7) calendar days of the Appeal Commencement Date, the Appellant (i) shall deliver or cause to be delivered to the Appeal Panel copies of the Appeal Notice, all discovery conducted in connection with the Arbitration, and all briefs, pleadings and other documents filed with the Original Arbitrator (which material Appellee shall have the right to review and supplement if necessary), and (ii) may, but is not required to, deliver to the Appeal Panel and to the Appellee a Memorandum in Support of the Appellant’s arguments concerning or position with respect to all Claims, counterclaims, issues, or accountings presented or pleaded in the Arbitration. Within seven (7) calendar days of the Appellant’s delivery of the Memorandum in Support, as applicable, the Appellee shall deliver to the Appeal Panel and to the Appellant a Memorandum in Opposition to the Memorandum in Support. Within seven (7) calendar days of the Appellee’s delivery of the Memorandum in Opposition, as applicable, the Appellant shall deliver to the Appeal Panel and to the Appellee a Reply Memorandum to the Memorandum in Opposition. If the Appellant shall fail to substantially comply with the requirements of clause (i) of this subparagraph (a), the Appellant shall lose its right to appeal the Arbitration Award, and the Arbitration Award shall be final. If the Appellee shall fail to deliver the Memorandum in Opposition as required above, or if the Appellant shall fail to deliver the Reply Memorandum as required above, then the Appellee or the Appellant, as the case may be, shall lose its right to so deliver the same, and the Appeal shall proceed regardless.</w:t>
      </w:r>
    </w:p>
    <w:p>
      <w:pPr>
        <w:spacing w:after="0" w:line="200" w:lineRule="exact"/>
        <w:rPr>
          <w:sz w:val="20"/>
          <w:szCs w:val="20"/>
          <w:color w:val="auto"/>
        </w:rPr>
      </w:pPr>
    </w:p>
    <w:p>
      <w:pPr>
        <w:spacing w:after="0" w:line="20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125" w:name="page126"/>
    <w:bookmarkEnd w:id="125"/>
    <w:p>
      <w:pPr>
        <w:jc w:val="both"/>
        <w:ind w:left="22" w:firstLine="801"/>
        <w:spacing w:after="0" w:line="266" w:lineRule="auto"/>
        <w:tabs>
          <w:tab w:leader="none" w:pos="111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subparagraph (a) above, the parties hereby agree that the Appeal must be heard by the Appeal Panel within thirty (30) calendar days of the Appeal Commencement Date, and that the Appeal Panel must render its decision within thirty (30) calendar days after the Appeal is heard (and in no event later than sixty (60) calendar days after the Appeal Commencement Date).</w:t>
      </w:r>
    </w:p>
    <w:p>
      <w:pPr>
        <w:spacing w:after="0" w:line="172" w:lineRule="exact"/>
        <w:rPr>
          <w:sz w:val="20"/>
          <w:szCs w:val="20"/>
          <w:color w:val="auto"/>
        </w:rPr>
      </w:pPr>
    </w:p>
    <w:p>
      <w:pPr>
        <w:jc w:val="both"/>
        <w:ind w:left="22" w:firstLine="323"/>
        <w:spacing w:after="0" w:line="254"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i w:val="1"/>
          <w:iCs w:val="1"/>
          <w:color w:val="auto"/>
        </w:rPr>
        <w:t>Appeal Panel Award.</w:t>
      </w:r>
      <w:r>
        <w:rPr>
          <w:rFonts w:ascii="Times New Roman" w:cs="Times New Roman" w:eastAsia="Times New Roman" w:hAnsi="Times New Roman"/>
          <w:sz w:val="18"/>
          <w:szCs w:val="18"/>
          <w:color w:val="auto"/>
        </w:rPr>
        <w:t xml:space="preserve"> The Appeal Panel shall issue its decision (the “</w:t>
      </w:r>
      <w:r>
        <w:rPr>
          <w:rFonts w:ascii="Times New Roman" w:cs="Times New Roman" w:eastAsia="Times New Roman" w:hAnsi="Times New Roman"/>
          <w:sz w:val="18"/>
          <w:szCs w:val="18"/>
          <w:b w:val="1"/>
          <w:bCs w:val="1"/>
          <w:color w:val="auto"/>
        </w:rPr>
        <w:t>Appeal Panel Award</w:t>
      </w:r>
      <w:r>
        <w:rPr>
          <w:rFonts w:ascii="Times New Roman" w:cs="Times New Roman" w:eastAsia="Times New Roman" w:hAnsi="Times New Roman"/>
          <w:sz w:val="18"/>
          <w:szCs w:val="18"/>
          <w:color w:val="auto"/>
        </w:rPr>
        <w:t>”) through the lead arbitrator on the Appeal Panel. Notwithstanding any other provision contained herein, the Appeal Panel Award shall (a) supersede in its entirety and make of no further force or effect the Arbitration Award (provided that any protective orders issued by the Original Arbitrator shall remain in full force and effect), (b) be final and binding upon the parties, with no further rights of appeal, (c) be the sole and exclusive remedy between the parties regarding any Claims, counterclaims, issues, or accountings presented or pleaded in the Arbitration, and (d) be promptly payable in United States dollars free of any tax, deduction or offset (with respect to monetary awards). Any costs or fees, including without limitation attorneys’ fees, incurred in connection with or incident to enforcing the Appeal Panel Award shall, to the maximum extent permitted by law, be charged against the party resisting such enforcement. The Appeal Panel Award shall include Default Interest (with respect to monetary awards) at the rate specified in the Note for Default Interest both before and after the Arbitration Award. Judgment upon the Appeal Panel Award will be entered and enforced by a state or federal court sitting in Salt Lake County, Utah.</w:t>
      </w:r>
    </w:p>
    <w:p>
      <w:pPr>
        <w:spacing w:after="0" w:line="187" w:lineRule="exact"/>
        <w:rPr>
          <w:sz w:val="20"/>
          <w:szCs w:val="20"/>
          <w:color w:val="auto"/>
        </w:rPr>
      </w:pPr>
    </w:p>
    <w:p>
      <w:pPr>
        <w:jc w:val="both"/>
        <w:ind w:left="22" w:firstLine="323"/>
        <w:spacing w:after="0" w:line="267"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i w:val="1"/>
          <w:iCs w:val="1"/>
          <w:color w:val="auto"/>
        </w:rPr>
        <w:t>Relief.</w:t>
      </w:r>
      <w:r>
        <w:rPr>
          <w:rFonts w:ascii="Times New Roman" w:cs="Times New Roman" w:eastAsia="Times New Roman" w:hAnsi="Times New Roman"/>
          <w:sz w:val="18"/>
          <w:szCs w:val="18"/>
          <w:color w:val="auto"/>
        </w:rPr>
        <w:t xml:space="preserve"> The Appeal Panel shall have the right to award or include in the Appeal Panel Award any relief which the Appeal Panel deems proper under the circumstances, including, without limitation, specific performance and injunctive relief, provided that the Appeal Panel may not award exemplary or punitive damages.</w:t>
      </w:r>
    </w:p>
    <w:p>
      <w:pPr>
        <w:spacing w:after="0" w:line="173" w:lineRule="exact"/>
        <w:rPr>
          <w:sz w:val="20"/>
          <w:szCs w:val="20"/>
          <w:color w:val="auto"/>
        </w:rPr>
      </w:pPr>
    </w:p>
    <w:p>
      <w:pPr>
        <w:jc w:val="both"/>
        <w:ind w:left="22" w:firstLine="323"/>
        <w:spacing w:after="0" w:line="25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i w:val="1"/>
          <w:iCs w:val="1"/>
          <w:color w:val="auto"/>
        </w:rPr>
        <w:t>Fees and Costs.</w:t>
      </w:r>
      <w:r>
        <w:rPr>
          <w:rFonts w:ascii="Times New Roman" w:cs="Times New Roman" w:eastAsia="Times New Roman" w:hAnsi="Times New Roman"/>
          <w:sz w:val="18"/>
          <w:szCs w:val="18"/>
          <w:color w:val="auto"/>
        </w:rPr>
        <w:t xml:space="preserve"> As part of the Appeal Panel Award, the Appeal Panel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the Appeal Panel, and (b) reimburse the prevailing party (the party being awarded the most amount of money by the Appeal Panel, which, for the avoidance of doubt, shall be determined without regard to any statutory fines, penalties, fees, or other charges awarded to any part) the reasonable attorneys’ fees, arbitrator and Appeal Panel costs and fees, deposition costs, other discovery costs, and other expenses, costs or fees paid or otherwise incurred by the prevailing party in connection with the Arbitration (including without limitation in connection with the Appeal).</w:t>
      </w:r>
    </w:p>
    <w:p>
      <w:pPr>
        <w:spacing w:after="0" w:line="185" w:lineRule="exact"/>
        <w:rPr>
          <w:sz w:val="20"/>
          <w:szCs w:val="20"/>
          <w:color w:val="auto"/>
        </w:rPr>
      </w:pPr>
    </w:p>
    <w:p>
      <w:pPr>
        <w:ind w:left="302" w:hanging="302"/>
        <w:spacing w:after="0"/>
        <w:tabs>
          <w:tab w:leader="none" w:pos="30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22" w:firstLine="324"/>
        <w:spacing w:after="0" w:line="267"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xml:space="preserve"> If any part of these Arbitration Provisions is found to violate or be illegal under applicable law, then such provision shall be modified to the minimum extent necessary to make such provision enforceable under applicable law, and the remainder of the Arbitration Provisions shall remain unaffected and in full force and effect.</w:t>
      </w:r>
    </w:p>
    <w:p>
      <w:pPr>
        <w:spacing w:after="0" w:line="173" w:lineRule="exact"/>
        <w:rPr>
          <w:sz w:val="20"/>
          <w:szCs w:val="20"/>
          <w:color w:val="auto"/>
        </w:rPr>
      </w:pPr>
    </w:p>
    <w:p>
      <w:pPr>
        <w:jc w:val="both"/>
        <w:ind w:left="22" w:firstLine="324"/>
        <w:spacing w:after="0" w:line="284"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These Arbitration Provisions shall be governed by the laws of the State of Utah without regard to the conflict of laws principles therein.</w:t>
      </w:r>
    </w:p>
    <w:p>
      <w:pPr>
        <w:spacing w:after="0" w:line="158" w:lineRule="exact"/>
        <w:rPr>
          <w:sz w:val="20"/>
          <w:szCs w:val="20"/>
          <w:color w:val="auto"/>
        </w:rPr>
      </w:pPr>
    </w:p>
    <w:p>
      <w:pPr>
        <w:jc w:val="both"/>
        <w:ind w:left="22"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The headings of these Arbitration Provisions are for convenience of reference only and shall not form part of, or affect the interpretation of, these Arbitration Provisions.</w:t>
      </w:r>
    </w:p>
    <w:p>
      <w:pPr>
        <w:spacing w:after="0" w:line="158" w:lineRule="exact"/>
        <w:rPr>
          <w:sz w:val="20"/>
          <w:szCs w:val="20"/>
          <w:color w:val="auto"/>
        </w:rPr>
      </w:pPr>
    </w:p>
    <w:p>
      <w:pPr>
        <w:jc w:val="both"/>
        <w:ind w:left="22" w:firstLine="324"/>
        <w:spacing w:after="0" w:line="284"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i w:val="1"/>
          <w:iCs w:val="1"/>
          <w:color w:val="auto"/>
        </w:rPr>
        <w:t>Waiver</w:t>
      </w:r>
      <w:r>
        <w:rPr>
          <w:rFonts w:ascii="Times New Roman" w:cs="Times New Roman" w:eastAsia="Times New Roman" w:hAnsi="Times New Roman"/>
          <w:sz w:val="18"/>
          <w:szCs w:val="18"/>
          <w:color w:val="auto"/>
        </w:rPr>
        <w:t>. No waiver of any provision of these Arbitration Provisions shall be effective unless it is in the form of a writing signed by the party granting the waiver.</w:t>
      </w:r>
    </w:p>
    <w:p>
      <w:pPr>
        <w:spacing w:after="0" w:line="158" w:lineRule="exact"/>
        <w:rPr>
          <w:sz w:val="20"/>
          <w:szCs w:val="20"/>
          <w:color w:val="auto"/>
        </w:rPr>
      </w:pPr>
    </w:p>
    <w:p>
      <w:pPr>
        <w:jc w:val="center"/>
        <w:ind w:right="298"/>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i w:val="1"/>
          <w:iCs w:val="1"/>
          <w:color w:val="auto"/>
        </w:rPr>
        <w:t>Time is of the Essence</w:t>
      </w:r>
      <w:r>
        <w:rPr>
          <w:rFonts w:ascii="Times New Roman" w:cs="Times New Roman" w:eastAsia="Times New Roman" w:hAnsi="Times New Roman"/>
          <w:sz w:val="18"/>
          <w:szCs w:val="18"/>
          <w:color w:val="auto"/>
        </w:rPr>
        <w:t>. Time is expressly made of the essence with respect to each and every provision of these Arbitration Provisions.</w:t>
      </w:r>
    </w:p>
    <w:p>
      <w:pPr>
        <w:spacing w:after="0" w:line="225" w:lineRule="exact"/>
        <w:rPr>
          <w:sz w:val="20"/>
          <w:szCs w:val="20"/>
          <w:color w:val="auto"/>
        </w:rPr>
      </w:pPr>
    </w:p>
    <w:p>
      <w:pPr>
        <w:jc w:val="center"/>
        <w:ind w:right="19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318"/>
        <w:spacing w:after="0"/>
        <w:rPr>
          <w:sz w:val="20"/>
          <w:szCs w:val="20"/>
          <w:color w:val="auto"/>
        </w:rPr>
      </w:pPr>
      <w:r>
        <w:rPr>
          <w:rFonts w:ascii="Times New Roman" w:cs="Times New Roman" w:eastAsia="Times New Roman" w:hAnsi="Times New Roman"/>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17145</wp:posOffset>
            </wp:positionV>
            <wp:extent cx="7132320" cy="171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2"/>
          </w:cols>
          <w:pgMar w:left="638" w:top="904" w:right="339" w:bottom="1440" w:gutter="0" w:footer="0" w:header="0"/>
        </w:sectPr>
      </w:pPr>
    </w:p>
    <w:bookmarkStart w:id="126" w:name="page127"/>
    <w:bookmarkEnd w:id="126"/>
    <w:p>
      <w:pPr>
        <w:ind w:left="10320"/>
        <w:spacing w:after="0"/>
        <w:rPr>
          <w:sz w:val="20"/>
          <w:szCs w:val="20"/>
          <w:color w:val="auto"/>
        </w:rPr>
      </w:pPr>
      <w:r>
        <w:rPr>
          <w:rFonts w:ascii="Times New Roman" w:cs="Times New Roman" w:eastAsia="Times New Roman" w:hAnsi="Times New Roman"/>
          <w:sz w:val="17"/>
          <w:szCs w:val="17"/>
          <w:b w:val="1"/>
          <w:bCs w:val="1"/>
          <w:color w:val="auto"/>
        </w:rPr>
        <w:t>Exhibit 10.6</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dated as of September 8, 2025, between Trident Digital Tech Holdings Ltd, a Cayman Islands exempted company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each purchaser identified on the signature pages hereto (including their respective successors and assigns, each a “</w:t>
      </w:r>
      <w:r>
        <w:rPr>
          <w:rFonts w:ascii="Times New Roman" w:cs="Times New Roman" w:eastAsia="Times New Roman" w:hAnsi="Times New Roman"/>
          <w:sz w:val="18"/>
          <w:szCs w:val="18"/>
          <w:b w:val="1"/>
          <w:bCs w:val="1"/>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u w:val="single" w:color="auto"/>
          <w:color w:val="auto"/>
        </w:rPr>
        <w:t>Purchasers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the terms and conditions set forth in this Agreement and pursuant to Section 4(a)(2) of the Securities Act of 1933,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and Rule 506 promulgated thereunder, the Company desires to issue and sell to each Purchaser, and each Purchaser, severally and not jointly, desires to purchase from the Company, securities of the Company as more fully described in this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IN CONSIDERATION </w:t>
      </w:r>
      <w:r>
        <w:rPr>
          <w:rFonts w:ascii="Times New Roman" w:cs="Times New Roman" w:eastAsia="Times New Roman" w:hAnsi="Times New Roman"/>
          <w:sz w:val="18"/>
          <w:szCs w:val="18"/>
          <w:color w:val="auto"/>
        </w:rPr>
        <w:t>of the mutual covenants contained in this Agreement,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adequacy of which are hereby acknowledged, the Company and each Purchaser agree as follows:</w:t>
      </w:r>
    </w:p>
    <w:p>
      <w:pPr>
        <w:spacing w:after="0" w:line="155" w:lineRule="exact"/>
        <w:rPr>
          <w:sz w:val="20"/>
          <w:szCs w:val="20"/>
          <w:color w:val="auto"/>
        </w:rPr>
      </w:pPr>
    </w:p>
    <w:p>
      <w:pPr>
        <w:ind w:left="660" w:hanging="652"/>
        <w:spacing w:after="0" w:line="286" w:lineRule="auto"/>
        <w:tabs>
          <w:tab w:leader="none" w:pos="6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meanings set forth in this Section 1:</w:t>
      </w:r>
    </w:p>
    <w:p>
      <w:pPr>
        <w:spacing w:after="0" w:line="154" w:lineRule="exact"/>
        <w:rPr>
          <w:rFonts w:ascii="Times New Roman" w:cs="Times New Roman" w:eastAsia="Times New Roman" w:hAnsi="Times New Roman"/>
          <w:sz w:val="18"/>
          <w:szCs w:val="18"/>
          <w:b w:val="1"/>
          <w:bCs w:val="1"/>
          <w:color w:val="auto"/>
        </w:rPr>
      </w:pPr>
    </w:p>
    <w:p>
      <w:pPr>
        <w:ind w:left="660" w:right="470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 “</w:t>
      </w:r>
      <w:r>
        <w:rPr>
          <w:rFonts w:ascii="Times New Roman" w:cs="Times New Roman" w:eastAsia="Times New Roman" w:hAnsi="Times New Roman"/>
          <w:sz w:val="18"/>
          <w:szCs w:val="18"/>
          <w:b w:val="1"/>
          <w:bCs w:val="1"/>
          <w:u w:val="single" w:color="auto"/>
          <w:color w:val="auto"/>
        </w:rPr>
        <w:t>Action</w:t>
      </w:r>
      <w:r>
        <w:rPr>
          <w:rFonts w:ascii="Times New Roman" w:cs="Times New Roman" w:eastAsia="Times New Roman" w:hAnsi="Times New Roman"/>
          <w:sz w:val="18"/>
          <w:szCs w:val="18"/>
          <w:color w:val="auto"/>
        </w:rPr>
        <w:t>” shall have the meaning ascribed to such term in Section 3.1.10.</w:t>
      </w:r>
    </w:p>
    <w:p>
      <w:pPr>
        <w:spacing w:after="0" w:line="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American Depositary Shares issued pursuant to the Deposit Agreement (as defined below), each representing eight (8) Class B Ordinary Shares.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shall have the meaning ascribed to such term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BHCA</w:t>
      </w:r>
      <w:r>
        <w:rPr>
          <w:rFonts w:ascii="Times New Roman" w:cs="Times New Roman" w:eastAsia="Times New Roman" w:hAnsi="Times New Roman"/>
          <w:sz w:val="18"/>
          <w:szCs w:val="18"/>
          <w:color w:val="auto"/>
        </w:rPr>
        <w:t>” shall have the meaning ascribed to such term in Section 3.1.42.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a Calendar Day other than a Saturday, Sunday or any other Calendar Day which is a federal legal holiday in the United States or any Calendar Day on which the commercial banks in the City of New York are required by law or other governmental action to close, provided that the commercial banks in the City of New York shall not be deemed to be required to be closed due to a “stay at home,” “shelter in place,” “non-essential employee” or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Calendar Day.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Buy-In Price</w:t>
      </w:r>
      <w:r>
        <w:rPr>
          <w:rFonts w:ascii="Times New Roman" w:cs="Times New Roman" w:eastAsia="Times New Roman" w:hAnsi="Times New Roman"/>
          <w:sz w:val="18"/>
          <w:szCs w:val="18"/>
          <w:color w:val="auto"/>
        </w:rPr>
        <w:t>” shall have the meaning ascribed to such term in Section 4.1.4.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Calendar Day</w:t>
      </w:r>
      <w:r>
        <w:rPr>
          <w:rFonts w:ascii="Times New Roman" w:cs="Times New Roman" w:eastAsia="Times New Roman" w:hAnsi="Times New Roman"/>
          <w:sz w:val="18"/>
          <w:szCs w:val="18"/>
          <w:color w:val="auto"/>
        </w:rPr>
        <w:t>” means each and every day of the week (Sunday, Monday, Tuesday, Wednesday, Thursday, Friday and Saturday).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shall have the meaning ascribed to such term in the preamble.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Counsel</w:t>
      </w:r>
      <w:r>
        <w:rPr>
          <w:rFonts w:ascii="Times New Roman" w:cs="Times New Roman" w:eastAsia="Times New Roman" w:hAnsi="Times New Roman"/>
          <w:sz w:val="18"/>
          <w:szCs w:val="18"/>
          <w:color w:val="auto"/>
        </w:rPr>
        <w:t>” means with respect to U.S. federal securities law and New York law, Hogan Lovells, located at 11th Floor, One Pacific Place, 88 Queensway Road, Hong Kong.</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Deposit Agreement</w:t>
      </w:r>
      <w:r>
        <w:rPr>
          <w:rFonts w:ascii="Times New Roman" w:cs="Times New Roman" w:eastAsia="Times New Roman" w:hAnsi="Times New Roman"/>
          <w:sz w:val="18"/>
          <w:szCs w:val="18"/>
          <w:color w:val="auto"/>
        </w:rPr>
        <w:t>” means the Deposit Agreement dated as of September 11, 2024, among the Company, Citibank, N.A. as Depositary and the owners and holders of ADSs from time to time, as such agreement may be amended or supplemented.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Depositary</w:t>
      </w:r>
      <w:r>
        <w:rPr>
          <w:rFonts w:ascii="Times New Roman" w:cs="Times New Roman" w:eastAsia="Times New Roman" w:hAnsi="Times New Roman"/>
          <w:sz w:val="18"/>
          <w:szCs w:val="18"/>
          <w:color w:val="auto"/>
        </w:rPr>
        <w:t>” means Citibank, N.A., as Depositary under the Deposit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Disclosure Schedules</w:t>
      </w:r>
      <w:r>
        <w:rPr>
          <w:rFonts w:ascii="Times New Roman" w:cs="Times New Roman" w:eastAsia="Times New Roman" w:hAnsi="Times New Roman"/>
          <w:sz w:val="18"/>
          <w:szCs w:val="18"/>
          <w:color w:val="auto"/>
        </w:rPr>
        <w:t>” means the Disclosure Schedules of the Company delivered concurrently herewith.</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Disclosure Time</w:t>
      </w:r>
      <w:r>
        <w:rPr>
          <w:rFonts w:ascii="Times New Roman" w:cs="Times New Roman" w:eastAsia="Times New Roman" w:hAnsi="Times New Roman"/>
          <w:sz w:val="18"/>
          <w:szCs w:val="18"/>
          <w:color w:val="auto"/>
        </w:rPr>
        <w:t>” means, (i) if this Agreement is signed on a Calendar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Disqualification Event</w:t>
      </w:r>
      <w:r>
        <w:rPr>
          <w:rFonts w:ascii="Times New Roman" w:cs="Times New Roman" w:eastAsia="Times New Roman" w:hAnsi="Times New Roman"/>
          <w:sz w:val="18"/>
          <w:szCs w:val="18"/>
          <w:color w:val="auto"/>
        </w:rPr>
        <w:t>” shall have the meaning ascribed to such term in Section 3.1.44.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Escrow Agent</w:t>
      </w:r>
      <w:r>
        <w:rPr>
          <w:rFonts w:ascii="Times New Roman" w:cs="Times New Roman" w:eastAsia="Times New Roman" w:hAnsi="Times New Roman"/>
          <w:sz w:val="18"/>
          <w:szCs w:val="18"/>
          <w:color w:val="auto"/>
        </w:rPr>
        <w:t>” means Wilmington Trust, National Association, located at 1100 N. Market Street Wilmington, DE 19890.</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Escrow Agreement</w:t>
      </w:r>
      <w:r>
        <w:rPr>
          <w:rFonts w:ascii="Times New Roman" w:cs="Times New Roman" w:eastAsia="Times New Roman" w:hAnsi="Times New Roman"/>
          <w:sz w:val="18"/>
          <w:szCs w:val="18"/>
          <w:color w:val="auto"/>
        </w:rPr>
        <w:t>” means the escrow agreement entered into prior to the date hereof, by and among the Company, the Escrow Agent and the Placement Agent pursuant to which the Purchasers shall deposit Subscription Amounts with the Escrow Agent to be applied to the transactions contemplated hereunder.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3.1.19.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Exempt Issuance</w:t>
      </w:r>
      <w:r>
        <w:rPr>
          <w:rFonts w:ascii="Times New Roman" w:cs="Times New Roman" w:eastAsia="Times New Roman" w:hAnsi="Times New Roman"/>
          <w:sz w:val="18"/>
          <w:szCs w:val="18"/>
          <w:color w:val="auto"/>
        </w:rPr>
        <w:t>” means (i) any conventional bank loans that are not convertible into, or exercisable or exchangeable for Class B Ordinary Shares or Class B Ordinary Share Equivalents and do not involve any issuance of any Class B Ordinary Shares or Class B Ordinary Share Equivalents or other security of the Company in connection therewith; (ii) Class B Ordinary Shares or options issued to employees, officers, directors of the Company pursuant to the Company’s equity incentive plans or pursuant to the compensation agreements previously authorized by the Board of Directors; (iii) securities issued upon the exercise or exchange of or conversion of any Securities issued hereunder and/or other securities exercisable or exchangeable for or convertible into Class B Ordinary Shares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share splits or combinations) or to extend the term of such securities; and (iv) securities issued pursuant to acquisitions or strategic transactions (whether by merger, consolidation, purchase of equity, purchase of assets, reorganization or otherwise)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ninety (90) days following the Release Date, and provided that any such issuance shall only be to a Person (or to the equity 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8" w:name="page129"/>
    <w:bookmarkEnd w:id="12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Federal Reserve</w:t>
      </w:r>
      <w:r>
        <w:rPr>
          <w:rFonts w:ascii="Times New Roman" w:cs="Times New Roman" w:eastAsia="Times New Roman" w:hAnsi="Times New Roman"/>
          <w:sz w:val="18"/>
          <w:szCs w:val="18"/>
          <w:color w:val="auto"/>
        </w:rPr>
        <w:t>” shall have the meaning ascribed to such term in Section 3.1.42.</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Foreign Counsel</w:t>
      </w:r>
      <w:r>
        <w:rPr>
          <w:rFonts w:ascii="Times New Roman" w:cs="Times New Roman" w:eastAsia="Times New Roman" w:hAnsi="Times New Roman"/>
          <w:sz w:val="18"/>
          <w:szCs w:val="18"/>
          <w:color w:val="auto"/>
        </w:rPr>
        <w:t>” means Resource Law LLC, in alliance with Reed Smith, Singapore counsel to the Company, located at 10 Collyer Quay, #18-01 Ocean Financial Centre, Singapore.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GAAP</w:t>
      </w:r>
      <w:r>
        <w:rPr>
          <w:rFonts w:ascii="Times New Roman" w:cs="Times New Roman" w:eastAsia="Times New Roman" w:hAnsi="Times New Roman"/>
          <w:sz w:val="18"/>
          <w:szCs w:val="18"/>
          <w:color w:val="auto"/>
        </w:rPr>
        <w:t>” shall have the meaning ascribed to such term in Section 3.1.8.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Indebtedness</w:t>
      </w:r>
      <w:r>
        <w:rPr>
          <w:rFonts w:ascii="Times New Roman" w:cs="Times New Roman" w:eastAsia="Times New Roman" w:hAnsi="Times New Roman"/>
          <w:sz w:val="18"/>
          <w:szCs w:val="18"/>
          <w:color w:val="auto"/>
        </w:rPr>
        <w:t>” shall have the meaning ascribed to such term in Section 3.1.28.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3.1.16.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Issuer Covered Person</w:t>
      </w:r>
      <w:r>
        <w:rPr>
          <w:rFonts w:ascii="Times New Roman" w:cs="Times New Roman" w:eastAsia="Times New Roman" w:hAnsi="Times New Roman"/>
          <w:sz w:val="18"/>
          <w:szCs w:val="18"/>
          <w:color w:val="auto"/>
        </w:rPr>
        <w:t>” shall have the meaning ascribed to such term in Section 3.1.44.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IT Systems and Data</w:t>
      </w:r>
      <w:r>
        <w:rPr>
          <w:rFonts w:ascii="Times New Roman" w:cs="Times New Roman" w:eastAsia="Times New Roman" w:hAnsi="Times New Roman"/>
          <w:sz w:val="18"/>
          <w:szCs w:val="18"/>
          <w:color w:val="auto"/>
        </w:rPr>
        <w:t>” shall have the meaning ascribed to such term in Section 3.1.48.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Legend Removal Date</w:t>
      </w:r>
      <w:r>
        <w:rPr>
          <w:rFonts w:ascii="Times New Roman" w:cs="Times New Roman" w:eastAsia="Times New Roman" w:hAnsi="Times New Roman"/>
          <w:sz w:val="18"/>
          <w:szCs w:val="18"/>
          <w:color w:val="auto"/>
        </w:rPr>
        <w:t>” shall have the meaning ascribed to such term in Section 4.1.3.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3.1.14.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Money Laundering Laws</w:t>
      </w:r>
      <w:r>
        <w:rPr>
          <w:rFonts w:ascii="Times New Roman" w:cs="Times New Roman" w:eastAsia="Times New Roman" w:hAnsi="Times New Roman"/>
          <w:sz w:val="18"/>
          <w:szCs w:val="18"/>
          <w:color w:val="auto"/>
        </w:rPr>
        <w:t>” shall have the meaning ascribed to such term in Section 3.1.43.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OFAC</w:t>
      </w:r>
      <w:r>
        <w:rPr>
          <w:rFonts w:ascii="Times New Roman" w:cs="Times New Roman" w:eastAsia="Times New Roman" w:hAnsi="Times New Roman"/>
          <w:sz w:val="18"/>
          <w:szCs w:val="18"/>
          <w:color w:val="auto"/>
        </w:rPr>
        <w:t>” shall have the meaning ascribed to such term in Section 3.1.40.</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Class B Ordinary Share</w:t>
      </w:r>
      <w:r>
        <w:rPr>
          <w:rFonts w:ascii="Times New Roman" w:cs="Times New Roman" w:eastAsia="Times New Roman" w:hAnsi="Times New Roman"/>
          <w:sz w:val="18"/>
          <w:szCs w:val="18"/>
          <w:color w:val="auto"/>
        </w:rPr>
        <w:t>” means the Class B Ordinary Shares of the Company, par value $0.00001 per share, and any other class of securities into which such securities may hereafter be reclassified or changed.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Class B Ordinary Share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Class B Ordinary Shares, including, without limitation, any debt, preferred shares, right, option, warrant or other instrument that is at any time convertible into or exercisable or exchangeable for, or otherwise entitles the holder thereof to receive, Class B Ordinary Shares.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color w:val="auto"/>
        </w:rPr>
        <w:t>” equals $0.14 per ADS, each representing eight Class B Ordinary Shares, subject to adjustment for reverse and forward share splits, share dividends, share combinations and other similar transactions that occur after the date of this Agreement; provided, that as the Purchasers are purchasing Class B Ordinary Shares in this offering, the Purchase Price shall be appropriately adjusted to reflect the ADS-to-Class B Ordinary Share ratio then in effect.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PFIC</w:t>
      </w:r>
      <w:r>
        <w:rPr>
          <w:rFonts w:ascii="Times New Roman" w:cs="Times New Roman" w:eastAsia="Times New Roman" w:hAnsi="Times New Roman"/>
          <w:sz w:val="18"/>
          <w:szCs w:val="18"/>
          <w:color w:val="auto"/>
        </w:rPr>
        <w:t>” shall have the meaning ascribed to such term in Section 4.19.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Placement Agent</w:t>
      </w:r>
      <w:r>
        <w:rPr>
          <w:rFonts w:ascii="Times New Roman" w:cs="Times New Roman" w:eastAsia="Times New Roman" w:hAnsi="Times New Roman"/>
          <w:sz w:val="18"/>
          <w:szCs w:val="18"/>
          <w:color w:val="auto"/>
        </w:rPr>
        <w:t>” means Chaince Securities, LLC.</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9" w:name="page130"/>
    <w:bookmarkEnd w:id="129"/>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Placement Agent Agreement</w:t>
      </w:r>
      <w:r>
        <w:rPr>
          <w:rFonts w:ascii="Times New Roman" w:cs="Times New Roman" w:eastAsia="Times New Roman" w:hAnsi="Times New Roman"/>
          <w:sz w:val="18"/>
          <w:szCs w:val="18"/>
          <w:color w:val="auto"/>
        </w:rPr>
        <w:t>” means the placement agent agreement, dated on or about the date hereof, between the Company and the Placement Agent.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Public Information Failure</w:t>
      </w:r>
      <w:r>
        <w:rPr>
          <w:rFonts w:ascii="Times New Roman" w:cs="Times New Roman" w:eastAsia="Times New Roman" w:hAnsi="Times New Roman"/>
          <w:sz w:val="18"/>
          <w:szCs w:val="18"/>
          <w:color w:val="auto"/>
        </w:rPr>
        <w:t>” shall have the meaning ascribed to such term in Section 4.2.2.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Purchaser</w:t>
      </w:r>
      <w:r>
        <w:rPr>
          <w:rFonts w:ascii="Times New Roman" w:cs="Times New Roman" w:eastAsia="Times New Roman" w:hAnsi="Times New Roman"/>
          <w:sz w:val="18"/>
          <w:szCs w:val="18"/>
          <w:color w:val="auto"/>
        </w:rPr>
        <w:t>” shall have the meaning ascribed to such term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 Rights Agreement</w:t>
      </w:r>
      <w:r>
        <w:rPr>
          <w:rFonts w:ascii="Times New Roman" w:cs="Times New Roman" w:eastAsia="Times New Roman" w:hAnsi="Times New Roman"/>
          <w:sz w:val="18"/>
          <w:szCs w:val="18"/>
          <w:color w:val="auto"/>
        </w:rPr>
        <w:t xml:space="preserve">” means the Registration Rights Agreement, dated as of the date hereof, by and among the Company and the Purchaser Parties, in the form of </w:t>
      </w:r>
      <w:r>
        <w:rPr>
          <w:rFonts w:ascii="Times New Roman" w:cs="Times New Roman" w:eastAsia="Times New Roman" w:hAnsi="Times New Roman"/>
          <w:sz w:val="18"/>
          <w:szCs w:val="18"/>
          <w:b w:val="1"/>
          <w:bCs w:val="1"/>
          <w:u w:val="single" w:color="auto"/>
          <w:color w:val="auto"/>
        </w:rPr>
        <w:t>Exhibit 1.55</w:t>
      </w:r>
      <w:r>
        <w:rPr>
          <w:rFonts w:ascii="Times New Roman" w:cs="Times New Roman" w:eastAsia="Times New Roman" w:hAnsi="Times New Roman"/>
          <w:sz w:val="18"/>
          <w:szCs w:val="18"/>
          <w:color w:val="auto"/>
        </w:rPr>
        <w:t xml:space="preserve"> attached hereto.</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Release Date</w:t>
      </w:r>
      <w:r>
        <w:rPr>
          <w:rFonts w:ascii="Times New Roman" w:cs="Times New Roman" w:eastAsia="Times New Roman" w:hAnsi="Times New Roman"/>
          <w:sz w:val="18"/>
          <w:szCs w:val="18"/>
          <w:color w:val="auto"/>
        </w:rPr>
        <w:t>” means the earlier of (i) the date that a Resale Registration Statement registering for resale all of the Shares has been declared effective by the Commission or (ii) the date that the Securities can be sold, assigned or transferred without restriction or limitation (including volume or manner of sale restrictions) pursuant to Rule 144 promulgated under the 1933 Act, as amended (or a successor rule thereto).</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3.1.5.</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Resale Effective Date</w:t>
      </w:r>
      <w:r>
        <w:rPr>
          <w:rFonts w:ascii="Times New Roman" w:cs="Times New Roman" w:eastAsia="Times New Roman" w:hAnsi="Times New Roman"/>
          <w:sz w:val="18"/>
          <w:szCs w:val="18"/>
          <w:color w:val="auto"/>
        </w:rPr>
        <w:t>” means the earliest of the date that (a) a Resale Registration Statement registering for resale some or all Shares in the form of ADSs has been declared effective by the Commission, (b) all of the Shares have been sold pursuant to Rule 144 or may be sold pursuant to Rule 144 without the requirement for the Company to be in compliance with the current public information required under Rule 144 and without volume or manner-of- sale restrictions, (c) following the one year anniversary of the Closing Date provided that the applicable holder of Shares is not an Affiliate of the Company, or (d) all of the Shares may be sold pursuant to an exemption from registration under Section 4(a)(1) of the Securities Act without volume or manner-of-sale restrictions and Company Counsel has delivered to such holders a standing written unqualified opinion that resales may then be made by such holders of the Shares pursuant to such exemption which opinion shall be in form and substance reasonably acceptable to such holders.</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Resale Registration Statement</w:t>
      </w:r>
      <w:r>
        <w:rPr>
          <w:rFonts w:ascii="Times New Roman" w:cs="Times New Roman" w:eastAsia="Times New Roman" w:hAnsi="Times New Roman"/>
          <w:sz w:val="18"/>
          <w:szCs w:val="18"/>
          <w:color w:val="auto"/>
        </w:rPr>
        <w:t>” means a registration statement meeting the requirements set forth in the Registration Rights Agreement and covering the resale by the Purchasers of the Securities.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 Reports</w:t>
      </w:r>
      <w:r>
        <w:rPr>
          <w:rFonts w:ascii="Times New Roman" w:cs="Times New Roman" w:eastAsia="Times New Roman" w:hAnsi="Times New Roman"/>
          <w:sz w:val="18"/>
          <w:szCs w:val="18"/>
          <w:color w:val="auto"/>
        </w:rPr>
        <w:t>” shall have the meaning ascribed to such term in Section 3.1.8.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Securities</w:t>
      </w:r>
      <w:r>
        <w:rPr>
          <w:rFonts w:ascii="Times New Roman" w:cs="Times New Roman" w:eastAsia="Times New Roman" w:hAnsi="Times New Roman"/>
          <w:sz w:val="18"/>
          <w:szCs w:val="18"/>
          <w:color w:val="auto"/>
        </w:rPr>
        <w:t>” means the Shares purchased pursuant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means the Class B Ordinary Shares issued or issuable to each Purchaser pursuant to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Class B Ordinary Shares).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0" w:name="page131"/>
    <w:bookmarkEnd w:id="130"/>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Securities purchased hereunder as specified below such Purchaser’s name on the signature page of this Agreement and next to the heading “Subscription Amount,” in United States dollars and in immediately available funds.</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means any subsidiary of the Company as set forth in Schedule 3.1.1 and shall, where applicable, also include any direct or indirect subsidiary of the Company formed or acquired after the date 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ADS representing Class B Ordinary Shares are listed or quoted for trading on the date in question: the NYSE American, the Nasdaq Capital Market, the Nasdaq Global Market, the Nasdaq Global Select Market, the New York Stock Exchange, the OTCQB, OTCQX, Pink Open Market (or any successors to any of the foregoing).</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Transaction Documents</w:t>
      </w:r>
      <w:r>
        <w:rPr>
          <w:rFonts w:ascii="Times New Roman" w:cs="Times New Roman" w:eastAsia="Times New Roman" w:hAnsi="Times New Roman"/>
          <w:sz w:val="18"/>
          <w:szCs w:val="18"/>
          <w:color w:val="auto"/>
        </w:rPr>
        <w:t>” means this Agreement, the Securities, the Registration Rights Agreement, the Escrow Agreement and all exhibits and schedules thereto and hereto and any other documents or agreements executed in connection with the transactions contemplated hereunder.</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ADS representing Class B Ordinary Shares are then listed or quoted on a Trading Market, the daily volume weighted average price of the ADS representing Class B Ordinary Shares for such date (or the nearest preceding date) on the Trading Market on which the ADS representing Class B Ordinary Shares are then listed or quoted as reported by Bloomberg L.P. (based on a Trading Day from 9:30 a.m. (New York City time) to 4:02 p.m. (New York City time)), (b) if OTCQB or OTCQX is not a Trading Market, the volume weighted average price of the ADS representing Class B Ordinary Shares for such date (or the nearest preceding date) on OTCQB or OTCQX as applicable, (c) if the ADS representing Class B Ordinary Shares are not then listed or quoted for trading on OTCQB or OTCQX and if prices for the ADS representing Class B Ordinary Shares are then reported on the OTC Pink (or a similar organization or agency succeeding to its functions of reporting prices), the most recent bid price per ADS representing Class B Ordinary Share so reported, or (d) in all other cases, the fair market value of the ADS representing Class B Ordinary Shares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5"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Purchase and Sale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substantially concurrent with the execution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of this Agreement by the parties hereto, the Company agrees to sell, and the Purchasers, severally and not jointly, agree to purchase, up to an aggregate of 148,605,714 Class B Ordinary Shares, represented by 18,575,714 ADS. Each Purchaser shall deliver to the Escrow Agent, via wire transfer, immediately available funds equal to such Purchaser’s Subscription Amount as set forth on the signature page hereto executed by such Purchaser, and the Company shall deliver to each Purchaser its respective Shares, as determined pursuant to Section 2.2.1, and the Company and each Purchaser shall deliver the other items set forth in Section 2.2.2 deliverable at the Closing. Upon satisfaction of the covenants and conditions set forth in Sections 2.3.1 and 2.3.2, the Closing shall take place remotely by electronic means.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2.2.1. </w:t>
      </w:r>
      <w:r>
        <w:rPr>
          <w:rFonts w:ascii="Times New Roman" w:cs="Times New Roman" w:eastAsia="Times New Roman" w:hAnsi="Times New Roman"/>
          <w:sz w:val="18"/>
          <w:szCs w:val="18"/>
          <w:color w:val="auto"/>
        </w:rPr>
        <w:t>The Company shall deliver or cause to be delivered to each Purchaser or the Placement Agent, as appropriate, the following at the times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stated:</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2.2.1.1 </w:t>
      </w:r>
      <w:r>
        <w:rPr>
          <w:rFonts w:ascii="Times New Roman" w:cs="Times New Roman" w:eastAsia="Times New Roman" w:hAnsi="Times New Roman"/>
          <w:sz w:val="18"/>
          <w:szCs w:val="18"/>
          <w:color w:val="auto"/>
        </w:rPr>
        <w:t>on the date hereof:</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2.2.1.1.1. </w:t>
      </w:r>
      <w:r>
        <w:rPr>
          <w:rFonts w:ascii="Times New Roman" w:cs="Times New Roman" w:eastAsia="Times New Roman" w:hAnsi="Times New Roman"/>
          <w:sz w:val="18"/>
          <w:szCs w:val="18"/>
          <w:color w:val="auto"/>
        </w:rPr>
        <w:t>this Agreement duly executed by the Company.</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2.2.1.1.2. </w:t>
      </w: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1" w:name="page132"/>
    <w:bookmarkEnd w:id="131"/>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2.2.1.1.3. </w:t>
      </w: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2.2.1.1.4. </w:t>
      </w:r>
      <w:r>
        <w:rPr>
          <w:rFonts w:ascii="Times New Roman" w:cs="Times New Roman" w:eastAsia="Times New Roman" w:hAnsi="Times New Roman"/>
          <w:sz w:val="18"/>
          <w:szCs w:val="18"/>
          <w:color w:val="auto"/>
        </w:rPr>
        <w:t>the Registration Rights Agreement duly executed by the Company.</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2.2.1.1.5. </w:t>
      </w:r>
      <w:r>
        <w:rPr>
          <w:rFonts w:ascii="Times New Roman" w:cs="Times New Roman" w:eastAsia="Times New Roman" w:hAnsi="Times New Roman"/>
          <w:sz w:val="18"/>
          <w:szCs w:val="18"/>
          <w:color w:val="auto"/>
        </w:rPr>
        <w:t>the Escrow Agreement.</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2.2.1.1.6. </w:t>
      </w:r>
      <w:r>
        <w:rPr>
          <w:rFonts w:ascii="Times New Roman" w:cs="Times New Roman" w:eastAsia="Times New Roman" w:hAnsi="Times New Roman"/>
          <w:sz w:val="18"/>
          <w:szCs w:val="18"/>
          <w:color w:val="auto"/>
        </w:rPr>
        <w:t>the Placement Agent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2.2.1.2 </w:t>
      </w:r>
      <w:r>
        <w:rPr>
          <w:rFonts w:ascii="Times New Roman" w:cs="Times New Roman" w:eastAsia="Times New Roman" w:hAnsi="Times New Roman"/>
          <w:sz w:val="18"/>
          <w:szCs w:val="18"/>
          <w:color w:val="auto"/>
        </w:rPr>
        <w:t>on or prior to the Closing Date:</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2.2.1.2.1. </w:t>
      </w: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2.2.1.2.2. </w:t>
      </w: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2.2.1.2.3. </w:t>
      </w: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2.2.1.2.4. </w:t>
      </w: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2.2.1.2.5. </w:t>
      </w: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2.2.1.2.6. </w:t>
      </w:r>
      <w:r>
        <w:rPr>
          <w:rFonts w:ascii="Times New Roman" w:cs="Times New Roman" w:eastAsia="Times New Roman" w:hAnsi="Times New Roman"/>
          <w:sz w:val="18"/>
          <w:szCs w:val="18"/>
          <w:color w:val="auto"/>
        </w:rPr>
        <w:t>a duly executed joint written instructions to the Escrow Agent.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2.2.2. </w:t>
      </w:r>
      <w:r>
        <w:rPr>
          <w:rFonts w:ascii="Times New Roman" w:cs="Times New Roman" w:eastAsia="Times New Roman" w:hAnsi="Times New Roman"/>
          <w:sz w:val="18"/>
          <w:szCs w:val="18"/>
          <w:color w:val="auto"/>
        </w:rPr>
        <w:t>Each Purchaser, and the Placement Agent, as applicable, shall deliver or cause to be delivered to the Company or the Escrow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the following at the times stated:</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2.2.2.1 </w:t>
      </w:r>
      <w:r>
        <w:rPr>
          <w:rFonts w:ascii="Times New Roman" w:cs="Times New Roman" w:eastAsia="Times New Roman" w:hAnsi="Times New Roman"/>
          <w:sz w:val="18"/>
          <w:szCs w:val="18"/>
          <w:color w:val="auto"/>
        </w:rPr>
        <w:t>on the date hereof:</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2.2.2.1.1. </w:t>
      </w:r>
      <w:r>
        <w:rPr>
          <w:rFonts w:ascii="Times New Roman" w:cs="Times New Roman" w:eastAsia="Times New Roman" w:hAnsi="Times New Roman"/>
          <w:sz w:val="18"/>
          <w:szCs w:val="18"/>
          <w:color w:val="auto"/>
        </w:rPr>
        <w:t>this Agreement duly executed by such Purchaser.</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2.2.2.1.2. </w:t>
      </w:r>
      <w:r>
        <w:rPr>
          <w:rFonts w:ascii="Times New Roman" w:cs="Times New Roman" w:eastAsia="Times New Roman" w:hAnsi="Times New Roman"/>
          <w:sz w:val="18"/>
          <w:szCs w:val="18"/>
          <w:color w:val="auto"/>
        </w:rPr>
        <w:t>the Registration Rights Agreement duly executed by such Purchaser.</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2.2.2.1.3. </w:t>
      </w:r>
      <w:r>
        <w:rPr>
          <w:rFonts w:ascii="Times New Roman" w:cs="Times New Roman" w:eastAsia="Times New Roman" w:hAnsi="Times New Roman"/>
          <w:sz w:val="18"/>
          <w:szCs w:val="18"/>
          <w:color w:val="auto"/>
        </w:rPr>
        <w:t>the Escrow Agreement duly executed by the Placement Agent and the Escrow Agent.</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2.2.2.1.4. </w:t>
      </w:r>
      <w:r>
        <w:rPr>
          <w:rFonts w:ascii="Times New Roman" w:cs="Times New Roman" w:eastAsia="Times New Roman" w:hAnsi="Times New Roman"/>
          <w:sz w:val="18"/>
          <w:szCs w:val="18"/>
          <w:color w:val="auto"/>
        </w:rPr>
        <w:t>duly executed joint written instructions to the Escrow Agent.</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2.2.2.1.5. </w:t>
      </w:r>
      <w:r>
        <w:rPr>
          <w:rFonts w:ascii="Times New Roman" w:cs="Times New Roman" w:eastAsia="Times New Roman" w:hAnsi="Times New Roman"/>
          <w:sz w:val="18"/>
          <w:szCs w:val="18"/>
          <w:color w:val="auto"/>
        </w:rPr>
        <w:t>the Placement Agent Agreement duly executed by the Placement Agent.</w:t>
      </w:r>
    </w:p>
    <w:p>
      <w:pPr>
        <w:spacing w:after="0" w:line="225" w:lineRule="exact"/>
        <w:rPr>
          <w:sz w:val="20"/>
          <w:szCs w:val="20"/>
          <w:color w:val="auto"/>
        </w:rPr>
      </w:pPr>
    </w:p>
    <w:p>
      <w:pPr>
        <w:jc w:val="both"/>
        <w:ind w:left="6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2.2.2.2 </w:t>
      </w:r>
      <w:r>
        <w:rPr>
          <w:rFonts w:ascii="Times New Roman" w:cs="Times New Roman" w:eastAsia="Times New Roman" w:hAnsi="Times New Roman"/>
          <w:sz w:val="18"/>
          <w:szCs w:val="18"/>
          <w:color w:val="auto"/>
        </w:rPr>
        <w:t>on or prior to the Closing Date, such Purchaser’s Subscription Amount by wire transfer to the account specified in writing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its designee.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u w:val="single" w:color="auto"/>
          <w:color w:val="auto"/>
        </w:rPr>
        <w:t>Closing Conditions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2.3.1. </w:t>
      </w:r>
      <w:r>
        <w:rPr>
          <w:rFonts w:ascii="Times New Roman" w:cs="Times New Roman" w:eastAsia="Times New Roman" w:hAnsi="Times New Roman"/>
          <w:sz w:val="18"/>
          <w:szCs w:val="18"/>
          <w:color w:val="auto"/>
        </w:rPr>
        <w:t>The obligations of the Company hereunder in connection with the Closing are subject to each of the following conditions being met:</w:t>
      </w:r>
    </w:p>
    <w:p>
      <w:pPr>
        <w:spacing w:after="0" w:line="225"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2.3.1.1 </w:t>
      </w:r>
      <w:r>
        <w:rPr>
          <w:rFonts w:ascii="Times New Roman" w:cs="Times New Roman" w:eastAsia="Times New Roman" w:hAnsi="Times New Roman"/>
          <w:sz w:val="18"/>
          <w:szCs w:val="18"/>
          <w:color w:val="auto"/>
        </w:rPr>
        <w:t>the accuracy in all material respects (or, to the extent representations or warranties are qualified by materiality or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Adverse Effect, in all respects) when made and on the Closing Date of the representations and warranties of the Purchasers contained herein (unless as of a specific date therein in which case they shall be accurate as of such date).</w:t>
      </w:r>
    </w:p>
    <w:p>
      <w:pPr>
        <w:spacing w:after="0" w:line="171" w:lineRule="exact"/>
        <w:rPr>
          <w:sz w:val="20"/>
          <w:szCs w:val="20"/>
          <w:color w:val="auto"/>
        </w:rPr>
      </w:pPr>
    </w:p>
    <w:p>
      <w:pPr>
        <w:jc w:val="both"/>
        <w:ind w:left="6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2.3.1.2 </w:t>
      </w:r>
      <w:r>
        <w:rPr>
          <w:rFonts w:ascii="Times New Roman" w:cs="Times New Roman" w:eastAsia="Times New Roman" w:hAnsi="Times New Roman"/>
          <w:sz w:val="18"/>
          <w:szCs w:val="18"/>
          <w:color w:val="auto"/>
        </w:rPr>
        <w:t>all obligations, covenants and agreements of each Purchaser required to be performed at or prior to the Closing Date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performed.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2" w:name="page133"/>
    <w:bookmarkEnd w:id="13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2.3.1.3 </w:t>
      </w:r>
      <w:r>
        <w:rPr>
          <w:rFonts w:ascii="Times New Roman" w:cs="Times New Roman" w:eastAsia="Times New Roman" w:hAnsi="Times New Roman"/>
          <w:sz w:val="18"/>
          <w:szCs w:val="18"/>
          <w:color w:val="auto"/>
        </w:rPr>
        <w:t>the delivery by each Purchaser and the Placement Agent of the items set forth in Section 2.2.2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2.3.2. </w:t>
      </w:r>
      <w:r>
        <w:rPr>
          <w:rFonts w:ascii="Times New Roman" w:cs="Times New Roman" w:eastAsia="Times New Roman" w:hAnsi="Times New Roman"/>
          <w:sz w:val="18"/>
          <w:szCs w:val="18"/>
          <w:color w:val="auto"/>
        </w:rPr>
        <w:t>The respective obligations of the Purchasers hereunder in connection with the Closing are subject to each of the following conditions being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w:t>
      </w:r>
    </w:p>
    <w:p>
      <w:pPr>
        <w:spacing w:after="0" w:line="203"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2.3.2.1 </w:t>
      </w:r>
      <w:r>
        <w:rPr>
          <w:rFonts w:ascii="Times New Roman" w:cs="Times New Roman" w:eastAsia="Times New Roman" w:hAnsi="Times New Roman"/>
          <w:sz w:val="18"/>
          <w:szCs w:val="18"/>
          <w:color w:val="auto"/>
        </w:rPr>
        <w:t>the accuracy in all material respects (or, to the extent representations or warranties are qualified by materiality or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Adverse Effect, in all respects) when made and on the Closing Date of the representations and warranties of the Company contained herein (unless as of a specific date therein in which case they shall be accurate as of such date).</w:t>
      </w:r>
    </w:p>
    <w:p>
      <w:pPr>
        <w:spacing w:after="0" w:line="171" w:lineRule="exact"/>
        <w:rPr>
          <w:sz w:val="20"/>
          <w:szCs w:val="20"/>
          <w:color w:val="auto"/>
        </w:rPr>
      </w:pPr>
    </w:p>
    <w:p>
      <w:pPr>
        <w:jc w:val="both"/>
        <w:ind w:left="660"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2.3.2.2 </w:t>
      </w:r>
      <w:r>
        <w:rPr>
          <w:rFonts w:ascii="Times New Roman" w:cs="Times New Roman" w:eastAsia="Times New Roman" w:hAnsi="Times New Roman"/>
          <w:sz w:val="18"/>
          <w:szCs w:val="18"/>
          <w:color w:val="auto"/>
        </w:rPr>
        <w:t>all obligations, covenants and agreements of the Company required to be performed at or prior to the Closing Date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performed.</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2.3.2.3 </w:t>
      </w:r>
      <w:r>
        <w:rPr>
          <w:rFonts w:ascii="Times New Roman" w:cs="Times New Roman" w:eastAsia="Times New Roman" w:hAnsi="Times New Roman"/>
          <w:sz w:val="18"/>
          <w:szCs w:val="18"/>
          <w:color w:val="auto"/>
        </w:rPr>
        <w:t>the delivery by the Company of the items set forth in Section 2.2.1 of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2.3.2.4 </w:t>
      </w:r>
      <w:r>
        <w:rPr>
          <w:rFonts w:ascii="Times New Roman" w:cs="Times New Roman" w:eastAsia="Times New Roman" w:hAnsi="Times New Roman"/>
          <w:sz w:val="18"/>
          <w:szCs w:val="18"/>
          <w:color w:val="auto"/>
        </w:rPr>
        <w:t>there shall have been no Material Adverse Effect with respect to the Company since the date hereof.</w:t>
      </w:r>
    </w:p>
    <w:p>
      <w:pPr>
        <w:spacing w:after="0" w:line="225"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2.3.2.5 </w:t>
      </w:r>
      <w:r>
        <w:rPr>
          <w:rFonts w:ascii="Times New Roman" w:cs="Times New Roman" w:eastAsia="Times New Roman" w:hAnsi="Times New Roman"/>
          <w:sz w:val="18"/>
          <w:szCs w:val="18"/>
          <w:color w:val="auto"/>
        </w:rPr>
        <w:t>from the date hereof to the Closing Date, trading in the ADS representing Class B Ordinary Shares shall not have been suspended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Commission or the Company’s principal Trading Market, and, at any time prior to the Closing Date, trading in securities generally as reported by Bloomberg L.P. shall not have been suspended or limited,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82" w:lineRule="exact"/>
        <w:rPr>
          <w:sz w:val="20"/>
          <w:szCs w:val="20"/>
          <w:color w:val="auto"/>
        </w:rPr>
      </w:pPr>
    </w:p>
    <w:p>
      <w:pPr>
        <w:ind w:left="640" w:hanging="632"/>
        <w:spacing w:after="0"/>
        <w:tabs>
          <w:tab w:leader="none" w:pos="6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which SEC Reports shall be deemed a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and shall qualify any representation or otherwise made herein to the extent of the disclosure contained in the SEC Reports, the Company hereby makes the following representations and warranties to each Purchaser:</w:t>
      </w:r>
    </w:p>
    <w:p>
      <w:pPr>
        <w:spacing w:after="0" w:line="171" w:lineRule="exact"/>
        <w:rPr>
          <w:sz w:val="20"/>
          <w:szCs w:val="20"/>
          <w:color w:val="auto"/>
        </w:rPr>
      </w:pPr>
    </w:p>
    <w:p>
      <w:pPr>
        <w:jc w:val="both"/>
        <w:ind w:left="6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3.1.1.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The Company owns, directly or indirectly, all of the share capital or other equity interests of each Subsidiary free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clear of any Liens, and all of the issued and outstanding shares of share capital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76"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3.1.2. </w:t>
      </w:r>
      <w:r>
        <w:rPr>
          <w:rFonts w:ascii="Times New Roman" w:cs="Times New Roman" w:eastAsia="Times New Roman" w:hAnsi="Times New Roman"/>
          <w:sz w:val="18"/>
          <w:szCs w:val="18"/>
          <w:b w:val="1"/>
          <w:bCs w:val="1"/>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color w:val="auto"/>
        </w:rPr>
        <w:t>”; provided, however, that “</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color w:val="auto"/>
        </w:rPr>
        <w:t>” shall not include any event, occurrence, fact, condition or change, directly or indirectly, arising out of or attributable to: (i) the announcement, pendency or completion of the transactions contemplated by the Transaction Documents, or (ii) any action required or permitted by the Transaction Documents or any action taken (or omitted to be taken) with the written consent of or at the written request of Purchaser). As to all Company and Subsidiary power, authority and qualification, no Proceeding has been instituted in any such jurisdiction revoking, limiting or curtailing or seeking to revoke, limit or curtail such power and authority or qualification.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3" w:name="page134"/>
    <w:bookmarkEnd w:id="133"/>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3.1.3. </w:t>
      </w:r>
      <w:r>
        <w:rPr>
          <w:rFonts w:ascii="Times New Roman" w:cs="Times New Roman" w:eastAsia="Times New Roman" w:hAnsi="Times New Roman"/>
          <w:sz w:val="18"/>
          <w:szCs w:val="18"/>
          <w:b w:val="1"/>
          <w:bCs w:val="1"/>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shareholders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legal,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3.1.4. </w:t>
      </w:r>
      <w:r>
        <w:rPr>
          <w:rFonts w:ascii="Times New Roman" w:cs="Times New Roman" w:eastAsia="Times New Roman" w:hAnsi="Times New Roman"/>
          <w:sz w:val="18"/>
          <w:szCs w:val="18"/>
          <w:b w:val="1"/>
          <w:bCs w:val="1"/>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3.1.5. </w:t>
      </w:r>
      <w:r>
        <w:rPr>
          <w:rFonts w:ascii="Times New Roman" w:cs="Times New Roman" w:eastAsia="Times New Roman" w:hAnsi="Times New Roman"/>
          <w:sz w:val="18"/>
          <w:szCs w:val="18"/>
          <w:b w:val="1"/>
          <w:bCs w:val="1"/>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Resale Registration Statement pursuant to the Registration Rights Agreement, (iii) the notice and/or application(s) to each applicable Trading Market for the issuance and sale of the Securities and the listing of the Shares for trading thereon in the time and manner required thereby, (iv) the filing of Form D with the Commission and such other filings as are required to be made under applicable state securities laws (the “</w:t>
      </w:r>
      <w:r>
        <w:rPr>
          <w:rFonts w:ascii="Times New Roman" w:cs="Times New Roman" w:eastAsia="Times New Roman" w:hAnsi="Times New Roman"/>
          <w:sz w:val="18"/>
          <w:szCs w:val="18"/>
          <w:b w:val="1"/>
          <w:bCs w:val="1"/>
          <w:u w:val="single" w:color="auto"/>
          <w:color w:val="auto"/>
        </w:rPr>
        <w:t>Required Approvals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3.1.6. </w:t>
      </w:r>
      <w:r>
        <w:rPr>
          <w:rFonts w:ascii="Times New Roman" w:cs="Times New Roman" w:eastAsia="Times New Roman" w:hAnsi="Times New Roman"/>
          <w:sz w:val="18"/>
          <w:szCs w:val="18"/>
          <w:b w:val="1"/>
          <w:bCs w:val="1"/>
          <w:u w:val="single" w:color="auto"/>
          <w:color w:val="auto"/>
        </w:rPr>
        <w:t>Issuance of the Securities</w:t>
      </w:r>
      <w:r>
        <w:rPr>
          <w:rFonts w:ascii="Times New Roman" w:cs="Times New Roman" w:eastAsia="Times New Roman" w:hAnsi="Times New Roman"/>
          <w:sz w:val="18"/>
          <w:szCs w:val="18"/>
          <w:color w:val="auto"/>
        </w:rPr>
        <w:t>. The Securities are duly authorized and, when issued and paid for in accordance with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Documents, will be duly and validly issued, fully paid and nonassessable (which means that no further sums are required to be paid by the holders thereof in connection with the issue thereof), free and clear of all Liens imposed by the Company other than restrictions on transfer provided for in the Transaction Documents, the Company’s charter documents and applicable law.</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34" w:name="page135"/>
    <w:bookmarkEnd w:id="134"/>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3.1.7. </w:t>
      </w:r>
      <w:r>
        <w:rPr>
          <w:rFonts w:ascii="Times New Roman" w:cs="Times New Roman" w:eastAsia="Times New Roman" w:hAnsi="Times New Roman"/>
          <w:sz w:val="18"/>
          <w:szCs w:val="18"/>
          <w:b w:val="1"/>
          <w:bCs w:val="1"/>
          <w:u w:val="single" w:color="auto"/>
          <w:color w:val="auto"/>
        </w:rPr>
        <w:t>Capitalization</w:t>
      </w:r>
      <w:r>
        <w:rPr>
          <w:rFonts w:ascii="Times New Roman" w:cs="Times New Roman" w:eastAsia="Times New Roman" w:hAnsi="Times New Roman"/>
          <w:sz w:val="18"/>
          <w:szCs w:val="18"/>
          <w:color w:val="auto"/>
        </w:rPr>
        <w:t>. Other than as stated in the SEC Reports, the Company has not issued any share capital, other than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employee share options under the Company’s share option plans, the issuance of Class B Ordinary Shares to employees pursuant to the Company’s employee share purchase plans and pursuant to the conversion and/or exercise of Class B Ordinary Share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set forth in the SEC Reports, or pursuant to this Agreement,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Class B Ordinary Shares or the share capital of any Subsidiary, or contracts, commitments, understandings or arrangements by which the Company or any Subsidiary is or may become bound to issue additional Class B Ordinary Shares or Class B Ordinary Share Equivalents or share capital of any Subsidiary. The issuance and sale of the Securities will not obligate the Company or any Subsidiary to issue Class B Ordinary Shares or other securities to any Person (other than the Purchasers). Except as set forth in the SEC Reports,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the SEC Reports,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share appreciation rights or “phantom stock” plans or agreements or any similar plan or agreement. All of the outstanding shares of share capital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shareholder, the Board of Directors or others is required for the issuance and sale of the Securities. There are no shareholders’ agreements, voting agreements or other similar agreements with respect to the Company’s share capital to which the Company is a party or, to the knowledge of the Company, between or among any of the Company’s shareholders.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3.1.8. </w:t>
      </w:r>
      <w:r>
        <w:rPr>
          <w:rFonts w:ascii="Times New Roman" w:cs="Times New Roman" w:eastAsia="Times New Roman" w:hAnsi="Times New Roman"/>
          <w:sz w:val="18"/>
          <w:szCs w:val="18"/>
          <w:b w:val="1"/>
          <w:bCs w:val="1"/>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b w:val="1"/>
          <w:bCs w:val="1"/>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is not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b w:val="1"/>
          <w:bCs w:val="1"/>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35" w:name="page136"/>
    <w:bookmarkEnd w:id="135"/>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3.1.9. </w:t>
      </w:r>
      <w:r>
        <w:rPr>
          <w:rFonts w:ascii="Times New Roman" w:cs="Times New Roman" w:eastAsia="Times New Roman" w:hAnsi="Times New Roman"/>
          <w:sz w:val="18"/>
          <w:szCs w:val="18"/>
          <w:b w:val="1"/>
          <w:bCs w:val="1"/>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respective dates as of which information is given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shareholders or purchased, redeemed or made any agreements to purchase or redeem any shares of its share capital and (v) the Company has not issued any equity securities to any officer, director or Affiliate, except pursuant to existing Company share option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3.1.10. </w:t>
      </w:r>
      <w:r>
        <w:rPr>
          <w:rFonts w:ascii="Times New Roman" w:cs="Times New Roman" w:eastAsia="Times New Roman" w:hAnsi="Times New Roman"/>
          <w:sz w:val="18"/>
          <w:szCs w:val="18"/>
          <w:b w:val="1"/>
          <w:bCs w:val="1"/>
          <w:u w:val="single" w:color="auto"/>
          <w:color w:val="auto"/>
        </w:rPr>
        <w:t>Litigation</w:t>
      </w:r>
      <w:r>
        <w:rPr>
          <w:rFonts w:ascii="Times New Roman" w:cs="Times New Roman" w:eastAsia="Times New Roman" w:hAnsi="Times New Roman"/>
          <w:sz w:val="18"/>
          <w:szCs w:val="18"/>
          <w:color w:val="auto"/>
        </w:rPr>
        <w:t>. Except as set forth in the SEC Reports, there is no action, suit, inquiry, notice of violation, proceeding or investigation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b w:val="1"/>
          <w:bCs w:val="1"/>
          <w:u w:val="single" w:color="auto"/>
          <w:color w:val="auto"/>
        </w:rPr>
        <w:t>Action</w:t>
      </w:r>
      <w:r>
        <w:rPr>
          <w:rFonts w:ascii="Times New Roman" w:cs="Times New Roman" w:eastAsia="Times New Roman" w:hAnsi="Times New Roman"/>
          <w:sz w:val="18"/>
          <w:szCs w:val="18"/>
          <w:color w:val="auto"/>
        </w:rPr>
        <w:t>”). None of the Actions set forth on Schedule 3.1.10, (i) adversely affects or challenges the legality, validity or enforceability of any of the Transaction Documents or (ii) would,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except in the ordinary course of business that would not have a Material Adverse Effect. The Commission has not issued any stop order or other order suspending the effectiveness of any registration statement filed by the Company or any Subsidiary under the Exchange Act or the Securities Act.</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3.1.11. </w:t>
      </w:r>
      <w:r>
        <w:rPr>
          <w:rFonts w:ascii="Times New Roman" w:cs="Times New Roman" w:eastAsia="Times New Roman" w:hAnsi="Times New Roman"/>
          <w:sz w:val="18"/>
          <w:szCs w:val="18"/>
          <w:b w:val="1"/>
          <w:bCs w:val="1"/>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which could reasonably be expected to result in a Material Adverse Effect. To the knowledge of the Company,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3.1.12. </w:t>
      </w:r>
      <w:r>
        <w:rPr>
          <w:rFonts w:ascii="Times New Roman" w:cs="Times New Roman" w:eastAsia="Times New Roman" w:hAnsi="Times New Roman"/>
          <w:sz w:val="18"/>
          <w:szCs w:val="18"/>
          <w:b w:val="1"/>
          <w:bCs w:val="1"/>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36" w:name="page137"/>
    <w:bookmarkEnd w:id="136"/>
    <w:p>
      <w:pPr>
        <w:ind w:left="640"/>
        <w:spacing w:after="0"/>
        <w:rPr>
          <w:sz w:val="20"/>
          <w:szCs w:val="20"/>
          <w:color w:val="auto"/>
        </w:rPr>
      </w:pPr>
      <w:r>
        <w:rPr>
          <w:rFonts w:ascii="Times New Roman" w:cs="Times New Roman" w:eastAsia="Times New Roman" w:hAnsi="Times New Roman"/>
          <w:sz w:val="18"/>
          <w:szCs w:val="18"/>
          <w:b w:val="1"/>
          <w:bCs w:val="1"/>
          <w:color w:val="auto"/>
        </w:rPr>
        <w:t>3.1.13. [Reserved]</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3.1.14. </w:t>
      </w:r>
      <w:r>
        <w:rPr>
          <w:rFonts w:ascii="Times New Roman" w:cs="Times New Roman" w:eastAsia="Times New Roman" w:hAnsi="Times New Roman"/>
          <w:sz w:val="18"/>
          <w:szCs w:val="18"/>
          <w:b w:val="1"/>
          <w:bCs w:val="1"/>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b w:val="1"/>
          <w:bCs w:val="1"/>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3.1.15. </w:t>
      </w:r>
      <w:r>
        <w:rPr>
          <w:rFonts w:ascii="Times New Roman" w:cs="Times New Roman" w:eastAsia="Times New Roman" w:hAnsi="Times New Roman"/>
          <w:sz w:val="18"/>
          <w:szCs w:val="18"/>
          <w:b w:val="1"/>
          <w:bCs w:val="1"/>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or have valid and marketable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to lease or otherwise use, all real property and all personal property that is material to the business of the Company and the Subsidiaries, in each case free and clear of all Liens, except for (i) Liens that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in accordance with GAAP, and the payment of which is neither delinquent nor subject to penalties. Neither the Company nor any of its Subsidiaries has received any written notice of any claim of any sort that has been asserted by anyone adverse to the rights of the Company or its Subsidiaries under any of the leases or subleases or licenses or with respect to the properties mentioned above, or affecting or questioning the rights of the Company or any Subsidiary to the continued possession or use of the leased or subleased or licensed premises or the properties mentioned above, other than such claims which would not, individually or in the aggregate, reasonably be expected to have a Material Adverse Effect.</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3.1.16. </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b w:val="1"/>
          <w:bCs w:val="1"/>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notice (written or otherwise) that any of, the Intellectual Property Rights has expired, terminated or been abandoned, or is expected to expire or terminate or be abandoned, within two (2) years after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3.1.17.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The Company and the Subsidiaries maintain employee’s compensation insurance and directors’ and officers’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coverage in amounts deemed prudent by the Company, in accordance with applicable law and consistent with what is customary in the businesses in which the Company and the Subsidiaries are engaged. Neither the Company nor any Subsidiary maintains business interruption insurance or key person insurance. The Company will use reasonable efforts to evaluate the renewal of existing insurance coverage upon its expiration, taking into account applicable law, customary practices in its businesses, and the Company’s assessment of prudence and cost.</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3.1.18. </w:t>
      </w:r>
      <w:r>
        <w:rPr>
          <w:rFonts w:ascii="Times New Roman" w:cs="Times New Roman" w:eastAsia="Times New Roman" w:hAnsi="Times New Roman"/>
          <w:sz w:val="18"/>
          <w:szCs w:val="18"/>
          <w:b w:val="1"/>
          <w:bCs w:val="1"/>
          <w:u w:val="single" w:color="auto"/>
          <w:color w:val="auto"/>
        </w:rPr>
        <w:t>Transactions with Affiliates and Employees</w:t>
      </w:r>
      <w:r>
        <w:rPr>
          <w:rFonts w:ascii="Times New Roman" w:cs="Times New Roman" w:eastAsia="Times New Roman" w:hAnsi="Times New Roman"/>
          <w:sz w:val="18"/>
          <w:szCs w:val="18"/>
          <w:color w:val="auto"/>
        </w:rPr>
        <w:t>. Except as set forth the SEC Reports, during the past three fiscal years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subsequent interim period through the date of this Agreement,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shareholder, member or partner, in each case in excess of $120,000 other than for (i) payment of salary or consulting fees for services rendered, (ii) reimbursement for expenses incurred on behalf of the Company and (iii) other employee benefits, including share option agreements under any share option plan of the Company.</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37" w:name="page138"/>
    <w:bookmarkEnd w:id="137"/>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3.1.19. </w:t>
      </w:r>
      <w:r>
        <w:rPr>
          <w:rFonts w:ascii="Times New Roman" w:cs="Times New Roman" w:eastAsia="Times New Roman" w:hAnsi="Times New Roman"/>
          <w:sz w:val="18"/>
          <w:szCs w:val="18"/>
          <w:b w:val="1"/>
          <w:bCs w:val="1"/>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material compliance with any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requirements of the Sarbanes-Oxley Act of 2002, as amended, that are effective as of the date hereof, and any and all applicable rules and regulations promulgated by the Commission thereunder that are effective as of the date hereof and as of the Closing Date. Except as set forth in the SEC Reports,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b w:val="1"/>
          <w:bCs w:val="1"/>
          <w:u w:val="single" w:color="auto"/>
          <w:color w:val="auto"/>
        </w:rPr>
        <w:t>Evaluation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3.1.20. </w:t>
      </w:r>
      <w:r>
        <w:rPr>
          <w:rFonts w:ascii="Times New Roman" w:cs="Times New Roman" w:eastAsia="Times New Roman" w:hAnsi="Times New Roman"/>
          <w:sz w:val="18"/>
          <w:szCs w:val="18"/>
          <w:b w:val="1"/>
          <w:bCs w:val="1"/>
          <w:u w:val="single" w:color="auto"/>
          <w:color w:val="auto"/>
        </w:rPr>
        <w:t>Certain Fees</w:t>
      </w:r>
      <w:r>
        <w:rPr>
          <w:rFonts w:ascii="Times New Roman" w:cs="Times New Roman" w:eastAsia="Times New Roman" w:hAnsi="Times New Roman"/>
          <w:sz w:val="18"/>
          <w:szCs w:val="18"/>
          <w:color w:val="auto"/>
        </w:rPr>
        <w:t>. Except for the fees and expenses of the Placement Agent, no brokerage or finder’s fees or commissions are or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3.1.20 that may be due in connection with the transactions contemplated by the Transaction Documents.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3.1.21. </w:t>
      </w:r>
      <w:r>
        <w:rPr>
          <w:rFonts w:ascii="Times New Roman" w:cs="Times New Roman" w:eastAsia="Times New Roman" w:hAnsi="Times New Roman"/>
          <w:sz w:val="18"/>
          <w:szCs w:val="18"/>
          <w:b w:val="1"/>
          <w:bCs w:val="1"/>
          <w:u w:val="single" w:color="auto"/>
          <w:color w:val="auto"/>
        </w:rPr>
        <w:t>Private Placement</w:t>
      </w:r>
      <w:r>
        <w:rPr>
          <w:rFonts w:ascii="Times New Roman" w:cs="Times New Roman" w:eastAsia="Times New Roman" w:hAnsi="Times New Roman"/>
          <w:sz w:val="18"/>
          <w:szCs w:val="18"/>
          <w:color w:val="auto"/>
        </w:rPr>
        <w:t>. Assuming the accuracy of the Purchasers’ representations and warranties set forth in Section 3.2,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under the Securities Act is required for the offer and sale of the Securities by the Company to the Purchasers as contemplated hereby. The issuance and sale of the Securities hereunder does not contravene the rules and regulations of the Trading Market.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3.1.22. </w:t>
      </w:r>
      <w:r>
        <w:rPr>
          <w:rFonts w:ascii="Times New Roman" w:cs="Times New Roman" w:eastAsia="Times New Roman" w:hAnsi="Times New Roman"/>
          <w:sz w:val="18"/>
          <w:szCs w:val="18"/>
          <w:b w:val="1"/>
          <w:bCs w:val="1"/>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3.1.23. </w:t>
      </w:r>
      <w:r>
        <w:rPr>
          <w:rFonts w:ascii="Times New Roman" w:cs="Times New Roman" w:eastAsia="Times New Roman" w:hAnsi="Times New Roman"/>
          <w:sz w:val="18"/>
          <w:szCs w:val="18"/>
          <w:b w:val="1"/>
          <w:bCs w:val="1"/>
          <w:u w:val="single" w:color="auto"/>
          <w:color w:val="auto"/>
        </w:rPr>
        <w:t>Registration Rights</w:t>
      </w:r>
      <w:r>
        <w:rPr>
          <w:rFonts w:ascii="Times New Roman" w:cs="Times New Roman" w:eastAsia="Times New Roman" w:hAnsi="Times New Roman"/>
          <w:sz w:val="18"/>
          <w:szCs w:val="18"/>
          <w:color w:val="auto"/>
        </w:rPr>
        <w:t>. Except as disclosed in the SEC Reports and other than to each of the Purchasers pursuant to the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Agreement, no Person has any right to cause the Company or any Subsidiary to effect the registration under the Securities Act of any securities of the Company or any Subsidiary.</w:t>
      </w:r>
    </w:p>
    <w:p>
      <w:pPr>
        <w:spacing w:after="0" w:line="39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38" w:name="page139"/>
    <w:bookmarkEnd w:id="138"/>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3.1.24. </w:t>
      </w:r>
      <w:r>
        <w:rPr>
          <w:rFonts w:ascii="Times New Roman" w:cs="Times New Roman" w:eastAsia="Times New Roman" w:hAnsi="Times New Roman"/>
          <w:sz w:val="18"/>
          <w:szCs w:val="18"/>
          <w:b w:val="1"/>
          <w:bCs w:val="1"/>
          <w:u w:val="single" w:color="auto"/>
          <w:color w:val="auto"/>
        </w:rPr>
        <w:t>Listing and Maintenance Requirements</w:t>
      </w:r>
      <w:r>
        <w:rPr>
          <w:rFonts w:ascii="Times New Roman" w:cs="Times New Roman" w:eastAsia="Times New Roman" w:hAnsi="Times New Roman"/>
          <w:sz w:val="18"/>
          <w:szCs w:val="18"/>
          <w:color w:val="auto"/>
        </w:rPr>
        <w:t>. The Class B Ordinary Shares represented by the ADSs are registered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12(b) or 12(g) of the Exchange Act, and the Company has taken no action designed to, or which to its knowledge is likely to have the effect of, terminating the registration of the Class B Ordinary Shares represented by the ADSs under the Exchange Act nor has the Company received any notification that the Commission is contemplating terminating such registration. Since the deficiency notice received from Nasdaq on May 13, 2025 regarding the minimum bid price requirement under Nasdaq Listing Rule 5550(a)(2), the Company has not received notice from any Trading Market on which the Class B Ordinary Shares represented by the ADSs are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Class B Ordinary Shares represented by the ADSs are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3.1.25. </w:t>
      </w:r>
      <w:r>
        <w:rPr>
          <w:rFonts w:ascii="Times New Roman" w:cs="Times New Roman" w:eastAsia="Times New Roman" w:hAnsi="Times New Roman"/>
          <w:sz w:val="18"/>
          <w:szCs w:val="18"/>
          <w:b w:val="1"/>
          <w:bCs w:val="1"/>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3.1.26. </w:t>
      </w:r>
      <w:r>
        <w:rPr>
          <w:rFonts w:ascii="Times New Roman" w:cs="Times New Roman" w:eastAsia="Times New Roman" w:hAnsi="Times New Roman"/>
          <w:sz w:val="18"/>
          <w:szCs w:val="18"/>
          <w:b w:val="1"/>
          <w:bCs w:val="1"/>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3.1.27. </w:t>
      </w:r>
      <w:r>
        <w:rPr>
          <w:rFonts w:ascii="Times New Roman" w:cs="Times New Roman" w:eastAsia="Times New Roman" w:hAnsi="Times New Roman"/>
          <w:sz w:val="18"/>
          <w:szCs w:val="18"/>
          <w:b w:val="1"/>
          <w:bCs w:val="1"/>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 after giving effect to any available exemptions, including the home country exemption.</w:t>
      </w:r>
    </w:p>
    <w:p>
      <w:pPr>
        <w:spacing w:after="0" w:line="200" w:lineRule="exact"/>
        <w:rPr>
          <w:sz w:val="20"/>
          <w:szCs w:val="20"/>
          <w:color w:val="auto"/>
        </w:rPr>
      </w:pPr>
    </w:p>
    <w:p>
      <w:pPr>
        <w:spacing w:after="0" w:line="20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39" w:name="page140"/>
    <w:bookmarkEnd w:id="139"/>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3.1.28. </w:t>
      </w:r>
      <w:r>
        <w:rPr>
          <w:rFonts w:ascii="Times New Roman" w:cs="Times New Roman" w:eastAsia="Times New Roman" w:hAnsi="Times New Roman"/>
          <w:sz w:val="18"/>
          <w:szCs w:val="18"/>
          <w:b w:val="1"/>
          <w:bCs w:val="1"/>
          <w:u w:val="single" w:color="auto"/>
          <w:color w:val="auto"/>
        </w:rPr>
        <w:t>Solvency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consolidated financial condition of the Company as of the Closing Date, after giving effect to the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after the Closing Date. The SEC Reports sets forth as of the date 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b w:val="1"/>
          <w:bCs w:val="1"/>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3.1.29. </w:t>
      </w:r>
      <w:r>
        <w:rPr>
          <w:rFonts w:ascii="Times New Roman" w:cs="Times New Roman" w:eastAsia="Times New Roman" w:hAnsi="Times New Roman"/>
          <w:sz w:val="18"/>
          <w:szCs w:val="18"/>
          <w:b w:val="1"/>
          <w:bCs w:val="1"/>
          <w:u w:val="single" w:color="auto"/>
          <w:color w:val="auto"/>
        </w:rPr>
        <w:t>Tax Status</w:t>
      </w:r>
      <w:r>
        <w:rPr>
          <w:rFonts w:ascii="Times New Roman" w:cs="Times New Roman" w:eastAsia="Times New Roman" w:hAnsi="Times New Roman"/>
          <w:sz w:val="18"/>
          <w:szCs w:val="18"/>
          <w:color w:val="auto"/>
        </w:rPr>
        <w:t>. Except as disclosed in the SEC Reports, the Company and its Subsidiaries each (i) has made or filed all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federal, state and local income and all foreign income and franchise tax returns, reports and declarations required by any jurisdiction to which it is subject, (ii) has paid all material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3.1.30. </w:t>
      </w:r>
      <w:r>
        <w:rPr>
          <w:rFonts w:ascii="Times New Roman" w:cs="Times New Roman" w:eastAsia="Times New Roman" w:hAnsi="Times New Roman"/>
          <w:sz w:val="18"/>
          <w:szCs w:val="18"/>
          <w:b w:val="1"/>
          <w:bCs w:val="1"/>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by any form of general solicitation or general advertising. The Company has offered the Securities for sale only to the Purchasers, certain other “accredited investors” within the meaning of Rule 501 under the Securities Act and to persons outside the United States in reliance on Regulation S under the Securities Act.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3.1.31. </w:t>
      </w:r>
      <w:r>
        <w:rPr>
          <w:rFonts w:ascii="Times New Roman" w:cs="Times New Roman" w:eastAsia="Times New Roman" w:hAnsi="Times New Roman"/>
          <w:sz w:val="18"/>
          <w:szCs w:val="18"/>
          <w:b w:val="1"/>
          <w:bCs w:val="1"/>
          <w:u w:val="single" w:color="auto"/>
          <w:color w:val="auto"/>
        </w:rPr>
        <w:t>Foreign Corrupt Practices Act</w:t>
      </w:r>
      <w:r>
        <w:rPr>
          <w:rFonts w:ascii="Times New Roman" w:cs="Times New Roman" w:eastAsia="Times New Roman" w:hAnsi="Times New Roman"/>
          <w:sz w:val="18"/>
          <w:szCs w:val="18"/>
          <w:color w:val="auto"/>
        </w:rPr>
        <w:t>. Neither the Company nor any Subsidiary, nor to the knowledge of the Company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3.1.32. </w:t>
      </w:r>
      <w:r>
        <w:rPr>
          <w:rFonts w:ascii="Times New Roman" w:cs="Times New Roman" w:eastAsia="Times New Roman" w:hAnsi="Times New Roman"/>
          <w:sz w:val="18"/>
          <w:szCs w:val="18"/>
          <w:b w:val="1"/>
          <w:bCs w:val="1"/>
          <w:u w:val="single" w:color="auto"/>
          <w:color w:val="auto"/>
        </w:rPr>
        <w:t>Accountants</w:t>
      </w:r>
      <w:r>
        <w:rPr>
          <w:rFonts w:ascii="Times New Roman" w:cs="Times New Roman" w:eastAsia="Times New Roman" w:hAnsi="Times New Roman"/>
          <w:sz w:val="18"/>
          <w:szCs w:val="18"/>
          <w:color w:val="auto"/>
        </w:rPr>
        <w:t>. The Company’s accounting firm is Marcum Asia CPAs LLP, with offices at Beijing, China. To the knowledge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belief of the Company, such accounting firm (i) is a registered public accounting firm as required by the Exchange Act and (ii) shall express its opinion with respect to the financial statements to be included in the Company’s Annual Report for the now current fiscal year.</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3.1.33. </w:t>
      </w:r>
      <w:r>
        <w:rPr>
          <w:rFonts w:ascii="Times New Roman" w:cs="Times New Roman" w:eastAsia="Times New Roman" w:hAnsi="Times New Roman"/>
          <w:sz w:val="18"/>
          <w:szCs w:val="18"/>
          <w:b w:val="1"/>
          <w:bCs w:val="1"/>
          <w:u w:val="single" w:color="auto"/>
          <w:color w:val="auto"/>
        </w:rPr>
        <w:t>No Disagreements with Accountants and Lawyers</w:t>
      </w:r>
      <w:r>
        <w:rPr>
          <w:rFonts w:ascii="Times New Roman" w:cs="Times New Roman" w:eastAsia="Times New Roman" w:hAnsi="Times New Roman"/>
          <w:sz w:val="18"/>
          <w:szCs w:val="18"/>
          <w:color w:val="auto"/>
        </w:rPr>
        <w:t>. There are no disagreements of any kind presently existing, or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40" w:name="page141"/>
    <w:bookmarkEnd w:id="140"/>
    <w:p>
      <w:pPr>
        <w:jc w:val="both"/>
        <w:ind w:left="4"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3.1.34. </w:t>
      </w:r>
      <w:r>
        <w:rPr>
          <w:rFonts w:ascii="Times New Roman" w:cs="Times New Roman" w:eastAsia="Times New Roman" w:hAnsi="Times New Roman"/>
          <w:sz w:val="18"/>
          <w:szCs w:val="18"/>
          <w:b w:val="1"/>
          <w:bCs w:val="1"/>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85"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3.1.35. </w:t>
      </w:r>
      <w:r>
        <w:rPr>
          <w:rFonts w:ascii="Times New Roman" w:cs="Times New Roman" w:eastAsia="Times New Roman" w:hAnsi="Times New Roman"/>
          <w:sz w:val="18"/>
          <w:szCs w:val="18"/>
          <w:b w:val="1"/>
          <w:bCs w:val="1"/>
          <w:u w:val="single" w:color="auto"/>
          <w:color w:val="auto"/>
        </w:rPr>
        <w:t>Acknowledgment Regarding Purchaser’s Trading Activity</w:t>
      </w:r>
      <w:r>
        <w:rPr>
          <w:rFonts w:ascii="Times New Roman" w:cs="Times New Roman" w:eastAsia="Times New Roman" w:hAnsi="Times New Roman"/>
          <w:sz w:val="18"/>
          <w:szCs w:val="18"/>
          <w:color w:val="auto"/>
        </w:rPr>
        <w:t>. Notwithstanding anything in this Agreement or elsewhere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contrary (except for Sections 3.2.7 and 4.16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Class B Ordinary Shares represented by ADSs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and (z) such hedging activities (if any) could reduce the value of the existing shareholders’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7" w:lineRule="exact"/>
        <w:rPr>
          <w:sz w:val="20"/>
          <w:szCs w:val="20"/>
          <w:color w:val="auto"/>
        </w:rPr>
      </w:pPr>
    </w:p>
    <w:p>
      <w:pPr>
        <w:jc w:val="both"/>
        <w:ind w:left="4"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3.1.36. </w:t>
      </w:r>
      <w:r>
        <w:rPr>
          <w:rFonts w:ascii="Times New Roman" w:cs="Times New Roman" w:eastAsia="Times New Roman" w:hAnsi="Times New Roman"/>
          <w:sz w:val="18"/>
          <w:szCs w:val="18"/>
          <w:b w:val="1"/>
          <w:bCs w:val="1"/>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w:t>
      </w:r>
    </w:p>
    <w:p>
      <w:pPr>
        <w:ind w:left="4" w:hanging="4"/>
        <w:spacing w:after="0" w:line="260" w:lineRule="auto"/>
        <w:tabs>
          <w:tab w:leader="none" w:pos="31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or agreed to pay to any Person any compensation for soliciting another to purchase any other securities of the Company, other than, in the case of clauses (ii) and (iii), compensation paid to the Company’s placement agent in connection with the placement of the Securities.</w:t>
      </w:r>
    </w:p>
    <w:p>
      <w:pPr>
        <w:spacing w:after="0" w:line="177" w:lineRule="exact"/>
        <w:rPr>
          <w:sz w:val="20"/>
          <w:szCs w:val="20"/>
          <w:color w:val="auto"/>
        </w:rPr>
      </w:pPr>
    </w:p>
    <w:p>
      <w:pPr>
        <w:jc w:val="both"/>
        <w:ind w:left="4"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3.1.37. </w:t>
      </w:r>
      <w:r>
        <w:rPr>
          <w:rFonts w:ascii="Times New Roman" w:cs="Times New Roman" w:eastAsia="Times New Roman" w:hAnsi="Times New Roman"/>
          <w:sz w:val="18"/>
          <w:szCs w:val="18"/>
          <w:b w:val="1"/>
          <w:bCs w:val="1"/>
          <w:u w:val="single" w:color="auto"/>
          <w:color w:val="auto"/>
        </w:rPr>
        <w:t>Officers’ Certificate</w:t>
      </w:r>
      <w:r>
        <w:rPr>
          <w:rFonts w:ascii="Times New Roman" w:cs="Times New Roman" w:eastAsia="Times New Roman" w:hAnsi="Times New Roman"/>
          <w:sz w:val="18"/>
          <w:szCs w:val="18"/>
          <w:color w:val="auto"/>
        </w:rPr>
        <w:t>. Any certificate signed by any duly authorized officer of the Company and delivered to the Purchasers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a representation and warranty by the Company to the Purchasers as to the matters covered thereby.</w:t>
      </w:r>
    </w:p>
    <w:p>
      <w:pPr>
        <w:spacing w:after="0" w:line="155" w:lineRule="exact"/>
        <w:rPr>
          <w:sz w:val="20"/>
          <w:szCs w:val="20"/>
          <w:color w:val="auto"/>
        </w:rPr>
      </w:pPr>
    </w:p>
    <w:p>
      <w:pPr>
        <w:jc w:val="both"/>
        <w:ind w:left="4"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3.1.38. </w:t>
      </w:r>
      <w:r>
        <w:rPr>
          <w:rFonts w:ascii="Times New Roman" w:cs="Times New Roman" w:eastAsia="Times New Roman" w:hAnsi="Times New Roman"/>
          <w:sz w:val="18"/>
          <w:szCs w:val="18"/>
          <w:b w:val="1"/>
          <w:bCs w:val="1"/>
          <w:u w:val="single" w:color="auto"/>
          <w:color w:val="auto"/>
        </w:rPr>
        <w:t>D&amp;O Questionnaires</w:t>
      </w:r>
      <w:r>
        <w:rPr>
          <w:rFonts w:ascii="Times New Roman" w:cs="Times New Roman" w:eastAsia="Times New Roman" w:hAnsi="Times New Roman"/>
          <w:sz w:val="18"/>
          <w:szCs w:val="18"/>
          <w:color w:val="auto"/>
        </w:rPr>
        <w:t>. To the Company’s knowledge, all information contained in the questionnaires most recently completed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Company’s directors and officers and beneficial owner of 5% or more of the Class B Ordinary Shares represented by ADSs or Class B Ordinary Share Equivalents is true and correct in all respects and the Company has not become aware of any information which would cause the information disclosed in such questionnaires become inaccurate and incorrect.</w:t>
      </w:r>
    </w:p>
    <w:p>
      <w:pPr>
        <w:spacing w:after="0" w:line="176"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3.1.39. </w:t>
      </w:r>
      <w:r>
        <w:rPr>
          <w:rFonts w:ascii="Times New Roman" w:cs="Times New Roman" w:eastAsia="Times New Roman" w:hAnsi="Times New Roman"/>
          <w:sz w:val="18"/>
          <w:szCs w:val="18"/>
          <w:b w:val="1"/>
          <w:bCs w:val="1"/>
          <w:u w:val="single" w:color="auto"/>
          <w:color w:val="auto"/>
        </w:rPr>
        <w:t>Share Option Plans</w:t>
      </w:r>
      <w:r>
        <w:rPr>
          <w:rFonts w:ascii="Times New Roman" w:cs="Times New Roman" w:eastAsia="Times New Roman" w:hAnsi="Times New Roman"/>
          <w:sz w:val="18"/>
          <w:szCs w:val="18"/>
          <w:color w:val="auto"/>
        </w:rPr>
        <w:t>. Each share option granted by the Company under the Company’s share option plan, if any, was granted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the terms of the Company’s share option plan and (ii) with an exercise price at least equal to the fair market value of the Class B Ordinary Shares represented by ADSs on the date such share option would be considered granted under GAAP and applicable law. No share option granted under the Company’s share option plan has been backdated. The Company has not knowingly granted, and there is no and has been no Company policy or practice to knowingly grant, share options prior to, or otherwise knowingly coordinate the grant of share options with, the release or other public announcement of material information regarding the Company or its Subsidiaries or their financial results or prospects.</w:t>
      </w:r>
    </w:p>
    <w:p>
      <w:pPr>
        <w:spacing w:after="0" w:line="200" w:lineRule="exact"/>
        <w:rPr>
          <w:sz w:val="20"/>
          <w:szCs w:val="20"/>
          <w:color w:val="auto"/>
        </w:rPr>
      </w:pPr>
    </w:p>
    <w:p>
      <w:pPr>
        <w:spacing w:after="0" w:line="20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41" w:name="page142"/>
    <w:bookmarkEnd w:id="141"/>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3.1.40. </w:t>
      </w:r>
      <w:r>
        <w:rPr>
          <w:rFonts w:ascii="Times New Roman" w:cs="Times New Roman" w:eastAsia="Times New Roman" w:hAnsi="Times New Roman"/>
          <w:sz w:val="18"/>
          <w:szCs w:val="18"/>
          <w:b w:val="1"/>
          <w:bCs w:val="1"/>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b w:val="1"/>
          <w:bCs w:val="1"/>
          <w:u w:val="single" w:color="auto"/>
          <w:color w:val="auto"/>
        </w:rPr>
        <w:t>OFAC</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3.1.41. </w:t>
      </w:r>
      <w:r>
        <w:rPr>
          <w:rFonts w:ascii="Times New Roman" w:cs="Times New Roman" w:eastAsia="Times New Roman" w:hAnsi="Times New Roman"/>
          <w:sz w:val="18"/>
          <w:szCs w:val="18"/>
          <w:b w:val="1"/>
          <w:bCs w:val="1"/>
          <w:u w:val="single" w:color="auto"/>
          <w:color w:val="auto"/>
        </w:rPr>
        <w:t>Cybersecurity</w:t>
      </w:r>
      <w:r>
        <w:rPr>
          <w:rFonts w:ascii="Times New Roman" w:cs="Times New Roman" w:eastAsia="Times New Roman" w:hAnsi="Times New Roman"/>
          <w:sz w:val="18"/>
          <w:szCs w:val="18"/>
          <w:color w:val="auto"/>
        </w:rPr>
        <w:t>. (i) (a) There has been no security breach or other compromise of or relating to any of the Company’s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b w:val="1"/>
          <w:bCs w:val="1"/>
          <w:u w:val="single" w:color="auto"/>
          <w:color w:val="auto"/>
        </w:rPr>
        <w:t>IT Systems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Data</w:t>
      </w:r>
      <w:r>
        <w:rPr>
          <w:rFonts w:ascii="Times New Roman" w:cs="Times New Roman" w:eastAsia="Times New Roman" w:hAnsi="Times New Roman"/>
          <w:sz w:val="18"/>
          <w:szCs w:val="18"/>
          <w:color w:val="auto"/>
        </w:rPr>
        <w:t>”) and (b) the Company and the Subsidiaries have not been notified of, and has no knowledge of any event or condition that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in the case of clauses (i) and (ii) herein,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3.1.42. </w:t>
      </w:r>
      <w:r>
        <w:rPr>
          <w:rFonts w:ascii="Times New Roman" w:cs="Times New Roman" w:eastAsia="Times New Roman" w:hAnsi="Times New Roman"/>
          <w:sz w:val="18"/>
          <w:szCs w:val="18"/>
          <w:b w:val="1"/>
          <w:bCs w:val="1"/>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Act of 1956, as amended (the “</w:t>
      </w:r>
      <w:r>
        <w:rPr>
          <w:rFonts w:ascii="Times New Roman" w:cs="Times New Roman" w:eastAsia="Times New Roman" w:hAnsi="Times New Roman"/>
          <w:sz w:val="18"/>
          <w:szCs w:val="18"/>
          <w:b w:val="1"/>
          <w:bCs w:val="1"/>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b w:val="1"/>
          <w:bCs w:val="1"/>
          <w:u w:val="single" w:color="auto"/>
          <w:color w:val="auto"/>
        </w:rPr>
        <w:t>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3.1.43. </w:t>
      </w:r>
      <w:r>
        <w:rPr>
          <w:rFonts w:ascii="Times New Roman" w:cs="Times New Roman" w:eastAsia="Times New Roman" w:hAnsi="Times New Roman"/>
          <w:sz w:val="18"/>
          <w:szCs w:val="18"/>
          <w:b w:val="1"/>
          <w:bCs w:val="1"/>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b w:val="1"/>
          <w:bCs w:val="1"/>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3.1.44. </w:t>
      </w:r>
      <w:r>
        <w:rPr>
          <w:rFonts w:ascii="Times New Roman" w:cs="Times New Roman" w:eastAsia="Times New Roman" w:hAnsi="Times New Roman"/>
          <w:sz w:val="18"/>
          <w:szCs w:val="18"/>
          <w:b w:val="1"/>
          <w:bCs w:val="1"/>
          <w:u w:val="single" w:color="auto"/>
          <w:color w:val="auto"/>
        </w:rPr>
        <w:t>No Disqualification Events</w:t>
      </w:r>
      <w:r>
        <w:rPr>
          <w:rFonts w:ascii="Times New Roman" w:cs="Times New Roman" w:eastAsia="Times New Roman" w:hAnsi="Times New Roman"/>
          <w:sz w:val="18"/>
          <w:szCs w:val="18"/>
          <w:color w:val="auto"/>
        </w:rPr>
        <w:t>. With respect to the Securities to be offered and sold hereunder in reliance on Rule 506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b w:val="1"/>
          <w:bCs w:val="1"/>
          <w:u w:val="single" w:color="auto"/>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b w:val="1"/>
          <w:bCs w:val="1"/>
          <w:u w:val="single" w:color="auto"/>
          <w:color w:val="auto"/>
        </w:rPr>
        <w:t>Issuer Covered Persons</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b w:val="1"/>
          <w:bCs w:val="1"/>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42" w:name="page143"/>
    <w:bookmarkEnd w:id="142"/>
    <w:p>
      <w:pPr>
        <w:jc w:val="both"/>
        <w:ind w:left="6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3.1.45. </w:t>
      </w:r>
      <w:r>
        <w:rPr>
          <w:rFonts w:ascii="Times New Roman" w:cs="Times New Roman" w:eastAsia="Times New Roman" w:hAnsi="Times New Roman"/>
          <w:sz w:val="18"/>
          <w:szCs w:val="18"/>
          <w:b w:val="1"/>
          <w:bCs w:val="1"/>
          <w:u w:val="single" w:color="auto"/>
          <w:color w:val="auto"/>
        </w:rPr>
        <w:t>Other Covered Persons</w:t>
      </w:r>
      <w:r>
        <w:rPr>
          <w:rFonts w:ascii="Times New Roman" w:cs="Times New Roman" w:eastAsia="Times New Roman" w:hAnsi="Times New Roman"/>
          <w:sz w:val="18"/>
          <w:szCs w:val="18"/>
          <w:color w:val="auto"/>
        </w:rPr>
        <w:t>. Other than the Placement Agent, the Company is not aware of any person (other than any Issuer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Person) that has been or will be paid (directly or indirectly) remuneration for solicitation of purchasers in connection with the sale of any Securities.</w:t>
      </w:r>
    </w:p>
    <w:p>
      <w:pPr>
        <w:spacing w:after="0" w:line="171"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3.1.46. </w:t>
      </w:r>
      <w:r>
        <w:rPr>
          <w:rFonts w:ascii="Times New Roman" w:cs="Times New Roman" w:eastAsia="Times New Roman" w:hAnsi="Times New Roman"/>
          <w:sz w:val="18"/>
          <w:szCs w:val="18"/>
          <w:b w:val="1"/>
          <w:bCs w:val="1"/>
          <w:u w:val="single" w:color="auto"/>
          <w:color w:val="auto"/>
        </w:rPr>
        <w:t>Notice of Disqualification Events</w:t>
      </w:r>
      <w:r>
        <w:rPr>
          <w:rFonts w:ascii="Times New Roman" w:cs="Times New Roman" w:eastAsia="Times New Roman" w:hAnsi="Times New Roman"/>
          <w:sz w:val="18"/>
          <w:szCs w:val="18"/>
          <w:color w:val="auto"/>
        </w:rPr>
        <w:t>. The Company will notify the Purchasers and the Placement Agent in writing,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Date of (i) any Disqualification Event relating to any Issuer Covered Person and (ii) any event that would, with the passage of time, become a Disqualification Event relating to any Issuer Covered Person.</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date hereof and as of the Closing Date to the Company as follows (unless as of a specific date therein, in which case they shall be accurate as of such date):</w:t>
      </w:r>
    </w:p>
    <w:p>
      <w:pPr>
        <w:spacing w:after="0" w:line="171"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3.2.1. </w:t>
      </w:r>
      <w:r>
        <w:rPr>
          <w:rFonts w:ascii="Times New Roman" w:cs="Times New Roman" w:eastAsia="Times New Roman" w:hAnsi="Times New Roman"/>
          <w:sz w:val="18"/>
          <w:szCs w:val="18"/>
          <w:b w:val="1"/>
          <w:bCs w:val="1"/>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standing under the law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legal, valid and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2"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3.2.2. </w:t>
      </w:r>
      <w:r>
        <w:rPr>
          <w:rFonts w:ascii="Times New Roman" w:cs="Times New Roman" w:eastAsia="Times New Roman" w:hAnsi="Times New Roman"/>
          <w:sz w:val="18"/>
          <w:szCs w:val="18"/>
          <w:b w:val="1"/>
          <w:bCs w:val="1"/>
          <w:u w:val="single" w:color="auto"/>
          <w:color w:val="auto"/>
        </w:rPr>
        <w:t>Own Account</w:t>
      </w:r>
      <w:r>
        <w:rPr>
          <w:rFonts w:ascii="Times New Roman" w:cs="Times New Roman" w:eastAsia="Times New Roman" w:hAnsi="Times New Roman"/>
          <w:sz w:val="18"/>
          <w:szCs w:val="18"/>
          <w:color w:val="auto"/>
        </w:rPr>
        <w:t>. Such Purchaser understands that the Securities are “restricted securities” as defined in Rule 144 and have not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shall not limit such Purchaser’s right to sell the Securities pursuant to a registration statement or otherwise in compliance with applicable federal and state securities laws). Such Purchaser is acquiring the Securities hereunder in the ordinary course of its business.</w:t>
      </w:r>
    </w:p>
    <w:p>
      <w:pPr>
        <w:spacing w:after="0" w:line="185"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3.2.3. </w:t>
      </w:r>
      <w:r>
        <w:rPr>
          <w:rFonts w:ascii="Times New Roman" w:cs="Times New Roman" w:eastAsia="Times New Roman" w:hAnsi="Times New Roman"/>
          <w:sz w:val="18"/>
          <w:szCs w:val="18"/>
          <w:b w:val="1"/>
          <w:bCs w:val="1"/>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it will be either: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“accredited investor” as defined in Rule 501(a)(1), (a)(2), (a)(3), (a)(7), (a)(8), (a)(9), (a)(12), or (a)(13) under the Securities Act or (ii) a “qualified institutional buyer” as defined in Rule 144A(a)(1) under the Securities Act. Such Purchaser hereby represents that neither such Purchaser nor any of its Rule 506(d) Related Parties (as defined below) is a “bad actor” within the meaning of Rule 506(d) promulgated under the Securities Act. For purposes of this Agreement, “Rule 506(d) Related Party” shall mean a person or entity covered by the “Bad Actor disqualification” provision of Rule 506(d) of the Securities Act.</w:t>
      </w:r>
    </w:p>
    <w:p>
      <w:pPr>
        <w:spacing w:after="0" w:line="182" w:lineRule="exact"/>
        <w:rPr>
          <w:sz w:val="20"/>
          <w:szCs w:val="20"/>
          <w:color w:val="auto"/>
        </w:rPr>
      </w:pPr>
    </w:p>
    <w:p>
      <w:pPr>
        <w:jc w:val="both"/>
        <w:ind w:left="6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3.2.4. </w:t>
      </w:r>
      <w:r>
        <w:rPr>
          <w:rFonts w:ascii="Times New Roman" w:cs="Times New Roman" w:eastAsia="Times New Roman" w:hAnsi="Times New Roman"/>
          <w:sz w:val="18"/>
          <w:szCs w:val="18"/>
          <w:b w:val="1"/>
          <w:bCs w:val="1"/>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3" w:name="page144"/>
    <w:bookmarkEnd w:id="143"/>
    <w:p>
      <w:pPr>
        <w:jc w:val="both"/>
        <w:ind w:firstLine="648"/>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3.2.5. </w:t>
      </w:r>
      <w:r>
        <w:rPr>
          <w:rFonts w:ascii="Times New Roman" w:cs="Times New Roman" w:eastAsia="Times New Roman" w:hAnsi="Times New Roman"/>
          <w:sz w:val="17"/>
          <w:szCs w:val="17"/>
          <w:b w:val="1"/>
          <w:bCs w:val="1"/>
          <w:u w:val="single" w:color="auto"/>
          <w:color w:val="auto"/>
        </w:rPr>
        <w:t>General Solicitation</w:t>
      </w:r>
      <w:r>
        <w:rPr>
          <w:rFonts w:ascii="Times New Roman" w:cs="Times New Roman" w:eastAsia="Times New Roman" w:hAnsi="Times New Roman"/>
          <w:sz w:val="17"/>
          <w:szCs w:val="17"/>
          <w:color w:val="auto"/>
        </w:rPr>
        <w:t>. Such Purchaser is not, to such Purchaser’s knowledge, purchasing the Securities as a result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5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3.2.6. </w:t>
      </w:r>
      <w:r>
        <w:rPr>
          <w:rFonts w:ascii="Times New Roman" w:cs="Times New Roman" w:eastAsia="Times New Roman" w:hAnsi="Times New Roman"/>
          <w:sz w:val="18"/>
          <w:szCs w:val="18"/>
          <w:b w:val="1"/>
          <w:bCs w:val="1"/>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and has not been provided to it (other than with respect to the transactions contemplated by the Transaction Documents). In connection with the issuance of the Securities to such Purchaser, neither the Placement Agent nor any of its Affiliates has acted as a financial advisor or fiduciary to such Purchaser.</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3.2.7. </w:t>
      </w:r>
      <w:r>
        <w:rPr>
          <w:rFonts w:ascii="Times New Roman" w:cs="Times New Roman" w:eastAsia="Times New Roman" w:hAnsi="Times New Roman"/>
          <w:sz w:val="18"/>
          <w:szCs w:val="18"/>
          <w:b w:val="1"/>
          <w:bCs w:val="1"/>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3.2.8. </w:t>
      </w:r>
      <w:r>
        <w:rPr>
          <w:rFonts w:ascii="Times New Roman" w:cs="Times New Roman" w:eastAsia="Times New Roman" w:hAnsi="Times New Roman"/>
          <w:sz w:val="18"/>
          <w:szCs w:val="18"/>
          <w:b w:val="1"/>
          <w:bCs w:val="1"/>
          <w:u w:val="single" w:color="auto"/>
          <w:color w:val="auto"/>
        </w:rPr>
        <w:t>No Voting Agreements</w:t>
      </w:r>
      <w:r>
        <w:rPr>
          <w:rFonts w:ascii="Times New Roman" w:cs="Times New Roman" w:eastAsia="Times New Roman" w:hAnsi="Times New Roman"/>
          <w:sz w:val="18"/>
          <w:szCs w:val="18"/>
          <w:color w:val="auto"/>
        </w:rPr>
        <w:t>. None of the Purchasers is a party to any agreement or arrangement, whether written or oral,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Purchaser or any of the Company’s existing shareholders as of the date hereof, that regulates the management of the Company, shareholders’ rights in the Company, or the transfer of shares in the Company, including any voting agreements, shareholder agreements, or other similar agreements (regardless of title), or to any other relationship or agreement with any of the Company’s shareholders, directors, or officers.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3.2.9. </w:t>
      </w:r>
      <w:r>
        <w:rPr>
          <w:rFonts w:ascii="Times New Roman" w:cs="Times New Roman" w:eastAsia="Times New Roman" w:hAnsi="Times New Roman"/>
          <w:sz w:val="18"/>
          <w:szCs w:val="18"/>
          <w:b w:val="1"/>
          <w:bCs w:val="1"/>
          <w:u w:val="single" w:color="auto"/>
          <w:color w:val="auto"/>
        </w:rPr>
        <w:t>Significant Shareholder Under the Companies Law</w:t>
      </w:r>
      <w:r>
        <w:rPr>
          <w:rFonts w:ascii="Times New Roman" w:cs="Times New Roman" w:eastAsia="Times New Roman" w:hAnsi="Times New Roman"/>
          <w:sz w:val="18"/>
          <w:szCs w:val="18"/>
          <w:color w:val="auto"/>
        </w:rPr>
        <w:t>. Except as otherwise disclosed to the Company, none of the Purchaser owns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expects to own, immediately as of the Closing Date, five percent (5.0%) or more of the Company’s outstanding Class B Ordinary Shares represented by ADSs or voting power.</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3.2.10. </w:t>
      </w:r>
      <w:r>
        <w:rPr>
          <w:rFonts w:ascii="Times New Roman" w:cs="Times New Roman" w:eastAsia="Times New Roman" w:hAnsi="Times New Roman"/>
          <w:sz w:val="18"/>
          <w:szCs w:val="18"/>
          <w:b w:val="1"/>
          <w:bCs w:val="1"/>
          <w:u w:val="single" w:color="auto"/>
          <w:color w:val="auto"/>
        </w:rPr>
        <w:t>No Intent to Effect a Change of Control</w:t>
      </w:r>
      <w:r>
        <w:rPr>
          <w:rFonts w:ascii="Times New Roman" w:cs="Times New Roman" w:eastAsia="Times New Roman" w:hAnsi="Times New Roman"/>
          <w:sz w:val="18"/>
          <w:szCs w:val="18"/>
          <w:color w:val="auto"/>
        </w:rPr>
        <w:t>. None of the Purchaser has an intent to effect a “change of control” of the Company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term is interpreted and understood under the rules promulgated pursuant to Section 13(d) of the 1934 Act.</w:t>
      </w:r>
    </w:p>
    <w:p>
      <w:pPr>
        <w:spacing w:after="0" w:line="37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44" w:name="page145"/>
    <w:bookmarkEnd w:id="14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79" w:lineRule="exact"/>
        <w:rPr>
          <w:sz w:val="20"/>
          <w:szCs w:val="20"/>
          <w:color w:val="auto"/>
        </w:rPr>
      </w:pPr>
    </w:p>
    <w:p>
      <w:pPr>
        <w:ind w:left="660" w:right="8060" w:hanging="652"/>
        <w:spacing w:after="0" w:line="530" w:lineRule="auto"/>
        <w:tabs>
          <w:tab w:leader="none" w:pos="660" w:val="left"/>
        </w:tabs>
        <w:numPr>
          <w:ilvl w:val="0"/>
          <w:numId w:val="1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Other Agreements of the Parties</w:t>
      </w:r>
      <w:r>
        <w:rPr>
          <w:rFonts w:ascii="Times New Roman" w:cs="Times New Roman" w:eastAsia="Times New Roman" w:hAnsi="Times New Roman"/>
          <w:sz w:val="17"/>
          <w:szCs w:val="17"/>
          <w:b w:val="1"/>
          <w:bCs w:val="1"/>
          <w:color w:val="auto"/>
        </w:rPr>
        <w:t xml:space="preserve">. 4.1. </w:t>
      </w:r>
      <w:r>
        <w:rPr>
          <w:rFonts w:ascii="Times New Roman" w:cs="Times New Roman" w:eastAsia="Times New Roman" w:hAnsi="Times New Roman"/>
          <w:sz w:val="17"/>
          <w:szCs w:val="17"/>
          <w:b w:val="1"/>
          <w:bCs w:val="1"/>
          <w:u w:val="single" w:color="auto"/>
          <w:color w:val="auto"/>
        </w:rPr>
        <w:t>Transfer Restrictions</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4.1.1. </w:t>
      </w:r>
      <w:r>
        <w:rPr>
          <w:rFonts w:ascii="Times New Roman" w:cs="Times New Roman" w:eastAsia="Times New Roman" w:hAnsi="Times New Roman"/>
          <w:sz w:val="18"/>
          <w:szCs w:val="18"/>
          <w:color w:val="auto"/>
        </w:rPr>
        <w:t>The Securities may only be disposed of in compliance with state and federal securities laws. In connection with any transfer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other than pursuant to an effective registration statement or Rule 144, to the Company or to an Affiliate of a Purchaser or in connection with a pledge as contemplated in Section 4.1.2,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the Registration Rights Agreement and shall have the rights and obligations of a Purchaser under this Agreement and the Registration Rights Agreement.</w:t>
      </w:r>
    </w:p>
    <w:p>
      <w:pPr>
        <w:spacing w:after="0" w:line="183" w:lineRule="exact"/>
        <w:rPr>
          <w:sz w:val="20"/>
          <w:szCs w:val="20"/>
          <w:color w:val="auto"/>
        </w:rPr>
      </w:pPr>
    </w:p>
    <w:p>
      <w:pPr>
        <w:jc w:val="both"/>
        <w:ind w:left="6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4.1.2. </w:t>
      </w:r>
      <w:r>
        <w:rPr>
          <w:rFonts w:ascii="Times New Roman" w:cs="Times New Roman" w:eastAsia="Times New Roman" w:hAnsi="Times New Roman"/>
          <w:sz w:val="18"/>
          <w:szCs w:val="18"/>
          <w:color w:val="auto"/>
        </w:rPr>
        <w:t>Each Purchaser agrees to the imprinting, so long as is required by this Section 4.1, of a legend on any of the Securities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substantially the following form:</w:t>
      </w:r>
    </w:p>
    <w:p>
      <w:pPr>
        <w:spacing w:after="0" w:line="15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94"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w:t>
      </w:r>
    </w:p>
    <w:p>
      <w:pPr>
        <w:spacing w:after="0" w:line="1" w:lineRule="exact"/>
        <w:rPr>
          <w:sz w:val="20"/>
          <w:szCs w:val="20"/>
          <w:color w:val="auto"/>
        </w:rPr>
      </w:pPr>
    </w:p>
    <w:p>
      <w:pPr>
        <w:ind w:left="660" w:hanging="4"/>
        <w:spacing w:after="0" w:line="260" w:lineRule="auto"/>
        <w:tabs>
          <w:tab w:leader="none" w:pos="92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 or other applicable provision of the Securities Act to appropriately amend the list of Selling Shareholders (as defined in the Registration Rights Agreement) thereunder.</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jc w:val="both"/>
        <w:ind w:left="66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4.1.3. </w:t>
      </w:r>
      <w:r>
        <w:rPr>
          <w:rFonts w:ascii="Times New Roman" w:cs="Times New Roman" w:eastAsia="Times New Roman" w:hAnsi="Times New Roman"/>
          <w:sz w:val="18"/>
          <w:szCs w:val="18"/>
          <w:color w:val="auto"/>
        </w:rPr>
        <w:t>Certificates evidencing the Shares shall not contain any legend (including the legend set forth in Section 4.1.2 hereof) (i) while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(including the Resale Registration Statement) covering the resale of such security is effective under the Securities Act, (ii) following any sale of such Shares pursuant to Rule 144, (iii) if such Shares are eligible for sale or may be sold under Rule 144 without volume or manner-of-sale restrictions, or (iv) if such legend is not required under applicable requirements of the Securities Act (including judicial interpretations and pronouncements issued by the staff of the Commission). The Company shall provide reliance letter or instruction and shall cause its counsel to issue a legal opinion to the registered office provider if required by the registered office provider to effect the removal of the legend hereunder. If the Shares may be sold under Rule 144 and the Company is then in compliance with the current public information required under Rule 144, or if the Shares may be sold under Rule 144 without the requirement for the Company to be in compliance with the current public information required under Rule 144 as to such Shares or if such legend is not otherwise required under applicable requirements of the Securities Act (including judicial interpretations and pronouncements issued by the staff of the Commission), then such Shares shall be issued free of all legends. The Company agrees that following the Resale Effective Date or at such time as such legend is no longer required under this Section 4.1.3, it will, no later than 2 Trading Days, the number of Trading Days comprising the Standard Settlement Period (as defined below) following the delivery by a Purchaser to the Company and registered office provider of a certificate (or book- entry notation) representing Shares, as the case may be, issued with a restrictive legend (such date, the “</w:t>
      </w:r>
      <w:r>
        <w:rPr>
          <w:rFonts w:ascii="Times New Roman" w:cs="Times New Roman" w:eastAsia="Times New Roman" w:hAnsi="Times New Roman"/>
          <w:sz w:val="18"/>
          <w:szCs w:val="18"/>
          <w:b w:val="1"/>
          <w:bCs w:val="1"/>
          <w:u w:val="single" w:color="auto"/>
          <w:color w:val="auto"/>
        </w:rPr>
        <w:t>Legend Removal Date</w:t>
      </w:r>
      <w:r>
        <w:rPr>
          <w:rFonts w:ascii="Times New Roman" w:cs="Times New Roman" w:eastAsia="Times New Roman" w:hAnsi="Times New Roman"/>
          <w:sz w:val="18"/>
          <w:szCs w:val="18"/>
          <w:color w:val="auto"/>
        </w:rPr>
        <w:t>”), at the Company’s sole cost, deliver or cause to be delivered to such Purchaser a certificate representing such Shares (or book-entry notation), at the case may be, that is free from all restrictive and other legends. Certificates for Securities subject to legend removal hereunder shall be transmitted by the registered office provider and Depositary to the Purchaser by crediting the account of the Purchaser’s prime broker with the Depository Trust Company System as directed by such Purchaser. As used herein, “Standard Settlement Period” means the standard settlement period, expressed in a number of Trading Days, on the Company’s primary Trading Market with respect to the ADS representing Class B Ordinary Shares as in effect on the date of delivery of a certificate (or book-entry notation) representing Shares, as the case may be, issued with a restrictive legend. In addition to such Purchaser’s other available remedies, the Company shall pay to the Purchaser, in cash, as partial liquidated damages and not as a penalty, two percent (2%) of the total of the value of the Shares for which the removal of the legend is sought (based on the VWAP of the ADS representing Class B Ordinary Shares on the date such Shares are submitted to the Transfer Agent) for each full month that said opinion is not delivered after the Legend Removal Date until such certificate is delivered without a legend.</w:t>
      </w:r>
    </w:p>
    <w:p>
      <w:pPr>
        <w:spacing w:after="0" w:line="184" w:lineRule="exact"/>
        <w:rPr>
          <w:sz w:val="20"/>
          <w:szCs w:val="20"/>
          <w:color w:val="auto"/>
        </w:rPr>
      </w:pPr>
    </w:p>
    <w:p>
      <w:pPr>
        <w:jc w:val="both"/>
        <w:ind w:left="6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4.1.4. </w:t>
      </w:r>
      <w:r>
        <w:rPr>
          <w:rFonts w:ascii="Times New Roman" w:cs="Times New Roman" w:eastAsia="Times New Roman" w:hAnsi="Times New Roman"/>
          <w:sz w:val="18"/>
          <w:szCs w:val="18"/>
          <w:color w:val="auto"/>
        </w:rPr>
        <w:t>Each Purchaser, severally and not jointly with the other Purchasers, agrees with the Company that such Purchaser will sell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pursuant to either the registration requirements of the Securities Act, including any applicable prospectus delivery requirements, or an exemption therefrom, and that if Securities are sold pursuant to a Resale Registration Statement, they will be sold in compliance with the plan of distribution set forth therein, and acknowledges that the removal of the restrictive legend from certificates representing Securities as set forth in this Section 4.1 is predicated upon the Company’s reliance upon this understanding.</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Furnishing of Information; Public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4.2.1. </w:t>
      </w:r>
      <w:r>
        <w:rPr>
          <w:rFonts w:ascii="Times New Roman" w:cs="Times New Roman" w:eastAsia="Times New Roman" w:hAnsi="Times New Roman"/>
          <w:sz w:val="18"/>
          <w:szCs w:val="18"/>
          <w:color w:val="auto"/>
        </w:rPr>
        <w:t>Until the earlier of (i) one (1) year from the date hereof or (ii) such time as no Purchaser owns any Securities,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to maintain the effectiveness of the registration of the Class B Ordinary Shares under Section 12(b) or 12(g) of the Exchange Act and to use commercially reasonable efforts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after giving effect to any available exemptions, including the home country exemption, such that it would require shareholder approval prior to the closing of such other transaction unless shareholder approval is obtained before the closing of such subsequent transaction.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6" w:name="page147"/>
    <w:bookmarkEnd w:id="146"/>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transactions contemplated hereby, and (b) promptly furnish to the Commission a Report of Foreign Private Issuer on Form 6-K with the Commission, if applicable.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(including, without limitation, the Placement Agent), employees or Affiliates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to the extent required by federal securities law in connection with (i) any Resale Registration Statement contemplated by this Agreement or the Registration Rights Agreement and</w:t>
      </w:r>
    </w:p>
    <w:p>
      <w:pPr>
        <w:spacing w:after="0" w:line="14" w:lineRule="exact"/>
        <w:rPr>
          <w:sz w:val="20"/>
          <w:szCs w:val="20"/>
          <w:color w:val="auto"/>
        </w:rPr>
      </w:pPr>
    </w:p>
    <w:p>
      <w:pPr>
        <w:jc w:val="both"/>
        <w:ind w:firstLine="8"/>
        <w:spacing w:after="0" w:line="255" w:lineRule="auto"/>
        <w:tabs>
          <w:tab w:leader="none" w:pos="27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final Transaction Documents with the Commission and (b) to the extent such disclosure is required by law or Trading Market regulations, in which such cases the Company shall (x) obtain prior advice of competent counsel that such disclosure is required, (y) provide the Purchasers with prior notice of such disclosure permitted under this Section 4.4 and (z) reasonably cooperate with such Purchasers regarding such disclosure.</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Purchaser is an “</w:t>
      </w:r>
      <w:r>
        <w:rPr>
          <w:rFonts w:ascii="Times New Roman" w:cs="Times New Roman" w:eastAsia="Times New Roman" w:hAnsi="Times New Roman"/>
          <w:sz w:val="18"/>
          <w:szCs w:val="18"/>
          <w:b w:val="1"/>
          <w:bCs w:val="1"/>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4.6. </w:t>
      </w:r>
      <w:r>
        <w:rPr>
          <w:rFonts w:ascii="Times New Roman" w:cs="Times New Roman" w:eastAsia="Times New Roman" w:hAnsi="Times New Roman"/>
          <w:sz w:val="18"/>
          <w:szCs w:val="18"/>
          <w:b w:val="1"/>
          <w:bCs w:val="1"/>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any notice provided pursuant to any Transaction Document constitutes, or contains, material, non-public information regarding the Company or any Subsidiaries, the Company shall simultaneously with the delivery of such notice furnish such notice to the Commission pursuant to a Report of Foreign Private Issuer on Form 6-K if applicable. The Company understands and confirms that each Purchaser shall be relying on the foregoing covenant in effecting transactions in securities of the Company.</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4.7. </w:t>
      </w:r>
      <w:r>
        <w:rPr>
          <w:rFonts w:ascii="Times New Roman" w:cs="Times New Roman" w:eastAsia="Times New Roman" w:hAnsi="Times New Roman"/>
          <w:sz w:val="18"/>
          <w:szCs w:val="18"/>
          <w:b w:val="1"/>
          <w:bCs w:val="1"/>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general corporate purposes (which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avoidance of doubt may include acquisitions, in the Company’s discretion), including working capital. The Company shall not use such proceeds: (a) for the satisfaction of any portion of the Company’s debt (other than payment of trade payables in the ordinary course of the Company’s business and prior practices), (b) for the redemption of any Class B Ordinary Shares or Class B Ordinary Share Equivalents, (c) for the settlement of any outstanding litigation or (d) in violation of FCPA or OFAC regulations.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7" w:name="page148"/>
    <w:bookmarkEnd w:id="147"/>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4.8. </w:t>
      </w:r>
      <w:r>
        <w:rPr>
          <w:rFonts w:ascii="Times New Roman" w:cs="Times New Roman" w:eastAsia="Times New Roman" w:hAnsi="Times New Roman"/>
          <w:sz w:val="18"/>
          <w:szCs w:val="18"/>
          <w:b w:val="1"/>
          <w:bCs w:val="1"/>
          <w:u w:val="single" w:color="auto"/>
          <w:color w:val="auto"/>
        </w:rPr>
        <w:t>Indemnification of Purchasers</w:t>
      </w:r>
      <w:r>
        <w:rPr>
          <w:rFonts w:ascii="Times New Roman" w:cs="Times New Roman" w:eastAsia="Times New Roman" w:hAnsi="Times New Roman"/>
          <w:sz w:val="18"/>
          <w:szCs w:val="18"/>
          <w:color w:val="auto"/>
        </w:rPr>
        <w:t>. Subject to the provisions of this Section 4.8, the Company will indemnify and hold each Purchaser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officers, shareholders, members,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b w:val="1"/>
          <w:bCs w:val="1"/>
          <w:u w:val="single" w:color="auto"/>
          <w:color w:val="auto"/>
        </w:rPr>
        <w:t>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(b) any action instituted against the Purchaser Parties in any capacity (including a Purchaser Party’s status as an investor), or any of them or their respective Affiliates, by the Company or any shareholder of the Company who is not an Affiliate of such Purchaser Party, arising out of or relating to any of the transactions contemplated by the Transaction Documents. In connection with any Resale Registration Statement of the Company providing for the resale by the Purchasers of the Shares issued, the Company will indemnify each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Resale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except with respect to direct claims brought by the Company,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to the applicable Purchaser Party (which may be internal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for any settlement by a Purchaser Party effected without the Company’s prior written consent, which shall not be unreasonably withheld or delayed. In addition, if any Purchaser Party takes actions to collect amounts due under any Transaction Documents or to enforce the provisions of any Transaction Documents, then the Company shall pay the costs incurred by such Purchaser Party for such collection, enforcement or action, including, but not limited to, attorneys’ fees and disbursements. The indemnification and other payment obligations required by this Section 4.8 shall be made by periodic payments of the amount thereof during the course of the investigation, defense, collection, enforcement or action, as and when bills are received or are incurred; provided, however, that if any Purchaser Party is finally judicially determined not to be entitled to indemnification or payment under this Section 4.8, such Purchaser Party shall promptly reimburse the Company for any payments that are advanced under this sentence. The indemnity agreements contained herein shall be in addition to any cause of action or similar right of any Purchaser Party against the Company or others and any liabilities the Company may be subject to pursuant to law. Notwithstanding the foregoing, the Company’s indemnification obligations shall apply solely to third-party claims and shall not extend to direct claims brought by the Company against any Purchaser Party. Each Purchaser shall, in turn, indemnify and hold harmless the Company and its directors, officers, employees and agents from and against any losses, claims, damages, liabilities, costs and expenses arising out of or relating to (i) any breach of this Agreement or other Transaction Documents by such Purchaser, (ii) any untrue statement or omission in any Registration Statement or Prospectus based upon information furnished in writing by such Purchaser, or (iii) such Purchaser’s violation of applicable law, fraud, gross negligence, or willful misconduct. The Company’s obligation to advance expenses shall be limited to reasonable and documented costs, and reimbursement shall be subject to final determination of entitlement.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8" w:name="page149"/>
    <w:bookmarkEnd w:id="148"/>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4.9. </w:t>
      </w:r>
      <w:r>
        <w:rPr>
          <w:rFonts w:ascii="Times New Roman" w:cs="Times New Roman" w:eastAsia="Times New Roman" w:hAnsi="Times New Roman"/>
          <w:sz w:val="18"/>
          <w:szCs w:val="18"/>
          <w:b w:val="1"/>
          <w:bCs w:val="1"/>
          <w:u w:val="single" w:color="auto"/>
          <w:color w:val="auto"/>
        </w:rPr>
        <w:t>Listing of ADS Representing Class B Ordinary Shares</w:t>
      </w:r>
      <w:r>
        <w:rPr>
          <w:rFonts w:ascii="Times New Roman" w:cs="Times New Roman" w:eastAsia="Times New Roman" w:hAnsi="Times New Roman"/>
          <w:sz w:val="18"/>
          <w:szCs w:val="18"/>
          <w:color w:val="auto"/>
        </w:rPr>
        <w:t>. The Company hereby agrees to use its best efforts to maintain the listing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quotation of the ADS representing Class B Ordinary Shares on the Trading Market on which it is currently listed, and concurrently with the Closing, the Company shall convert the Class B Ordinary Shares purchased hereunder into ADSs and apply to list or quote all of the ADS representing Class B Ordinary Shares on such Trading Market and promptly secure the listing of all of the ADS representing Class B Ordinary Shares on such Trading Market. The Company further agrees, if the Company applies to have the ADS representing Class B Ordinary Shares traded on any other Trading Market, it will then include in such application all of the ADS representing Class B Ordinary Shares, and will take such other action as is necessary to cause all of the ADS representing Class B Ordinary Shares to be listed or quoted on such other Trading Market as promptly as possible. The Company will then take all action reasonably necessary to continue the listing and trading of its ADS representing Class B Ordinary Shares on a Trading Market and will comply in all respects with the Company’s reporting, filing and other obligations under the bylaws or rules of the Trading Market. The Company agrees to maintain the eligibility of the ADS representing Class B Ordinary Shares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4.11. </w:t>
      </w:r>
      <w:r>
        <w:rPr>
          <w:rFonts w:ascii="Times New Roman" w:cs="Times New Roman" w:eastAsia="Times New Roman" w:hAnsi="Times New Roman"/>
          <w:sz w:val="18"/>
          <w:szCs w:val="18"/>
          <w:b w:val="1"/>
          <w:bCs w:val="1"/>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4.12. </w:t>
      </w:r>
      <w:r>
        <w:rPr>
          <w:rFonts w:ascii="Times New Roman" w:cs="Times New Roman" w:eastAsia="Times New Roman" w:hAnsi="Times New Roman"/>
          <w:sz w:val="18"/>
          <w:szCs w:val="18"/>
          <w:b w:val="1"/>
          <w:bCs w:val="1"/>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agents or Affiliates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4.13. </w:t>
      </w:r>
      <w:r>
        <w:rPr>
          <w:rFonts w:ascii="Times New Roman" w:cs="Times New Roman" w:eastAsia="Times New Roman" w:hAnsi="Times New Roman"/>
          <w:sz w:val="18"/>
          <w:szCs w:val="18"/>
          <w:b w:val="1"/>
          <w:bCs w:val="1"/>
          <w:u w:val="single" w:color="auto"/>
          <w:color w:val="auto"/>
        </w:rPr>
        <w:t>Form D; Blue Sky Filings</w:t>
      </w:r>
      <w:r>
        <w:rPr>
          <w:rFonts w:ascii="Times New Roman" w:cs="Times New Roman" w:eastAsia="Times New Roman" w:hAnsi="Times New Roman"/>
          <w:sz w:val="18"/>
          <w:szCs w:val="18"/>
          <w:color w:val="auto"/>
        </w:rPr>
        <w:t>. The Company agrees to timely file a Form D with respect to the Securities as required under Regulation 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provide a copy thereof, promptly upon request of any Purchaser, if applicable.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promptly upon request of any Purchaser.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9" w:name="page150"/>
    <w:bookmarkEnd w:id="149"/>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4.14. </w:t>
      </w:r>
      <w:r>
        <w:rPr>
          <w:rFonts w:ascii="Times New Roman" w:cs="Times New Roman" w:eastAsia="Times New Roman" w:hAnsi="Times New Roman"/>
          <w:sz w:val="18"/>
          <w:szCs w:val="18"/>
          <w:b w:val="1"/>
          <w:bCs w:val="1"/>
          <w:u w:val="single" w:color="auto"/>
          <w:color w:val="auto"/>
        </w:rPr>
        <w:t>Capital Changes</w:t>
      </w:r>
      <w:r>
        <w:rPr>
          <w:rFonts w:ascii="Times New Roman" w:cs="Times New Roman" w:eastAsia="Times New Roman" w:hAnsi="Times New Roman"/>
          <w:sz w:val="18"/>
          <w:szCs w:val="18"/>
          <w:color w:val="auto"/>
        </w:rPr>
        <w:t>. Except as required to comply with Nasdaq listing standards or regain compliance with the minimum bid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 as determined in the good faith discretion of the Company’s Board of Directors with respect to the timing of such compliance, until the date that is ninety (90) days after the Release Date, the Company shall not undertake a reverse or forward share split or reclassification of the Class B Ordinary Shares without the prior written notice to the Purchasers holding a majority in interest of the Shares.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4.15. </w:t>
      </w:r>
      <w:r>
        <w:rPr>
          <w:rFonts w:ascii="Times New Roman" w:cs="Times New Roman" w:eastAsia="Times New Roman" w:hAnsi="Times New Roman"/>
          <w:sz w:val="18"/>
          <w:szCs w:val="18"/>
          <w:b w:val="1"/>
          <w:bCs w:val="1"/>
          <w:u w:val="single" w:color="auto"/>
          <w:color w:val="auto"/>
        </w:rPr>
        <w:t>Acknowledgment of Dilution</w:t>
      </w:r>
      <w:r>
        <w:rPr>
          <w:rFonts w:ascii="Times New Roman" w:cs="Times New Roman" w:eastAsia="Times New Roman" w:hAnsi="Times New Roman"/>
          <w:sz w:val="18"/>
          <w:szCs w:val="18"/>
          <w:color w:val="auto"/>
        </w:rPr>
        <w:t>. The Company acknowledges that the issuance of the Securities may result in dilution of the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B Ordinary Shares, which dilution may be substantial under certain market conditions. The Company shall use its reasonable best efforts to comply with its obligations under the Transaction Documents, provided that nothing herein shall require the Company to take any action inconsistent with applicable law or the fiduciary duties of its directors.</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4.16. </w:t>
      </w:r>
      <w:r>
        <w:rPr>
          <w:rFonts w:ascii="Times New Roman" w:cs="Times New Roman" w:eastAsia="Times New Roman" w:hAnsi="Times New Roman"/>
          <w:sz w:val="18"/>
          <w:szCs w:val="18"/>
          <w:b w:val="1"/>
          <w:bCs w:val="1"/>
          <w:u w:val="single" w:color="auto"/>
          <w:color w:val="auto"/>
        </w:rPr>
        <w:t>Registration Rights Agreement</w:t>
      </w:r>
      <w:r>
        <w:rPr>
          <w:rFonts w:ascii="Times New Roman" w:cs="Times New Roman" w:eastAsia="Times New Roman" w:hAnsi="Times New Roman"/>
          <w:sz w:val="18"/>
          <w:szCs w:val="18"/>
          <w:color w:val="auto"/>
        </w:rPr>
        <w:t>. On the date hereof, the Company shall enter into the Registration Rights Agreement and shall not amend,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modify, waive or terminate any provision of the Registration Rights Agreement, except pursuant to the terms of the Registration Rights Agreement.</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4.17. </w:t>
      </w:r>
      <w:r>
        <w:rPr>
          <w:rFonts w:ascii="Times New Roman" w:cs="Times New Roman" w:eastAsia="Times New Roman" w:hAnsi="Times New Roman"/>
          <w:sz w:val="18"/>
          <w:szCs w:val="18"/>
          <w:b w:val="1"/>
          <w:bCs w:val="1"/>
          <w:u w:val="single" w:color="auto"/>
          <w:color w:val="auto"/>
        </w:rPr>
        <w:t>QEF Election</w:t>
      </w:r>
      <w:r>
        <w:rPr>
          <w:rFonts w:ascii="Times New Roman" w:cs="Times New Roman" w:eastAsia="Times New Roman" w:hAnsi="Times New Roman"/>
          <w:sz w:val="18"/>
          <w:szCs w:val="18"/>
          <w:color w:val="auto"/>
        </w:rPr>
        <w:t>. If a Purchaser so requests in writing for any taxable year of the Company, the Company, after consulting with its outside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firm, shall within fifteen (15) Business Days notify such Purchaser in writing that either (A) neither the Company nor any of its Subsidiaries was a “passive foreign investment company” as defined in Section 1297 of the Code (“</w:t>
      </w:r>
      <w:r>
        <w:rPr>
          <w:rFonts w:ascii="Times New Roman" w:cs="Times New Roman" w:eastAsia="Times New Roman" w:hAnsi="Times New Roman"/>
          <w:sz w:val="18"/>
          <w:szCs w:val="18"/>
          <w:b w:val="1"/>
          <w:bCs w:val="1"/>
          <w:u w:val="single" w:color="auto"/>
          <w:color w:val="auto"/>
        </w:rPr>
        <w:t>PFIC</w:t>
      </w:r>
      <w:r>
        <w:rPr>
          <w:rFonts w:ascii="Times New Roman" w:cs="Times New Roman" w:eastAsia="Times New Roman" w:hAnsi="Times New Roman"/>
          <w:sz w:val="18"/>
          <w:szCs w:val="18"/>
          <w:color w:val="auto"/>
        </w:rPr>
        <w:t>”) for such year, or (B) the Company and/or one or more of its Subsidiaries was a PFIC for such year, in which event the Company shall provide to such Purchaser, upon the reasonable written request of such Purchaser, the information reasonably necessary to allow such Purchaser to elect to treat each of the Company and any applicable Subsidiaries (if any), respectively, as a “qualified electing fund” (within the meaning of Section 1295 of the Code for such year, including a “PFIC Annual Information Statement” as described in Treasury Regulation Section 1.1295-1(g)(1) (or any successor Treasury Regulation).</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4.18. </w:t>
      </w:r>
      <w:r>
        <w:rPr>
          <w:rFonts w:ascii="Times New Roman" w:cs="Times New Roman" w:eastAsia="Times New Roman" w:hAnsi="Times New Roman"/>
          <w:sz w:val="18"/>
          <w:szCs w:val="18"/>
          <w:b w:val="1"/>
          <w:bCs w:val="1"/>
          <w:u w:val="single" w:color="auto"/>
          <w:color w:val="auto"/>
        </w:rPr>
        <w:t>Reservation of Class B Ordinary Shares</w:t>
      </w:r>
      <w:r>
        <w:rPr>
          <w:rFonts w:ascii="Times New Roman" w:cs="Times New Roman" w:eastAsia="Times New Roman" w:hAnsi="Times New Roman"/>
          <w:sz w:val="18"/>
          <w:szCs w:val="18"/>
          <w:color w:val="auto"/>
        </w:rPr>
        <w:t>. As of the date hereof, the Company will reserve and the Company shall continue to reserve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keep available at all times, free of preemptive rights, a sufficient number of Class B Ordinary Shares for the purpose of enabling the Company to issue Shares pursuant to this Agreement.</w:t>
      </w:r>
    </w:p>
    <w:p>
      <w:pPr>
        <w:spacing w:after="0" w:line="171" w:lineRule="exact"/>
        <w:rPr>
          <w:sz w:val="20"/>
          <w:szCs w:val="20"/>
          <w:color w:val="auto"/>
        </w:rPr>
      </w:pPr>
    </w:p>
    <w:p>
      <w:pPr>
        <w:ind w:left="660" w:hanging="652"/>
        <w:spacing w:after="0"/>
        <w:tabs>
          <w:tab w:leader="none" w:pos="66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whatsoever on the obligations between the Company and the other Purchasers, by written notice to the other parties, if the Closing has not been consummated on or before the tenth (10th)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advisers, counsel, accountants and other experts, if any, and all other expenses incurred by such party incident to the negotiation, preparation, execution, delivery and performance of this Agreement. The Company shall pay all Depositary fees (including, without limitation, any fees required for same-Calendar Day processing of any instruction letter delivered by the Company and any exercise notice delivered by a Purchaser), stamp taxes and other taxes and duties levied in connection with the delivery of any Securities to the Purchasers.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given and effective on the earliest of: (a) the time of transmission, if such notice or communication is delivered via email at the email address as set forth on the signature pages attached hereto at or prior to 5:30 p.m. (New York City time) on a Trading Day, (b) the next Trading Day after the time of transmission, if such notice or communication is delivered via email at the email address as set forth on the signature pages attached hereto on a Calendar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of the Subsidiaries, the Company shall simultaneously furnish such notice to the Commission pursuant to a Report of Foreign Private Issuer on Form 6-K.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0" w:name="page151"/>
    <w:bookmarkEnd w:id="150"/>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5.5. </w:t>
      </w:r>
      <w:r>
        <w:rPr>
          <w:rFonts w:ascii="Times New Roman" w:cs="Times New Roman" w:eastAsia="Times New Roman" w:hAnsi="Times New Roman"/>
          <w:sz w:val="18"/>
          <w:szCs w:val="18"/>
          <w:b w:val="1"/>
          <w:bCs w:val="1"/>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in the case of an amendment, by the Company and Purchasers which purchased at least 50.1% in interest of the Shares based on the initial Subscription Amounts hereunder (or, prior to Closing, the Company and each Purchaser) or, in the case of a waiver, by the party against whom enforcement of any such waived provision is sought, provided that if any amendment, modification or waiver disproportionately and adversely impacts a Purchaser (or multiple Purchasers), the consent of such disproportionately impacted Purchaser (or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5.6.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the provisions hereof.</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5.7.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5.8. </w:t>
      </w:r>
      <w:r>
        <w:rPr>
          <w:rFonts w:ascii="Times New Roman" w:cs="Times New Roman" w:eastAsia="Times New Roman" w:hAnsi="Times New Roman"/>
          <w:sz w:val="18"/>
          <w:szCs w:val="18"/>
          <w:b w:val="1"/>
          <w:bCs w:val="1"/>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and warranties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5.9.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and enforced in accordance with the law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and County of New York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1" w:name="page152"/>
    <w:bookmarkEnd w:id="151"/>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5.10. </w:t>
      </w:r>
      <w:r>
        <w:rPr>
          <w:rFonts w:ascii="Times New Roman" w:cs="Times New Roman" w:eastAsia="Times New Roman" w:hAnsi="Times New Roman"/>
          <w:sz w:val="18"/>
          <w:szCs w:val="18"/>
          <w:b w:val="1"/>
          <w:bCs w:val="1"/>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5.11. </w:t>
      </w:r>
      <w:r>
        <w:rPr>
          <w:rFonts w:ascii="Times New Roman" w:cs="Times New Roman" w:eastAsia="Times New Roman" w:hAnsi="Times New Roman"/>
          <w:sz w:val="18"/>
          <w:szCs w:val="18"/>
          <w:b w:val="1"/>
          <w:bCs w:val="1"/>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5.12.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5.13. </w:t>
      </w:r>
      <w:r>
        <w:rPr>
          <w:rFonts w:ascii="Times New Roman" w:cs="Times New Roman" w:eastAsia="Times New Roman" w:hAnsi="Times New Roman"/>
          <w:sz w:val="18"/>
          <w:szCs w:val="18"/>
          <w:b w:val="1"/>
          <w:bCs w:val="1"/>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5.14. </w:t>
      </w:r>
      <w:r>
        <w:rPr>
          <w:rFonts w:ascii="Times New Roman" w:cs="Times New Roman" w:eastAsia="Times New Roman" w:hAnsi="Times New Roman"/>
          <w:sz w:val="18"/>
          <w:szCs w:val="18"/>
          <w:b w:val="1"/>
          <w:bCs w:val="1"/>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5.15. </w:t>
      </w: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5.16. </w:t>
      </w:r>
      <w:r>
        <w:rPr>
          <w:rFonts w:ascii="Times New Roman" w:cs="Times New Roman" w:eastAsia="Times New Roman" w:hAnsi="Times New Roman"/>
          <w:sz w:val="18"/>
          <w:szCs w:val="18"/>
          <w:b w:val="1"/>
          <w:bCs w:val="1"/>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2" w:name="page153"/>
    <w:bookmarkEnd w:id="152"/>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5.17. </w:t>
      </w:r>
      <w:r>
        <w:rPr>
          <w:rFonts w:ascii="Times New Roman" w:cs="Times New Roman" w:eastAsia="Times New Roman" w:hAnsi="Times New Roman"/>
          <w:sz w:val="18"/>
          <w:szCs w:val="18"/>
          <w:b w:val="1"/>
          <w:bCs w:val="1"/>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to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5.18. </w:t>
      </w:r>
      <w:r>
        <w:rPr>
          <w:rFonts w:ascii="Times New Roman" w:cs="Times New Roman" w:eastAsia="Times New Roman" w:hAnsi="Times New Roman"/>
          <w:sz w:val="18"/>
          <w:szCs w:val="18"/>
          <w:b w:val="1"/>
          <w:bCs w:val="1"/>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5.19. </w:t>
      </w:r>
      <w:r>
        <w:rPr>
          <w:rFonts w:ascii="Times New Roman" w:cs="Times New Roman" w:eastAsia="Times New Roman" w:hAnsi="Times New Roman"/>
          <w:sz w:val="18"/>
          <w:szCs w:val="18"/>
          <w:b w:val="1"/>
          <w:bCs w:val="1"/>
          <w:u w:val="single" w:color="auto"/>
          <w:color w:val="auto"/>
        </w:rPr>
        <w:t>Saturdays, Sundays, Holidays, etc</w:t>
      </w:r>
      <w:r>
        <w:rPr>
          <w:rFonts w:ascii="Times New Roman" w:cs="Times New Roman" w:eastAsia="Times New Roman" w:hAnsi="Times New Roman"/>
          <w:sz w:val="18"/>
          <w:szCs w:val="18"/>
          <w:color w:val="auto"/>
        </w:rPr>
        <w:t>. If the last or appointed Calendar Day for the taking of any action or the expiration of any right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granted herein shall not be a Business Day, then such action may be taken or such right may be exercised on the next succeeding Business Day.</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5.20. </w:t>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Class B Ordinary Shares in any Transaction Document shall be subject to adjustment for reverse and forward share splits, share dividends, share combinations and other similar transactions of the Class B Ordinary Shares that occur after the date of this Agreement.</w:t>
      </w:r>
    </w:p>
    <w:p>
      <w:pPr>
        <w:spacing w:after="0" w:line="179"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5.21. </w:t>
      </w:r>
      <w:r>
        <w:rPr>
          <w:rFonts w:ascii="Times New Roman" w:cs="Times New Roman" w:eastAsia="Times New Roman" w:hAnsi="Times New Roman"/>
          <w:sz w:val="18"/>
          <w:szCs w:val="18"/>
          <w:b w:val="1"/>
          <w:bCs w:val="1"/>
          <w:u w:val="single" w:color="auto"/>
          <w:color w:val="auto"/>
        </w:rPr>
        <w:t>WAIVER OF JURY TRIAL. IN ANY ACTION, SUIT, OR PROCEEDING IN ANY JURISDICTION BROUGHT BY ANY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[Securities Purchase Agreement Signature Pages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3" w:name="page154"/>
    <w:bookmarkEnd w:id="153"/>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Soon Huat Lim</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Soon Huat Lim</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[Securities Purchase Agreement – Company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color w:val="auto"/>
        </w:rPr>
        <w:t>IN WITNESS WHEREOF, the Party has caused this Agreement to be executed on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OGBC Group Pte Ltd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Signatory of Purchaser: /s/ Jiusheng Wei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Jiusheng Wei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CEO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jayden@ogbc.com</w:t>
      </w:r>
    </w:p>
    <w:p>
      <w:pPr>
        <w:spacing w:after="0" w:line="225"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Address for Notice to Purchaser:</w:t>
      </w:r>
      <w:r>
        <w:rPr>
          <w:sz w:val="20"/>
          <w:szCs w:val="20"/>
          <w:color w:val="auto"/>
        </w:rPr>
        <w:tab/>
      </w:r>
      <w:r>
        <w:rPr>
          <w:rFonts w:ascii="Times New Roman" w:cs="Times New Roman" w:eastAsia="Times New Roman" w:hAnsi="Times New Roman"/>
          <w:sz w:val="17"/>
          <w:szCs w:val="17"/>
          <w:color w:val="auto"/>
        </w:rPr>
        <w:t>20 cecil st, #407,049705 Singapore</w:t>
      </w:r>
    </w:p>
    <w:p>
      <w:pPr>
        <w:spacing w:after="0" w:line="225"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tab/>
        <w:t>____________________________</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 DTC Participant Number: 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Class B Ordinary Shares to be Issued: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ADS representing Class B Ordinary Shares to be Issued: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Price per Subscription Share: 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Purchase Price: $500,000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Date: 09/10/2025</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i w:val="1"/>
          <w:iCs w:val="1"/>
          <w:color w:val="auto"/>
        </w:rPr>
        <w:t>[Securities Purchase Agreement – Purchaser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color w:val="auto"/>
        </w:rPr>
        <w:t>IN WITNESS WHEREOF, the Party has caused this Agreement to be executed on the date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CHENG JIANBO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728345" cy="24892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24">
                      <a:extLst>
                        <a:ext uri="{28A0092B-C50C-407E-A947-70E740481C1C}"/>
                      </a:extLst>
                    </a:blip>
                    <a:srcRect/>
                    <a:stretch>
                      <a:fillRect/>
                    </a:stretch>
                  </pic:blipFill>
                  <pic:spPr bwMode="auto">
                    <a:xfrm>
                      <a:off x="0" y="0"/>
                      <a:ext cx="728345" cy="24892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Signatory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8890</wp:posOffset>
            </wp:positionV>
            <wp:extent cx="2494280" cy="171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2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w:t>
      </w:r>
    </w:p>
    <w:p>
      <w:pPr>
        <w:sectPr>
          <w:pgSz w:w="11900" w:h="16838" w:orient="portrait"/>
          <w:cols w:equalWidth="0" w:num="1">
            <w:col w:w="10139"/>
          </w:cols>
          <w:pgMar w:left="320" w:top="904" w:right="1440"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jb.chieng@gmail.com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3304 SHENGHUI WUHANTIANDI JIANG’AN DIST. WUHAN CHIAN</w:t>
      </w:r>
    </w:p>
    <w:p>
      <w:pPr>
        <w:spacing w:after="0" w:line="211" w:lineRule="exact"/>
        <w:rPr>
          <w:sz w:val="20"/>
          <w:szCs w:val="20"/>
          <w:color w:val="auto"/>
        </w:rPr>
      </w:pPr>
    </w:p>
    <w:p>
      <w:pPr>
        <w:sectPr>
          <w:pgSz w:w="11900" w:h="16838" w:orient="portrait"/>
          <w:cols w:equalWidth="0" w:num="2">
            <w:col w:w="2360" w:space="460"/>
            <w:col w:w="7319"/>
          </w:cols>
          <w:pgMar w:left="320" w:top="904" w:right="1440" w:bottom="1440" w:gutter="0" w:footer="0" w:header="0"/>
          <w:type w:val="continuous"/>
        </w:sectPr>
      </w:pPr>
    </w:p>
    <w:p>
      <w:pPr>
        <w:spacing w:after="0" w:line="241"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tab/>
        <w:t>____________________________</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 DTC Participant Number: 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Class B Ordinary Shares to be Issued: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ADS representing Class B Ordinary Shares to be Issued: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Price per Subscription Share: 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Purchase Price: USD$300,000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Date: Sep 08 2025</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i w:val="1"/>
          <w:iCs w:val="1"/>
          <w:color w:val="auto"/>
        </w:rPr>
        <w:t>[Securities Purchase Agreement – Purchaser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color w:val="auto"/>
        </w:rPr>
        <w:t>IN WITNESS WHEREOF, the Party has caused this Agreement to be executed on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Ripple Strategy Holding Ltd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Signatory of Purchaser: /s/ Charles Whitmore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Charles Whitmore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Charles.whitmore@ripple-strategy.com</w:t>
      </w:r>
    </w:p>
    <w:p>
      <w:pPr>
        <w:spacing w:after="0" w:line="225" w:lineRule="exact"/>
        <w:rPr>
          <w:sz w:val="20"/>
          <w:szCs w:val="20"/>
          <w:color w:val="auto"/>
        </w:rPr>
      </w:pPr>
    </w:p>
    <w:p>
      <w:pPr>
        <w:ind w:left="2820" w:right="2119" w:hanging="2820"/>
        <w:spacing w:after="0" w:line="500" w:lineRule="auto"/>
        <w:tabs>
          <w:tab w:leader="none" w:pos="2800" w:val="left"/>
        </w:tabs>
        <w:rPr>
          <w:sz w:val="20"/>
          <w:szCs w:val="20"/>
          <w:color w:val="auto"/>
        </w:rPr>
      </w:pPr>
      <w:r>
        <w:rPr>
          <w:rFonts w:ascii="Times New Roman" w:cs="Times New Roman" w:eastAsia="Times New Roman" w:hAnsi="Times New Roman"/>
          <w:sz w:val="18"/>
          <w:szCs w:val="18"/>
          <w:color w:val="auto"/>
        </w:rPr>
        <w:t>Address for Notice to Purchaser:</w:t>
      </w:r>
      <w:r>
        <w:rPr>
          <w:sz w:val="20"/>
          <w:szCs w:val="20"/>
          <w:color w:val="auto"/>
        </w:rPr>
        <w:tab/>
      </w:r>
      <w:r>
        <w:rPr>
          <w:rFonts w:ascii="Times New Roman" w:cs="Times New Roman" w:eastAsia="Times New Roman" w:hAnsi="Times New Roman"/>
          <w:sz w:val="18"/>
          <w:szCs w:val="18"/>
          <w:color w:val="auto"/>
        </w:rPr>
        <w:t>Unit 8, 3/F., Qwomar Trading Complex, Blackburne Road, Port Purcell, Road Town, Tortola, British Virgin Islands VG1110</w:t>
      </w:r>
    </w:p>
    <w:p>
      <w:pPr>
        <w:spacing w:after="0" w:line="2"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tab/>
        <w:t>____________________________</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 DTC Participant Number: 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Class B Ordinary Shares to be Issued: 4,642,857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ADS representing Class B Ordinary Shares to be Issued: 4,642,857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Price per Subscription Share: 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Purchase Price: USD 650,000.00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Date: Sept. 8, 2025</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i w:val="1"/>
          <w:iCs w:val="1"/>
          <w:color w:val="auto"/>
        </w:rPr>
        <w:t>[Securities Purchase Agreement – Purchaser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color w:val="auto"/>
        </w:rPr>
        <w:t>IN WITNESS WHEREOF, the Party has caused this Agreement to be executed on the date first above written.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Lida Global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728345" cy="72898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28">
                      <a:extLst>
                        <a:ext uri="{28A0092B-C50C-407E-A947-70E740481C1C}"/>
                      </a:extLst>
                    </a:blip>
                    <a:srcRect/>
                    <a:stretch>
                      <a:fillRect/>
                    </a:stretch>
                  </pic:blipFill>
                  <pic:spPr bwMode="auto">
                    <a:xfrm>
                      <a:off x="0" y="0"/>
                      <a:ext cx="728345" cy="72898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Signatory of Purchaser: /s/ LI ZHONG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LI ZHONG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Director</w:t>
      </w:r>
    </w:p>
    <w:p>
      <w:pPr>
        <w:sectPr>
          <w:pgSz w:w="11900" w:h="16838" w:orient="portrait"/>
          <w:cols w:equalWidth="0" w:num="1">
            <w:col w:w="10139"/>
          </w:cols>
          <w:pgMar w:left="320" w:top="904" w:right="1440"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lidaglobal001@gmail.com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 915, 9/F, North Tower, Concordia Plaza, 1 Science Museum Road, Tsim Sha</w:t>
      </w:r>
    </w:p>
    <w:p>
      <w:pPr>
        <w:spacing w:after="0" w:line="211" w:lineRule="exact"/>
        <w:rPr>
          <w:sz w:val="20"/>
          <w:szCs w:val="20"/>
          <w:color w:val="auto"/>
        </w:rPr>
      </w:pPr>
    </w:p>
    <w:p>
      <w:pPr>
        <w:sectPr>
          <w:pgSz w:w="11900" w:h="16838" w:orient="portrait"/>
          <w:cols w:equalWidth="0" w:num="2">
            <w:col w:w="2460" w:space="360"/>
            <w:col w:w="7319"/>
          </w:cols>
          <w:pgMar w:left="320" w:top="904" w:right="1440" w:bottom="1440" w:gutter="0" w:footer="0" w:header="0"/>
          <w:type w:val="continuous"/>
        </w:sectPr>
      </w:pPr>
    </w:p>
    <w:p>
      <w:pPr>
        <w:spacing w:after="0" w:line="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Tsul, Kowloon, Hong Kong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 DTC Participant Number: 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Class B Ordinary Shares to be Issued: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ADS representing Class B Ordinary Shares to be Issued: 4,570,000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Price per Subscription Share: 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Purchase Price: USD 639,800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Date: 2025-9-11</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i w:val="1"/>
          <w:iCs w:val="1"/>
          <w:color w:val="auto"/>
        </w:rPr>
        <w:t>[Securities Purchase Agreement – Purchaser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color w:val="auto"/>
        </w:rPr>
        <w:t>IN WITNESS WHEREOF, the Party has caused this Agreement to be executed on the date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Viner Total Investments Fund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Signatory of Purchaser: /s/ Chan Chi Fai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Mr. Chan Chi Fai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Investment Manager</w:t>
      </w:r>
    </w:p>
    <w:p>
      <w:pPr>
        <w:sectPr>
          <w:pgSz w:w="11900" w:h="16838" w:orient="portrait"/>
          <w:cols w:equalWidth="0" w:num="1">
            <w:col w:w="10139"/>
          </w:cols>
          <w:pgMar w:left="320" w:top="904" w:right="1440"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vtif@apollo.com.hk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Room 202, 2/F, China Insurance Group Building,</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 Des Voeux Road Central, Hong Kong</w:t>
      </w:r>
    </w:p>
    <w:p>
      <w:pPr>
        <w:spacing w:after="0" w:line="200" w:lineRule="exact"/>
        <w:rPr>
          <w:sz w:val="20"/>
          <w:szCs w:val="20"/>
          <w:color w:val="auto"/>
        </w:rPr>
      </w:pPr>
    </w:p>
    <w:p>
      <w:pPr>
        <w:sectPr>
          <w:pgSz w:w="11900" w:h="16838" w:orient="portrait"/>
          <w:cols w:equalWidth="0" w:num="2">
            <w:col w:w="2360" w:space="460"/>
            <w:col w:w="7319"/>
          </w:cols>
          <w:pgMar w:left="320" w:top="904" w:right="1440" w:bottom="1440" w:gutter="0" w:footer="0" w:header="0"/>
          <w:type w:val="continuous"/>
        </w:sectPr>
      </w:pPr>
    </w:p>
    <w:p>
      <w:pPr>
        <w:spacing w:after="0" w:line="25"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tab/>
        <w:t>____________________________</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 DTC Participant Number: 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Class B Ordinary Shares to be Issued: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ADS representing Class B Ordinary Shares to be Issued: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Price per Subscription Share: 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Purchase Price: USD660,800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Date: 11/09/2025</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i w:val="1"/>
          <w:iCs w:val="1"/>
          <w:color w:val="auto"/>
        </w:rPr>
        <w:t>[Securities Purchase Agreement – Purchaser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type w:val="continuous"/>
        </w:sectPr>
      </w:pPr>
    </w:p>
    <w:bookmarkStart w:id="159" w:name="page160"/>
    <w:bookmarkEnd w:id="159"/>
    <w:p>
      <w:pPr>
        <w:ind w:left="1032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AGENT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CONFIDENTIAL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Trident Digital Tech Holdings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Temasek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#24-03 Suntec Tower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038988</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 TDTH | PIPE Offering | Placement Agent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Soon Huat Lim:</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purpose of this placement agent agreement is to outline our agreement pursuant to which Chaince Securities, LLC (“Chaince”) will act as the placement agent on a “best efforts” basis in connection with the proposed PIPE Offering (the “Placement”) by Trident Digital Tech Holdings Ltd (collectively, with its subsidiaries and affiliates, the “Company”) of its class B ordinary shares, par value US$0.00001 each (the “Securities”) (the “Placement Agent Agreement”). This Placement Agent Agreement sets forth certain conditions and assumptions upon which the Placement is premised. The Company expressly acknowledges and agrees that Chaince’s obligations hereunder are on a reasonable “best efforts” basis only and that the execution of this Placement Agent Agreement does not constitute a commitment by Chaince to purchase the Securities and does not ensure the successful placement of the Securities or any portion thereof or the success of Chaince with respect to securing any other financing on behalf of the Company. The Company confirms that entry into this Placement Agent Agreement and completion of the Placement with Chaince will not breach or otherwise violate the Company’s obligations to any other party or require any payments to such other party. For the sake of clarity, such obligations may include but not be limited to obligations under an engagement letter, placement agency agreement, underwriting agreement, advisory agreement, right of first refusal, tail fee obligation or other agreement.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terms of our agreement are as follows:</w:t>
      </w:r>
    </w:p>
    <w:p>
      <w:pPr>
        <w:spacing w:after="0" w:line="225" w:lineRule="exact"/>
        <w:rPr>
          <w:sz w:val="20"/>
          <w:szCs w:val="20"/>
          <w:color w:val="auto"/>
        </w:rPr>
      </w:pPr>
    </w:p>
    <w:p>
      <w:pPr>
        <w:jc w:val="both"/>
        <w:ind w:firstLine="656"/>
        <w:spacing w:after="0" w:line="253" w:lineRule="auto"/>
        <w:tabs>
          <w:tab w:leader="none" w:pos="82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Engagement</w:t>
      </w:r>
      <w:r>
        <w:rPr>
          <w:rFonts w:ascii="Times New Roman" w:cs="Times New Roman" w:eastAsia="Times New Roman" w:hAnsi="Times New Roman"/>
          <w:sz w:val="18"/>
          <w:szCs w:val="18"/>
          <w:color w:val="auto"/>
        </w:rPr>
        <w:t>. The Company hereby engages Chaince, for the period beginning on the date hereof and ending sixty (60) days after a registration statement filed with the U.S. Securities and Exchange Commission (the “Commission”) in connection with the resale offering of the securities issued in the Placement (the “Offering”) becomes effective (the “Engagement Period”), to act as the Company’s exclusive investment bank in connection with the proposed Placement. Chaince will use its reasonable “best efforts” to solicit offers to purchase the Securities from the Company on the terms, and subject to the conditions, set forth in this Placement Agent Agreement. Chaince shall use commercially reasonable efforts to assist the Company in obtaining performance by each purchaser of the Company’s Securities (“Purchaser”) whose offer to purchase Securities has been solicited by Chaince, but Chaince shall not, except as otherwise provided in this Placement Agent Agreement, be obligated to disclose the identity of any potential purchaser or have any liability to the Company in the event any such purchase is not consummated for any reason. The Company acknowledges that under no circumstances will Chaince be obligated to underwrite or purchase any Securities for its own account and, in soliciting purchases of the Securities, Chaince shall act solely as an agent of the Company. The services provided pursuant to this Placement Agent Agreement shall be on an “agency” basis and not on a “principal” basis.</w:t>
      </w:r>
    </w:p>
    <w:p>
      <w:pPr>
        <w:spacing w:after="0" w:line="194" w:lineRule="exact"/>
        <w:rPr>
          <w:rFonts w:ascii="Times New Roman" w:cs="Times New Roman" w:eastAsia="Times New Roman" w:hAnsi="Times New Roman"/>
          <w:sz w:val="18"/>
          <w:szCs w:val="18"/>
          <w:color w:val="auto"/>
        </w:rPr>
      </w:pPr>
    </w:p>
    <w:p>
      <w:pPr>
        <w:jc w:val="both"/>
        <w:ind w:firstLine="656"/>
        <w:spacing w:after="0" w:line="253" w:lineRule="auto"/>
        <w:tabs>
          <w:tab w:leader="none" w:pos="85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Placement</w:t>
      </w:r>
      <w:r>
        <w:rPr>
          <w:rFonts w:ascii="Times New Roman" w:cs="Times New Roman" w:eastAsia="Times New Roman" w:hAnsi="Times New Roman"/>
          <w:sz w:val="18"/>
          <w:szCs w:val="18"/>
          <w:color w:val="auto"/>
        </w:rPr>
        <w:t>. The Placement is expected to consist of a sale of the Company’s Securities. Chaince will act as placement agent for the Placement subject to, among other matters referred to herein and additional customary conditions, completion of Chaince’s due diligence examination of the Company and its affiliates, listing approval by the Nasdaq Capital Market (“Exchange”) of the Securities to be issued, and the execution of definitive securities purchase agreements (“Securities Purchase Agreements”). The actual size of the Placement, the precise number of Securities to be offered by the Company and the offering price will be the subject of continuing negotiations between the Company and the investors thereto. In connection with the entry into the Securities Purchase Agreement, the Company (i) will meet with Chaince and its representatives to discuss such due diligence matters and to provide such documents as Chaince may require; (ii) will not file with the Commission any document regarding the Placement without the prior approval of Chaince and its counsel; (iii) will deliver to Chaince and the investors in the Placement such legal and accounting opinions and letters (including, without limitation, legal opinions, negative assurance letters, good standing certificates and officers’ and secretary certificates) as Chaince may require, all in form and substance acceptable to Chaince and (iv) will ensure that Chaince is a third party beneficiary of all representations, warranties, covenants, closing conditions and deliverables in connection with the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0" w:name="page161"/>
    <w:bookmarkEnd w:id="160"/>
    <w:p>
      <w:pPr>
        <w:jc w:val="both"/>
        <w:ind w:firstLine="656"/>
        <w:spacing w:after="0" w:line="252" w:lineRule="auto"/>
        <w:tabs>
          <w:tab w:leader="none" w:pos="828"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To the extent the Company decides to proceed with the Placement, the Company will, as soon as practicable and in no event later than the times set forth in the registration rights agreement to be entered into with the investors in the Placement, prepare and file with the Commission a Registration Statement on Form F-1 (the “Registration Statement”) under the Securities Act of 1933, as amended (the “Securities Act”) and a prospectus included therein (the “Prospectus”) covering the resale of the Securities to be offered and sold in the Placement. Other than any information provided by the investors or Chaince in writing specifically for inclusion in the Registration Statement or the Prospectus, the Company will be solely responsible for the contents of its Registration Statement and Prospectus and any and all other written or oral communications provided by or on behalf of the Company to any actual or prospective investor of the Securities, and the Company represents and warrants that such materials and such other communications will not, as of the date of the offer or sale of the Securities under the Placement, contain any untrue statement of a material fact or omit to state a material fact required to be stated therein or necessary in order to make the statements therein, in light of the circumstances under which they were made, not misleading. If at any time prior to the completion of the offer and sale of the Securities under the Placement an event occurs that would cause the Registration Statement or Prospectus (as supplemented or amended) to contain an untrue statement of a material fact or to omit to state a material fact necessary in order to make the statements therein, in light of the circumstances under which they were made, not misleading, the Company will notify Chaince immediately of such event and Chaince will suspend solicitations of the prospective purchasers of the Securities until such time as the Company shall prepare a supplement or amendment to the Registration Statement or Prospectus that corrects such statement or omission.</w:t>
      </w:r>
    </w:p>
    <w:p>
      <w:pPr>
        <w:spacing w:after="0" w:line="197" w:lineRule="exact"/>
        <w:rPr>
          <w:rFonts w:ascii="Times New Roman" w:cs="Times New Roman" w:eastAsia="Times New Roman" w:hAnsi="Times New Roman"/>
          <w:sz w:val="18"/>
          <w:szCs w:val="18"/>
          <w:color w:val="auto"/>
        </w:rPr>
      </w:pPr>
    </w:p>
    <w:p>
      <w:pPr>
        <w:jc w:val="both"/>
        <w:ind w:firstLine="656"/>
        <w:spacing w:after="0" w:line="253" w:lineRule="auto"/>
        <w:tabs>
          <w:tab w:leader="none" w:pos="828"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 Compensation</w:t>
      </w:r>
      <w:r>
        <w:rPr>
          <w:rFonts w:ascii="Times New Roman" w:cs="Times New Roman" w:eastAsia="Times New Roman" w:hAnsi="Times New Roman"/>
          <w:sz w:val="18"/>
          <w:szCs w:val="18"/>
          <w:color w:val="auto"/>
        </w:rPr>
        <w:t>. The placement commission will be six percent (6.0%) of the aggregate gross proceeds raised at each closing of each Placement (each, a “Closing”) (“Placement Commission”). The Company will be responsible for and will pay Chaince an expense allowance equal to one percent (1.0 %) of the total gross proceeds for out-of-pocket expenses relating to the Placement, including, without limitation, (a) all filing fees and expenses relating to the registration of the Securities with the Commission; (b) all applicable FINRA filing fees; (c) all fees and expenses relating to the listing of the Company’s equity or equity-linked securities on an Exchange; (d) all fees, expenses and disbursements relating to the registration or qualification of the Securities under the “blue sky” securities laws of such states and other jurisdictions as Chaince may reasonably designate (including, without limitation, all filing and registration fees, and the reasonable fees and disbursements of the Company’s “blue sky” counsel, which will be Chaince’s counsel) unless such filings are not required in connection with the Company’s proposed Exchange listing; (e) any fees for counsel to lead investors in the Placement; (f) all fees, expenses and disbursements relating to the registration, qualification or exemption of the Securities under the securities laws of such foreign jurisdictions as Chaince may reasonably designate; (g) the costs of all mailing and printing of the Placement documents; (h) transfer and/or stamp taxes, if any, payable upon the transfer of Securities from the Company to Chaince; (i) the fees and expenses of the Company’s accountants; and (j) reasonable legal fees and disbursements for Chaince’s counsel. In addition, Chaince will receive a Financial Advisory and Marketing Fee of $25,000.</w:t>
      </w:r>
    </w:p>
    <w:p>
      <w:pPr>
        <w:spacing w:after="0" w:line="18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3" w:lineRule="auto"/>
        <w:tabs>
          <w:tab w:leader="none" w:pos="828"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Tail Financing</w:t>
      </w:r>
      <w:r>
        <w:rPr>
          <w:rFonts w:ascii="Times New Roman" w:cs="Times New Roman" w:eastAsia="Times New Roman" w:hAnsi="Times New Roman"/>
          <w:sz w:val="18"/>
          <w:szCs w:val="18"/>
          <w:color w:val="auto"/>
        </w:rPr>
        <w:t>. Chaince shall be entitled to compensation for the Placement Commission and the Marketing Fee under clause 4, calculated in the manner set forth therein, with respect to any public or private offering or other financing or capital-raising transaction of any kind (“Tail Financing”) to the extent that any capital or funds in such Tail Financing is provided to the Company directly or indirectly by investors whom Chaince had contacted and with whom the Company had no prior relationship or familiarity during the Engagement Period or introduced to the Company during the Engagement Period (collectively, the “Chaince Investors”), if such Tail Financing is consummated at any time within the 12-month period following the expiration or termination of this Placement Agent Agreement, whichever is earlier. Chaince shall provide the Company with the list of the Chaince Investors within ten</w:t>
      </w:r>
    </w:p>
    <w:p>
      <w:pPr>
        <w:spacing w:after="0" w:line="5" w:lineRule="exact"/>
        <w:rPr>
          <w:rFonts w:ascii="Times New Roman" w:cs="Times New Roman" w:eastAsia="Times New Roman" w:hAnsi="Times New Roman"/>
          <w:sz w:val="18"/>
          <w:szCs w:val="18"/>
          <w:color w:val="auto"/>
        </w:rPr>
      </w:pPr>
    </w:p>
    <w:p>
      <w:pPr>
        <w:ind w:firstLine="8"/>
        <w:spacing w:after="0" w:line="260" w:lineRule="auto"/>
        <w:tabs>
          <w:tab w:leader="none" w:pos="37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the expiration or termination of this Placement Agent Agreement, and any investors not so identified in writing to the Company within such period shall not be deemed Chaince Investors for purposes of this agreement.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ind w:left="840" w:hanging="184"/>
        <w:spacing w:after="0"/>
        <w:tabs>
          <w:tab w:leader="none" w:pos="8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82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Closing Deliverables</w:t>
      </w:r>
      <w:r>
        <w:rPr>
          <w:rFonts w:ascii="Times New Roman" w:cs="Times New Roman" w:eastAsia="Times New Roman" w:hAnsi="Times New Roman"/>
          <w:sz w:val="18"/>
          <w:szCs w:val="18"/>
          <w:color w:val="auto"/>
        </w:rPr>
        <w:t>. Each Purchaser shall deliver to the Escrow Agent, via wire transfer, immediately available funds equal to such Purchaser’s Subscription Amount as set forth in the Securities and Purchase Agreement, and the Company shall deliver to each Purchaser its respective Shares, as determined pursuant to the Securities and Purchase Agreement, and the Company and each Purchaser shall deliver the other items set forth in the Securities and Purchase Agreement deliverable at the Closing. Upon satisfaction of the covenants and conditions set forth in the Securities and Purchase Agreement, the Closing shall take place remotely by electronic means.</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85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the Obligations of the Placement Agent</w:t>
      </w:r>
      <w:r>
        <w:rPr>
          <w:rFonts w:ascii="Times New Roman" w:cs="Times New Roman" w:eastAsia="Times New Roman" w:hAnsi="Times New Roman"/>
          <w:sz w:val="18"/>
          <w:szCs w:val="18"/>
          <w:color w:val="auto"/>
        </w:rPr>
        <w:t>. The obligations of the Placement Agent to close hereunder shall be subject to the accuracy of the representations and warranties on the part of the Company set forth in the Securities Purchase Agreement (on which the Company authorizes the Placement Agent to rely), in each case as of the date hereof and as of the Closing Date as though then made, to the timely performance by each of the Company of its covenants and other obligations hereunder on and as of such dates, and to each of the following additional conditions: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9.1. [Reserved.]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9.2. Closing Deliverables. The Company shall have delivered all closing deliverables to the Placement Agent as set forth in Section 8.1 as of the time required and in form reasonably satisfactory to the Placement Agent.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9.2.1. No Material Changes. Prior to and on the Closing Date: (i) there shall have been no Material Adverse Effect or development involving a prospective Material Adverse Effect in the condition or prospects or the business activities, financial or otherwise, of the Company from the latest dates as of which such condition is set forth in the Registration Statement, the Disclosure Package and the Prospectus; (ii) no action, suit or proceeding, at law or in equity, to the knowledge of the Company, shall have been pending or threatened against the Company or any affiliates of the Company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and the Prospectus; (iii) no stop order shall have been issued under the Securities Act and no proceedings therefor shall have been initiated or threatened by the Commission; and (iv) the Registration Statement and the Prospectus and any amendments or supplements thereto shall contain all material statements which are required to be stated therein in accordance with the Securities Act and the Securities Act Regulations and shall conform in all material respects to the requirements of the Securities Act and the Securities Act Regulations, and neither the Registration Statement nor the Prospectus nor any amendment or supplement thereto shall contain any untrue statement of a material fact or omit to state any material fact required to be stated therein or necessary to make the statements therein, in light of the circumstances under which they were made, not misleading.</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9.2.2. Additional Documents. At the Closing Date, Placement Agent’s counsel shall have been furnished with such documents and opinions as they may require in order to evidence the accuracy of any of the representations or warranties, or the fulfillment of any of the conditions, herein contained; and all proceedings taken by the Company in connection with the issuance and sale of the Securities as herein contemplated shall be satisfactory in form and substance to the Placement Agent and Placement Agent’s counsel.</w:t>
      </w:r>
    </w:p>
    <w:p>
      <w:pPr>
        <w:spacing w:after="0" w:line="180" w:lineRule="exact"/>
        <w:rPr>
          <w:sz w:val="20"/>
          <w:szCs w:val="20"/>
          <w:color w:val="auto"/>
        </w:rPr>
      </w:pPr>
    </w:p>
    <w:p>
      <w:pPr>
        <w:jc w:val="both"/>
        <w:ind w:firstLine="656"/>
        <w:spacing w:after="0" w:line="266" w:lineRule="auto"/>
        <w:tabs>
          <w:tab w:leader="none" w:pos="91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 By entering into this Placement Agent Agreement, the parties agree that that certain letter of engagement, dated September 4, 2025, entered into between the same parties hereof, shall automatically terminate and cease to have any effect whatsoever and shall be superseded in its entirety by this Placement Agent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jc w:val="both"/>
        <w:ind w:firstLine="656"/>
        <w:spacing w:after="0" w:line="253" w:lineRule="auto"/>
        <w:tabs>
          <w:tab w:leader="none" w:pos="92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Notwithstanding anything to the contrary contained herein, the Company agrees that the provisions relating to the payment of fees, reimbursement of expenses, indemnification and contribution, confidentiality, conflicts, independent contractor and waiver of the right to trial by jury will survive any termination or expiration of this Placement Agent Agreement. Notwithstanding anything to the contrary contained herein, the Company has the right to terminate the Placement Agent Agreement for Cause in compliance with FINRA Rule 5110(g)(5)(B)(i). “Cause”, for the purpose of this Placement Agent Agreement, shall mean, willful misconduct, general incompetence, gross negligence or a material breach of this Placement Agent Agreement by the Placement Agent as reasonably determined by the Company. The exercise of such right of termination for Cause eliminates the Company’s obligations with respect to the provisions relating to the Tail Financing and Right of First Refusal. Notwithstanding anything to the contrary contained in this Placement Agent Agreement, in the event that no Placement is completed for any reason whatsoever during the Engagement Period, the Company shall be obligated to pay to Chaince its actual and accountable out-of-pocket expenses related to the Placement (including the fees and disbursements of Placement Agent’s legal counsel) and if applicable, for electronic road show services used in connection with the Placement.</w:t>
      </w:r>
    </w:p>
    <w:p>
      <w:pPr>
        <w:spacing w:after="0" w:line="194"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The Company agrees that it will not issue press releases or engage in any other publicity, without Chaince’s prior written consent, commencing on the date hereof and continuing until the final Closing of the Placement.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91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During the Engagement Period or until the Closing, the Company agrees to cooperate with Chaince and to furnish, or cause to be furnished, to Chaince, any and all information and data concerning the Company, and the Placement that Chaince deems appropriate (the “Information”). The Company will provide Chaince reasonable access during normal business hours from and after the date of execution of this Placement Agent Agreement until the Closing to all of the Company’s assets, properties, books, contracts, commitments and records and to the Company’s officers, directors, employees, appraisers, independent accountants, legal counsel and other consultants and advisors. Except as contemplated by the terms hereof or as required by applicable law, Chaince will keep strictly confidential all non-public Information concerning the Company provided to Chaince. Except as required by applicable law, no obligation of confidentiality will apply to Information that: (a) is in the public domain as of the date hereof or hereafter enters the public domain without a breach by Chaince, (b) was known or became known by Chaince prior to the Company’s disclosure thereof to Chaince as demonstrated by the existence of its written records, (c) becomes known to Chaince from a source other than the Company which information is not provided by the breach of an obligation of confidentiality owed to the Company, (d) is disclosed by the Company to a third party without restrictions on its disclosure or (e) is independently developed by Chaince as demonstrated by its written records. For the avoidance of doubt, except as otherwise provided herein, all information which is not publicly available relating to the Company’s proprietary technology is proprietary and confidential.</w:t>
      </w:r>
    </w:p>
    <w:p>
      <w:pPr>
        <w:spacing w:after="0" w:line="189" w:lineRule="exact"/>
        <w:rPr>
          <w:rFonts w:ascii="Times New Roman" w:cs="Times New Roman" w:eastAsia="Times New Roman" w:hAnsi="Times New Roman"/>
          <w:sz w:val="18"/>
          <w:szCs w:val="18"/>
          <w:color w:val="auto"/>
        </w:rPr>
      </w:pPr>
    </w:p>
    <w:p>
      <w:pPr>
        <w:jc w:val="both"/>
        <w:ind w:firstLine="656"/>
        <w:spacing w:after="0" w:line="253" w:lineRule="auto"/>
        <w:tabs>
          <w:tab w:leader="none" w:pos="93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 No Fiduciary Obligations</w:t>
      </w:r>
      <w:r>
        <w:rPr>
          <w:rFonts w:ascii="Times New Roman" w:cs="Times New Roman" w:eastAsia="Times New Roman" w:hAnsi="Times New Roman"/>
          <w:sz w:val="18"/>
          <w:szCs w:val="18"/>
          <w:color w:val="auto"/>
        </w:rPr>
        <w:t>. This Placement Agent Agreement does not create, and shall not be construed as creating, rights enforceable by any person or entity not a party hereto, except those entitled hereto by virtue of the indemnification provisions hereof. The Company acknowledges and agrees that: (i) Chaince is not and shall not be construed as a fiduciary of the Company and shall have no duties or liabilities to the equity holders or the creditors of the Company or any other person or entity by virtue of this Placement Agent Agreement or the retention of Chaince hereunder, all of which are hereby expressly waived; and (ii) Chaince is a full service securities firm engaged in a wide range of businesses and from time to time, in the ordinary course of its business, Chaince or its affiliates may hold long or short positions and trade or otherwise effect transactions for its own account or the account of its customers in debt or equity securities or loans of the companies which may be the subject of the transactions contemplated by this Placement Agent Agreement. During the course of Chaince’s engagement with the Company, Chaince may have in its possession material, non-public information regarding other companies that could potentially be relevant to the Company or the transactions contemplated herein but which cannot be shared due to an obligation of confidence to such other companies.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ind w:left="920" w:hanging="264"/>
        <w:spacing w:after="0"/>
        <w:tabs>
          <w:tab w:leader="none" w:pos="9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Advancement &amp;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15.1. Indemnification. The Company agrees to indemnify and hold harmless Chaince, its affiliates and each person controlling Chaince (within the meaning of Section 15 of the Securities Act), and the directors, officers, agents and employees of Chaince, its affiliates and each such controlling person (Chaince, and each such entity or person hereafter is referred to as an “Indemnified Person”) from and against any losses, claims, damages, judgments, assessments, costs and other liabilities (collectively, the “Liabilities”), and shall reimburse each Indemnified Person for all fees and expenses (including the reasonable fees and expenses of counsel for the Indemnified Persons) (collectively, the “Expenses”) and agrees to advance payment of such Expenses as they are incurred by an Indemnified Person in investigating, preparing, pursuing or defending any actions, whether or not any Indemnified Person is a party thereto, arising out of or based upon (i) any untrue statement or alleged untrue statement of a material fact contained in (A) the Registration Statement, Prospectus or any other offering documents (as from time to time each may be amended and supplemented), (B) any materials or information provided to investors by, or with the approval of, the Company in connection with the marketing of the Placement, including any “road show” or investor presentations made to investors by the Company (whether in person or electronically), or (C) any application or other document or written communication (collectively called “application”) executed by the Company or based upon written information furnished by the Company in any jurisdiction in order to qualify the Securities under the securities laws thereof or to file for an exemption from such requirement or filed with the Commission, any state securities commission or agency, any national securities exchange; or (ii)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information provided to the Company by Chaince in writing specifically for use in the Registration Statement, Prospectus or any other offering documents with respect which or resulting from conduct by Chaince or another Indemnified Party, as to which Chaince shall indemnify and hold harmless the Company, its officers, directors and controlling parties in the manner set forth in this Section 15. The Company also agrees to reimburse and advance each Indemnified Person for all Expenses as they are incurred in connection with such Indemnified Person’s enforcement of his or its rights under this Section 15.</w:t>
      </w:r>
    </w:p>
    <w:p>
      <w:pPr>
        <w:spacing w:after="0" w:line="19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15.2. Procedure. Upon receipt by an Indemnified Person of actual notice of an action against such Indemnified Person with respect to which indemnity may reasonably be expected to be sought under this Section 15, such Indemnified Person shall promptly notify the Company in writing; provided that failure by any Indemnified Person so to notify the Company shall not relieve the Company from any obligation or liability which the Company may have on account of this Section 15 or otherwise to such Indemnified Person. The Company shall, if requested by Chaince, assume the defense of any such action (including the employment of counsel designated by Chaince and reasonably satisfactory to the Company). Any Indemnified Person shall have the right to employ separate counsel in any such action and participate in the defense thereof, but the fees and expenses of such counsel shall be at the expense of such Indemnified Person unless: (i) the Company has failed promptly to assume the defense and employ separate counsel reasonably acceptable to Chaince for the benefit of Chaince and the other Indemnified Persons or (ii) such Indemnified Person shall have been advised that in the opinion of counsel that there is an actual or potential conflict of interest that prevents (or makes it imprudent for) the counsel designated by and engaged by the Company for the purpose of representing the Indemnified Person, to represent both such Indemnified Person and any other person represented or proposed to be represented by such counsel, in which event the Company shall pay the reasonable fees and expenses of one counsel, plus local counsel, for all Indemnified Parties, which counsel shall, if Chaince is a defendant, be designated by Chaince. The Company shall not be liable for any settlement of any action effected without its written consent (which shall not be unreasonably withheld). In addition, the Company shall not, without the prior written consent of Chaince, settle, compromise or consent to the entry of any judgment in or otherwise seek to terminate any pending or threatened action in respect of which advancement, reimbursement, indemnification or contribution may be sought hereunder (whether or not such Indemnified Person is a party thereto) unless such settlement, compromise, consent or termination (i) includes an unconditional release of each Indemnified Person, acceptable to such Indemnified Party, from all Liabilities arising out of such action for which indemnification or contribution may be sought hereunder and (ii) does not include a statement as to or an admission of fault, culpability or a failure to act, by or on behalf of any Indemnified Person. The advancement, reimbursement, indemnification and contribution obligations of the Company required hereby shall be made by periodic payments of the amount thereof during the course of the investigation or defense, as every Liability and Expense is incurred and is due and payable, and in such amounts as fully satisfy each and every Liability and Expense as it is incurred (and in no event later than 30 Calendar Days following the date of any invoice therefore).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15.3. Contribution. In the event that a court of competent jurisdiction makes a finding, final beyond right of review, that indemnity is unavailable to an Indemnified Person, the Company shall contribute to the Liabilities and Expenses paid or payable by such Indemnified Person in such proportion as is appropriate to reflect (i) the relative benefits to the Company, on the one hand, and to Chaince and any other Indemnified Person, on the other hand, of the matters contemplated by this Section 15 or (ii) if the allocation provided by the immediately preceding clause is not permitted by applicable law, not only such relative benefits but also the relative fault of the Company, on the one hand, and Chaince and any other Indemnified Person, on the other hand, in connection with the matters as to which such Liabilities or Expenses relate, as well as any other relevant equitable considerations; provided that in no event shall the Company contribute less than the amount necessary to ensure that all Indemnified Persons, in the aggregate, are not liable for any Liabilities and Expenses in excess of the amount of commissions and non-accountable expense allowance actually received by Chaince in the Placement. The relative fault shall be determined by reference to, among other things, whether the untrue or alleged untrue statement of a material fact or the omission or alleged omission to state a material fact relates to information supplied by the Company on the one hand or Chaince on the other and the parties’ relative intent, knowledge, access to information and opportunity to correct or prevent such statement or omission. The Company and Chaince agree that it would not be just and equitable if contributions pursuant to this subsection 15.3 were determined by pro rata allocation or by any other method of allocation which does not take account of the equitable considerations referred to above in this subsection 15.3. For purposes of this paragraph, the relative benefits to the Company, on the one hand, and to Chaince on the other hand, of the matters contemplated by this Section 15 shall be deemed to be in the same proportion as: (a) the total value received by the Company in the Placement, whether or not such Placement is consummated, bears to (b) the commissions paid to Chaince under the Placement Agent Agreement. Notwithstanding the above, no person guilty of fraudulent misrepresentation within the meaning of Section 11(f) of the Securities Act shall be entitled to contribution from a party who was not guilty of fraudulent misrepresentation.</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15.4. Limitation. The Company also agrees that no Indemnified Person shall have any liability (whether direct or indirect, in contract or tort or otherwise) to the Company for or in connection with advice or services rendered or to be rendered by any Indemnified Person pursuant to this Placement Agent Agreement, the transactions contemplated thereby or any Indemnified Person’s actions or inactions in connection with any such advice, services or transactions, except to the extent that a court of competent jurisdiction has made a finding that Liabilities (and related Expenses) of the Company have resulted exclusively from such Indemnified Person’s gross negligence or willful misconduct in connection with any such advice, actions, inactions or services.</w:t>
      </w:r>
    </w:p>
    <w:p>
      <w:pPr>
        <w:spacing w:after="0" w:line="187" w:lineRule="exact"/>
        <w:rPr>
          <w:sz w:val="20"/>
          <w:szCs w:val="20"/>
          <w:color w:val="auto"/>
        </w:rPr>
      </w:pPr>
    </w:p>
    <w:p>
      <w:pPr>
        <w:jc w:val="both"/>
        <w:ind w:firstLine="656"/>
        <w:spacing w:after="0" w:line="252" w:lineRule="auto"/>
        <w:tabs>
          <w:tab w:leader="none" w:pos="91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Placement Agent Agreement will be deemed to have been made and delivered in the State of New York, USA, and both the binding provisions of this Placement Agent Agreement and the transactions contemplated hereby will be governed as to validity, interpretation, construction, effect and in all other respects by the internal laws of the State of New York, without regard to the conflict of laws principles thereof. Each of Chaince and the Company: (i) agrees that any legal suit, action or proceeding arising out of or relating to this Placement Agent Agreement and/or the transactions contemplated hereby will be instituted exclusively in the courts located in the Borough of Manhattan, City of New York, County of New York, State of New York (ii) waives any objection which it may have or hereafter to the venue of any such suit, action or proceeding, and (iii) irrevocably consents to the jurisdiction of the courts located in the City of New York, County of New York and State of New York, in any such suit, action or proceeding. Each of Chaince and the Company further agrees to accept and acknowledge service of any and all process which may be served in any such suit, action or proceeding in such courts and agrees that service of process upon the Company mailed by certified mail to the Company’s address will be deemed in every respect effective service of process upon the Company, in any such suit, action or proceeding, and service of process upon Chaince mailed by certified mail to Chaince’s address will be deemed in every respect effective service process upon Chaince, in any such suit, action or proceeding. Notwithstanding any provision of this Placement Agent Agreement to the contrary, the Company agrees that neither Chaince nor its affiliates, and the respective officers, directors, employees, agents and representatives of Chaince, its affiliates and each other person, if any, controlling Chaince or any of its affiliates, will have any liability (whether direct or indirect, in contract or tort or otherwise) to the Company for or in connection with the engagement and transaction described herein except for any such liability for losses, claims, damages or liabilities incurred by the Company that are finally judicially determined to have resulted from the bad faith or gross negligence of such individuals or entities. Chaince will act under this Placement Agent Agreement as an independent contractor with duties to the Company.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jc w:val="both"/>
        <w:ind w:firstLine="656"/>
        <w:spacing w:after="0" w:line="253" w:lineRule="auto"/>
        <w:tabs>
          <w:tab w:leader="none" w:pos="93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Company represents and warrants that it has all required power and authority to enter into and carry out the terms and provisions of this Placement Agent Agreement and the execution, delivery and performance of this Placement Agent Agreement does not breach or conflict with any agreement, document or instrument to which it is a party or bound. The binding provisions of this Placement Agent Agreement are legally binding upon and inure to the benefit of both the Company and Chaince and their respective assigns, successors, and legal representatives. If any provision of this Placement Agent Agreement is determined to be invalid or unenforceable in any respect, such determination will not affect such provision in any other respect, and the remainder of the Placement Agent Agreement shall remain in full force and effect. This Placement Agent Agreement may be executed in counterparts (including electronic counterparts), each of which shall be deemed an original but all of which together shall constitute one and the same instrument. The undersigned hereby consents to receipt of this Placement Agent Agreement in electronic form and understands and agrees that this Placement Agent Agreement may be signed electronically. Signatures to this Placement Agent Agreement transmitted in electronic form will have the same effect as physical delivery of a paper document bearing the original signature, and if any signature is delivered electronically evidencing an intent to sign this Placement Agent Agreement, such electronic mail or other electronic transmission shall create a valid and binding obligation of the undersigned with the same force and effect as if such signature were an original. Execution and delivery of this Placement Agent Agreement by electronic mail or other electronic transmission is legal, valid and binding for all purposes.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are in agreement with the foregoing, please sign and return to us one copy of this Placement Agent Agreement. This Placement Agent Agreement may be executed in counterparts (including facsimile or .pdf counterparts), each of which shall be deemed an original but all of which together shall constitute one and the same instrument.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accurately sets forth our understanding and agreement with respect to the matters set forth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Chaince Securities, LLC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Wilfred Daye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3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Wilfred Daye</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Soon Huat Lim</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Soon Huat Lim</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of PIPE Offering Placement Agent Agreement]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jc w:val="both"/>
        <w:ind w:left="8" w:firstLine="648"/>
        <w:spacing w:after="0" w:line="268"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made and entered into as of September 8, 2025, between Trident Digital Tech Holdings Ltd, a Cayman Islands exempted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each of the several purchasers signatory hereto (each such purchaser, a “</w:t>
      </w:r>
      <w:r>
        <w:rPr>
          <w:rFonts w:ascii="Times New Roman" w:cs="Times New Roman" w:eastAsia="Times New Roman" w:hAnsi="Times New Roman"/>
          <w:sz w:val="18"/>
          <w:szCs w:val="18"/>
          <w:b w:val="1"/>
          <w:bCs w:val="1"/>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u w:val="single" w:color="auto"/>
          <w:color w:val="auto"/>
        </w:rPr>
        <w:t>Purchasers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left="8" w:firstLine="607"/>
        <w:spacing w:after="0" w:line="282" w:lineRule="auto"/>
        <w:rPr>
          <w:sz w:val="20"/>
          <w:szCs w:val="20"/>
          <w:color w:val="auto"/>
        </w:rPr>
      </w:pPr>
      <w:r>
        <w:rPr>
          <w:rFonts w:ascii="Times New Roman" w:cs="Times New Roman" w:eastAsia="Times New Roman" w:hAnsi="Times New Roman"/>
          <w:sz w:val="18"/>
          <w:szCs w:val="18"/>
          <w:color w:val="auto"/>
        </w:rPr>
        <w:t>This Agreement is made pursuant to the Securities Purchase Agreement, dated as of the date hereof, between the Company and each Purchaser (the “</w:t>
      </w:r>
      <w:r>
        <w:rPr>
          <w:rFonts w:ascii="Times New Roman" w:cs="Times New Roman" w:eastAsia="Times New Roman" w:hAnsi="Times New Roman"/>
          <w:sz w:val="18"/>
          <w:szCs w:val="18"/>
          <w:b w:val="1"/>
          <w:bCs w:val="1"/>
          <w:u w:val="single" w:color="auto"/>
          <w:color w:val="auto"/>
        </w:rPr>
        <w:t>Purchase Agreemsent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08"/>
        <w:spacing w:after="0"/>
        <w:rPr>
          <w:sz w:val="20"/>
          <w:szCs w:val="20"/>
          <w:color w:val="auto"/>
        </w:rPr>
      </w:pPr>
      <w:r>
        <w:rPr>
          <w:rFonts w:ascii="Times New Roman" w:cs="Times New Roman" w:eastAsia="Times New Roman" w:hAnsi="Times New Roman"/>
          <w:sz w:val="18"/>
          <w:szCs w:val="18"/>
          <w:color w:val="auto"/>
        </w:rPr>
        <w:t>The Company and each Purchaser hereby agrees as follows:</w:t>
      </w:r>
    </w:p>
    <w:p>
      <w:pPr>
        <w:spacing w:after="0" w:line="221" w:lineRule="exact"/>
        <w:rPr>
          <w:sz w:val="20"/>
          <w:szCs w:val="20"/>
          <w:color w:val="auto"/>
        </w:rPr>
      </w:pPr>
    </w:p>
    <w:p>
      <w:pPr>
        <w:ind w:left="648" w:hanging="648"/>
        <w:spacing w:after="0" w:line="286" w:lineRule="auto"/>
        <w:tabs>
          <w:tab w:leader="none" w:pos="648"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Capitalized terms used and not otherwise defined herein that are defined in the Purchase Agreement shall have the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such terms in the Purchase Agreement. As used in this Agreement, the following terms shall have the following meanings:</w:t>
      </w:r>
    </w:p>
    <w:p>
      <w:pPr>
        <w:spacing w:after="0" w:line="154" w:lineRule="exact"/>
        <w:rPr>
          <w:rFonts w:ascii="Times New Roman" w:cs="Times New Roman" w:eastAsia="Times New Roman" w:hAnsi="Times New Roman"/>
          <w:sz w:val="18"/>
          <w:szCs w:val="18"/>
          <w:b w:val="1"/>
          <w:bCs w:val="1"/>
          <w:color w:val="auto"/>
        </w:rPr>
      </w:pPr>
    </w:p>
    <w:p>
      <w:pPr>
        <w:ind w:left="64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Advice</w:t>
      </w:r>
      <w:r>
        <w:rPr>
          <w:rFonts w:ascii="Times New Roman" w:cs="Times New Roman" w:eastAsia="Times New Roman" w:hAnsi="Times New Roman"/>
          <w:sz w:val="18"/>
          <w:szCs w:val="18"/>
          <w:color w:val="auto"/>
        </w:rPr>
        <w:t>” shall have the meaning set forth in Section 6.3.</w:t>
      </w:r>
    </w:p>
    <w:p>
      <w:pPr>
        <w:spacing w:after="0" w:line="225" w:lineRule="exact"/>
        <w:rPr>
          <w:rFonts w:ascii="Times New Roman" w:cs="Times New Roman" w:eastAsia="Times New Roman" w:hAnsi="Times New Roman"/>
          <w:sz w:val="18"/>
          <w:szCs w:val="18"/>
          <w:b w:val="1"/>
          <w:bCs w:val="1"/>
          <w:color w:val="auto"/>
        </w:rPr>
      </w:pPr>
    </w:p>
    <w:p>
      <w:pPr>
        <w:ind w:left="64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Class B Ordinary Share</w:t>
      </w:r>
      <w:r>
        <w:rPr>
          <w:rFonts w:ascii="Times New Roman" w:cs="Times New Roman" w:eastAsia="Times New Roman" w:hAnsi="Times New Roman"/>
          <w:sz w:val="18"/>
          <w:szCs w:val="18"/>
          <w:color w:val="auto"/>
        </w:rPr>
        <w:t>” shall mean the Class B ordinary shares, par value $0.00001 per share, of the Company.</w:t>
      </w:r>
    </w:p>
    <w:p>
      <w:pPr>
        <w:spacing w:after="0" w:line="225" w:lineRule="exact"/>
        <w:rPr>
          <w:sz w:val="20"/>
          <w:szCs w:val="20"/>
          <w:color w:val="auto"/>
        </w:rPr>
      </w:pPr>
    </w:p>
    <w:p>
      <w:pPr>
        <w:jc w:val="both"/>
        <w:ind w:left="8"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Effectiveness Date</w:t>
      </w:r>
      <w:r>
        <w:rPr>
          <w:rFonts w:ascii="Times New Roman" w:cs="Times New Roman" w:eastAsia="Times New Roman" w:hAnsi="Times New Roman"/>
          <w:sz w:val="18"/>
          <w:szCs w:val="18"/>
          <w:color w:val="auto"/>
        </w:rPr>
        <w:t xml:space="preserve">” means, with respect to the Resale Registration Statement required to be filed hereunder, and with respect to any additional Registration Statements which may be required pursuant to Section 2.3 or Section 3.3, the date on which such Registration Statement is first declared effective by the Commission;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Company is notified by the Commission that one or more of the above Registration Statements will not be reviewed or is no longer subject to further review and comments, the Company shall request for acceleration of a Registration Statement in accordance with Rule 461 promulgated by the Commission pursuant to the Securities Act, within five (5) Trading Days of the date that the Company is notified (orally or in writing, whichever is earlier) by the Commission that such Registration Statement will not be “reviewed” or will not be subject to further review, to request for an Effectiveness Date as to such Registration Statement to be the second (2nd) Trading Day following the date on which the Company files such acceleration request, provided, further, if such Effectiveness Date falls on a day that is not a Trading Day, then the Effectiveness Date shall be the next succeeding Trading Day.</w:t>
      </w:r>
    </w:p>
    <w:p>
      <w:pPr>
        <w:spacing w:after="0" w:line="188"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Effectiveness Period</w:t>
      </w:r>
      <w:r>
        <w:rPr>
          <w:rFonts w:ascii="Times New Roman" w:cs="Times New Roman" w:eastAsia="Times New Roman" w:hAnsi="Times New Roman"/>
          <w:sz w:val="18"/>
          <w:szCs w:val="18"/>
          <w:color w:val="auto"/>
        </w:rPr>
        <w:t>” shall have the meaning set forth in Section 2.1.</w:t>
      </w:r>
    </w:p>
    <w:p>
      <w:pPr>
        <w:spacing w:after="0" w:line="225"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Event</w:t>
      </w:r>
      <w:r>
        <w:rPr>
          <w:rFonts w:ascii="Times New Roman" w:cs="Times New Roman" w:eastAsia="Times New Roman" w:hAnsi="Times New Roman"/>
          <w:sz w:val="18"/>
          <w:szCs w:val="18"/>
          <w:color w:val="auto"/>
        </w:rPr>
        <w:t>” shall have the meaning set forth in Section 2.4.</w:t>
      </w:r>
    </w:p>
    <w:p>
      <w:pPr>
        <w:spacing w:after="0" w:line="225"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Event Date</w:t>
      </w:r>
      <w:r>
        <w:rPr>
          <w:rFonts w:ascii="Times New Roman" w:cs="Times New Roman" w:eastAsia="Times New Roman" w:hAnsi="Times New Roman"/>
          <w:sz w:val="18"/>
          <w:szCs w:val="18"/>
          <w:color w:val="auto"/>
        </w:rPr>
        <w:t>” shall have the meaning set forth in Section 2.4.</w:t>
      </w:r>
    </w:p>
    <w:p>
      <w:pPr>
        <w:spacing w:after="0" w:line="225" w:lineRule="exact"/>
        <w:rPr>
          <w:sz w:val="20"/>
          <w:szCs w:val="20"/>
          <w:color w:val="auto"/>
        </w:rPr>
      </w:pPr>
    </w:p>
    <w:p>
      <w:pPr>
        <w:jc w:val="both"/>
        <w:ind w:left="8"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Filing Date</w:t>
      </w:r>
      <w:r>
        <w:rPr>
          <w:rFonts w:ascii="Times New Roman" w:cs="Times New Roman" w:eastAsia="Times New Roman" w:hAnsi="Times New Roman"/>
          <w:sz w:val="18"/>
          <w:szCs w:val="18"/>
          <w:color w:val="auto"/>
        </w:rPr>
        <w:t>” means, with respect to the Resale Registration Statement required hereunder sixty (60) Calendar Days following the Closing Date and, with respect to any additional Registration Statements which may be required pursuant to Section 2.3 or Section 3.3, the earliest practical date on which the Company is permitted by SEC Guidance to file such additional Registration Statement related to the Registrable Securities.</w:t>
      </w:r>
    </w:p>
    <w:p>
      <w:pPr>
        <w:spacing w:after="0" w:line="171"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Holders</w:t>
      </w:r>
      <w:r>
        <w:rPr>
          <w:rFonts w:ascii="Times New Roman" w:cs="Times New Roman" w:eastAsia="Times New Roman" w:hAnsi="Times New Roman"/>
          <w:sz w:val="18"/>
          <w:szCs w:val="18"/>
          <w:color w:val="auto"/>
        </w:rPr>
        <w:t>” means the holder or holders, as the case may be, from time to time of Registrable Securities.</w:t>
      </w:r>
    </w:p>
    <w:p>
      <w:pPr>
        <w:spacing w:after="0" w:line="225"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Indemnified Party</w:t>
      </w:r>
      <w:r>
        <w:rPr>
          <w:rFonts w:ascii="Times New Roman" w:cs="Times New Roman" w:eastAsia="Times New Roman" w:hAnsi="Times New Roman"/>
          <w:sz w:val="18"/>
          <w:szCs w:val="18"/>
          <w:color w:val="auto"/>
        </w:rPr>
        <w:t>” shall have the meaning set forth in Section 5.3.</w:t>
      </w:r>
    </w:p>
    <w:p>
      <w:pPr>
        <w:spacing w:after="0" w:line="225"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shall have the meaning set forth in Section 5.3.</w:t>
      </w:r>
    </w:p>
    <w:p>
      <w:pPr>
        <w:spacing w:after="0" w:line="225"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Resale Registration Statement</w:t>
      </w:r>
      <w:r>
        <w:rPr>
          <w:rFonts w:ascii="Times New Roman" w:cs="Times New Roman" w:eastAsia="Times New Roman" w:hAnsi="Times New Roman"/>
          <w:sz w:val="18"/>
          <w:szCs w:val="18"/>
          <w:color w:val="auto"/>
        </w:rPr>
        <w:t>” means the initial resale Registration Statement filed pursuant to this Agreement.</w:t>
      </w:r>
    </w:p>
    <w:p>
      <w:pPr>
        <w:spacing w:after="0" w:line="225"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Losses</w:t>
      </w:r>
      <w:r>
        <w:rPr>
          <w:rFonts w:ascii="Times New Roman" w:cs="Times New Roman" w:eastAsia="Times New Roman" w:hAnsi="Times New Roman"/>
          <w:sz w:val="18"/>
          <w:szCs w:val="18"/>
          <w:color w:val="auto"/>
        </w:rPr>
        <w:t>” shall have the meaning set forth in Section 5.1.</w:t>
      </w:r>
    </w:p>
    <w:p>
      <w:pPr>
        <w:spacing w:after="0" w:line="225"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Plan of Distribution</w:t>
      </w:r>
      <w:r>
        <w:rPr>
          <w:rFonts w:ascii="Times New Roman" w:cs="Times New Roman" w:eastAsia="Times New Roman" w:hAnsi="Times New Roman"/>
          <w:sz w:val="18"/>
          <w:szCs w:val="18"/>
          <w:color w:val="auto"/>
        </w:rPr>
        <w:t>” shall have the meaning set forth in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294005</wp:posOffset>
            </wp:positionV>
            <wp:extent cx="7132320" cy="171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17" w:right="339" w:bottom="1440" w:gutter="0" w:footer="0" w:header="0"/>
        </w:sectPr>
      </w:pPr>
    </w:p>
    <w:bookmarkStart w:id="167" w:name="page168"/>
    <w:bookmarkEnd w:id="167"/>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Registrable Securities</w:t>
      </w:r>
      <w:r>
        <w:rPr>
          <w:rFonts w:ascii="Times New Roman" w:cs="Times New Roman" w:eastAsia="Times New Roman" w:hAnsi="Times New Roman"/>
          <w:sz w:val="18"/>
          <w:szCs w:val="18"/>
          <w:color w:val="auto"/>
        </w:rPr>
        <w:t xml:space="preserve">” means, as of any date of determination, (a) all Class B Ordinary Shares issued under the Purchase Agreement represented by the American depositary shares held by the Purchasers, and (b) any securities issued or then issuable upon any share split, dividend or other distribution, recapitalization or similar event with respect to the foregoing;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and manner of sale restrictions and without the requirement for the Company to be in compliance with the current public information requirement under Rule 144 (if such requirement is applicable)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means any registration statement required to be filed hereunder pursuant to Section 2.1 and any additional registration statements contemplated by Section 2.3 or Section 3.3,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 For the sake of clarity, to satisfy the definition of Registration Statement in the Section 1.15, a Registration Statement must include information required to declare a Registration Statement effective pursuant to Section 2 and shall not include a Registration Statement that the Commission refuses to review due to material deficiencies in the Registration Statement.</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Rule 415</w:t>
      </w:r>
      <w:r>
        <w:rPr>
          <w:rFonts w:ascii="Times New Roman" w:cs="Times New Roman" w:eastAsia="Times New Roman" w:hAnsi="Times New Roman"/>
          <w:sz w:val="18"/>
          <w:szCs w:val="18"/>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Selling Shareholder Questionnaire</w:t>
      </w:r>
      <w:r>
        <w:rPr>
          <w:rFonts w:ascii="Times New Roman" w:cs="Times New Roman" w:eastAsia="Times New Roman" w:hAnsi="Times New Roman"/>
          <w:sz w:val="18"/>
          <w:szCs w:val="18"/>
          <w:color w:val="auto"/>
        </w:rPr>
        <w:t>” shall have the meaning set forth in Section 3.1.</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 Guidance</w:t>
      </w:r>
      <w:r>
        <w:rPr>
          <w:rFonts w:ascii="Times New Roman" w:cs="Times New Roman" w:eastAsia="Times New Roman" w:hAnsi="Times New Roman"/>
          <w:sz w:val="18"/>
          <w:szCs w:val="18"/>
          <w:color w:val="auto"/>
        </w:rPr>
        <w:t>” means (i) any publicly-available written or oral guidance of the Commission staff, or any comments, requirements or requests of the Commission staff and (ii) the Securities Act.</w:t>
      </w:r>
    </w:p>
    <w:p>
      <w:pPr>
        <w:spacing w:after="0" w:line="37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168" w:name="page169"/>
    <w:bookmarkEnd w:id="168"/>
    <w:p>
      <w:pPr>
        <w:ind w:left="648" w:hanging="648"/>
        <w:spacing w:after="0"/>
        <w:tabs>
          <w:tab w:leader="none" w:pos="648"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color w:val="auto"/>
        </w:rPr>
        <w:t>On or prior to each Filing Date, the Company shall prepare and file with the Commission a Registration Statement covering the resale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Registrable Securities that are not then registered on an effective Registration Statement for an offering to be made on a continuous basis pursuant to Rule 415. Each Registration Statement filed hereunder shall be on Form F-1 (or Form F-3 to the extent the Company is eligible to use such registration statement form, subject to the provisions of Section 2.5) and shall contain (unless otherwise directed by at least 50.1% in interest of the Holders) substantially the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Annex 2.1.1</w:t>
      </w:r>
      <w:r>
        <w:rPr>
          <w:rFonts w:ascii="Times New Roman" w:cs="Times New Roman" w:eastAsia="Times New Roman" w:hAnsi="Times New Roman"/>
          <w:sz w:val="18"/>
          <w:szCs w:val="18"/>
          <w:color w:val="auto"/>
        </w:rPr>
        <w:t xml:space="preserve"> and substantially the “</w:t>
      </w:r>
      <w:r>
        <w:rPr>
          <w:rFonts w:ascii="Times New Roman" w:cs="Times New Roman" w:eastAsia="Times New Roman" w:hAnsi="Times New Roman"/>
          <w:sz w:val="18"/>
          <w:szCs w:val="18"/>
          <w:u w:val="single" w:color="auto"/>
          <w:color w:val="auto"/>
        </w:rPr>
        <w:t>Selling Shareholders</w:t>
      </w:r>
      <w:r>
        <w:rPr>
          <w:rFonts w:ascii="Times New Roman" w:cs="Times New Roman" w:eastAsia="Times New Roman" w:hAnsi="Times New Roman"/>
          <w:sz w:val="18"/>
          <w:szCs w:val="18"/>
          <w:color w:val="auto"/>
        </w:rPr>
        <w:t xml:space="preserve">” section attached hereto as </w:t>
      </w:r>
      <w:r>
        <w:rPr>
          <w:rFonts w:ascii="Times New Roman" w:cs="Times New Roman" w:eastAsia="Times New Roman" w:hAnsi="Times New Roman"/>
          <w:sz w:val="18"/>
          <w:szCs w:val="18"/>
          <w:u w:val="single" w:color="auto"/>
          <w:color w:val="auto"/>
        </w:rPr>
        <w:t>Annex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Holder shall be required to be named as an “underwriter” without such Holder’s express prior written consent. Subject to the terms of this Agreement, the Company shall use its commercially reasonable efforts to cause a Registration Statement filed under this Agreement (including, without limitation, under Section 3.3) to be declared effective under the Securities Act as promptly as possible after the filing thereof, but in any event no later than the applicable Effectiveness Date, and shall use its commercially reasonable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(to the extent applicable), as determined by the counsel to the Company pursuant to a written opinion letter to such effect, addressed and acceptable to the Transfer Agent and the affected Holders (the “</w:t>
      </w:r>
      <w:r>
        <w:rPr>
          <w:rFonts w:ascii="Times New Roman" w:cs="Times New Roman" w:eastAsia="Times New Roman" w:hAnsi="Times New Roman"/>
          <w:sz w:val="18"/>
          <w:szCs w:val="18"/>
          <w:b w:val="1"/>
          <w:bCs w:val="1"/>
          <w:u w:val="single" w:color="auto"/>
          <w:color w:val="auto"/>
        </w:rPr>
        <w:t>Effectiveness Period</w:t>
      </w:r>
      <w:r>
        <w:rPr>
          <w:rFonts w:ascii="Times New Roman" w:cs="Times New Roman" w:eastAsia="Times New Roman" w:hAnsi="Times New Roman"/>
          <w:sz w:val="18"/>
          <w:szCs w:val="18"/>
          <w:color w:val="auto"/>
        </w:rPr>
        <w:t>”). The Company shall telephonically request effectiveness of a Registration Statement as of 5:00 p.m. (New York City time) on a Trading Day. The Company shall, by 9:30 a.m. (New York City time) on the Trading Day after the effective date of such Registration Statement, file a final Prospectus with the Commission as required by Rule 424. Failure to so notify the Holder within one (1) Trading Day of such notification of effectiveness or failure to file a final Prospectus as foresaid shall be deemed an Event under Section 2.4.</w:t>
      </w:r>
    </w:p>
    <w:p>
      <w:pPr>
        <w:spacing w:after="0" w:line="193" w:lineRule="exact"/>
        <w:rPr>
          <w:sz w:val="20"/>
          <w:szCs w:val="20"/>
          <w:color w:val="auto"/>
        </w:rPr>
      </w:pPr>
    </w:p>
    <w:p>
      <w:pPr>
        <w:jc w:val="both"/>
        <w:ind w:left="8"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color w:val="auto"/>
        </w:rPr>
        <w:t>Notwithstanding the registration obligations set forth in Section 2.1, if all of the Registrable Securities cannot, as a result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application of the SEC Guidance, be registered for resale as a secondary offering on a single registration statement, the Company agrees to promptly inform each of the Holders thereof and use its commercially reasonable efforts to file amendments to the Resale Registration Statement as required by the Commission, covering the maximum number of Registrable Securities permitted to be registered by the Commission, on Form F-1 or such other form available to register for resale the Registrable Securities as a secondary offering, subject to the provisions of Section 2.5; with respect to filing on Form F-1 or other appropriate form, and subject to the provisions of Section 2.4 with respect to the payment of liquidated damages;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w:t>
      </w:r>
    </w:p>
    <w:p>
      <w:pPr>
        <w:spacing w:after="0" w:line="188" w:lineRule="exact"/>
        <w:rPr>
          <w:sz w:val="20"/>
          <w:szCs w:val="20"/>
          <w:color w:val="auto"/>
        </w:rPr>
      </w:pPr>
    </w:p>
    <w:p>
      <w:pPr>
        <w:jc w:val="both"/>
        <w:ind w:left="8"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color w:val="auto"/>
        </w:rPr>
        <w:t>Notwithstanding any other provision of this Agreement and subject to the payment of liquidated damages pursuant to Section 2.4,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w:t>
      </w:r>
    </w:p>
    <w:p>
      <w:pPr>
        <w:spacing w:after="0" w:line="183" w:lineRule="exact"/>
        <w:rPr>
          <w:sz w:val="20"/>
          <w:szCs w:val="20"/>
          <w:color w:val="auto"/>
        </w:rPr>
      </w:pPr>
    </w:p>
    <w:p>
      <w:pPr>
        <w:ind w:left="1288"/>
        <w:spacing w:after="0"/>
        <w:tabs>
          <w:tab w:leader="none" w:pos="1868"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he Company shall reduce or eliminate any securities to be included other than Registrable Securities; and</w:t>
      </w:r>
    </w:p>
    <w:p>
      <w:pPr>
        <w:spacing w:after="0" w:line="225" w:lineRule="exact"/>
        <w:rPr>
          <w:sz w:val="20"/>
          <w:szCs w:val="20"/>
          <w:color w:val="auto"/>
        </w:rPr>
      </w:pPr>
    </w:p>
    <w:p>
      <w:pPr>
        <w:jc w:val="both"/>
        <w:ind w:left="648" w:firstLine="648"/>
        <w:spacing w:after="0" w:line="266" w:lineRule="auto"/>
        <w:rPr>
          <w:sz w:val="20"/>
          <w:szCs w:val="20"/>
          <w:color w:val="auto"/>
        </w:rPr>
      </w:pPr>
      <w:r>
        <w:rPr>
          <w:rFonts w:ascii="Times New Roman" w:cs="Times New Roman" w:eastAsia="Times New Roman" w:hAnsi="Times New Roman"/>
          <w:sz w:val="18"/>
          <w:szCs w:val="18"/>
          <w:color w:val="auto"/>
        </w:rPr>
        <w:t>2.3.2. The Company shall reduce Registrable Securities represented by Class B Ordinary Shares in the form of the American depositary shares (applied, in the case that some Class B Ordinary Shares may be registered, to the Holders on a pro rata basis based on the total number of unregistered Ordinary held by such Holders).</w:t>
      </w:r>
    </w:p>
    <w:p>
      <w:pPr>
        <w:spacing w:after="0" w:line="176" w:lineRule="exact"/>
        <w:rPr>
          <w:sz w:val="20"/>
          <w:szCs w:val="20"/>
          <w:color w:val="auto"/>
        </w:rPr>
      </w:pPr>
    </w:p>
    <w:p>
      <w:pPr>
        <w:jc w:val="both"/>
        <w:ind w:left="8" w:firstLine="607"/>
        <w:spacing w:after="0" w:line="258" w:lineRule="auto"/>
        <w:rPr>
          <w:sz w:val="20"/>
          <w:szCs w:val="20"/>
          <w:color w:val="auto"/>
        </w:rPr>
      </w:pPr>
      <w:r>
        <w:rPr>
          <w:rFonts w:ascii="Times New Roman" w:cs="Times New Roman" w:eastAsia="Times New Roman" w:hAnsi="Times New Roman"/>
          <w:sz w:val="18"/>
          <w:szCs w:val="18"/>
          <w:color w:val="auto"/>
        </w:rPr>
        <w:t>In the event of a cutback hereunder, the Company shall give the Holder at least five (5) Trading Days prior written notice along with the calculations as to such Holder’s allotment. In the event the Company amends the Resale Registration Statement in accordance with the foregoing, the Company will use its best efforts to file with the Commission, as promptly as allowed by Commission or SEC Guidance provided to the Company or to registrants of securities in general, one or more registration statements on Form F-1 or such other form available to register for resale those Registrable Securities that were not registered for resale on the Resale Registration Statement, as amended.</w:t>
      </w:r>
    </w:p>
    <w:p>
      <w:pPr>
        <w:spacing w:after="0" w:line="39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116" w:right="339" w:bottom="1440" w:gutter="0" w:footer="0" w:header="0"/>
        </w:sectPr>
      </w:pPr>
    </w:p>
    <w:bookmarkStart w:id="169" w:name="page170"/>
    <w:bookmarkEnd w:id="169"/>
    <w:p>
      <w:pPr>
        <w:jc w:val="both"/>
        <w:ind w:left="8" w:firstLine="607"/>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color w:val="auto"/>
        </w:rPr>
        <w:t>If: (i) the Resale Registration Statement is not filed on or prior to its Filing Date (if the Company files the Resale Registration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affording the Holders the opportunity to review and comment on the same as required by Section 3.1 herein or the Company subsequently withdraws the filing of the Registration Statement, the Company shall be deemed to have not satisfied this clause (i) as of the Filing Date, or (ii) the Company fails to file with the Commission a request for acceleration of a Registration Statement in accordance with Rule 461 promulgated by the Commission pursuant to the Securities Act, within five (5)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ten (10) Business Days after the receipt of comments by or notice from the Commission that such amendment is required in order for such Registration Statement to be declared effective, or (iv) a Registration Statement registering for resale all of the Registrable Securities is not declared effective by the Commission by the Effectiveness Date of the Resale Registration Statement (provided if the Registration Statement does not allow for the resale of Registrable Securities at prevailing market prices (i.e., only allows for fixed price sales), the Company shall have been deemed to have not satisfied this clause), or (v)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(other than as a result of any suspension implemented by the Company in good faith pursuant to Section 3.4(iii)–(vi) and Section 3.10 to delay disclosure of material non-public information, pending corporate developments or to comply with applicable securities laws), for more than ten (10) consecutive Calendar Days or more than an aggregate of fifteen (15) Calendar Days (which need not be consecutive Calendar Days) during any 12-month period (any such failure or breach being referred to as an “</w:t>
      </w:r>
      <w:r>
        <w:rPr>
          <w:rFonts w:ascii="Times New Roman" w:cs="Times New Roman" w:eastAsia="Times New Roman" w:hAnsi="Times New Roman"/>
          <w:sz w:val="18"/>
          <w:szCs w:val="18"/>
          <w:b w:val="1"/>
          <w:bCs w:val="1"/>
          <w:u w:val="single" w:color="auto"/>
          <w:color w:val="auto"/>
        </w:rPr>
        <w:t>Event</w:t>
      </w:r>
      <w:r>
        <w:rPr>
          <w:rFonts w:ascii="Times New Roman" w:cs="Times New Roman" w:eastAsia="Times New Roman" w:hAnsi="Times New Roman"/>
          <w:sz w:val="18"/>
          <w:szCs w:val="18"/>
          <w:color w:val="auto"/>
        </w:rPr>
        <w:t>”, and for purposes of clauses (i) and (iv), the date on which such Event occurs, except for the purposes of clause (iv) if the Registration Statement is not declared effective by the Commission by the Effectiveness Date of the Resale Registration Statement because the Commission refused to review the Resale Registration Statement because of material deficiencies in the Resale Registration Statement, then, the Company shall not be deemed to have filed the Registration Statement on or before the Filing Date and liquidated damages shall retroactively accrue from the Filing Date until the date that the Registration Statement is declared effective (in addition to any other liquidated damages that accrue as a result of an Event), and for purpose of clause (ii) the date on which such five (5) Trading Day period is exceeded, and for purpose of clause (iii) the date which such ten (10) Calendar Day period is exceeded, and for purpose of clause (v) the date on which such ten (10) or fifteen (15) Calendar Day period, as applicable, is exceeded being referred to as “</w:t>
      </w:r>
      <w:r>
        <w:rPr>
          <w:rFonts w:ascii="Times New Roman" w:cs="Times New Roman" w:eastAsia="Times New Roman" w:hAnsi="Times New Roman"/>
          <w:sz w:val="18"/>
          <w:szCs w:val="18"/>
          <w:b w:val="1"/>
          <w:bCs w:val="1"/>
          <w:u w:val="single" w:color="auto"/>
          <w:color w:val="auto"/>
        </w:rPr>
        <w:t>Event Date</w:t>
      </w:r>
      <w:r>
        <w:rPr>
          <w:rFonts w:ascii="Times New Roman" w:cs="Times New Roman" w:eastAsia="Times New Roman" w:hAnsi="Times New Roman"/>
          <w:sz w:val="18"/>
          <w:szCs w:val="18"/>
          <w:color w:val="auto"/>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1.0% of the aggregate Subscription Amount paid by such Holder pursuant to the Purchase Agreement. If the Company fails to pay any partial liquidated damages pursuant to this Section 2.4 in full within seven (7) Calendar Days after the date payable, the Company will pay interest thereon at a rate of 10%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spacing w:after="0" w:line="201" w:lineRule="exact"/>
        <w:rPr>
          <w:sz w:val="20"/>
          <w:szCs w:val="20"/>
          <w:color w:val="auto"/>
        </w:rPr>
      </w:pPr>
    </w:p>
    <w:p>
      <w:pPr>
        <w:jc w:val="both"/>
        <w:ind w:left="8" w:firstLine="60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color w:val="auto"/>
        </w:rPr>
        <w:t>If Form F-1 is not available for the registration of the resale of Registrable Securities hereunder, the Company shall (i) register the resale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Registrable Securities on another appropriate form and (ii) undertake to register the Registrable Securities on Form F-1 as soon as such form is available, provided that the Company shall maintain the effectiveness of the Registration Statement then in effect until such time as a Registration Statement on Form F-1 covering the Registrable Securities has been declared effective by the Commission.</w:t>
      </w:r>
    </w:p>
    <w:p>
      <w:pPr>
        <w:spacing w:after="0" w:line="176" w:lineRule="exact"/>
        <w:rPr>
          <w:sz w:val="20"/>
          <w:szCs w:val="20"/>
          <w:color w:val="auto"/>
        </w:rPr>
      </w:pPr>
    </w:p>
    <w:p>
      <w:pPr>
        <w:jc w:val="both"/>
        <w:ind w:left="8" w:right="20" w:firstLine="60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color w:val="auto"/>
        </w:rPr>
        <w:t>Notwithstanding anything to the contrary contained herein, in no event shall the Company be permitted to name any Holder or 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Holder as any Underwriter without the prior written consent of such Holder.</w:t>
      </w:r>
    </w:p>
    <w:p>
      <w:pPr>
        <w:spacing w:after="0" w:line="155" w:lineRule="exact"/>
        <w:rPr>
          <w:sz w:val="20"/>
          <w:szCs w:val="20"/>
          <w:color w:val="auto"/>
        </w:rPr>
      </w:pPr>
    </w:p>
    <w:p>
      <w:pPr>
        <w:ind w:left="648" w:right="2220" w:hanging="648"/>
        <w:spacing w:after="0" w:line="537" w:lineRule="auto"/>
        <w:tabs>
          <w:tab w:leader="none" w:pos="315"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Registration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the Company’s registration obligations hereunder, the Company shall:</w:t>
      </w:r>
      <w:r>
        <w:rPr>
          <w:rFonts w:ascii="Times New Roman" w:cs="Times New Roman" w:eastAsia="Times New Roman" w:hAnsi="Times New Roman"/>
          <w:sz w:val="18"/>
          <w:szCs w:val="18"/>
          <w:b w:val="1"/>
          <w:bCs w:val="1"/>
          <w:color w:val="auto"/>
        </w:rPr>
        <w:t xml:space="preserve"> 3.1. </w:t>
      </w: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170" w:name="page171"/>
    <w:bookmarkEnd w:id="170"/>
    <w:p>
      <w:pPr>
        <w:jc w:val="both"/>
        <w:ind w:left="8"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color w:val="auto"/>
        </w:rPr>
        <w:t>(i) Prepare and file with the Commission such amendments, including post-effective amendments, to a Registration Statement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190" w:lineRule="exact"/>
        <w:rPr>
          <w:sz w:val="20"/>
          <w:szCs w:val="20"/>
          <w:color w:val="auto"/>
        </w:rPr>
      </w:pPr>
    </w:p>
    <w:p>
      <w:pPr>
        <w:jc w:val="both"/>
        <w:ind w:left="8"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color w:val="auto"/>
        </w:rPr>
        <w:t>If during the Effectiveness Period, the number of Registrable Securities at any time exceeds 100% of the number of Class B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represented by American depositary shares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spacing w:after="0" w:line="176" w:lineRule="exact"/>
        <w:rPr>
          <w:sz w:val="20"/>
          <w:szCs w:val="20"/>
          <w:color w:val="auto"/>
        </w:rPr>
      </w:pPr>
    </w:p>
    <w:p>
      <w:pPr>
        <w:ind w:left="648"/>
        <w:spacing w:after="0"/>
        <w:tabs>
          <w:tab w:leader="none" w:pos="1108"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8"/>
          <w:szCs w:val="18"/>
          <w:color w:val="auto"/>
        </w:rPr>
        <w:t>Use commercially reasonable efforts to notify the Holders of Registrable Securities to be sold (which notice shall, pursuant to clauses</w:t>
      </w:r>
    </w:p>
    <w:p>
      <w:pPr>
        <w:spacing w:after="0" w:line="31" w:lineRule="exact"/>
        <w:rPr>
          <w:sz w:val="20"/>
          <w:szCs w:val="20"/>
          <w:color w:val="auto"/>
        </w:rPr>
      </w:pPr>
    </w:p>
    <w:p>
      <w:pPr>
        <w:jc w:val="both"/>
        <w:ind w:left="8" w:hanging="8"/>
        <w:spacing w:after="0" w:line="250" w:lineRule="auto"/>
        <w:tabs>
          <w:tab w:leader="none" w:pos="35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 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such notice contain any information which would constitute material, non-public information regarding the Company or any of its Subsidiaries and the Company agrees that the Holders shall not have any duty of confidentiality to the Company or any of its Subsidiaries and shall not have any duty to the Company not to trade on the basis of such information.</w:t>
      </w:r>
    </w:p>
    <w:p>
      <w:pPr>
        <w:spacing w:after="0" w:line="202" w:lineRule="exact"/>
        <w:rPr>
          <w:sz w:val="20"/>
          <w:szCs w:val="20"/>
          <w:color w:val="auto"/>
        </w:rPr>
      </w:pPr>
    </w:p>
    <w:p>
      <w:pPr>
        <w:jc w:val="both"/>
        <w:ind w:left="8"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3.5. </w:t>
      </w:r>
      <w:r>
        <w:rPr>
          <w:rFonts w:ascii="Times New Roman" w:cs="Times New Roman" w:eastAsia="Times New Roman" w:hAnsi="Times New Roman"/>
          <w:sz w:val="18"/>
          <w:szCs w:val="18"/>
          <w:color w:val="auto"/>
        </w:rPr>
        <w:t>Use its commercially reasonable efforts to avoid the issuance of, or, if issued, obtain the withdrawal of (i) any order stopping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suspending the effectiveness of a Registration Statement, or (ii) any suspension of the qualification (or exemption from qualification) of any of the Registrable Securities for sale in any jurisdiction, at the earliest practicable moment.</w:t>
      </w:r>
    </w:p>
    <w:p>
      <w:pPr>
        <w:spacing w:after="0" w:line="171" w:lineRule="exact"/>
        <w:rPr>
          <w:sz w:val="20"/>
          <w:szCs w:val="20"/>
          <w:color w:val="auto"/>
        </w:rPr>
      </w:pPr>
    </w:p>
    <w:p>
      <w:pPr>
        <w:jc w:val="both"/>
        <w:ind w:left="8"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3.6. </w:t>
      </w:r>
      <w:r>
        <w:rPr>
          <w:rFonts w:ascii="Times New Roman" w:cs="Times New Roman" w:eastAsia="Times New Roman" w:hAnsi="Times New Roman"/>
          <w:sz w:val="18"/>
          <w:szCs w:val="18"/>
          <w:color w:val="auto"/>
        </w:rPr>
        <w:t>Furnish to each Holder, without charge, at least one conformed copy of each such Registration Statement and each amendment 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spacing w:after="0" w:line="39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171" w:name="page172"/>
    <w:bookmarkEnd w:id="171"/>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3.7. </w:t>
      </w:r>
      <w:r>
        <w:rPr>
          <w:rFonts w:ascii="Times New Roman" w:cs="Times New Roman" w:eastAsia="Times New Roman" w:hAnsi="Times New Roman"/>
          <w:sz w:val="18"/>
          <w:szCs w:val="18"/>
          <w:color w:val="auto"/>
        </w:rPr>
        <w:t>Subject to the terms of this Agreement, the Company hereby consents to the use of such Prospectus and each amendment or 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by each of the selling Holders in connection with the offering and sale of the Registrable Securities covered by such Prospectus and any amendment or supplement thereto, except after the giving of any notice pursuant to Section 3.4.</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3.8. </w:t>
      </w:r>
      <w:r>
        <w:rPr>
          <w:rFonts w:ascii="Times New Roman" w:cs="Times New Roman" w:eastAsia="Times New Roman" w:hAnsi="Times New Roman"/>
          <w:sz w:val="18"/>
          <w:szCs w:val="18"/>
          <w:color w:val="auto"/>
        </w:rPr>
        <w:t>Prior to any resale of Registrable Securities by a Holder, use its commercially reasonable efforts to register or qualify or cooperate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3.9. </w:t>
      </w:r>
      <w:r>
        <w:rPr>
          <w:rFonts w:ascii="Times New Roman" w:cs="Times New Roman" w:eastAsia="Times New Roman" w:hAnsi="Times New Roman"/>
          <w:sz w:val="18"/>
          <w:szCs w:val="18"/>
          <w:color w:val="auto"/>
        </w:rPr>
        <w:t>If requested by a Holder, cooperate with such Holder to facilitate the timely preparation and delivery of certificates representing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3.10. </w:t>
      </w:r>
      <w:r>
        <w:rPr>
          <w:rFonts w:ascii="Times New Roman" w:cs="Times New Roman" w:eastAsia="Times New Roman" w:hAnsi="Times New Roman"/>
          <w:sz w:val="18"/>
          <w:szCs w:val="18"/>
          <w:color w:val="auto"/>
        </w:rPr>
        <w:t>Upon the occurrence of any event contemplated by Section 3.4, as promptly as reasonably possible under the circumstances taking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account the Company’s good faith assessment of any adverse consequences to the Company and its shareholders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3.4 above to suspend the use of any Prospectus until the requisite changes to such Prospectus have been made, then the Holders shall suspend use of such Prospectus. The Company will use its best efforts to ensure that the use of the Prospectus may be resumed as promptly as is practicable. The Company shall be entitled to exercise its right under this Section 3.10 to suspend the availability of a Registration Statement and Prospectus, subject to the payment of partial liquidated damages otherwise required pursuant to Section 2.4, for a period not to exceed 60 Trading Days (which need not be consecutive Trading Days) in any 12-month period, and any such suspension implemented in good faith pursuant to Sections 3.4(iii) to (vi) and this Section 3.10 shall not count toward any period of unavailability under Section 2.4(v).</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3.11. </w:t>
      </w:r>
      <w:r>
        <w:rPr>
          <w:rFonts w:ascii="Times New Roman" w:cs="Times New Roman" w:eastAsia="Times New Roman" w:hAnsi="Times New Roman"/>
          <w:sz w:val="18"/>
          <w:szCs w:val="18"/>
          <w:color w:val="auto"/>
        </w:rPr>
        <w:t>Otherwise use commercially reasonable efforts to comply with all applicable rules and regulations of the Commission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3.12. </w:t>
      </w: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4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172" w:name="page173"/>
    <w:bookmarkEnd w:id="172"/>
    <w:p>
      <w:pPr>
        <w:jc w:val="both"/>
        <w:ind w:left="8"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3.13. </w:t>
      </w:r>
      <w:r>
        <w:rPr>
          <w:rFonts w:ascii="Times New Roman" w:cs="Times New Roman" w:eastAsia="Times New Roman" w:hAnsi="Times New Roman"/>
          <w:sz w:val="18"/>
          <w:szCs w:val="18"/>
          <w:color w:val="auto"/>
        </w:rPr>
        <w:t>The Company may require each selling Holder to furnish to the Company a certified statement as to the number of Class B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beneficially owned by such Holder and, if required by the Commission, the natural persons thereof that have voting and dispositive control over the Class B Ordinary Shares. During any periods that the Company is unable to meet its obligations hereunder with respect to the registration of the Registrable Securities solely because any Holder fails to furnish such information within three (3) Trading Days after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182" w:lineRule="exact"/>
        <w:rPr>
          <w:sz w:val="20"/>
          <w:szCs w:val="20"/>
          <w:color w:val="auto"/>
        </w:rPr>
      </w:pPr>
    </w:p>
    <w:p>
      <w:pPr>
        <w:jc w:val="both"/>
        <w:ind w:left="8" w:hanging="8"/>
        <w:spacing w:after="0" w:line="253" w:lineRule="auto"/>
        <w:tabs>
          <w:tab w:leader="none" w:pos="323"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Registration Expenses</w:t>
      </w:r>
      <w:r>
        <w:rPr>
          <w:rFonts w:ascii="Times New Roman" w:cs="Times New Roman" w:eastAsia="Times New Roman" w:hAnsi="Times New Roman"/>
          <w:sz w:val="18"/>
          <w:szCs w:val="18"/>
          <w:color w:val="auto"/>
        </w:rPr>
        <w:t>. All fees and expenses incident to the performance of, or compliance with, this Agreement by the Company shall be borne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Class B Ordinary Shares are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to be purchased at the sole discretion of the Company,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spacing w:after="0" w:line="183" w:lineRule="exact"/>
        <w:rPr>
          <w:rFonts w:ascii="Times New Roman" w:cs="Times New Roman" w:eastAsia="Times New Roman" w:hAnsi="Times New Roman"/>
          <w:sz w:val="18"/>
          <w:szCs w:val="18"/>
          <w:b w:val="1"/>
          <w:bCs w:val="1"/>
          <w:color w:val="auto"/>
        </w:rPr>
      </w:pPr>
    </w:p>
    <w:p>
      <w:pPr>
        <w:ind w:left="628" w:hanging="628"/>
        <w:spacing w:after="0"/>
        <w:tabs>
          <w:tab w:leader="none" w:pos="628"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Indemnification by the Company</w:t>
      </w:r>
      <w:r>
        <w:rPr>
          <w:rFonts w:ascii="Times New Roman" w:cs="Times New Roman" w:eastAsia="Times New Roman" w:hAnsi="Times New Roman"/>
          <w:sz w:val="18"/>
          <w:szCs w:val="18"/>
          <w:color w:val="auto"/>
        </w:rPr>
        <w:t>. The Company shall, notwithstanding any termination of this Agreement, indemnify and 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harmless each Holder, the officers, directors, members, agents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shareholders,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Times New Roman" w:cs="Times New Roman" w:eastAsia="Times New Roman" w:hAnsi="Times New Roman"/>
          <w:sz w:val="18"/>
          <w:szCs w:val="18"/>
          <w:b w:val="1"/>
          <w:bCs w:val="1"/>
          <w:u w:val="single" w:color="auto"/>
          <w:color w:val="auto"/>
        </w:rPr>
        <w:t>Losses</w:t>
      </w:r>
      <w:r>
        <w:rPr>
          <w:rFonts w:ascii="Times New Roman" w:cs="Times New Roman" w:eastAsia="Times New Roman" w:hAnsi="Times New Roman"/>
          <w:sz w:val="18"/>
          <w:szCs w:val="18"/>
          <w:color w:val="auto"/>
        </w:rPr>
        <w:t>”),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2.1.1 hereto for this purpose) or (ii) in the case of an occurrence of an event of the type specified in Section 3.4(iii)-(vi),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6.3.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6.7.</w:t>
      </w:r>
    </w:p>
    <w:p>
      <w:pPr>
        <w:spacing w:after="0" w:line="200" w:lineRule="exact"/>
        <w:rPr>
          <w:sz w:val="20"/>
          <w:szCs w:val="20"/>
          <w:color w:val="auto"/>
        </w:rPr>
      </w:pPr>
    </w:p>
    <w:p>
      <w:pPr>
        <w:spacing w:after="0" w:line="20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173" w:name="page174"/>
    <w:bookmarkEnd w:id="173"/>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u w:val="single" w:color="auto"/>
          <w:color w:val="auto"/>
        </w:rPr>
        <w:t>Indemnification by Holders</w:t>
      </w:r>
      <w:r>
        <w:rPr>
          <w:rFonts w:ascii="Times New Roman" w:cs="Times New Roman" w:eastAsia="Times New Roman" w:hAnsi="Times New Roman"/>
          <w:sz w:val="18"/>
          <w:szCs w:val="18"/>
          <w:color w:val="auto"/>
        </w:rPr>
        <w:t>. Each Holder shall, severally and not jointly, indemnify and hold harmless the Company, its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Shareholder Questionnaire or the proposed method of distribution of Registrable Securities and was reviewed and expressly approved in writing by such Holder expressly for use in a Registration Statement (it being understood that the Holder has approved Annex 2.1.1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183"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b w:val="1"/>
          <w:bCs w:val="1"/>
          <w:u w:val="single" w:color="auto"/>
          <w:color w:val="auto"/>
        </w:rPr>
        <w:t>Conduct of Indemnification Proceedings</w:t>
      </w:r>
      <w:r>
        <w:rPr>
          <w:rFonts w:ascii="Times New Roman" w:cs="Times New Roman" w:eastAsia="Times New Roman" w:hAnsi="Times New Roman"/>
          <w:sz w:val="18"/>
          <w:szCs w:val="18"/>
          <w:color w:val="auto"/>
        </w:rPr>
        <w:t>. If any Proceeding shall be brought or asserted against any Person entitled to indemnity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(an “</w:t>
      </w:r>
      <w:r>
        <w:rPr>
          <w:rFonts w:ascii="Times New Roman" w:cs="Times New Roman" w:eastAsia="Times New Roman" w:hAnsi="Times New Roman"/>
          <w:sz w:val="18"/>
          <w:szCs w:val="18"/>
          <w:b w:val="1"/>
          <w:bCs w:val="1"/>
          <w:u w:val="single" w:color="auto"/>
          <w:color w:val="auto"/>
        </w:rPr>
        <w:t>Indemnified Party</w:t>
      </w:r>
      <w:r>
        <w:rPr>
          <w:rFonts w:ascii="Times New Roman" w:cs="Times New Roman" w:eastAsia="Times New Roman" w:hAnsi="Times New Roman"/>
          <w:sz w:val="18"/>
          <w:szCs w:val="18"/>
          <w:color w:val="auto"/>
        </w:rPr>
        <w:t>”), such Indemnified Party shall promptly notify the Person from whom indemnity is sought (the “</w:t>
      </w:r>
      <w:r>
        <w:rPr>
          <w:rFonts w:ascii="Times New Roman" w:cs="Times New Roman" w:eastAsia="Times New Roman" w:hAnsi="Times New Roman"/>
          <w:sz w:val="18"/>
          <w:szCs w:val="18"/>
          <w:b w:val="1"/>
          <w:bCs w:val="1"/>
          <w:u w:val="single" w:color="auto"/>
          <w:color w:val="auto"/>
        </w:rPr>
        <w:t>Indemnifying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Party</w:t>
      </w:r>
      <w:r>
        <w:rPr>
          <w:rFonts w:ascii="Times New Roman" w:cs="Times New Roman" w:eastAsia="Times New Roman" w:hAnsi="Times New Roman"/>
          <w:sz w:val="18"/>
          <w:szCs w:val="18"/>
          <w:color w:val="auto"/>
        </w:rPr>
        <w:t>”) in writing, and the Indemnifying Party shall have the right to assume the defense thereof, including the employment of counsel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187" w:lineRule="exact"/>
        <w:rPr>
          <w:sz w:val="20"/>
          <w:szCs w:val="20"/>
          <w:color w:val="auto"/>
        </w:rPr>
      </w:pPr>
    </w:p>
    <w:p>
      <w:pPr>
        <w:jc w:val="both"/>
        <w:ind w:firstLine="607"/>
        <w:spacing w:after="0" w:line="253" w:lineRule="auto"/>
        <w:rPr>
          <w:sz w:val="20"/>
          <w:szCs w:val="20"/>
          <w:color w:val="auto"/>
        </w:rPr>
      </w:pPr>
      <w:r>
        <w:rPr>
          <w:rFonts w:ascii="Times New Roman" w:cs="Times New Roman" w:eastAsia="Times New Roman" w:hAnsi="Times New Roman"/>
          <w:sz w:val="18"/>
          <w:szCs w:val="18"/>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90"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(10) Trading Days after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174" w:name="page175"/>
    <w:bookmarkEnd w:id="174"/>
    <w:p>
      <w:pPr>
        <w:jc w:val="both"/>
        <w:ind w:left="8" w:firstLine="607"/>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b w:val="1"/>
          <w:bCs w:val="1"/>
          <w:u w:val="single" w:color="auto"/>
          <w:color w:val="auto"/>
        </w:rPr>
        <w:t>Contribution</w:t>
      </w:r>
      <w:r>
        <w:rPr>
          <w:rFonts w:ascii="Times New Roman" w:cs="Times New Roman" w:eastAsia="Times New Roman" w:hAnsi="Times New Roman"/>
          <w:sz w:val="18"/>
          <w:szCs w:val="18"/>
          <w:color w:val="auto"/>
        </w:rPr>
        <w:t>. If the indemnification under Section 5.1 or 5.2 is unavailable to an Indemnified Party or insufficient to hold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86" w:lineRule="exact"/>
        <w:rPr>
          <w:sz w:val="20"/>
          <w:szCs w:val="20"/>
          <w:color w:val="auto"/>
        </w:rPr>
      </w:pPr>
    </w:p>
    <w:p>
      <w:pPr>
        <w:jc w:val="both"/>
        <w:ind w:left="8" w:firstLine="607"/>
        <w:spacing w:after="0" w:line="256" w:lineRule="auto"/>
        <w:rPr>
          <w:sz w:val="20"/>
          <w:szCs w:val="20"/>
          <w:color w:val="auto"/>
        </w:rPr>
      </w:pPr>
      <w:r>
        <w:rPr>
          <w:rFonts w:ascii="Times New Roman" w:cs="Times New Roman" w:eastAsia="Times New Roman" w:hAnsi="Times New Roman"/>
          <w:sz w:val="18"/>
          <w:szCs w:val="18"/>
          <w:color w:val="auto"/>
        </w:rPr>
        <w:t>The parties hereto agree that it would not be just and equitable if contribution pursuant to this Section 5.4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87" w:lineRule="exact"/>
        <w:rPr>
          <w:sz w:val="20"/>
          <w:szCs w:val="20"/>
          <w:color w:val="auto"/>
        </w:rPr>
      </w:pPr>
    </w:p>
    <w:p>
      <w:pPr>
        <w:jc w:val="both"/>
        <w:ind w:left="8" w:right="20" w:firstLine="607"/>
        <w:spacing w:after="0" w:line="282"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Section are in addition to any liability that the Indemnifying Parties may have to the Indemnified Parties.</w:t>
      </w:r>
    </w:p>
    <w:p>
      <w:pPr>
        <w:spacing w:after="0" w:line="158" w:lineRule="exact"/>
        <w:rPr>
          <w:sz w:val="20"/>
          <w:szCs w:val="20"/>
          <w:color w:val="auto"/>
        </w:rPr>
      </w:pPr>
    </w:p>
    <w:p>
      <w:pPr>
        <w:ind w:left="628" w:hanging="628"/>
        <w:spacing w:after="0"/>
        <w:tabs>
          <w:tab w:leader="none" w:pos="628"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color w:val="auto"/>
        </w:rPr>
        <w:t>. In the event of a breach by the Company or by a Holder of any of their respective obligations under this Agreement,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82"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u w:val="single" w:color="auto"/>
          <w:color w:val="auto"/>
        </w:rPr>
        <w:t>[Reserved.]</w:t>
      </w:r>
    </w:p>
    <w:p>
      <w:pPr>
        <w:spacing w:after="0" w:line="225" w:lineRule="exact"/>
        <w:rPr>
          <w:sz w:val="20"/>
          <w:szCs w:val="20"/>
          <w:color w:val="auto"/>
        </w:rPr>
      </w:pPr>
    </w:p>
    <w:p>
      <w:pPr>
        <w:jc w:val="both"/>
        <w:ind w:left="8"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b w:val="1"/>
          <w:bCs w:val="1"/>
          <w:u w:val="single" w:color="auto"/>
          <w:color w:val="auto"/>
        </w:rPr>
        <w:t>Discontinued Disposition</w:t>
      </w:r>
      <w:r>
        <w:rPr>
          <w:rFonts w:ascii="Times New Roman" w:cs="Times New Roman" w:eastAsia="Times New Roman" w:hAnsi="Times New Roman"/>
          <w:sz w:val="18"/>
          <w:szCs w:val="18"/>
          <w:color w:val="auto"/>
        </w:rPr>
        <w:t>. By its acquisition of Registrable Securities, each Holder agrees that, upon receipt of a notice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of the occurrence of any event of the kind described in Section 3.4(iii) through (vi), such Holder will forthwith discontinue disposition of such Registrable Securities under a Registration Statement until it is advised in writing (the “</w:t>
      </w:r>
      <w:r>
        <w:rPr>
          <w:rFonts w:ascii="Times New Roman" w:cs="Times New Roman" w:eastAsia="Times New Roman" w:hAnsi="Times New Roman"/>
          <w:sz w:val="18"/>
          <w:szCs w:val="18"/>
          <w:b w:val="1"/>
          <w:bCs w:val="1"/>
          <w:u w:val="single" w:color="auto"/>
          <w:color w:val="auto"/>
        </w:rPr>
        <w:t>Advice</w:t>
      </w:r>
      <w:r>
        <w:rPr>
          <w:rFonts w:ascii="Times New Roman" w:cs="Times New Roman" w:eastAsia="Times New Roman" w:hAnsi="Times New Roman"/>
          <w:sz w:val="18"/>
          <w:szCs w:val="18"/>
          <w:color w:val="auto"/>
        </w:rPr>
        <w:t>”) by the Company that the use of the applicable Prospectus (as it may have been supplemented or amended) may be resumed. The Company will use its best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2.4.</w:t>
      </w:r>
    </w:p>
    <w:p>
      <w:pPr>
        <w:spacing w:after="0" w:line="200" w:lineRule="exact"/>
        <w:rPr>
          <w:sz w:val="20"/>
          <w:szCs w:val="20"/>
          <w:color w:val="auto"/>
        </w:rPr>
      </w:pPr>
    </w:p>
    <w:p>
      <w:pPr>
        <w:spacing w:after="0" w:line="20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175" w:name="page176"/>
    <w:bookmarkEnd w:id="175"/>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6.4. </w:t>
      </w:r>
      <w:r>
        <w:rPr>
          <w:rFonts w:ascii="Times New Roman" w:cs="Times New Roman" w:eastAsia="Times New Roman" w:hAnsi="Times New Roman"/>
          <w:sz w:val="18"/>
          <w:szCs w:val="18"/>
          <w:b w:val="1"/>
          <w:bCs w:val="1"/>
          <w:u w:val="single" w:color="auto"/>
          <w:color w:val="auto"/>
        </w:rPr>
        <w:t>Piggy-Back Registrations</w:t>
      </w:r>
      <w:r>
        <w:rPr>
          <w:rFonts w:ascii="Times New Roman" w:cs="Times New Roman" w:eastAsia="Times New Roman" w:hAnsi="Times New Roman"/>
          <w:sz w:val="18"/>
          <w:szCs w:val="18"/>
          <w:color w:val="auto"/>
        </w:rPr>
        <w:t>. If, at any time during the Effectiveness Period, there is not an effective Registration Statement covering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Registrable Securities and the Company shall determine to prepare and file with the Commission a registration statement relating to an offering for its own account or the account of others under the Securities Act of any of its equity securities, other than on Form S-4 or Form S-8 (each as promulgated under the Securities Act) or their then equivalents relating to equity securities to be issued solely in connection with any acquisition of any entity or business or equity securities issuable in connection with the Company’s share option or other employee benefit plans, then the Company shall deliver to each Holder a written notice of such determination and, if within fifteen (15) Calendar Days after the date of the delivery of such notice, any such Holder shall so request in writing, the Company shall include in such registration statement all or any part of such Registrable Securities such Holder requests to be registered;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register any RegistrableSecurities pursuant to this Section 6.4 that are eligible for resale pursuant to Rule 144 (without volume restrictions and provided the Company is in compliance with the current public information requirement under Rule 144) promulgated by the Commission pursuant to the Securities Act or that are the subject of a then effective Registration Statement that is available for resales or other dispositions by such Holder.</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6.5. </w:t>
      </w:r>
      <w:r>
        <w:rPr>
          <w:rFonts w:ascii="Times New Roman" w:cs="Times New Roman" w:eastAsia="Times New Roman" w:hAnsi="Times New Roman"/>
          <w:sz w:val="18"/>
          <w:szCs w:val="18"/>
          <w:b w:val="1"/>
          <w:bCs w:val="1"/>
          <w:u w:val="single" w:color="auto"/>
          <w:color w:val="auto"/>
        </w:rPr>
        <w:t>Amendments and Waivers</w:t>
      </w:r>
      <w:r>
        <w:rPr>
          <w:rFonts w:ascii="Times New Roman" w:cs="Times New Roman" w:eastAsia="Times New Roman" w:hAnsi="Times New Roman"/>
          <w:sz w:val="18"/>
          <w:szCs w:val="18"/>
          <w:color w:val="auto"/>
        </w:rPr>
        <w:t>. The provisions of this Agreement, including the provisions of this sentence, may not be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provided that no such amendment, action or omission that adversely affects, alters or changes the interests of any Holder in a manner disproportionate to the other Holders shall be effective against such Holder without the prior written consent of such Holder.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provisions of this sentence may not be amended, modified, or supplemented except in accordance with the provisions of the first sentence of this Section 6.5. No consideration shall be offered or paid to any Person to amend or consent to a waiver or modification of any provision of this Agreement unless the same consideration also is offered to all of the parties to this Agreement.</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6.6.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delivered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the Purchase Agreement.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6.7.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binding upon the successors and permitted assigns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the Purchase Agreement.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6.8. </w:t>
      </w:r>
      <w:r>
        <w:rPr>
          <w:rFonts w:ascii="Times New Roman" w:cs="Times New Roman" w:eastAsia="Times New Roman" w:hAnsi="Times New Roman"/>
          <w:sz w:val="18"/>
          <w:szCs w:val="18"/>
          <w:b w:val="1"/>
          <w:bCs w:val="1"/>
          <w:u w:val="single" w:color="auto"/>
          <w:color w:val="auto"/>
        </w:rPr>
        <w:t>No Inconsistent Agreements</w:t>
      </w:r>
      <w:r>
        <w:rPr>
          <w:rFonts w:ascii="Times New Roman" w:cs="Times New Roman" w:eastAsia="Times New Roman" w:hAnsi="Times New Roman"/>
          <w:sz w:val="18"/>
          <w:szCs w:val="18"/>
          <w:color w:val="auto"/>
        </w:rPr>
        <w:t>. The Company has not entered, as of the date hereof, nor shall the Company, on or after the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enter into any agreement with respect to its securities, that would have the effect of impairing the rights granted to the Holders in this Agreement or otherwise conflicts with the provisions hereof. Except as set forth on </w:t>
      </w:r>
      <w:r>
        <w:rPr>
          <w:rFonts w:ascii="Times New Roman" w:cs="Times New Roman" w:eastAsia="Times New Roman" w:hAnsi="Times New Roman"/>
          <w:sz w:val="18"/>
          <w:szCs w:val="18"/>
          <w:u w:val="single" w:color="auto"/>
          <w:color w:val="auto"/>
        </w:rPr>
        <w:t>Schedule 6.8</w:t>
      </w:r>
      <w:r>
        <w:rPr>
          <w:rFonts w:ascii="Times New Roman" w:cs="Times New Roman" w:eastAsia="Times New Roman" w:hAnsi="Times New Roman"/>
          <w:sz w:val="18"/>
          <w:szCs w:val="18"/>
          <w:color w:val="auto"/>
        </w:rPr>
        <w:t>, the Company has not previously entered into any agreement granting any registration rights with respect to any of its securities to any Person that have not been satisfied in full.</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6.9. </w:t>
      </w:r>
      <w:r>
        <w:rPr>
          <w:rFonts w:ascii="Times New Roman" w:cs="Times New Roman" w:eastAsia="Times New Roman" w:hAnsi="Times New Roman"/>
          <w:sz w:val="18"/>
          <w:szCs w:val="18"/>
          <w:b w:val="1"/>
          <w:bCs w:val="1"/>
          <w:u w:val="single" w:color="auto"/>
          <w:color w:val="auto"/>
        </w:rPr>
        <w:t>Execution and Counterparts</w:t>
      </w:r>
      <w:r>
        <w:rPr>
          <w:rFonts w:ascii="Times New Roman" w:cs="Times New Roman" w:eastAsia="Times New Roman" w:hAnsi="Times New Roman"/>
          <w:sz w:val="18"/>
          <w:szCs w:val="18"/>
          <w:color w:val="auto"/>
        </w:rPr>
        <w:t>. This Agreement may be executed in two or more counterparts, all of which when taken together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considered one and the same agreement and shall become effective when counterparts have been signed by each party and delivered to the other party, it being understood that both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spacing w:after="0" w:line="39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176" w:name="page177"/>
    <w:bookmarkEnd w:id="176"/>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6.10.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in accordance with the provisions of the Purchase Agreement.</w:t>
      </w:r>
    </w:p>
    <w:p>
      <w:pPr>
        <w:spacing w:after="0" w:line="155" w:lineRule="exact"/>
        <w:rPr>
          <w:sz w:val="20"/>
          <w:szCs w:val="20"/>
          <w:color w:val="auto"/>
        </w:rPr>
      </w:pPr>
    </w:p>
    <w:p>
      <w:pPr>
        <w:ind w:left="6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6.11.</w:t>
      </w:r>
      <w:r>
        <w:rPr>
          <w:sz w:val="20"/>
          <w:szCs w:val="20"/>
          <w:color w:val="auto"/>
        </w:rPr>
        <w:tab/>
      </w:r>
      <w:r>
        <w:rPr>
          <w:rFonts w:ascii="Times New Roman" w:cs="Times New Roman" w:eastAsia="Times New Roman" w:hAnsi="Times New Roman"/>
          <w:sz w:val="17"/>
          <w:szCs w:val="17"/>
          <w:b w:val="1"/>
          <w:bCs w:val="1"/>
          <w:u w:val="single" w:color="auto"/>
          <w:color w:val="auto"/>
        </w:rPr>
        <w:t>Cumulative Remedies</w:t>
      </w:r>
      <w:r>
        <w:rPr>
          <w:rFonts w:ascii="Times New Roman" w:cs="Times New Roman" w:eastAsia="Times New Roman" w:hAnsi="Times New Roman"/>
          <w:sz w:val="17"/>
          <w:szCs w:val="17"/>
          <w:color w:val="auto"/>
        </w:rPr>
        <w:t>. The remedies provided herein are cumulative and not exclusive of any other remedies provided by law.</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6.12.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6.13.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headings in this Agreement are for convenience only, do not constitute a part of the Agreement and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limit or affect any of the provisions hereof.</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6.14. </w:t>
      </w:r>
      <w:r>
        <w:rPr>
          <w:rFonts w:ascii="Times New Roman" w:cs="Times New Roman" w:eastAsia="Times New Roman" w:hAnsi="Times New Roman"/>
          <w:sz w:val="18"/>
          <w:szCs w:val="18"/>
          <w:b w:val="1"/>
          <w:bCs w:val="1"/>
          <w:u w:val="single" w:color="auto"/>
          <w:color w:val="auto"/>
        </w:rPr>
        <w:t>Independent Nature of Holders’ Obligations and Rights</w:t>
      </w:r>
      <w:r>
        <w:rPr>
          <w:rFonts w:ascii="Times New Roman" w:cs="Times New Roman" w:eastAsia="Times New Roman" w:hAnsi="Times New Roman"/>
          <w:sz w:val="18"/>
          <w:szCs w:val="18"/>
          <w:color w:val="auto"/>
        </w:rPr>
        <w:t>. The obligations of each Holder hereunder are several and not joint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92" w:lineRule="exact"/>
        <w:rPr>
          <w:sz w:val="20"/>
          <w:szCs w:val="20"/>
          <w:color w:val="auto"/>
        </w:rPr>
      </w:pPr>
    </w:p>
    <w:p>
      <w:pPr>
        <w:jc w:val="center"/>
        <w:ind w:left="5200" w:right="3520" w:hanging="2003"/>
        <w:spacing w:after="0" w:line="785" w:lineRule="auto"/>
        <w:tabs>
          <w:tab w:leader="none" w:pos="3314" w:val="left"/>
        </w:tabs>
        <w:numPr>
          <w:ilvl w:val="0"/>
          <w:numId w:val="1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Registration Rights Agreement Signature Pages Follow] </w:t>
      </w: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-297815</wp:posOffset>
            </wp:positionV>
            <wp:extent cx="7132320" cy="171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Registration Rights Agreement as of the date first written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Soon Huat Lim</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Soon Huat Lim</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i w:val="1"/>
          <w:iCs w:val="1"/>
          <w:color w:val="auto"/>
        </w:rPr>
        <w:t>[Registration Rights Agreement – Company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color w:val="auto"/>
        </w:rPr>
        <w:t xml:space="preserve">Name of Holder: </w:t>
      </w:r>
      <w:r>
        <w:rPr>
          <w:rFonts w:ascii="Times New Roman" w:cs="Times New Roman" w:eastAsia="Times New Roman" w:hAnsi="Times New Roman"/>
          <w:sz w:val="18"/>
          <w:szCs w:val="18"/>
          <w:color w:val="auto"/>
        </w:rPr>
        <w:t>OGBC Group Pte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Signature of Authorized Signatory of Holder: </w:t>
      </w:r>
      <w:r>
        <w:rPr>
          <w:rFonts w:ascii="Times New Roman" w:cs="Times New Roman" w:eastAsia="Times New Roman" w:hAnsi="Times New Roman"/>
          <w:sz w:val="18"/>
          <w:szCs w:val="18"/>
          <w:color w:val="auto"/>
        </w:rPr>
        <w:t>/s/ Jiusheng Wei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of Authorized Signatory: </w:t>
      </w:r>
      <w:r>
        <w:rPr>
          <w:rFonts w:ascii="Times New Roman" w:cs="Times New Roman" w:eastAsia="Times New Roman" w:hAnsi="Times New Roman"/>
          <w:sz w:val="18"/>
          <w:szCs w:val="18"/>
          <w:color w:val="auto"/>
        </w:rPr>
        <w:t>Jiusheng Wei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Title of Authorized Signatory: </w:t>
      </w:r>
      <w:r>
        <w:rPr>
          <w:rFonts w:ascii="Times New Roman" w:cs="Times New Roman" w:eastAsia="Times New Roman" w:hAnsi="Times New Roman"/>
          <w:sz w:val="18"/>
          <w:szCs w:val="18"/>
          <w:color w:val="auto"/>
        </w:rPr>
        <w:t>CEO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Email Address of Authorized Signatory: </w:t>
      </w:r>
      <w:r>
        <w:rPr>
          <w:rFonts w:ascii="Times New Roman" w:cs="Times New Roman" w:eastAsia="Times New Roman" w:hAnsi="Times New Roman"/>
          <w:sz w:val="18"/>
          <w:szCs w:val="18"/>
          <w:color w:val="auto"/>
        </w:rPr>
        <w:t>jayden@ogbc.com</w:t>
      </w:r>
    </w:p>
    <w:p>
      <w:pPr>
        <w:spacing w:after="0" w:line="227" w:lineRule="exact"/>
        <w:rPr>
          <w:sz w:val="20"/>
          <w:szCs w:val="20"/>
          <w:color w:val="auto"/>
        </w:rPr>
      </w:pPr>
    </w:p>
    <w:p>
      <w:pPr>
        <w:jc w:val="right"/>
        <w:ind w:right="2419"/>
        <w:spacing w:after="0"/>
        <w:rPr>
          <w:sz w:val="20"/>
          <w:szCs w:val="20"/>
          <w:color w:val="auto"/>
        </w:rPr>
      </w:pPr>
      <w:r>
        <w:rPr>
          <w:rFonts w:ascii="Times New Roman" w:cs="Times New Roman" w:eastAsia="Times New Roman" w:hAnsi="Times New Roman"/>
          <w:sz w:val="18"/>
          <w:szCs w:val="18"/>
          <w:i w:val="1"/>
          <w:iCs w:val="1"/>
          <w:color w:val="auto"/>
        </w:rPr>
        <w:t>[Registration Rights Agreement – Holder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color w:val="auto"/>
        </w:rPr>
        <w:t xml:space="preserve">Name of Holder: </w:t>
      </w:r>
      <w:r>
        <w:rPr>
          <w:rFonts w:ascii="Times New Roman" w:cs="Times New Roman" w:eastAsia="Times New Roman" w:hAnsi="Times New Roman"/>
          <w:sz w:val="18"/>
          <w:szCs w:val="18"/>
          <w:color w:val="auto"/>
        </w:rPr>
        <w:t>CHENG JIANBO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Signature of Authorized Signatory of Holder: </w:t>
      </w:r>
      <w:r>
        <w:rPr>
          <w:rFonts w:ascii="Times New Roman" w:cs="Times New Roman" w:eastAsia="Times New Roman" w:hAnsi="Times New Roman"/>
          <w:sz w:val="18"/>
          <w:szCs w:val="18"/>
          <w:color w:val="auto"/>
        </w:rPr>
        <w:t>/s/ CHENG JIANBO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of Authorized Signatory: </w:t>
      </w:r>
      <w:r>
        <w:rPr>
          <w:rFonts w:ascii="Times New Roman" w:cs="Times New Roman" w:eastAsia="Times New Roman" w:hAnsi="Times New Roman"/>
          <w:sz w:val="18"/>
          <w:szCs w:val="18"/>
          <w:color w:val="auto"/>
        </w:rPr>
        <w:t>CHENG JIANBO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Title of Authorized Signatory: </w:t>
      </w:r>
      <w:r>
        <w:rPr>
          <w:rFonts w:ascii="Times New Roman" w:cs="Times New Roman" w:eastAsia="Times New Roman" w:hAnsi="Times New Roman"/>
          <w:sz w:val="18"/>
          <w:szCs w:val="18"/>
          <w:color w:val="auto"/>
        </w:rPr>
        <w:t>CEO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Email Address of Authorized Signatory: </w:t>
      </w:r>
      <w:r>
        <w:rPr>
          <w:rFonts w:ascii="Times New Roman" w:cs="Times New Roman" w:eastAsia="Times New Roman" w:hAnsi="Times New Roman"/>
          <w:sz w:val="18"/>
          <w:szCs w:val="18"/>
          <w:color w:val="auto"/>
        </w:rPr>
        <w:t>jb.chieng@gmail.com</w:t>
      </w:r>
    </w:p>
    <w:p>
      <w:pPr>
        <w:spacing w:after="0" w:line="227" w:lineRule="exact"/>
        <w:rPr>
          <w:sz w:val="20"/>
          <w:szCs w:val="20"/>
          <w:color w:val="auto"/>
        </w:rPr>
      </w:pPr>
    </w:p>
    <w:p>
      <w:pPr>
        <w:jc w:val="right"/>
        <w:ind w:right="2419"/>
        <w:spacing w:after="0"/>
        <w:rPr>
          <w:sz w:val="20"/>
          <w:szCs w:val="20"/>
          <w:color w:val="auto"/>
        </w:rPr>
      </w:pPr>
      <w:r>
        <w:rPr>
          <w:rFonts w:ascii="Times New Roman" w:cs="Times New Roman" w:eastAsia="Times New Roman" w:hAnsi="Times New Roman"/>
          <w:sz w:val="18"/>
          <w:szCs w:val="18"/>
          <w:i w:val="1"/>
          <w:iCs w:val="1"/>
          <w:color w:val="auto"/>
        </w:rPr>
        <w:t>[Registration Rights Agreement – Holder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color w:val="auto"/>
        </w:rPr>
        <w:t xml:space="preserve">Name of Holder: </w:t>
      </w:r>
      <w:r>
        <w:rPr>
          <w:rFonts w:ascii="Times New Roman" w:cs="Times New Roman" w:eastAsia="Times New Roman" w:hAnsi="Times New Roman"/>
          <w:sz w:val="18"/>
          <w:szCs w:val="18"/>
          <w:color w:val="auto"/>
        </w:rPr>
        <w:t>Ripple Strategy Holding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Signature of Authorized Signatory of Holder: </w:t>
      </w:r>
      <w:r>
        <w:rPr>
          <w:rFonts w:ascii="Times New Roman" w:cs="Times New Roman" w:eastAsia="Times New Roman" w:hAnsi="Times New Roman"/>
          <w:sz w:val="18"/>
          <w:szCs w:val="18"/>
          <w:color w:val="auto"/>
        </w:rPr>
        <w:t>/s/ Charles Whitmore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of Authorized Signatory: </w:t>
      </w:r>
      <w:r>
        <w:rPr>
          <w:rFonts w:ascii="Times New Roman" w:cs="Times New Roman" w:eastAsia="Times New Roman" w:hAnsi="Times New Roman"/>
          <w:sz w:val="18"/>
          <w:szCs w:val="18"/>
          <w:color w:val="auto"/>
        </w:rPr>
        <w:t>Charles Whitmore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Title of Authorized Signatory: </w:t>
      </w:r>
      <w:r>
        <w:rPr>
          <w:rFonts w:ascii="Times New Roman" w:cs="Times New Roman" w:eastAsia="Times New Roman" w:hAnsi="Times New Roman"/>
          <w:sz w:val="18"/>
          <w:szCs w:val="18"/>
          <w:color w:val="auto"/>
        </w:rPr>
        <w:t>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Email Address of Authorized Signatory: </w:t>
      </w:r>
      <w:r>
        <w:rPr>
          <w:rFonts w:ascii="Times New Roman" w:cs="Times New Roman" w:eastAsia="Times New Roman" w:hAnsi="Times New Roman"/>
          <w:sz w:val="18"/>
          <w:szCs w:val="18"/>
          <w:color w:val="auto"/>
        </w:rPr>
        <w:t>charles.whitmore@ripple-strategy.com</w:t>
      </w:r>
    </w:p>
    <w:p>
      <w:pPr>
        <w:spacing w:after="0" w:line="227" w:lineRule="exact"/>
        <w:rPr>
          <w:sz w:val="20"/>
          <w:szCs w:val="20"/>
          <w:color w:val="auto"/>
        </w:rPr>
      </w:pPr>
    </w:p>
    <w:p>
      <w:pPr>
        <w:jc w:val="right"/>
        <w:ind w:right="2419"/>
        <w:spacing w:after="0"/>
        <w:rPr>
          <w:sz w:val="20"/>
          <w:szCs w:val="20"/>
          <w:color w:val="auto"/>
        </w:rPr>
      </w:pPr>
      <w:r>
        <w:rPr>
          <w:rFonts w:ascii="Times New Roman" w:cs="Times New Roman" w:eastAsia="Times New Roman" w:hAnsi="Times New Roman"/>
          <w:sz w:val="18"/>
          <w:szCs w:val="18"/>
          <w:i w:val="1"/>
          <w:iCs w:val="1"/>
          <w:color w:val="auto"/>
        </w:rPr>
        <w:t>[Registration Rights Agreement – Holder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color w:val="auto"/>
        </w:rPr>
        <w:t xml:space="preserve">Name of Holder: </w:t>
      </w:r>
      <w:r>
        <w:rPr>
          <w:rFonts w:ascii="Times New Roman" w:cs="Times New Roman" w:eastAsia="Times New Roman" w:hAnsi="Times New Roman"/>
          <w:sz w:val="18"/>
          <w:szCs w:val="18"/>
          <w:color w:val="auto"/>
        </w:rPr>
        <w:t>Lida Global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-125095</wp:posOffset>
            </wp:positionV>
            <wp:extent cx="728980" cy="76263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54">
                      <a:extLst>
                        <a:ext uri="{28A0092B-C50C-407E-A947-70E740481C1C}"/>
                      </a:extLst>
                    </a:blip>
                    <a:srcRect/>
                    <a:stretch>
                      <a:fillRect/>
                    </a:stretch>
                  </pic:blipFill>
                  <pic:spPr bwMode="auto">
                    <a:xfrm>
                      <a:off x="0" y="0"/>
                      <a:ext cx="728980" cy="76263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Signature of Authorized Signatory of Holder: </w:t>
      </w:r>
      <w:r>
        <w:rPr>
          <w:rFonts w:ascii="Times New Roman" w:cs="Times New Roman" w:eastAsia="Times New Roman" w:hAnsi="Times New Roman"/>
          <w:sz w:val="18"/>
          <w:szCs w:val="18"/>
          <w:color w:val="auto"/>
        </w:rPr>
        <w:t>/s/ Li Zhong</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of Authorized Signatory: </w:t>
      </w:r>
      <w:r>
        <w:rPr>
          <w:rFonts w:ascii="Times New Roman" w:cs="Times New Roman" w:eastAsia="Times New Roman" w:hAnsi="Times New Roman"/>
          <w:sz w:val="18"/>
          <w:szCs w:val="18"/>
          <w:color w:val="auto"/>
        </w:rPr>
        <w:t>Li Zhong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Title of Authorized Signatory: </w:t>
      </w:r>
      <w:r>
        <w:rPr>
          <w:rFonts w:ascii="Times New Roman" w:cs="Times New Roman" w:eastAsia="Times New Roman" w:hAnsi="Times New Roman"/>
          <w:sz w:val="18"/>
          <w:szCs w:val="18"/>
          <w:color w:val="auto"/>
        </w:rPr>
        <w:t>CEO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Email Address of Authorized Signatory: </w:t>
      </w:r>
      <w:r>
        <w:rPr>
          <w:rFonts w:ascii="Times New Roman" w:cs="Times New Roman" w:eastAsia="Times New Roman" w:hAnsi="Times New Roman"/>
          <w:sz w:val="18"/>
          <w:szCs w:val="18"/>
          <w:color w:val="auto"/>
        </w:rPr>
        <w:t>lidaglobal001@gmail.com</w:t>
      </w:r>
    </w:p>
    <w:p>
      <w:pPr>
        <w:spacing w:after="0" w:line="227" w:lineRule="exact"/>
        <w:rPr>
          <w:sz w:val="20"/>
          <w:szCs w:val="20"/>
          <w:color w:val="auto"/>
        </w:rPr>
      </w:pPr>
    </w:p>
    <w:p>
      <w:pPr>
        <w:jc w:val="right"/>
        <w:ind w:right="2419"/>
        <w:spacing w:after="0"/>
        <w:rPr>
          <w:sz w:val="20"/>
          <w:szCs w:val="20"/>
          <w:color w:val="auto"/>
        </w:rPr>
      </w:pPr>
      <w:r>
        <w:rPr>
          <w:rFonts w:ascii="Times New Roman" w:cs="Times New Roman" w:eastAsia="Times New Roman" w:hAnsi="Times New Roman"/>
          <w:sz w:val="18"/>
          <w:szCs w:val="18"/>
          <w:i w:val="1"/>
          <w:iCs w:val="1"/>
          <w:color w:val="auto"/>
        </w:rPr>
        <w:t>[Registration Rights Agreement – Holder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14" w:right="144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color w:val="auto"/>
        </w:rPr>
        <w:t xml:space="preserve">Name of Holder: </w:t>
      </w:r>
      <w:r>
        <w:rPr>
          <w:rFonts w:ascii="Times New Roman" w:cs="Times New Roman" w:eastAsia="Times New Roman" w:hAnsi="Times New Roman"/>
          <w:sz w:val="18"/>
          <w:szCs w:val="18"/>
          <w:color w:val="auto"/>
        </w:rPr>
        <w:t>Viner Total Investments Fund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Signature of Authorized Signatory of Holder: </w:t>
      </w:r>
      <w:r>
        <w:rPr>
          <w:rFonts w:ascii="Times New Roman" w:cs="Times New Roman" w:eastAsia="Times New Roman" w:hAnsi="Times New Roman"/>
          <w:sz w:val="18"/>
          <w:szCs w:val="18"/>
          <w:color w:val="auto"/>
        </w:rPr>
        <w:t>/s/ Cheng Wan 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of Authorized Signatory: </w:t>
      </w:r>
      <w:r>
        <w:rPr>
          <w:rFonts w:ascii="Times New Roman" w:cs="Times New Roman" w:eastAsia="Times New Roman" w:hAnsi="Times New Roman"/>
          <w:sz w:val="18"/>
          <w:szCs w:val="18"/>
          <w:color w:val="auto"/>
        </w:rPr>
        <w:t>Cheng Wan 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Title of Authorized Signatory: </w:t>
      </w:r>
      <w:r>
        <w:rPr>
          <w:rFonts w:ascii="Times New Roman" w:cs="Times New Roman" w:eastAsia="Times New Roman" w:hAnsi="Times New Roman"/>
          <w:sz w:val="18"/>
          <w:szCs w:val="18"/>
          <w:color w:val="auto"/>
        </w:rPr>
        <w:t>Director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Email Address of Authorized Signatory: </w:t>
      </w:r>
      <w:r>
        <w:rPr>
          <w:rFonts w:ascii="Times New Roman" w:cs="Times New Roman" w:eastAsia="Times New Roman" w:hAnsi="Times New Roman"/>
          <w:sz w:val="18"/>
          <w:szCs w:val="18"/>
          <w:color w:val="auto"/>
        </w:rPr>
        <w:t>maggie.cheng@apollo.com.hk</w:t>
      </w:r>
    </w:p>
    <w:p>
      <w:pPr>
        <w:spacing w:after="0" w:line="227" w:lineRule="exact"/>
        <w:rPr>
          <w:sz w:val="20"/>
          <w:szCs w:val="20"/>
          <w:color w:val="auto"/>
        </w:rPr>
      </w:pPr>
    </w:p>
    <w:p>
      <w:pPr>
        <w:jc w:val="right"/>
        <w:ind w:right="2419"/>
        <w:spacing w:after="0"/>
        <w:rPr>
          <w:sz w:val="20"/>
          <w:szCs w:val="20"/>
          <w:color w:val="auto"/>
        </w:rPr>
      </w:pPr>
      <w:r>
        <w:rPr>
          <w:rFonts w:ascii="Times New Roman" w:cs="Times New Roman" w:eastAsia="Times New Roman" w:hAnsi="Times New Roman"/>
          <w:sz w:val="18"/>
          <w:szCs w:val="18"/>
          <w:i w:val="1"/>
          <w:iCs w:val="1"/>
          <w:color w:val="auto"/>
        </w:rPr>
        <w:t>[Registration Rights Agreement – Holder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2.1.1</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u w:val="single" w:color="auto"/>
          <w:color w:val="auto"/>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171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Annex 2.1.2</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171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Annex 3.1</w:t>
      </w:r>
    </w:p>
    <w:p>
      <w:pPr>
        <w:spacing w:after="0" w:line="22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Selling Shareholder Notice and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287655</wp:posOffset>
            </wp:positionV>
            <wp:extent cx="7132320" cy="171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186" w:name="page187"/>
    <w:bookmarkEnd w:id="186"/>
    <w:p>
      <w:pPr>
        <w:ind w:left="10320"/>
        <w:spacing w:after="0"/>
        <w:rPr>
          <w:sz w:val="20"/>
          <w:szCs w:val="20"/>
          <w:color w:val="auto"/>
        </w:rPr>
      </w:pPr>
      <w:r>
        <w:rPr>
          <w:rFonts w:ascii="Times New Roman" w:cs="Times New Roman" w:eastAsia="Times New Roman" w:hAnsi="Times New Roman"/>
          <w:sz w:val="17"/>
          <w:szCs w:val="17"/>
          <w:b w:val="1"/>
          <w:bCs w:val="1"/>
          <w:color w:val="auto"/>
        </w:rPr>
        <w:t>Exhibit 10.9</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ESCROW AGREEMENT</w:t>
      </w:r>
    </w:p>
    <w:p>
      <w:pPr>
        <w:spacing w:after="0" w:line="22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ESCROW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dated as of this 11th day of September 2025 by and among </w:t>
      </w:r>
      <w:r>
        <w:rPr>
          <w:rFonts w:ascii="Times New Roman" w:cs="Times New Roman" w:eastAsia="Times New Roman" w:hAnsi="Times New Roman"/>
          <w:sz w:val="18"/>
          <w:szCs w:val="18"/>
          <w:b w:val="1"/>
          <w:bCs w:val="1"/>
          <w:color w:val="auto"/>
        </w:rPr>
        <w:t>Trident Digital Tech Holdings Ltd,</w:t>
      </w:r>
      <w:r>
        <w:rPr>
          <w:rFonts w:ascii="Times New Roman" w:cs="Times New Roman" w:eastAsia="Times New Roman" w:hAnsi="Times New Roman"/>
          <w:sz w:val="18"/>
          <w:szCs w:val="18"/>
          <w:color w:val="auto"/>
        </w:rPr>
        <w:t xml:space="preserve"> a Cayman Islands exempted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Chaince Securities, LLC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having an address at 1330 Avenue of the Americas, 33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New York, NY 10019 (“</w:t>
      </w:r>
      <w:r>
        <w:rPr>
          <w:rFonts w:ascii="Times New Roman" w:cs="Times New Roman" w:eastAsia="Times New Roman" w:hAnsi="Times New Roman"/>
          <w:sz w:val="18"/>
          <w:szCs w:val="18"/>
          <w:b w:val="1"/>
          <w:bCs w:val="1"/>
          <w:color w:val="auto"/>
        </w:rPr>
        <w:t>Placement Agent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WILMINGTON TRUST, NATIONAL ASSOCIATION</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Escrow Agent</w:t>
      </w:r>
      <w:r>
        <w:rPr>
          <w:rFonts w:ascii="Times New Roman" w:cs="Times New Roman" w:eastAsia="Times New Roman" w:hAnsi="Times New Roman"/>
          <w:sz w:val="18"/>
          <w:szCs w:val="18"/>
          <w:color w:val="auto"/>
        </w:rPr>
        <w:t>”). The Company and the Placement Agent, each a “Party,” are collectively referred to as “Parties” and individually, a “Party.”</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capitalized terms not herein defined shall have the meaning ascribed to them in that certain Securities Purchase Agreement, by and among the Company and the purchasers set forth therein, dated as of or about September 10, 2025, as amended or supplemented from time-to-time, including all attachments, schedules and exhibits thereto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 I T N E S S E T H:</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proposes to sell (the</w:t>
      </w:r>
      <w:r>
        <w:rPr>
          <w:rFonts w:ascii="Times New Roman" w:cs="Times New Roman" w:eastAsia="Times New Roman" w:hAnsi="Times New Roman"/>
          <w:sz w:val="18"/>
          <w:szCs w:val="18"/>
          <w:b w:val="1"/>
          <w:bCs w:val="1"/>
          <w:color w:val="auto"/>
        </w:rPr>
        <w:t xml:space="preserve"> “Financing Transaction”</w:t>
      </w:r>
      <w:r>
        <w:rPr>
          <w:rFonts w:ascii="Times New Roman" w:cs="Times New Roman" w:eastAsia="Times New Roman" w:hAnsi="Times New Roman"/>
          <w:sz w:val="18"/>
          <w:szCs w:val="18"/>
          <w:color w:val="auto"/>
        </w:rPr>
        <w:t>) a maximum of 85,714,286 shares of the Company’s Class B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Shares, par value $0.00001 per share, represented by American Depositary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for an offering amount of $ $1,500,000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to investors (each,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subject to all conditions to closing being satisfied or waived, the closing(s) of the Offering shall take place from time to time 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earlier of (a) the date which is one year after this Offering being qualified by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or (b) the date on which this Offering is earlier terminated by the Company in its sole discretion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(the earlier of</w:t>
      </w:r>
    </w:p>
    <w:p>
      <w:pPr>
        <w:ind w:left="260" w:hanging="252"/>
        <w:spacing w:after="0"/>
        <w:tabs>
          <w:tab w:leader="none" w:pos="2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the “</w:t>
      </w:r>
      <w:r>
        <w:rPr>
          <w:rFonts w:ascii="Times New Roman" w:cs="Times New Roman" w:eastAsia="Times New Roman" w:hAnsi="Times New Roman"/>
          <w:sz w:val="18"/>
          <w:szCs w:val="18"/>
          <w:b w:val="1"/>
          <w:bCs w:val="1"/>
          <w:color w:val="auto"/>
        </w:rPr>
        <w:t>Final Termination Date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there is no minimum offering amount and all funds shall only be returned to the potential Investors in the event the Offering is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consummated or if the Company, in its sole discretion, rejects all or a part of a particular potential Investor’s subscription;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Financing Transaction contemplated by the Securities Purchase Agreement, the Company entered into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Placement Agent Agreement between the Company and the Placement Agent, and certain other agreements, documents, instruments and certificates necessary to carry out the purposes thereof, including without limitation the Securities Purchase Agreement (collectively,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Placement Agent desire to establish an escrow account with the Escrow Agent into which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Placement Agent shall instruct the Investors to deposit checks or make a wire transfer for the payment of money made payable to the order of “WILMINGTON TRUST, N.A. as Escrow Agent for TDTH Ltd Escrow Account,” and the Escrow Agent is willing to accept said checks and other instruments for the payment of money in accordance with the terms hereinafter set forth;</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Placement Agent represent and warrant to the Escrow Agent that they have not stated to any individual or entity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Escrow Agent’s duties will include anything other than those duties stated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7" w:name="page188"/>
    <w:bookmarkEnd w:id="187"/>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WHEREAS, THE ISSUER AND THE PLACEMENT AGENT UNDERSTAND THAT THE ESCROW AGENT, BY ACCEPTING THE APPOINMTMENT AND DESIGNATION AS ESCROW AGENT HEREUNDER, IN NO WAY ENDORSES THE MERITS OF THE OFFERING OF THE SECURITIES. THE ISSUER AND THE PLACEMENT AGENT AGREE TO NOTIFY ANY PERSON ACTING ON ITS BEHALF THAT THE ESCROW AGENT’S POSITION AS ESCROW AGENT DOES NOT CONSTITUTE SUCH AN ENDORSEMENT, AND TO PROHIBIT SAID PERSONS FROM THE USE OF THE ESCROW AGENT’S NAME AS AN ENDORSER OF SUCH OFFERING. </w:t>
      </w:r>
      <w:r>
        <w:rPr>
          <w:rFonts w:ascii="Times New Roman" w:cs="Times New Roman" w:eastAsia="Times New Roman" w:hAnsi="Times New Roman"/>
          <w:sz w:val="18"/>
          <w:szCs w:val="18"/>
          <w:color w:val="auto"/>
        </w:rPr>
        <w:t>The Issuer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Placement Agent further agree to include with any sales literature, in which the Escrow Agent’s name appears and which is used in connection with such offering, a statement to the effect that the Escrow Agent in no way endorses the merits of the offering; and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NOW, THEREFORE, IT IS AGREED </w:t>
      </w:r>
      <w:r>
        <w:rPr>
          <w:rFonts w:ascii="Times New Roman" w:cs="Times New Roman" w:eastAsia="Times New Roman" w:hAnsi="Times New Roman"/>
          <w:sz w:val="18"/>
          <w:szCs w:val="18"/>
          <w:color w:val="auto"/>
        </w:rPr>
        <w:t>as follows: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ESCROW DEPOSIT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Delivery of Escrow Funds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56"/>
        <w:spacing w:after="0" w:line="282" w:lineRule="auto"/>
        <w:tabs>
          <w:tab w:leader="none" w:pos="95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Placement Agent and the Company shall instruct the Investor to deliver to Escrow Agent checks made payable to the order of “WILMINGTON TRUST, N.A. as Escrow Agent for TDTH Ltd Escrow Account”, or wire transfer 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Wilmington Trust Company</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ABA #: 031100092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 #: 179943-000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 Name: TDTH Ltd Escrow Account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Joseph M. Gribaudo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Wires: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M&amp;T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Buffalo, New York</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ABA: 022000046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SWIFT: MANTUS33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Beneficiary Bank: Wilmington Trust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Beneficiary ABA: 031100092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 #: 179943-000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 Name: TDTH Ltd Escrow Account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8" w:name="page189"/>
    <w:bookmarkEnd w:id="188"/>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All such checks and wire transfers remitted to the Escrow Agent shall be accompanied by information identifying each Investor, its subscription, the Investor’s social security or taxpayer identification number and address. In the event the Investor’s address and/or social security number or taxpayer identification number are not provided to Escrow Agent by the Investor, then Placement Agent and/or the Company agree to use their commercial reasonable efforts to promptly upon request provide Escrow Agent with such information in writing. The checks or wire transfers shall be deposited into a non-interest-bearing account at WILMINGTON TRUST, </w:t>
      </w:r>
      <w:r>
        <w:rPr>
          <w:rFonts w:ascii="Times New Roman" w:cs="Times New Roman" w:eastAsia="Times New Roman" w:hAnsi="Times New Roman"/>
          <w:sz w:val="18"/>
          <w:szCs w:val="18"/>
          <w:b w:val="1"/>
          <w:bCs w:val="1"/>
          <w:color w:val="auto"/>
        </w:rPr>
        <w:t>NATIONAL ASSOCIATION</w:t>
      </w:r>
      <w:r>
        <w:rPr>
          <w:rFonts w:ascii="Times New Roman" w:cs="Times New Roman" w:eastAsia="Times New Roman" w:hAnsi="Times New Roman"/>
          <w:sz w:val="18"/>
          <w:szCs w:val="18"/>
          <w:color w:val="auto"/>
        </w:rPr>
        <w:t xml:space="preserve"> entitled “WILMINGTON TRUST, N.A. as Escrow Agent for TDTH Ltd Escrow Account” (the “</w:t>
      </w:r>
      <w:r>
        <w:rPr>
          <w:rFonts w:ascii="Times New Roman" w:cs="Times New Roman" w:eastAsia="Times New Roman" w:hAnsi="Times New Roman"/>
          <w:sz w:val="18"/>
          <w:szCs w:val="18"/>
          <w:b w:val="1"/>
          <w:bCs w:val="1"/>
          <w:color w:val="auto"/>
        </w:rPr>
        <w:t>Escrow Account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Checks should be mailed to the following address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 19890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Workflow Management</w:t>
      </w:r>
    </w:p>
    <w:p>
      <w:pPr>
        <w:spacing w:after="0" w:line="203" w:lineRule="exact"/>
        <w:rPr>
          <w:sz w:val="20"/>
          <w:szCs w:val="20"/>
          <w:color w:val="auto"/>
        </w:rPr>
      </w:pPr>
    </w:p>
    <w:p>
      <w:pPr>
        <w:ind w:left="920" w:hanging="264"/>
        <w:spacing w:after="0"/>
        <w:tabs>
          <w:tab w:leader="none" w:pos="9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collected funds deposited into the Escrow Account are referred to as the “</w:t>
      </w:r>
      <w:r>
        <w:rPr>
          <w:rFonts w:ascii="Times New Roman" w:cs="Times New Roman" w:eastAsia="Times New Roman" w:hAnsi="Times New Roman"/>
          <w:sz w:val="18"/>
          <w:szCs w:val="18"/>
          <w:b w:val="1"/>
          <w:bCs w:val="1"/>
          <w:color w:val="auto"/>
        </w:rPr>
        <w:t>Escrow Funds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656"/>
        <w:spacing w:after="0" w:line="266" w:lineRule="auto"/>
        <w:tabs>
          <w:tab w:leader="none" w:pos="90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have no duty or responsibility to enforce the collection or demand payment of any funds deposited into the Escrow Account. If, for any reason, any check deposited into the Escrow Account shall be returned unpaid to the Escrow Agent, the sole duty of the Escrow Agent shall be to return the check to the Investor and advise the Company and Placement Agent promptly thereof.</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1"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funds received by the Escrow Agent shall be held only in non-interest-bearing bank accounts at WILMINGTON TRUST, NATIONAL ASSOCIATION.</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1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market conditions are such that negative interest applies to amounts deposited with the Escrow Agent, the Company and Placement Agent jointly and severally shall be responsible for the payment of such interest and the Escrow Agent shall be entitled to deduct from amounts on deposit with it an amount necessary to pay such negative interest. For the avoidance of doubt, the indemnification protections afforded to the Escrow Agent under Section 2.2 of this Agreement shall cover any interest-related expenses (including, but not limited to, negative interest) incurred by the Escrow Agent in the performance of its duties hereunder.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Release of Escrow Funds</w:t>
      </w:r>
      <w:r>
        <w:rPr>
          <w:rFonts w:ascii="Times New Roman" w:cs="Times New Roman" w:eastAsia="Times New Roman" w:hAnsi="Times New Roman"/>
          <w:sz w:val="18"/>
          <w:szCs w:val="18"/>
          <w:color w:val="auto"/>
        </w:rPr>
        <w:t>. The Escrow Funds shall be paid by the Escrow Agent in accordance with the following:</w:t>
      </w:r>
    </w:p>
    <w:p>
      <w:pPr>
        <w:spacing w:after="0" w:line="225" w:lineRule="exact"/>
        <w:rPr>
          <w:sz w:val="20"/>
          <w:szCs w:val="20"/>
          <w:color w:val="auto"/>
        </w:rPr>
      </w:pPr>
    </w:p>
    <w:p>
      <w:pPr>
        <w:ind w:firstLine="656"/>
        <w:spacing w:after="0" w:line="286" w:lineRule="auto"/>
        <w:tabs>
          <w:tab w:leader="none" w:pos="91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advises the Escrow Agent in writing that the Offering has been terminated (the “</w:t>
      </w:r>
      <w:r>
        <w:rPr>
          <w:rFonts w:ascii="Times New Roman" w:cs="Times New Roman" w:eastAsia="Times New Roman" w:hAnsi="Times New Roman"/>
          <w:sz w:val="18"/>
          <w:szCs w:val="18"/>
          <w:b w:val="1"/>
          <w:bCs w:val="1"/>
          <w:color w:val="auto"/>
        </w:rPr>
        <w:t>Termination Notice</w:t>
      </w:r>
      <w:r>
        <w:rPr>
          <w:rFonts w:ascii="Times New Roman" w:cs="Times New Roman" w:eastAsia="Times New Roman" w:hAnsi="Times New Roman"/>
          <w:sz w:val="18"/>
          <w:szCs w:val="18"/>
          <w:color w:val="auto"/>
        </w:rPr>
        <w:t>”), the Escrow Agent shall promptly return the funds paid by each Investor to such Investor without interest or offset.</w:t>
      </w:r>
    </w:p>
    <w:p>
      <w:pPr>
        <w:spacing w:after="0" w:line="158" w:lineRule="exact"/>
        <w:rPr>
          <w:rFonts w:ascii="Times New Roman" w:cs="Times New Roman" w:eastAsia="Times New Roman" w:hAnsi="Times New Roman"/>
          <w:sz w:val="18"/>
          <w:szCs w:val="18"/>
          <w:color w:val="auto"/>
        </w:rPr>
      </w:pPr>
    </w:p>
    <w:p>
      <w:pPr>
        <w:jc w:val="both"/>
        <w:ind w:firstLine="656"/>
        <w:spacing w:after="0" w:line="266" w:lineRule="auto"/>
        <w:tabs>
          <w:tab w:leader="none" w:pos="90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each closing of the Offering, the Company and the Placement Agent shall provide the Escrow Agent with written instructions regarding the disbursement of the Escrow Funds in accordance with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attached hereto and made a part hereof and signed by the Company and the Placement Agent (the “</w:t>
      </w:r>
      <w:r>
        <w:rPr>
          <w:rFonts w:ascii="Times New Roman" w:cs="Times New Roman" w:eastAsia="Times New Roman" w:hAnsi="Times New Roman"/>
          <w:sz w:val="18"/>
          <w:szCs w:val="18"/>
          <w:b w:val="1"/>
          <w:bCs w:val="1"/>
          <w:color w:val="auto"/>
        </w:rPr>
        <w:t>Written Direction</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1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5:00 P.M. Eastern time on the Final Termination Date, the Escrow Agent has not received Written Direction from the Company and Placement Agent regarding the disbursement of the Escrow Funds in the Escrow Account, if any, then the Escrow Agent shall promptly return such Escrow Funds, if any, to the Investors without interest or offset. The Escrow Funds returned to the Investors shall be free and clear of any and all claims of the Escrow Agent.</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not be required to pay any uncollected funds or any funds that are not available for withdrawal.</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Agent or the Company will provide the Escrow Agent with the payment instructions for each Investor, to whom the funds should be returned in accordance with this section.</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7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Escrow Agent makes any payment to any other party pursuant to this Escrow Agreement and for any reason such payment (or any portion thereof) is required to be returned to the Escrow Account or another party or is subsequently invalidated, declared to be fraudulent or preferential, set aside and/or required to be repaid to a receiver, trustee or other party under any bankruptcy or insolvency law, other federal or state law, common law or equitable doctrine, then the recipient party shall repay to the Escrow Agent upon written request the amount so paid to it.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in its sole discretion, comply with judgments or orders issued or process entered by any court with respect to the Escrow Amount, including without limitation any attachment, levy or garnishment, without any obligation to determine such court’s jurisdiction in the matter and in accordance with its normal business practices. If the Escrow Agent complies with any such judgment, order or process, then it shall not be liable to any of the Parties or any other person by reason of such compliance, regardless of the final disposition of any such judgment, order or process.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2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understands and agrees that Escrow Agent shall have no obligation or duty to act upon a written direction delivered to Escrow Agent for the disbursement of all or part of the Escrow Amount under this Agreement (a “</w:t>
      </w:r>
      <w:r>
        <w:rPr>
          <w:rFonts w:ascii="Times New Roman" w:cs="Times New Roman" w:eastAsia="Times New Roman" w:hAnsi="Times New Roman"/>
          <w:sz w:val="18"/>
          <w:szCs w:val="18"/>
          <w:b w:val="1"/>
          <w:bCs w:val="1"/>
          <w:color w:val="auto"/>
        </w:rPr>
        <w:t>Written Direction</w:t>
      </w:r>
      <w:r>
        <w:rPr>
          <w:rFonts w:ascii="Times New Roman" w:cs="Times New Roman" w:eastAsia="Times New Roman" w:hAnsi="Times New Roman"/>
          <w:sz w:val="18"/>
          <w:szCs w:val="18"/>
          <w:color w:val="auto"/>
        </w:rPr>
        <w:t>”) if such Written Direction is not</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writing,</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5"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by, in the case of Company, any individual designated by Company on Exhibit B hereto or, in the case of Placement Agent, any individual designated by Placement Agent on Exhibit C hereto (in each case, each such individual an “</w:t>
      </w:r>
      <w:r>
        <w:rPr>
          <w:rFonts w:ascii="Times New Roman" w:cs="Times New Roman" w:eastAsia="Times New Roman" w:hAnsi="Times New Roman"/>
          <w:sz w:val="18"/>
          <w:szCs w:val="18"/>
          <w:b w:val="1"/>
          <w:bCs w:val="1"/>
          <w:color w:val="auto"/>
        </w:rPr>
        <w:t>Authorized Representative</w:t>
      </w:r>
      <w:r>
        <w:rPr>
          <w:rFonts w:ascii="Times New Roman" w:cs="Times New Roman" w:eastAsia="Times New Roman" w:hAnsi="Times New Roman"/>
          <w:sz w:val="18"/>
          <w:szCs w:val="18"/>
          <w:color w:val="auto"/>
        </w:rPr>
        <w:t>” of such Party),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0" w:name="page191"/>
    <w:bookmarkEnd w:id="190"/>
    <w:p>
      <w:pPr>
        <w:ind w:left="1620" w:hanging="316"/>
        <w:spacing w:after="0"/>
        <w:tabs>
          <w:tab w:leader="none" w:pos="162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to, and able to be authenticated by, Escrow Agent in accordance with Section 1.4 below.</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7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by any Party, the Escrow Agent set up each Party with on-line access to the account(s) established pursuant to this Agreement, which each Party can use to view and verify transaction on such account(s).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7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may specify in a Written Direction whether such Escrow Amount shall be disbursed by way of wire transfer or check. If the written notice for the disbursement of funds does not so specify the disbursement means, Escrow Agent may disburse the Escrow Amount by wire transfer.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b w:val="1"/>
          <w:bCs w:val="1"/>
          <w:u w:val="single" w:color="auto"/>
          <w:color w:val="auto"/>
        </w:rPr>
        <w:t>Written Direction and Other Instruction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56"/>
        <w:spacing w:after="0" w:line="253" w:lineRule="auto"/>
        <w:tabs>
          <w:tab w:leader="none" w:pos="90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Written Direction or any other notice, direction or other instruction required to be delivered by a Party to Escrow Agent under this Agreement, Escrow Agent is authorized to follow and rely upon any and all such instructions given to it from time to time if the Escrow Agent believes, in good faith, that such instruction is genuine and has been signed by an Authorized Representative of such Party. Escrow Agent shall have no duty or obligation to verify that the person who sent such instruction is, in fact, a person duly authorized to give instructions on behalf of a Party, other than to verify that the signature of the Authorized Representative on any such instruction appears to be the signature of such person. Each Party acknowledges and agrees that it is fully informed of the protections and risks associated with the various methods of transmitting instructions to Escrow Agent, and that there may be more secure methods of transmitting instructions other than the method selected by such Party. Escrow Agent shall have no responsibility or liability for any loss which may result from (i) any action taken or not taken by Escrow Agent in good faith reliance on any such signatures or instructions,</w:t>
      </w:r>
    </w:p>
    <w:p>
      <w:pPr>
        <w:jc w:val="both"/>
        <w:ind w:firstLine="8"/>
        <w:spacing w:after="0" w:line="253" w:lineRule="auto"/>
        <w:tabs>
          <w:tab w:leader="none" w:pos="27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 Party’s reliance upon or use of any particular method of delivering instructions to Escrow Agent, including the risk of interception of such instruction and misuse by third parties, or (iii) any officer or Authorized Representative of a Party named in an incumbency certificate, Exhibit B or Exhibit C delivered hereunder prior to actual receipt by the Escrow Agent of a more current incumbency certificate or an updated Exhibit B or Exhibit C and a reasonable time for the Escrow Agent to act upon such updated or more current certificate or Exhibit.</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may, at any time, update Exhibit B and Placement Agent may, at any time, update Exhibit C by signing and submitting to the Escrow Agent an updated Exhibit. Any updated Exhibit shall not be effective unless the Escrow Agent countersigns a copy thereof. The Escrow Agent shall be entitled to a reasonable time to act to implement any changes on an updated Exhibit.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color w:val="auto"/>
        </w:rPr>
        <w:t xml:space="preserve">Section 1.4 </w:t>
      </w:r>
      <w:r>
        <w:rPr>
          <w:rFonts w:ascii="Times New Roman" w:cs="Times New Roman" w:eastAsia="Times New Roman" w:hAnsi="Times New Roman"/>
          <w:sz w:val="18"/>
          <w:szCs w:val="18"/>
          <w:b w:val="1"/>
          <w:bCs w:val="1"/>
          <w:u w:val="single" w:color="auto"/>
          <w:color w:val="auto"/>
        </w:rPr>
        <w:t>Delivery and Authentication of Written Direction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00" w:hanging="244"/>
        <w:spacing w:after="0"/>
        <w:tabs>
          <w:tab w:leader="none" w:pos="9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Direction must be delivered to Escrow Agent by one of the delivery methods set forth in Section 3.3.</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and Escrow Agent hereby agree that the following security procedures will be used to verify the authenticity of a Written Direction delivered by any Party to Escrow Agent under this Agreement: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52"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Direction must include the name and signature of the person delivering the disbursement request to Escrow Agent. Escrow Agent will check that the name and signature of the person identified on the Written Direction appears to be the same as the name and signature of an Authorized Representative of such Party;</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9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Escrow Agent will make a telephone call to an Authorized Representative of the Party purporting to deliver the Written Direction (which Authorized Representative may be the same as the Authorized Representative who delivered the Written Direction) at any telephone number for such Authorized Representative as set forth on Exhibit B or Exhibit C to obtain oral confirmation of delivery of the Written Direction. If the Written Direction is a joint written notice of the Parties, the Escrow Agent shall call back an Authorized Representative of both of those Parties; and</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23"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Written Direction is sent by email to Escrow Agent, Escrow Agent also shall review such email address to verify that it appears to have been sent from an email address for an Authorized Representative of one of the Parties as set forth on Exhibit B and Exhibit C, as applicable, or from an email address for a person authorized under Exhibit B or Exhibit C, as applicable, to email a Written Direction to Escrow Agent on behalf of the Authorized Representative).</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89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and agrees that given its particular circumstances, including the nature of its business, the size, type and frequency of its instructions, transactions and files, internal procedures and systems, the alternative security procedures offered by Escrow Agent and the security procedures in general use by other customers and banks similarly situated, the security procedures set forth in this Section 1.4 are a commercially reasonable method of verifying the authenticity of a payment order in a Written Direction.</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90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Escrow Agent is authorized to execute, and each Party expressly agrees to be bound by any payment order in a Written Direction issued in its name (and associated funds transfer) (i) that is accepted by Escrow Agent in accordance with the security procedures set forth in this Section 1.4 , whether or not authorized by such Party and/or (ii) that is authorized by or on behalf of such Party or for which such Party is otherwise bound under the law of agency, whether or not the security procedures set forth in this Section 1.4 were followed, and to debit the Escrow Account for the amount of the payment order. Notwithstanding anything else, Escrow Agent shall be deemed to have acted in good faith and without negligence, gross negligence or misconduct if Escrow Agent is authorized to execute the payment order under this Section 1.4. Any action taken by Escrow Agent pursuant to this paragraph prior to Escrow Agent’s actual receipt and acknowledgement of a notice of revocation, cancellation or amendment of a Written Direction shall not be affected by such notice.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2" w:name="page193"/>
    <w:bookmarkEnd w:id="192"/>
    <w:p>
      <w:pPr>
        <w:jc w:val="both"/>
        <w:ind w:firstLine="656"/>
        <w:spacing w:after="0" w:line="261" w:lineRule="auto"/>
        <w:tabs>
          <w:tab w:leader="none" w:pos="89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procedures set forth in this Section 1.4 are intended to verify the authenticity of payment orders provided to Escrow Agent and are not designed to, and do not, detect errors in the transmission or content of any payment order. Escrow Agent is not responsible for detecting an error in the payment order, regardless of whether any of the Parties believes the error was apparent, and Escrow Agent is not liable for any damages arising from any failure to detect an error.</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87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instructed to credit or pay a party by both name and a unique numeric or alpha-numeric identifier (e.g. ABA number or account number), Escrow Agent, and any other banks participating in the funds transfer, may rely solely on the unique identifier, even if it identifies a party different than the party named. Each Party agrees to be bound by the rules of any funds transfer network used in connection with any payment order accepted by Escrow Agent hereunder.</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1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Escrow Agent shall not be obliged to make any payment requested under this Escrow Agreement if it is unable to validate the authenticity of the request by the security procedures set forth in this Section 1.4. Escrow Agent’s inability to confirm a payment order may result in a delay or failure to act on that payment order. Notwithstanding anything else in this Agreement, Escrow Agent shall not be required to treat a payment order as having been received until Escrow Agent has authenticated it pursuant to the security procedures in this Section 1.4 and shall not be liable or responsible for any losses arising in relation to such delay or failure to act.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PROVISIONS CONCERNING THE ESCROW AGENT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Acceptance by Escrow Agent</w:t>
      </w:r>
      <w:r>
        <w:rPr>
          <w:rFonts w:ascii="Times New Roman" w:cs="Times New Roman" w:eastAsia="Times New Roman" w:hAnsi="Times New Roman"/>
          <w:sz w:val="18"/>
          <w:szCs w:val="18"/>
          <w:color w:val="auto"/>
        </w:rPr>
        <w:t>. The Escrow Agent hereby accepts and agrees to perform its obligations hereunder, provided that:</w:t>
      </w:r>
    </w:p>
    <w:p>
      <w:pPr>
        <w:spacing w:after="0" w:line="229" w:lineRule="exact"/>
        <w:rPr>
          <w:sz w:val="20"/>
          <w:szCs w:val="20"/>
          <w:color w:val="auto"/>
        </w:rPr>
      </w:pPr>
    </w:p>
    <w:p>
      <w:pPr>
        <w:jc w:val="both"/>
        <w:ind w:firstLine="656"/>
        <w:spacing w:after="0" w:line="266" w:lineRule="auto"/>
        <w:tabs>
          <w:tab w:leader="none" w:pos="89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be entitled to rely upon any order, judgment, opinion, or other writing delivered to it in compliance with the provisions of this Agreement without being required to determine the authenticity or the correctness of any fact stated therein or the propriety or validity of service thereof.</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2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be entitled to rely on and shall not be liable for any action taken or omitted to be taken by the Escrow Agent in accordance with the advice of counsel or other professionals retained or consulted by the Escrow Agent. The Escrow Agent shall be reimbursed as set forth in Section 2.2 for any and all compensation (fees, expenses and other costs) paid and/or reimbursed to such counsel and/or professionals. The Escrow Agent may perform any and all of its duties through its agents, representatives, attorneys, custodians, and/or nominees and shall not be responsible for the acts or omissions of such agents, representatives, attorneys, custodians or nominees appointed with due care.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jc w:val="both"/>
        <w:ind w:firstLine="656"/>
        <w:spacing w:after="0" w:line="266" w:lineRule="auto"/>
        <w:tabs>
          <w:tab w:leader="none" w:pos="89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Escrow Agent shall be uncertain as to its duties or rights hereunder, the Escrow Agent shall be entitled to (i) refrain from taking any action other than to keep safely the Escrow Funds until it shall be directed otherwise by a court of competent jurisdiction, or (ii) deliver the Escrow Funds to a court of competent jurisdiction.</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have no duty, responsibility or obligation to interpret or enforce the terms of any agreement other than Escrow Agent’s obligations hereunder, and the Escrow Agent shall not be required to make a request that any monies be delivered to the Escrow Account. The Escrow Agent makes no representation as to the validity, value, genuineness or collectability of any security or other document or instrument held by or delivered to it.</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be obligated to perform only such duties as are expressly set forth in this Agreement. No implied covenants or obligations shall be inferred from this Agreement against the Escrow Agent, nor shall the Escrow Agent be bound by the provisions of any agreement by the Company beyond the specific terms hereof. Without limiting the foregoing, the Escrow Agent shall dispose of the Escrow Funds in accordance with the express provisions of this Agreement, and has not reviewed and shall not make, be required to make or be liable in any manner for its failure to make, any determination under any other document, or any other agreement.</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88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term or provision of this Agreement is intended to create, nor shall any such term or provision be deemed to have created, any trust, joint venture, partnership, between or among the Escrow Agent and any of the Parties.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 Placement Agent and the Company agree, jointly and severally, to indemnify and hold the Escrow Agent and its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directors and agents (the “</w:t>
      </w:r>
      <w:r>
        <w:rPr>
          <w:rFonts w:ascii="Times New Roman" w:cs="Times New Roman" w:eastAsia="Times New Roman" w:hAnsi="Times New Roman"/>
          <w:sz w:val="18"/>
          <w:szCs w:val="18"/>
          <w:b w:val="1"/>
          <w:bCs w:val="1"/>
          <w:color w:val="auto"/>
        </w:rPr>
        <w:t>Indemnified Parties</w:t>
      </w:r>
      <w:r>
        <w:rPr>
          <w:rFonts w:ascii="Times New Roman" w:cs="Times New Roman" w:eastAsia="Times New Roman" w:hAnsi="Times New Roman"/>
          <w:sz w:val="18"/>
          <w:szCs w:val="18"/>
          <w:color w:val="auto"/>
        </w:rPr>
        <w:t>”) harmless from any and against all liabilities, losses, actions, suits or proceedings at law or in equity, and any other expenses, fees or charges of any character or nature, (including, without limitation, negative interest, attorney’s fees and expenses and the costs of enforcement of this Escrow Agreement or any provision thereof), which an Indemnified Party may incur or with which it may be threatened by reason of acting as or on behalf of the Escrow Agent under this Escrow Agreement or arising out of the existence of the Escrow Account, except to the extent the same shall be have been finally adjudicated to have been directly caused by the Escrow Agent’s fraud, gross negligence or willful misconduct. Placement Agent and the Company agree, jointly and severally, to pay or reimburse the Escrow Agent upon request for any transfer taxes or other taxes relating to the Escrow Funds incurred in connection herewith and shall indemnify and hold harmless the Escrow Agent with respect to any amounts that it is obligated to pay in the way of such taxes. The terms of this paragraph shall survive termination of this Agreement.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Limitation of Liability</w:t>
      </w:r>
      <w:r>
        <w:rPr>
          <w:rFonts w:ascii="Times New Roman" w:cs="Times New Roman" w:eastAsia="Times New Roman" w:hAnsi="Times New Roman"/>
          <w:sz w:val="18"/>
          <w:szCs w:val="18"/>
          <w:color w:val="auto"/>
        </w:rPr>
        <w:t>. THE ESCROW AGENT SHALL NOT BE LIABLE, DIRECTLY OR INDIRECTLY, FOR ANY (I) DAMAGES,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LOSSES OR EXPENSES ARISING OUT OF THE SERVICES PROVIDED HEREUNDER, OTHER THAN DAMAGES, LOSSES OR EXPENSES WHICH HAVE BEEN FINALLY ADJUDICATED TO HAVE DIRECTLY RESULTED FROM THE ESCROW AGENT’S GROSS NEGLIGENCE OR WILLFUL MISCONDUCT, OR (II) SPECIAL, INDIRECT, PUNITIVE OR CONSEQUENTIAL DAMAGES OR LOSSES OF ANY KIND WHATSOEVER (INCLUDING WITHOUT LIMITATION LOST PROFITS), EVEN IF THE ESCROW AGENT HAS BEEN ADVISED OF THE POSSIBILITY OF SUCH LOSSES OR DAMAGES AND REGARDLESS OF THE FORM OF ACTION, OR (III) AMOUNT IN EXCESS OF THE ESCROW FUNDS.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Resignation and Termination of the Escrow Agent</w:t>
      </w:r>
      <w:r>
        <w:rPr>
          <w:rFonts w:ascii="Times New Roman" w:cs="Times New Roman" w:eastAsia="Times New Roman" w:hAnsi="Times New Roman"/>
          <w:sz w:val="18"/>
          <w:szCs w:val="18"/>
          <w:color w:val="auto"/>
        </w:rPr>
        <w:t>. The Escrow Agent may resign at any time by giving 30 days’ prior written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resignation to Placement Agent and the Company. Upon providing such notice, the Escrow Agent shall have no further obligation hereunder except to hold as depositary the Escrow Funds that it receives until the end of such 30-day period. In such event, the Escrow Agent shall not take any action, other than receiving and depositing the Investor’s checks and wire transfers in accordance with this Agreement, until the Company has designated a banking corporation, trust company, attorney or other person as successor. Upon receipt of such written designation signed by Placement Agent and the Company, the Escrow Agent shall promptly deliver the Escrow Funds to such successor and shall thereafter have no further obligations hereunder. If the Company and Placement Agent have failed to appoint a successor escrow agent prior to the expiration of thirty (30) days following the delivery of such notice of resignation or removal, the Escrow Agent shall be entitled, at its sole discretion and at the expense of the Company and/or Placement Agent, to (a) return the Escrow Funds to the Company, or (b) petition any court of competent jurisdiction for the appointment of a successor escrow agent or for other appropriate relief, and any such resulting appointment shall be binding upon the parties. In either case provided for in this paragraph, the Escrow Agent shall be relieved of all further obligations and released from all liability thereafter arising with respect to the Escrow Funds.</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The Company and Placement Agent may terminate the appointment of the Escrow Agent hereunder upon written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specifying the date upon which such termination shall take effect, which date shall be at least 30 days from the date of such notice. In the event of such termination, the Company and Placement Agent shall, within 30 days of such notice, appoint a successor escrow agent and the Escrow Agent shall, upon receipt of written instructions signed by the Company and Placement Agent, turn over to such successor escrow agent all of the Escrow Funds Upon receipt of the Escrow Funds, the successor escrow agent shall become the escrow agent hereunder and shall be bound by all of the provisions hereof and the Escrow Agent shall be relieved of all further obligations and released from all liability thereafter arising with respect to the Escrow Funds and under this Agreement. If the Company has failed to appoint a successor escrow agent prior to the expiration of thirty (30) days following the delivery of the notice of termination, the Escrow Agent shall be entitled, at its sole discretion and at the expense of the Company, to (a) return the Escrow Funds to the Company, or</w:t>
      </w:r>
    </w:p>
    <w:p>
      <w:pPr>
        <w:spacing w:after="0" w:line="5" w:lineRule="exact"/>
        <w:rPr>
          <w:sz w:val="20"/>
          <w:szCs w:val="20"/>
          <w:color w:val="auto"/>
        </w:rPr>
      </w:pPr>
    </w:p>
    <w:p>
      <w:pPr>
        <w:ind w:firstLine="8"/>
        <w:spacing w:after="0" w:line="260" w:lineRule="auto"/>
        <w:tabs>
          <w:tab w:leader="none" w:pos="27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petition any court of competent jurisdiction for the appointment of a successor escrow agent or for other appropriate relief, and any such resulting appointment shall be binding upon the parties.</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color w:val="auto"/>
        </w:rPr>
        <w:t>. Escrow Agent shall be entitled, for the duties to be performed by it hereunder, to compensation as stated in the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 as Schedule III, which fee shall be paid by the Company within five (5) business days of the signing of this Agreement. In addition, the Company shall be obligated to reimburse Escrow Agent for all fees, costs and expenses incurred or that become due in connection with this Agreement or the Escrow Account, including attorney’s fees. Neither the modification, cancellation, termination, resignation or rescission of this Agreement nor the resignation or termination of the Escrow Agent shall affect the right of Escrow Agent to retain the amount of any fee which has been paid, or to be reimbursed or paid, to the extent such amount has been incurred or becomes due, prior to the effective date of any such modification, cancellation, termination, resignation or rescission. To the extent the Escrow Agent has incurred any such expenses, or any such fee becomes due, prior to any closing, the Escrow Agent shall advise the Company and the Company shall direct all such amounts to be paid directly at any such closing. As security for the due and punctual performance of any and all of the Company’s obligations to the Escrow Agent hereunder, now or hereafter arising, the Company, hereby pledges, assigns and grants to the Escrow Agent a continuing security interest in, and a lien on and right of setoff against, the Escrow Funds and all distributions thereon, investments thereof or additions thereto. If any fees, expenses or costs incurred by, or any obligations owed to, the Escrow Agent hereunder are not promptly paid when due then following five (5) Business Days written notice by the Escrow Agent of its intent to set-off against the Escrow Funds, the Escrow Agent may reimburse itself therefor from the Escrow Funds, and may sell, convey or otherwise dispose of any Escrow Funds for such purpose. The security interest and setoff rights of the Escrow Agent shall at all times be valid, perfected and enforceable by the Escrow Agent against the Parties and all third parties in accordance with the terms of this Escrow Agreement. The terms of this paragraph shall survive termination of this Agreement. Notwithstanding anything contained herein to the contrary and for the avoidance of doubt, the Company hereby agrees that any fee contemplated under this Section 2.6 is still due and payable even in the event the Company delivers a Termination Notice pursuant to Section 1.2(a) herein or funds are returned to Investors on the Final Termination Date pursuant to Section 1.2(c) herein.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5" w:name="page196"/>
    <w:bookmarkEnd w:id="195"/>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Merger or Consolidation</w:t>
      </w:r>
      <w:r>
        <w:rPr>
          <w:rFonts w:ascii="Times New Roman" w:cs="Times New Roman" w:eastAsia="Times New Roman" w:hAnsi="Times New Roman"/>
          <w:sz w:val="18"/>
          <w:szCs w:val="18"/>
          <w:color w:val="auto"/>
        </w:rPr>
        <w:t>. Any corporation or association into which the Escrow Agent may be converted or merged, or with which it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or to which it may sell or transfer all or substantially all of its corporate trust business and assets as a whole or substantially as a whole, or any corporation or association resulting from any such conversion, sale, merger, consolidation or transfer to which the Escrow Agent is a party, shall be and become the successor escrow agent under this Agreement and shall have and succeed to the rights, powers, duties, immunities and privileges as its predecessor, without the execution or filing of any instrument or paper or the performance of any further act.</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2.8. </w:t>
      </w:r>
      <w:r>
        <w:rPr>
          <w:rFonts w:ascii="Times New Roman" w:cs="Times New Roman" w:eastAsia="Times New Roman" w:hAnsi="Times New Roman"/>
          <w:sz w:val="18"/>
          <w:szCs w:val="18"/>
          <w:b w:val="1"/>
          <w:bCs w:val="1"/>
          <w:u w:val="single" w:color="auto"/>
          <w:color w:val="auto"/>
        </w:rPr>
        <w:t>Attachment of Escrow Funds; Compliance with Legal Orders</w:t>
      </w:r>
      <w:r>
        <w:rPr>
          <w:rFonts w:ascii="Times New Roman" w:cs="Times New Roman" w:eastAsia="Times New Roman" w:hAnsi="Times New Roman"/>
          <w:sz w:val="18"/>
          <w:szCs w:val="18"/>
          <w:color w:val="auto"/>
        </w:rPr>
        <w:t>. In the event that any Escrow Amount shall be attached, garnished or levied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by any court order, or the delivery thereof shall be stayed or enjoined by an order of a court, or any order, judgment or decree shall be made or entered by any court order affecting the Escrow Funds, the Escrow Agent is hereby expressly authorized, in its sole discretion, to respond as it deems appropriate or to comply with all writs, orders or decrees so entered or issued, or which it is advised by legal counsel of its own choosing is binding upon it, whether with or without jurisdiction. In the event that the Escrow Agent obeys or complies with any such writ, order or decree it shall not be liable to any Party or to any other person, firm or corporation, should, by reason of such compliance notwithstanding, such writ, order or decree be subsequently reversed, modified, annulled, set aside or vacated.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b w:val="1"/>
          <w:bCs w:val="1"/>
          <w:u w:val="single" w:color="auto"/>
          <w:color w:val="auto"/>
        </w:rPr>
        <w:t>Force Majeure</w:t>
      </w:r>
      <w:r>
        <w:rPr>
          <w:rFonts w:ascii="Times New Roman" w:cs="Times New Roman" w:eastAsia="Times New Roman" w:hAnsi="Times New Roman"/>
          <w:sz w:val="18"/>
          <w:szCs w:val="18"/>
          <w:color w:val="auto"/>
        </w:rPr>
        <w:t>. The Escrow Agent shall not be responsible or liable for any failure or delay in the performance of its obligation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Escrow Agreement arising out of or caused, directly or indirectly, by circumstances beyond its reasonable control, including, without limitation, acts of God; earthquakes; fire; flood; wars; acts of terrorism; civil or military disturbances; sabotage; epidemic; pandemics; riots; interruptions; loss or malfunctions of utilities including but not limited to, computer (hardware or software), payment systems, or communications services; accidents; labor disputes; acts of civil or military authority or governmental action; hacking, cyber-attacks or other unauthorized infiltration of Escrow Agent’s information technology infrastructure; it being understood that the Escrow Agent shall use commercially reasonable efforts which are consistent with accepted practices in the banking industry to resume performance as soon as reasonably practicable under the circumstances.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b w:val="1"/>
          <w:bCs w:val="1"/>
          <w:u w:val="single" w:color="auto"/>
          <w:color w:val="auto"/>
        </w:rPr>
        <w:t>No Financial Obligation</w:t>
      </w:r>
      <w:r>
        <w:rPr>
          <w:rFonts w:ascii="Times New Roman" w:cs="Times New Roman" w:eastAsia="Times New Roman" w:hAnsi="Times New Roman"/>
          <w:sz w:val="18"/>
          <w:szCs w:val="18"/>
          <w:color w:val="auto"/>
        </w:rPr>
        <w:t>. Escrow Agent shall not be required to use its own funds in the performance of any of its obligations or duties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any of its rights or powers, and shall not be required to take any action which, in Escrow Agent’s sole and absolute judgment, could involve it in expense or liability unless furnished with security and indemnity which it deems, in its sole and absolute discretion, to be satisfactory.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This Agreement shall be binding on and inure to the benefit of each Party and the Escrow Agent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permitted assigns. No other persons shall have any rights under this Agreement. No assignment of the interest of any of the Parties shall be binding unless and until written notice of such assignment shall be delivered to the other Parties and Escrow Agent and shall require the prior written consent of the other Parties and Escrow Agent (such consent not to be unreasonably withheld).</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Escheat</w:t>
      </w:r>
      <w:r>
        <w:rPr>
          <w:rFonts w:ascii="Times New Roman" w:cs="Times New Roman" w:eastAsia="Times New Roman" w:hAnsi="Times New Roman"/>
          <w:sz w:val="18"/>
          <w:szCs w:val="18"/>
          <w:color w:val="auto"/>
        </w:rPr>
        <w:t>. Each Party is aware that under applicable state law, property which is presumed abandoned may under certain circumstances escheat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applicable state. The Escrow Agent shall have no liability to any of the Parties, their respective heirs, legal representatives, successors and assigns, or any other party, should any or all of the Escrow Funds escheat by operation of law.</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requests, demands, and other communications required under this Escrow Agreement shall be in writing, in English,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to have been duly given if delivered (i) personally, (ii) by facsimile transmission with written confirmation of receipt, (iii) by overnight delivery with a reputable national overnight delivery service, (iv) by mail or by certified mail, return receipt requested, and postage prepaid, or (v) by electronic transmission; including by way of e-mail (as long as such email is accompanied by a PDF or similar version of the relevant document bearing the signature of an Authorized Representative for the Party sending the notice) with email confirmation of receipt. If any notice is mailed, it shall be deemed given five business days after the date such notice is deposited in the United States mail. If notice is given to a party, it shall be given at the address for such party set forth below. It shall be the responsibility of the Company to notify the Escrow Agent in writing of any name or address changes. In the case of communications delivered to the Escrow Agent, such communications shall be deemed to have been given on the date received by the Escrow Agent. :</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Placement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Chaince Securities,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Wilfred Daye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Chaince Securities,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1330 Avenue of the Americas, 33rd Floor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wilfred.daye@chaincesecurities.co</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Trident Digital Tech Holdings Ltd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Suntec Tower 3, 8 Temasek Boulevard Road, #24-03 Singapore, 038988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Mr. Soon Huat Lim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address: William.lim@tridentity.me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Escrow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1100 N. Market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Wilmington, DE 19890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Joseph M. Gribaudo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Telephone: (984) 209-8652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Address: JGRIBAUDO1@WilmingtonTrust.com</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Governing Law and Jurisdiction</w:t>
      </w:r>
      <w:r>
        <w:rPr>
          <w:rFonts w:ascii="Times New Roman" w:cs="Times New Roman" w:eastAsia="Times New Roman" w:hAnsi="Times New Roman"/>
          <w:sz w:val="18"/>
          <w:szCs w:val="18"/>
          <w:color w:val="auto"/>
        </w:rPr>
        <w:t>. This Agreement shall be governed by and construed in accordance with the laws of the State of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Party and Escrow Agent hereby consents to the exclusive personal jurisdiction of the courts located in the State of Delaware in the event of a dispute arising out of or under this Agreement. Each Party and Escrow Agent hereby irrevocably waives any objection to the laying of the venue of any suit, action or proceeding and irrevocably submits to the exclusive jurisdiction of such court in such suit, action or proceeding.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7" w:name="page198"/>
    <w:bookmarkEnd w:id="197"/>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and the Exhibits attached hereto (as updated from time to time in accordance herewith) set forth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understanding of the parties related to the Escrow Amount. If a court of competent jurisdiction declares a provision invalid, it will be ineffective only to the extent of the invalidity, so that the remainder of the provision and Escrow Agreement will continue in full force and effect.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This Agreement may be amended, modified, superseded, rescinded, or canceled only by a written instrument executed by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Parties and the Escrow Agent.</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3.7. </w:t>
      </w:r>
      <w:r>
        <w:rPr>
          <w:rFonts w:ascii="Times New Roman" w:cs="Times New Roman" w:eastAsia="Times New Roman" w:hAnsi="Times New Roman"/>
          <w:sz w:val="18"/>
          <w:szCs w:val="18"/>
          <w:b w:val="1"/>
          <w:bCs w:val="1"/>
          <w:u w:val="single" w:color="auto"/>
          <w:color w:val="auto"/>
        </w:rPr>
        <w:t>Waivers</w:t>
      </w:r>
      <w:r>
        <w:rPr>
          <w:rFonts w:ascii="Times New Roman" w:cs="Times New Roman" w:eastAsia="Times New Roman" w:hAnsi="Times New Roman"/>
          <w:sz w:val="18"/>
          <w:szCs w:val="18"/>
          <w:color w:val="auto"/>
        </w:rPr>
        <w:t>. The failure of any party to this Agreement at any time or times to require performance of any provision under this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no manner affect the right at a later time to enforce the same performance. A waiver by any party to this Agreement of any such condition or breach of any term, covenant, representation, or warranty contained in this Agreement, in any one or more instances, shall neither be construed as a further or continuing waiver of any such condition or breach nor a waiver of any other condition or breach of any other term, covenant, representation, or warranty contained in this Agreement.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3.8.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Section headings of this Agreement have been inserted for convenience of reference only and shall in no way restrict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modify any of the terms or provisions of this Escrow Agreement.</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3.9. </w:t>
      </w:r>
      <w:r>
        <w:rPr>
          <w:rFonts w:ascii="Times New Roman" w:cs="Times New Roman" w:eastAsia="Times New Roman" w:hAnsi="Times New Roman"/>
          <w:sz w:val="18"/>
          <w:szCs w:val="18"/>
          <w:b w:val="1"/>
          <w:bCs w:val="1"/>
          <w:u w:val="single" w:color="auto"/>
          <w:color w:val="auto"/>
        </w:rPr>
        <w:t>Electronic Signatures; Facsimile Signatures; 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Escrow Agreement may be executed in one or more counterparts.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execution of counterparts may occur by manual signature, electronic signature, facsimile signature, manual signature transmitted by means of facsimile transmission or manual signature contained in an imaged document attached to an email transmission, and any such execution that is not by manual signature shall have the same legal effect, validity and enforceability as a manual signature. Each such counterpart executed in accordance with the foregoing shall be deemed an original, with all such counterparts together constituting one and the same instrument. The exchange of executed copies of this Escrow Agreement or of executed signature pages to this Escrow Agreement by electronic transmission, facsimile transmission or as an imaged document attached to an email transmission shall constitute effective execution and delivery hereof. Any copy of this Escrow Agreement which is fully executed and transmitted in accordance with the terms hereof may be used for all purposes in lieu of a manually executed copy of this Escrow Agreement and shall have the same legal effect, validity and enforceability as if executed by manual signature.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3.10.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xml:space="preserve"> EACH OF THE PARTIES HERETO AND THE ESCROW AGENT EXPRESSLY WAIVES THE RIGHT TO TRIAL BY JURY IN RESOLVING ANY CLAIM OR COUNTERCLAIM RELATING TO OR ARISING OUT OF THIS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3.11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will terminate upon the Final Termination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3.12 </w:t>
      </w:r>
      <w:r>
        <w:rPr>
          <w:rFonts w:ascii="Times New Roman" w:cs="Times New Roman" w:eastAsia="Times New Roman" w:hAnsi="Times New Roman"/>
          <w:sz w:val="18"/>
          <w:szCs w:val="18"/>
          <w:b w:val="1"/>
          <w:bCs w:val="1"/>
          <w:u w:val="single" w:color="auto"/>
          <w:color w:val="auto"/>
        </w:rPr>
        <w:t>Anti-Terrorism/Anti-Money Laundering Laws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IMPORTANT INFORMATION ABOUT PROCEDURES FOR OPENING A NEW ACCOUNT - To help the United States government fight the funding of terrorism or money laundering activities, Federal law requires all financial institutions to obtain, verify, and record information that identifies each person who opens a new account. What this means for the parties to this Agreement: the Escrow Agent will ask for your name, address, date of birth, and other information that will allow the Escrow Agent to identify you (e</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your social security number or tax identification number.) The Escrow Agent may also ask to see your driver’s license or other identifying documents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passport, evidence of formation of corporation, limited liability company, limited partnership, etc., certificate of good standing.)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balance of this page intentionally left blank – 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duly executed this Agreement as of the date first set forth above.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Company.</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i w:val="1"/>
                <w:iCs w:val="1"/>
                <w:color w:val="auto"/>
              </w:rPr>
              <w:t>Placement Agent</w:t>
            </w:r>
          </w:p>
        </w:tc>
        <w:tc>
          <w:tcPr>
            <w:tcW w:w="0" w:type="dxa"/>
            <w:vAlign w:val="bottom"/>
          </w:tcPr>
          <w:p>
            <w:pPr>
              <w:spacing w:after="0"/>
              <w:rPr>
                <w:sz w:val="1"/>
                <w:szCs w:val="1"/>
                <w:color w:val="auto"/>
              </w:rPr>
            </w:pPr>
          </w:p>
        </w:tc>
      </w:tr>
      <w:tr>
        <w:trPr>
          <w:trHeight w:val="439"/>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Lim Soon Huat</w:t>
            </w:r>
          </w:p>
        </w:tc>
        <w:tc>
          <w:tcPr>
            <w:tcW w:w="2800" w:type="dxa"/>
            <w:vAlign w:val="bottom"/>
            <w:vMerge w:val="restart"/>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Wilfred Daye</w:t>
            </w:r>
          </w:p>
        </w:tc>
        <w:tc>
          <w:tcPr>
            <w:tcW w:w="0" w:type="dxa"/>
            <w:vAlign w:val="bottom"/>
          </w:tcPr>
          <w:p>
            <w:pPr>
              <w:spacing w:after="0"/>
              <w:rPr>
                <w:sz w:val="1"/>
                <w:szCs w:val="1"/>
                <w:color w:val="auto"/>
              </w:rPr>
            </w:pPr>
          </w:p>
        </w:tc>
      </w:tr>
      <w:tr>
        <w:trPr>
          <w:trHeight w:val="225"/>
        </w:trPr>
        <w:tc>
          <w:tcPr>
            <w:tcW w:w="580" w:type="dxa"/>
            <w:vAlign w:val="bottom"/>
            <w:vMerge w:val="continue"/>
          </w:tcPr>
          <w:p>
            <w:pPr>
              <w:spacing w:after="0"/>
              <w:rPr>
                <w:sz w:val="19"/>
                <w:szCs w:val="19"/>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Trident Digital Tech Holdings Ltd</w:t>
            </w:r>
          </w:p>
        </w:tc>
        <w:tc>
          <w:tcPr>
            <w:tcW w:w="2800" w:type="dxa"/>
            <w:vAlign w:val="bottom"/>
            <w:vMerge w:val="continue"/>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Chaince Securities, LLC.</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 Soon Huat</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Name: Wilfred Daye</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CEO</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c>
          <w:tcPr>
            <w:tcW w:w="0" w:type="dxa"/>
            <w:vAlign w:val="bottom"/>
          </w:tcPr>
          <w:p>
            <w:pPr>
              <w:spacing w:after="0"/>
              <w:rPr>
                <w:sz w:val="1"/>
                <w:szCs w:val="1"/>
                <w:color w:val="auto"/>
              </w:rPr>
            </w:pPr>
          </w:p>
        </w:tc>
      </w:tr>
      <w:tr>
        <w:trPr>
          <w:trHeight w:val="41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WILMINGTON TRUST, NATIONAL ASSOCIATION as</w:t>
            </w:r>
          </w:p>
        </w:tc>
        <w:tc>
          <w:tcPr>
            <w:tcW w:w="28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Escrow Agent</w:t>
            </w:r>
          </w:p>
        </w:tc>
        <w:tc>
          <w:tcPr>
            <w:tcW w:w="28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Joseph M. Gribaudo</w:t>
            </w:r>
          </w:p>
        </w:tc>
        <w:tc>
          <w:tcPr>
            <w:tcW w:w="28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Joseph M. Gribaudo</w:t>
            </w:r>
          </w:p>
        </w:tc>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Assistant Vice President</w:t>
            </w:r>
          </w:p>
        </w:tc>
        <w:tc>
          <w:tcPr>
            <w:tcW w:w="28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99" w:name="page200"/>
    <w:bookmarkEnd w:id="1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Written Direction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171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AS TO AUTHORIZED SIGNATURES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171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AS TO AUTHORIZED SIGNATURES OF PLACEMENT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171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02" w:name="page203"/>
    <w:bookmarkEnd w:id="202"/>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Schedule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171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ESCROW AGENT AGREEMENT</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ESCROW AGENT AGREEMENT (this “Agreement”) is entered into as of September 11, 2025, by and between </w:t>
      </w:r>
      <w:r>
        <w:rPr>
          <w:rFonts w:ascii="Times New Roman" w:cs="Times New Roman" w:eastAsia="Times New Roman" w:hAnsi="Times New Roman"/>
          <w:sz w:val="18"/>
          <w:szCs w:val="18"/>
          <w:b w:val="1"/>
          <w:bCs w:val="1"/>
          <w:color w:val="auto"/>
        </w:rPr>
        <w:t>Mercurity Fintech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Holding Inc. </w:t>
      </w:r>
      <w:r>
        <w:rPr>
          <w:rFonts w:ascii="Times New Roman" w:cs="Times New Roman" w:eastAsia="Times New Roman" w:hAnsi="Times New Roman"/>
          <w:sz w:val="18"/>
          <w:szCs w:val="18"/>
          <w:color w:val="auto"/>
        </w:rPr>
        <w:t>(the “Escrow Agent”),</w:t>
      </w:r>
      <w:r>
        <w:rPr>
          <w:rFonts w:ascii="Times New Roman" w:cs="Times New Roman" w:eastAsia="Times New Roman" w:hAnsi="Times New Roman"/>
          <w:sz w:val="18"/>
          <w:szCs w:val="18"/>
          <w:b w:val="1"/>
          <w:bCs w:val="1"/>
          <w:color w:val="auto"/>
        </w:rPr>
        <w:t xml:space="preserve"> Chaince Securities, LLC </w:t>
      </w:r>
      <w:r>
        <w:rPr>
          <w:rFonts w:ascii="Times New Roman" w:cs="Times New Roman" w:eastAsia="Times New Roman" w:hAnsi="Times New Roman"/>
          <w:sz w:val="18"/>
          <w:szCs w:val="18"/>
          <w:color w:val="auto"/>
        </w:rPr>
        <w:t>(the “Placement Agent”), and a</w:t>
      </w:r>
      <w:r>
        <w:rPr>
          <w:rFonts w:ascii="Times New Roman" w:cs="Times New Roman" w:eastAsia="Times New Roman" w:hAnsi="Times New Roman"/>
          <w:sz w:val="18"/>
          <w:szCs w:val="18"/>
          <w:b w:val="1"/>
          <w:bCs w:val="1"/>
          <w:color w:val="auto"/>
        </w:rPr>
        <w:t xml:space="preserve"> Trident Digital Tech Holdings Ltd, </w:t>
      </w:r>
      <w:r>
        <w:rPr>
          <w:rFonts w:ascii="Times New Roman" w:cs="Times New Roman" w:eastAsia="Times New Roman" w:hAnsi="Times New Roman"/>
          <w:sz w:val="18"/>
          <w:szCs w:val="18"/>
          <w:color w:val="auto"/>
        </w:rPr>
        <w:t>a Cayman Islands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exempted company (the “Company”). The Company, Placement Agent, and the Escrow Agent are sometimes referred to individually as a “Party” and collectively as the “Parties.”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Parties desire to establish an escrow arrangement for the safekeeping and disbursement of certain assets;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such assets may consist of cash in U.S. dollars or other fiat currencies, and/or cryptocurrency or other digital assets supported by the Escrow Agent (collectively, the “Escrow Property”);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Parties wish to set forth the terms and conditions under which the Escrow Property shall be deposited, held, and released;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contained herein, the Parties agree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 – ESTABLISHMENT OF ESCROW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Escrow Property</w:t>
      </w:r>
      <w:r>
        <w:rPr>
          <w:rFonts w:ascii="Times New Roman" w:cs="Times New Roman" w:eastAsia="Times New Roman" w:hAnsi="Times New Roman"/>
          <w:sz w:val="18"/>
          <w:szCs w:val="18"/>
          <w:color w:val="auto"/>
        </w:rPr>
        <w:t>. The Escrow Agent shall establish and maintain one or more accounts or wallets (the “Escrow Account” and/or the “Escrow Wallet”) to hold the Escrow Property.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Deposits</w:t>
      </w:r>
      <w:r>
        <w:rPr>
          <w:rFonts w:ascii="Times New Roman" w:cs="Times New Roman" w:eastAsia="Times New Roman" w:hAnsi="Times New Roman"/>
          <w:sz w:val="18"/>
          <w:szCs w:val="18"/>
          <w:color w:val="auto"/>
        </w:rPr>
        <w:t>. (a) Cash deposits shall be made by wire transfer to the Escrow Account designated by the Escrow Agent. (b) Cryptocurrency deposits shall be made to a digital wallet address designated and controlled by the Escrow Agent. The details of such account, including bank name, routing number, and account number, are provided as follows:</w:t>
      </w:r>
    </w:p>
    <w:p>
      <w:pPr>
        <w:spacing w:after="0" w:line="185"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b w:val="1"/>
          <w:bCs w:val="1"/>
          <w:color w:val="auto"/>
        </w:rPr>
        <w:t>Digital Asset Payment</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1533525</wp:posOffset>
            </wp:positionH>
            <wp:positionV relativeFrom="paragraph">
              <wp:posOffset>-89535</wp:posOffset>
            </wp:positionV>
            <wp:extent cx="43180" cy="8826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76">
                      <a:extLst>
                        <a:ext uri="{28A0092B-C50C-407E-A947-70E740481C1C}"/>
                      </a:extLst>
                    </a:blip>
                    <a:srcRect/>
                    <a:stretch>
                      <a:fillRect/>
                    </a:stretch>
                  </pic:blipFill>
                  <pic:spPr bwMode="auto">
                    <a:xfrm>
                      <a:off x="0" y="0"/>
                      <a:ext cx="43180" cy="88265"/>
                    </a:xfrm>
                    <a:prstGeom prst="rect">
                      <a:avLst/>
                    </a:prstGeom>
                    <a:noFill/>
                  </pic:spPr>
                </pic:pic>
              </a:graphicData>
            </a:graphic>
          </wp:anchor>
        </w:drawing>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ensure the amount sent is equivalent to your committed</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USD subscription value. </w:t>
      </w:r>
      <w:r>
        <w:rPr>
          <w:sz w:val="1"/>
          <w:szCs w:val="1"/>
          <w:color w:val="auto"/>
        </w:rPr>
        <w:drawing>
          <wp:inline distT="0" distB="0" distL="0" distR="0">
            <wp:extent cx="3797300" cy="128905"/>
            <wp:effectExtent l="0" t="0" r="0" b="0"/>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77">
                      <a:extLst>
                        <a:ext uri="{28A0092B-C50C-407E-A947-70E740481C1C}"/>
                      </a:extLst>
                    </a:blip>
                    <a:srcRect/>
                    <a:stretch>
                      <a:fillRect/>
                    </a:stretch>
                  </pic:blipFill>
                  <pic:spPr bwMode="auto">
                    <a:xfrm>
                      <a:off x="0" y="0"/>
                      <a:ext cx="3797300" cy="12890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4" w:name="page205"/>
    <w:bookmarkEnd w:id="20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Release of Escrow Property</w:t>
      </w:r>
      <w:r>
        <w:rPr>
          <w:rFonts w:ascii="Times New Roman" w:cs="Times New Roman" w:eastAsia="Times New Roman" w:hAnsi="Times New Roman"/>
          <w:sz w:val="18"/>
          <w:szCs w:val="18"/>
          <w:color w:val="auto"/>
        </w:rPr>
        <w:t>. The Escrow Agent shall release the Escrow Property only upon (i) joint written instructions of the Company and the Placement Agent, (ii) a final, non-appealable court order, or (iii) as otherwise provided in this Agreement. If investors deposit USDC, the Escrow Agent shall receive such USDC and, upon release, convert the required amount into U.S. dollars and wire the net proceeds to the Company’s designated bank account.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2 – DUTIES OF ESCROW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Limited Role</w:t>
      </w:r>
      <w:r>
        <w:rPr>
          <w:rFonts w:ascii="Times New Roman" w:cs="Times New Roman" w:eastAsia="Times New Roman" w:hAnsi="Times New Roman"/>
          <w:sz w:val="18"/>
          <w:szCs w:val="18"/>
          <w:color w:val="auto"/>
        </w:rPr>
        <w:t>. The Escrow Agent shall act solely as a stakeholder and shall not be deemed a trustee or fiduciary for any Party.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No Investment Responsibility</w:t>
      </w:r>
      <w:r>
        <w:rPr>
          <w:rFonts w:ascii="Times New Roman" w:cs="Times New Roman" w:eastAsia="Times New Roman" w:hAnsi="Times New Roman"/>
          <w:sz w:val="18"/>
          <w:szCs w:val="18"/>
          <w:color w:val="auto"/>
        </w:rPr>
        <w:t>. The Escrow Agent shall have no responsibility for investment of the Escrow Property unless expressly instructed in writing by the Parties.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No Liability for Cryptocurrency Risks</w:t>
      </w:r>
      <w:r>
        <w:rPr>
          <w:rFonts w:ascii="Times New Roman" w:cs="Times New Roman" w:eastAsia="Times New Roman" w:hAnsi="Times New Roman"/>
          <w:sz w:val="18"/>
          <w:szCs w:val="18"/>
          <w:color w:val="auto"/>
        </w:rPr>
        <w:t>. The Escrow Agent shall not be responsible for fluctuations in value of any cryptocurrency, delays, network failures, gas or transaction fees, or other blockchain-related risks, provided that the Escrow Agent acts in good faith and with ordinary care.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 – FEES AND EXPENSES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shall pay the Escrow Agent a fee equal to 1% of the aggregate amount deposited into the Escrow Account. The Company shall also reimburse the Escrow Agent for reasonable out-of-pocket expenses, including transaction fees incurred in connection with cryptocurrency transfers.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 – REPRESENTATIONS AND WARRANTIES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Party represents and warrants that it has the power and authority to enter into this Agreement and that the execution of this Agreement has been duly authorized.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5 – INDEMNIFICATION AND LIMITATION OF LIABILITY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Placement Agent and the Company agree, severally but not jointly, to indemnify and hold the Escrow Agent and its employees, officers, directors and agents (the “Indemnified Parties”) harmless from any and against all liabilities, losses, actions, suits or proceedings at law or in equity, and any other expenses, fees or charges of any character or nature, (including, without limitation, negative interest, attorney’s fees and expenses and the costs of enforcement of this Escrow Agreement or any provision thereof), which an Indemnified Party may incur by reason of acting as or on behalf of the Escrow Agent under this Escrow Agreement or arising out of the existence of the Escrow Account, except to the extent the same shall be have been finally adjudicated to have been directly caused by the Escrow Agent’s fraud, gross negligence or willful misconduct. Placement Agent and the Company agree, severally but not jointly, to pay or reimburse the Escrow Agent upon request for any transfer taxes or other taxes relating to the Escrow Funds incurred in connection herewith and shall indemnify and hold harmless the Escrow Agent with respect to any amounts that it is obligated to pay in the way of such taxes. The terms of this paragraph shall survive termination of this Agreement.</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ESCROW AGENT SHALL NOT BE LIABLE, DIRECTLY OR INDIRECTLY, FOR ANY (I) DAMAGES, LOSSES OR EXPENSES ARISING OUT OF THE SERVICES PROVIDED HEREUNDER, OTHER THAN DAMAGES, LOSSES OR EXPENSES WHICH HAVE BEEN FINALLY ADJUDICATED TO HAVE DIRECTLY RESULTED FROM THE ESCROW AGENT’S FRAUD, GROSS NEGLIGENCE OR WILLFUL MISCONDUCT, OR (II) SPECIAL, INDIRECT, PUNITIVE OR CONSEQUENTIAL DAMAGES OR LOSSES OF ANY KIND WHATSOEVER (INCLUDING WITHOUT LIMITATION LOST PROFITS), EVEN IF THE ESCROW AGENT HAS BEEN ADVISED OF THE POSSIBILITY OF SUCH LOSSES OR DAMAGES AND REGARDLESS OF THE FORM OF ACTION, OR (III) AMOUNT IN EXCESS OF THE ESCROW FUNDS.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8"/>
          <w:szCs w:val="18"/>
          <w:color w:val="auto"/>
        </w:rPr>
        <w:t>ARTICLE 6 – TERM AND TERMINATION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and Placement Agent may terminate the appointment of the Escrow Agent hereunder upon written notice specifying the date upon which such termination shall take effect, which date shall be at least 30 days from the date of such notice. In the event of such termination, the Company and Placement Agent shall, within 30 days of such notice, appoint a successor escrow agent and the Escrow Agent shall, upon receipt of written instructions signed by the Company and Placement Agent, turn over to such successor escrow agent all of the Escrow Funds Upon receipt of the Escrow Funds, the successor escrow agent shall become the escrow agent hereunder and shall be bound by all of the provisions hereof and the Escrow Agent shall be relieved of all further obligations and released from all liability thereafter arising with respect to the Escrow Funds and under this Agreement. If the Company has failed to appoint a successor escrow agent prior to the expiration of thirty (30) days following the delivery of the notice of termination, the Escrow Agent shall be entitled, at its sole discretion and at the expense of the Company, to (a) return the Escrow Funds to the Company, or (b) petition any court of competent jurisdiction for the appointment of a successor escrow agent or for other appropriate relief, and any such resulting appointment shall be binding upon the parties.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7 – MISCELLANEOUS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Governing Law and Jurisdiction</w:t>
      </w:r>
      <w:r>
        <w:rPr>
          <w:rFonts w:ascii="Times New Roman" w:cs="Times New Roman" w:eastAsia="Times New Roman" w:hAnsi="Times New Roman"/>
          <w:sz w:val="18"/>
          <w:szCs w:val="18"/>
          <w:color w:val="auto"/>
        </w:rPr>
        <w:t>. This Agreement shall be governed by and construed in accordance with the laws of the State of New York. Each Party and Escrow Agent hereby consents to the exclusive personal jurisdiction of the courts located in the State of Delaware in the event of a dispute arising out of or under this Agreement. Each Party and Escrow Agent hereby irrevocably waives any objection to the laying of the venue of any suit, action or proceeding and irrevocably submits to the exclusive jurisdiction of such court in such suit, action or proceeding.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Exhibits attached hereto (as updated from time to time in accordance herewith) set forth the entire agreement and understanding of the parties related to the Escrow Amount. If a court of competent jurisdiction declares a provision invalid, it will be ineffective only to the extent of the invalidity, so that the remainder of the provision and Escrow Agreement will continue in full force and effect.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modified, superseded, rescinded, or canceled only by a written instrument executed by each of the Parties and the Escrow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will terminate upon the Final Termination Date.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7.4 IMPORTANT INFORMATION ABOUT PROCEDURES FOR OPENING A NEW ACCOUNT - To help the United States government fight the funding of terrorism or money laundering activities, Federal law requires all financial institutions to obtain, verify, and record information that identifies each person who opens a new account. What this means for the parties to this Agreement: the Escrow Agent will ask for your name, address, date of birth, and other information that will allow the Escrow Agent to identify you (e</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your social security number or tax identification number.) The Escrow Agent may also ask to see your driver’s license or other identifying documents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passport, evidence of formation of corporation, limited liability company, limited partnership, etc., certificate of good standing.)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balance of this page intentionally left blank – 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6" w:name="page207"/>
    <w:bookmarkEnd w:id="206"/>
    <w:p>
      <w:pPr>
        <w:ind w:left="340"/>
        <w:spacing w:after="0"/>
        <w:rPr>
          <w:sz w:val="20"/>
          <w:szCs w:val="20"/>
          <w:color w:val="auto"/>
        </w:rPr>
      </w:pPr>
      <w:r>
        <w:rPr>
          <w:rFonts w:ascii="Times New Roman" w:cs="Times New Roman" w:eastAsia="Times New Roman" w:hAnsi="Times New Roman"/>
          <w:sz w:val="17"/>
          <w:szCs w:val="17"/>
          <w:color w:val="auto"/>
        </w:rPr>
        <w:t>IN WITNESS WHEREOF, the Parties have duly executed this Escrow Agreement as of the date first set forth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Mercurity Fintech Holding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Shi Qiu</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Shi Qiu</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Chaince Securities, LLC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Wilfred Daye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8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Wilfred Daye</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8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William Lim</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07" w:name="page208"/>
    <w:bookmarkEnd w:id="2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Written Direction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438785</wp:posOffset>
            </wp:positionV>
            <wp:extent cx="7132320" cy="171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151130</wp:posOffset>
            </wp:positionV>
            <wp:extent cx="1962785" cy="30861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85">
                      <a:extLst>
                        <a:ext uri="{28A0092B-C50C-407E-A947-70E740481C1C}"/>
                      </a:extLst>
                    </a:blip>
                    <a:srcRect/>
                    <a:stretch>
                      <a:fillRect/>
                    </a:stretch>
                  </pic:blipFill>
                  <pic:spPr bwMode="auto">
                    <a:xfrm>
                      <a:off x="0" y="0"/>
                      <a:ext cx="196278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CONSENT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F-1 of our report dated April 28, 2025 relating to the consolidated financial statements appearing in the Annual Report on Form 20-F of Trident Digital Tech Holdings Ltd for the year ended December 31, 2024.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NEW YORK OFFICE ● 7 Penn Plaza ● Suite 830 ● New York, New York ● 10001</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Phone 646.442.4845 ● Fax 646.349.5200 ● www.marcumasia.com</w:t>
      </w:r>
    </w:p>
    <w:p>
      <w:pPr>
        <w:sectPr>
          <w:pgSz w:w="11900" w:h="16838" w:orient="portrait"/>
          <w:cols w:equalWidth="0" w:num="1">
            <w:col w:w="11240"/>
          </w:cols>
          <w:pgMar w:left="320" w:top="108" w:right="339" w:bottom="1440" w:gutter="0" w:footer="0" w:header="0"/>
        </w:sectPr>
      </w:pPr>
    </w:p>
    <w:bookmarkStart w:id="209" w:name="page210"/>
    <w:bookmarkEnd w:id="209"/>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F-1</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Trident Digital Tech Holdings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100" w:type="dxa"/>
            <w:vAlign w:val="bottom"/>
          </w:tcPr>
          <w:p>
            <w:pPr>
              <w:spacing w:after="0"/>
              <w:rPr>
                <w:sz w:val="12"/>
                <w:szCs w:val="12"/>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00" w:type="dxa"/>
            <w:vAlign w:val="bottom"/>
          </w:tcPr>
          <w:p>
            <w:pPr>
              <w:spacing w:after="0"/>
              <w:rPr>
                <w:sz w:val="12"/>
                <w:szCs w:val="12"/>
                <w:color w:val="auto"/>
              </w:rPr>
            </w:pPr>
          </w:p>
        </w:tc>
        <w:tc>
          <w:tcPr>
            <w:tcW w:w="15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vMerge w:val="restart"/>
          </w:tcPr>
          <w:p>
            <w:pPr>
              <w:spacing w:after="0"/>
              <w:rPr>
                <w:sz w:val="12"/>
                <w:szCs w:val="12"/>
                <w:color w:val="auto"/>
              </w:rPr>
            </w:pPr>
          </w:p>
        </w:tc>
        <w:tc>
          <w:tcPr>
            <w:tcW w:w="15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20" w:type="dxa"/>
            <w:vAlign w:val="bottom"/>
            <w:vMerge w:val="restart"/>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3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920" w:type="dxa"/>
            <w:vAlign w:val="bottom"/>
            <w:gridSpan w:val="7"/>
          </w:tcPr>
          <w:p>
            <w:pPr>
              <w:jc w:val="right"/>
              <w:ind w:right="860"/>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Equity</w:t>
            </w: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w:t>
            </w:r>
          </w:p>
        </w:tc>
        <w:tc>
          <w:tcPr>
            <w:tcW w:w="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266,900,714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0.1138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30,373,301.25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$ 4,194.55</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shares, US$0.00001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par value per share,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as represented by</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American Depositary</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Equity</w:t>
            </w: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w:t>
            </w:r>
          </w:p>
        </w:tc>
        <w:tc>
          <w:tcPr>
            <w:tcW w:w="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71,475,408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0.1138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8,133,901.43</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$ 1,123.29</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shares, US$0.00001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par value per share,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as represented by</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American Depositary</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980" w:type="dxa"/>
            <w:vAlign w:val="bottom"/>
            <w:gridSpan w:val="7"/>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Total Offering Amounts:</w:t>
            </w:r>
          </w:p>
        </w:tc>
        <w:tc>
          <w:tcPr>
            <w:tcW w:w="1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80" w:type="dxa"/>
            <w:vAlign w:val="bottom"/>
            <w:gridSpan w:val="7"/>
            <w:vMerge w:val="continue"/>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38,507,202.68</w:t>
            </w:r>
          </w:p>
        </w:tc>
        <w:tc>
          <w:tcPr>
            <w:tcW w:w="1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5,317.84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8"/>
          </w:tcPr>
          <w:p>
            <w:pPr>
              <w:jc w:val="right"/>
              <w:ind w:right="10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Total Fee Offsets:</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Net Fee Due:</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$ 5,317.84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61" w:lineRule="auto"/>
        <w:tabs>
          <w:tab w:leader="none" w:pos="3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the Class B ordinary shares, par value US$0.00001 per share of Trident Digital Tech Holdings Ltd (the “Registrant”), or Class B ordinary shares as represented by American Depositary Shares (the “ADSs”), registered hereby also include an indeterminate number of additional Class B ordinary shares to be issues as a result of share splits, stock dividends or similar transactions.</w:t>
      </w:r>
    </w:p>
    <w:p>
      <w:pPr>
        <w:spacing w:after="0" w:line="179"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purposes of calculating the amount of the registration fee pursuant to Rule 457(c) under the Securities Act, based upon the average of the high and low trading prices ($0.94 and $0.88, respectively) of the Registrant’s ADSs as reported on the Nasdaq Capital Market on September 30, 2025.</w:t>
      </w:r>
    </w:p>
    <w:p>
      <w:pPr>
        <w:spacing w:after="0" w:line="175"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will not receive any proceeds from the sale of its ADSs by the selling shareholders.</w:t>
      </w:r>
    </w:p>
    <w:p>
      <w:pPr>
        <w:spacing w:after="0" w:line="225" w:lineRule="exact"/>
        <w:rPr>
          <w:rFonts w:ascii="Times New Roman" w:cs="Times New Roman" w:eastAsia="Times New Roman" w:hAnsi="Times New Roman"/>
          <w:sz w:val="18"/>
          <w:szCs w:val="18"/>
          <w:color w:val="auto"/>
        </w:rPr>
      </w:pPr>
    </w:p>
    <w:p>
      <w:pPr>
        <w:jc w:val="both"/>
        <w:ind w:left="3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266,900,714 Class B ordinary shares represented by 33,362,589 ADSs, including (i) 104,000,000 Class B ordinary shares issued to the Tongxin Shareholders (as defined in this registration statement), (ii) 14,295,000 Class B ordinary shares issued to Streeterville Capital, LLC (“Streeterville”), and (iii) 148,605,714 Class B ordinary shares issued to the PIPE Purchasers (as defined in this registration statement). All 33,362,589 ADSs are to be offered for resale by the selling shareholders named in the prospectus contained in this registration statement.</w:t>
      </w:r>
    </w:p>
    <w:p>
      <w:pPr>
        <w:spacing w:after="0" w:line="71" w:lineRule="exact"/>
        <w:rPr>
          <w:rFonts w:ascii="Times New Roman" w:cs="Times New Roman" w:eastAsia="Times New Roman" w:hAnsi="Times New Roman"/>
          <w:sz w:val="18"/>
          <w:szCs w:val="18"/>
          <w:color w:val="auto"/>
        </w:rPr>
      </w:pPr>
    </w:p>
    <w:p>
      <w:pPr>
        <w:jc w:val="both"/>
        <w:ind w:left="360" w:hanging="292"/>
        <w:spacing w:after="0" w:line="261" w:lineRule="auto"/>
        <w:tabs>
          <w:tab w:leader="none" w:pos="3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the Class B ordinary shares, par value US$0.00001 per share of Trident Digital Tech Holdings Ltd (the “Registrant”), or Class B ordinary shares as represented by American Depositary Shares (the “ADSs”), registered hereby also include an indeterminate number of additional Class B ordinary shares to be issues as a result of share splits, stock dividends or similar transactions.</w:t>
      </w:r>
    </w:p>
    <w:p>
      <w:pPr>
        <w:spacing w:after="0" w:line="179"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purposes of calculating the amount of the registration fee pursuant to Rule 457(c) under the Securities Act, based upon the average of the high and low trading prices ($0.94 and $0.88, respectively) of the Registrant’s ADSs as reported on the Nasdaq Capital Market on September 30, 2025.</w:t>
      </w:r>
    </w:p>
    <w:p>
      <w:pPr>
        <w:spacing w:after="0" w:line="175"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will not receive any proceeds from the sale of its ADSs by the selling shareholders.</w:t>
      </w:r>
    </w:p>
    <w:p>
      <w:pPr>
        <w:spacing w:after="0" w:line="225"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71,475,408 Class B ordinary shares represented by 8,934,426 ADSs (the “Additional Registrable Shares”), to allow for the potential issuance of the Conversion Shares (as defined in this registration statement) to Streeterville upon its exercise of the right to convert all or a portion of the remaining balance of the applicable convertible promissory note’s purchase price into ADSs.</w:t>
      </w:r>
    </w:p>
    <w:p>
      <w:pPr>
        <w:spacing w:after="0" w:line="175" w:lineRule="exact"/>
        <w:rPr>
          <w:rFonts w:ascii="Times New Roman" w:cs="Times New Roman" w:eastAsia="Times New Roman" w:hAnsi="Times New Roman"/>
          <w:sz w:val="18"/>
          <w:szCs w:val="18"/>
          <w:color w:val="auto"/>
        </w:rPr>
      </w:pPr>
    </w:p>
    <w:p>
      <w:pPr>
        <w:jc w:val="both"/>
        <w:ind w:left="3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7, 2025, the Registrant entered into a securities purchase agreement (the “Streeterville SPA”) and a first convertible promissory note (the “First Note”) with Streeterville, pursuant to which the Registrant agreed to issue and sell to Streeterville (1) the First Note in the principal amount of $1,100,000, convertible into ADSs on the terms and subject to the conditions set forth in the Streeterville SPA and the First Note, (2) a second convertible promissory note (the “Second Note”) in the principal amount of $1,080,000, convertible into ADSs on the terms and subject to the conditions set forth in the Streeterville SPA and the Second Note, and (3) 14,295,000 Class B ordinary shares (the “Pre-Delivery Shares”), in the aggregate consideration of (x) the First Note purchase price in the amount of $1,000,000 (the “First Note Purchase Price”) and (y) the Second Note purchase price in the amount of $1,000,000 (the “Second Note Purchase Price”), in both cases, minus the Pre-Delivery Shares issuance fees. Additionally, pursuant to the Streeterville SPA and the First Note, the Registrant agreed to file a registration statement with the SEC covering the resale of the Pre-Delivery Shares and the Conversion Shares to be issued to Streeterville. On August 7, 2025, the Registrant issued and sold the First Note to Streeterville, and Streeterville paid the First Note Purchase Price to the Registrant. On August 8, 2025, the Registrant issued and sold the Pre-Delivery Shares to Streeterville. The Registrant will issue the Second Note to Streeterville and Streeterville will pay the Second Note Purchase Price upon the effectiveness of this registration statement.</w:t>
      </w:r>
    </w:p>
    <w:p>
      <w:pPr>
        <w:sectPr>
          <w:pgSz w:w="11900" w:h="16845" w:orient="portrait"/>
          <w:cols w:equalWidth="0" w:num="1">
            <w:col w:w="11240"/>
          </w:cols>
          <w:pgMar w:left="320" w:top="108" w:right="339" w:bottom="0" w:gutter="0" w:footer="0" w:header="0"/>
        </w:sectPr>
      </w:pPr>
    </w:p>
    <w:bookmarkStart w:id="210" w:name="page211"/>
    <w:bookmarkEnd w:id="210"/>
    <w:p>
      <w:pPr>
        <w:jc w:val="both"/>
        <w:spacing w:after="0" w:line="254" w:lineRule="auto"/>
        <w:rPr>
          <w:sz w:val="20"/>
          <w:szCs w:val="20"/>
          <w:color w:val="auto"/>
        </w:rPr>
      </w:pPr>
      <w:r>
        <w:rPr>
          <w:rFonts w:ascii="Times New Roman" w:cs="Times New Roman" w:eastAsia="Times New Roman" w:hAnsi="Times New Roman"/>
          <w:sz w:val="18"/>
          <w:szCs w:val="18"/>
          <w:color w:val="auto"/>
        </w:rPr>
        <w:t>From the earlier of (i) 6 months after the applicable convertible promissory note’s purchase price is delivered and (ii) the effective date of this registration statement, until the remaining balance of the applicable convertible promissory note’s purchase price is paid in full, Streeterville has the right to convert all or a portion of the remaining balance of the applicable convertible promissory note’s purchase price into Conversion Shares according to the following formula: the amount of Conversion Shares will equal to the remaining balance of the applicable convertible promissory note’s purchase price being converted divided by the conversion price, and the conversion price will equal to the lowest volume weighted average price of the Registrant’s ADSs on the Nasdaq Capital Market during the 10-trading day period before the conversion date multiplied by 80%, less ADS issuance fees. According to the Streeterville SPA, the Registrant calculates the number of Additional Registrable Shares to be registered under this registration statement by dividing the combined original principal amounts of the First Note and the Second Note ($2,180,000.00) by the Floor Price ($0.244 per ADS).</w:t>
      </w:r>
    </w:p>
    <w:sectPr>
      <w:pgSz w:w="11900" w:h="16838" w:orient="portrait"/>
      <w:cols w:equalWidth="0" w:num="1">
        <w:col w:w="10880"/>
      </w:cols>
      <w:pgMar w:left="68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EA1109"/>
    <w:multiLevelType w:val="hybridMultilevel"/>
    <w:lvl w:ilvl="0">
      <w:lvlJc w:val="left"/>
      <w:lvlText w:val="†"/>
      <w:numFmt w:val="bullet"/>
      <w:start w:val="1"/>
    </w:lvl>
  </w:abstractNum>
  <w:abstractNum w:abstractNumId="1">
    <w:nsid w:val="100F59DC"/>
    <w:multiLevelType w:val="hybridMultilevel"/>
    <w:lvl w:ilvl="0">
      <w:lvlJc w:val="left"/>
      <w:lvlText w:val="●"/>
      <w:numFmt w:val="bullet"/>
      <w:start w:val="1"/>
    </w:lvl>
  </w:abstractNum>
  <w:abstractNum w:abstractNumId="2">
    <w:nsid w:val="7FB7E0AA"/>
    <w:multiLevelType w:val="hybridMultilevel"/>
    <w:lvl w:ilvl="0">
      <w:lvlJc w:val="left"/>
      <w:lvlText w:val="●"/>
      <w:numFmt w:val="bullet"/>
      <w:start w:val="1"/>
    </w:lvl>
  </w:abstractNum>
  <w:abstractNum w:abstractNumId="3">
    <w:nsid w:val="6EB5BD4"/>
    <w:multiLevelType w:val="hybridMultilevel"/>
    <w:lvl w:ilvl="0">
      <w:lvlJc w:val="left"/>
      <w:lvlText w:val="●"/>
      <w:numFmt w:val="bullet"/>
      <w:start w:val="1"/>
    </w:lvl>
  </w:abstractNum>
  <w:abstractNum w:abstractNumId="4">
    <w:nsid w:val="6F6DD9AC"/>
    <w:multiLevelType w:val="hybridMultilevel"/>
    <w:lvl w:ilvl="0">
      <w:lvlJc w:val="left"/>
      <w:lvlText w:val="●"/>
      <w:numFmt w:val="bullet"/>
      <w:start w:val="1"/>
    </w:lvl>
  </w:abstractNum>
  <w:abstractNum w:abstractNumId="5">
    <w:nsid w:val="94211F2"/>
    <w:multiLevelType w:val="hybridMultilevel"/>
    <w:lvl w:ilvl="0">
      <w:lvlJc w:val="left"/>
      <w:lvlText w:val="●"/>
      <w:numFmt w:val="bullet"/>
      <w:start w:val="1"/>
    </w:lvl>
  </w:abstractNum>
  <w:abstractNum w:abstractNumId="6">
    <w:nsid w:val="885E1B"/>
    <w:multiLevelType w:val="hybridMultilevel"/>
    <w:lvl w:ilvl="0">
      <w:lvlJc w:val="left"/>
      <w:lvlText w:val="(%1)"/>
      <w:numFmt w:val="lowerRoman"/>
      <w:start w:val="3"/>
    </w:lvl>
  </w:abstractNum>
  <w:abstractNum w:abstractNumId="7">
    <w:nsid w:val="76272110"/>
    <w:multiLevelType w:val="hybridMultilevel"/>
    <w:lvl w:ilvl="0">
      <w:lvlJc w:val="left"/>
      <w:lvlText w:val="●"/>
      <w:numFmt w:val="bullet"/>
      <w:start w:val="1"/>
    </w:lvl>
  </w:abstractNum>
  <w:abstractNum w:abstractNumId="8">
    <w:nsid w:val="4C04A8AF"/>
    <w:multiLevelType w:val="hybridMultilevel"/>
    <w:lvl w:ilvl="0">
      <w:lvlJc w:val="left"/>
      <w:lvlText w:val="●"/>
      <w:numFmt w:val="bullet"/>
      <w:start w:val="1"/>
    </w:lvl>
  </w:abstractNum>
  <w:abstractNum w:abstractNumId="9">
    <w:nsid w:val="1716703B"/>
    <w:multiLevelType w:val="hybridMultilevel"/>
    <w:lvl w:ilvl="0">
      <w:lvlJc w:val="left"/>
      <w:lvlText w:val="●"/>
      <w:numFmt w:val="bullet"/>
      <w:start w:val="1"/>
    </w:lvl>
  </w:abstractNum>
  <w:abstractNum w:abstractNumId="10">
    <w:nsid w:val="14E17E33"/>
    <w:multiLevelType w:val="hybridMultilevel"/>
    <w:lvl w:ilvl="0">
      <w:lvlJc w:val="left"/>
      <w:lvlText w:val="(%1)"/>
      <w:numFmt w:val="decimal"/>
      <w:start w:val="1"/>
    </w:lvl>
  </w:abstractNum>
  <w:abstractNum w:abstractNumId="11">
    <w:nsid w:val="3222E7CD"/>
    <w:multiLevelType w:val="hybridMultilevel"/>
    <w:lvl w:ilvl="0">
      <w:lvlJc w:val="left"/>
      <w:lvlText w:val="(%1)"/>
      <w:numFmt w:val="decimal"/>
      <w:start w:val="2"/>
    </w:lvl>
  </w:abstractNum>
  <w:abstractNum w:abstractNumId="12">
    <w:nsid w:val="74DE0EE3"/>
    <w:multiLevelType w:val="hybridMultilevel"/>
    <w:lvl w:ilvl="0">
      <w:lvlJc w:val="left"/>
      <w:lvlText w:val="●"/>
      <w:numFmt w:val="bullet"/>
      <w:start w:val="1"/>
    </w:lvl>
  </w:abstractNum>
  <w:abstractNum w:abstractNumId="13">
    <w:nsid w:val="68EBC550"/>
    <w:multiLevelType w:val="hybridMultilevel"/>
    <w:lvl w:ilvl="0">
      <w:lvlJc w:val="left"/>
      <w:lvlText w:val="●"/>
      <w:numFmt w:val="bullet"/>
      <w:start w:val="1"/>
    </w:lvl>
  </w:abstractNum>
  <w:abstractNum w:abstractNumId="14">
    <w:nsid w:val="2DF6D648"/>
    <w:multiLevelType w:val="hybridMultilevel"/>
    <w:lvl w:ilvl="0">
      <w:lvlJc w:val="left"/>
      <w:lvlText w:val="●"/>
      <w:numFmt w:val="bullet"/>
      <w:start w:val="1"/>
    </w:lvl>
  </w:abstractNum>
  <w:abstractNum w:abstractNumId="15">
    <w:nsid w:val="46B7D447"/>
    <w:multiLevelType w:val="hybridMultilevel"/>
    <w:lvl w:ilvl="0">
      <w:lvlJc w:val="left"/>
      <w:lvlText w:val="●"/>
      <w:numFmt w:val="bullet"/>
      <w:start w:val="1"/>
    </w:lvl>
  </w:abstractNum>
  <w:abstractNum w:abstractNumId="16">
    <w:nsid w:val="4A2AC315"/>
    <w:multiLevelType w:val="hybridMultilevel"/>
    <w:lvl w:ilvl="0">
      <w:lvlJc w:val="left"/>
      <w:lvlText w:val="(%1)"/>
      <w:numFmt w:val="lowerLetter"/>
      <w:start w:val="2"/>
    </w:lvl>
  </w:abstractNum>
  <w:abstractNum w:abstractNumId="17">
    <w:nsid w:val="39EE015C"/>
    <w:multiLevelType w:val="hybridMultilevel"/>
    <w:lvl w:ilvl="0">
      <w:lvlJc w:val="left"/>
      <w:lvlText w:val="●"/>
      <w:numFmt w:val="bullet"/>
      <w:start w:val="1"/>
    </w:lvl>
  </w:abstractNum>
  <w:abstractNum w:abstractNumId="18">
    <w:nsid w:val="57FC4FBB"/>
    <w:multiLevelType w:val="hybridMultilevel"/>
    <w:lvl w:ilvl="0">
      <w:lvlJc w:val="left"/>
      <w:lvlText w:val="●"/>
      <w:numFmt w:val="bullet"/>
      <w:start w:val="1"/>
    </w:lvl>
  </w:abstractNum>
  <w:abstractNum w:abstractNumId="19">
    <w:nsid w:val="CC1016F"/>
    <w:multiLevelType w:val="hybridMultilevel"/>
    <w:lvl w:ilvl="0">
      <w:lvlJc w:val="left"/>
      <w:lvlText w:val="(%1)"/>
      <w:numFmt w:val="lowerLetter"/>
      <w:start w:val="1"/>
    </w:lvl>
  </w:abstractNum>
  <w:abstractNum w:abstractNumId="20">
    <w:nsid w:val="43F18422"/>
    <w:multiLevelType w:val="hybridMultilevel"/>
    <w:lvl w:ilvl="0">
      <w:lvlJc w:val="left"/>
      <w:lvlText w:val="●"/>
      <w:numFmt w:val="bullet"/>
      <w:start w:val="1"/>
    </w:lvl>
  </w:abstractNum>
  <w:abstractNum w:abstractNumId="21">
    <w:nsid w:val="60EF0119"/>
    <w:multiLevelType w:val="hybridMultilevel"/>
    <w:lvl w:ilvl="0">
      <w:lvlJc w:val="left"/>
      <w:lvlText w:val="●"/>
      <w:numFmt w:val="bullet"/>
      <w:start w:val="1"/>
    </w:lvl>
  </w:abstractNum>
  <w:abstractNum w:abstractNumId="22">
    <w:nsid w:val="26F324BA"/>
    <w:multiLevelType w:val="hybridMultilevel"/>
    <w:lvl w:ilvl="0">
      <w:lvlJc w:val="left"/>
      <w:lvlText w:val="●"/>
      <w:numFmt w:val="bullet"/>
      <w:start w:val="1"/>
    </w:lvl>
  </w:abstractNum>
  <w:abstractNum w:abstractNumId="23">
    <w:nsid w:val="7F01579B"/>
    <w:multiLevelType w:val="hybridMultilevel"/>
    <w:lvl w:ilvl="0">
      <w:lvlJc w:val="left"/>
      <w:lvlText w:val="●"/>
      <w:numFmt w:val="bullet"/>
      <w:start w:val="1"/>
    </w:lvl>
  </w:abstractNum>
  <w:abstractNum w:abstractNumId="24">
    <w:nsid w:val="49DA307D"/>
    <w:multiLevelType w:val="hybridMultilevel"/>
    <w:lvl w:ilvl="0">
      <w:lvlJc w:val="left"/>
      <w:lvlText w:val="●"/>
      <w:numFmt w:val="bullet"/>
      <w:start w:val="1"/>
    </w:lvl>
  </w:abstractNum>
  <w:abstractNum w:abstractNumId="25">
    <w:nsid w:val="7055A5F5"/>
    <w:multiLevelType w:val="hybridMultilevel"/>
    <w:lvl w:ilvl="0">
      <w:lvlJc w:val="left"/>
      <w:lvlText w:val="●"/>
      <w:numFmt w:val="bullet"/>
      <w:start w:val="1"/>
    </w:lvl>
  </w:abstractNum>
  <w:abstractNum w:abstractNumId="26">
    <w:nsid w:val="5FB8370B"/>
    <w:multiLevelType w:val="hybridMultilevel"/>
    <w:lvl w:ilvl="0">
      <w:lvlJc w:val="left"/>
      <w:lvlText w:val="(%1)"/>
      <w:numFmt w:val="lowerLetter"/>
      <w:start w:val="2"/>
    </w:lvl>
  </w:abstractNum>
  <w:abstractNum w:abstractNumId="27">
    <w:nsid w:val="50801EE1"/>
    <w:multiLevelType w:val="hybridMultilevel"/>
    <w:lvl w:ilvl="0">
      <w:lvlJc w:val="left"/>
      <w:lvlText w:val="●"/>
      <w:numFmt w:val="bullet"/>
      <w:start w:val="1"/>
    </w:lvl>
  </w:abstractNum>
  <w:abstractNum w:abstractNumId="28">
    <w:nsid w:val="488AC1A"/>
    <w:multiLevelType w:val="hybridMultilevel"/>
    <w:lvl w:ilvl="0">
      <w:lvlJc w:val="left"/>
      <w:lvlText w:val="●"/>
      <w:numFmt w:val="bullet"/>
      <w:start w:val="1"/>
    </w:lvl>
  </w:abstractNum>
  <w:abstractNum w:abstractNumId="29">
    <w:nsid w:val="5FB8011C"/>
    <w:multiLevelType w:val="hybridMultilevel"/>
    <w:lvl w:ilvl="0">
      <w:lvlJc w:val="left"/>
      <w:lvlText w:val="●"/>
      <w:numFmt w:val="bullet"/>
      <w:start w:val="1"/>
    </w:lvl>
  </w:abstractNum>
  <w:abstractNum w:abstractNumId="30">
    <w:nsid w:val="6AA78F7F"/>
    <w:multiLevelType w:val="hybridMultilevel"/>
    <w:lvl w:ilvl="0">
      <w:lvlJc w:val="left"/>
      <w:lvlText w:val="●"/>
      <w:numFmt w:val="bullet"/>
      <w:start w:val="1"/>
    </w:lvl>
  </w:abstractNum>
  <w:abstractNum w:abstractNumId="31">
    <w:nsid w:val="7672BD23"/>
    <w:multiLevelType w:val="hybridMultilevel"/>
    <w:lvl w:ilvl="0">
      <w:lvlJc w:val="left"/>
      <w:lvlText w:val="●"/>
      <w:numFmt w:val="bullet"/>
      <w:start w:val="1"/>
    </w:lvl>
  </w:abstractNum>
  <w:abstractNum w:abstractNumId="32">
    <w:nsid w:val="6FC75AF8"/>
    <w:multiLevelType w:val="hybridMultilevel"/>
    <w:lvl w:ilvl="0">
      <w:lvlJc w:val="left"/>
      <w:lvlText w:val="(%1)"/>
      <w:numFmt w:val="decimal"/>
      <w:start w:val="1"/>
    </w:lvl>
  </w:abstractNum>
  <w:abstractNum w:abstractNumId="33">
    <w:nsid w:val="6A5F702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4">
    <w:nsid w:val="7D5E18F8"/>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35">
    <w:nsid w:val="5F3534A4"/>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6">
    <w:nsid w:val="73A1821B"/>
    <w:multiLevelType w:val="hybridMultilevel"/>
    <w:lvl w:ilvl="0">
      <w:lvlJc w:val="left"/>
      <w:lvlText w:val="*"/>
      <w:numFmt w:val="bullet"/>
      <w:start w:val="1"/>
    </w:lvl>
  </w:abstractNum>
  <w:abstractNum w:abstractNumId="37">
    <w:nsid w:val="7DE67713"/>
    <w:multiLevelType w:val="hybridMultilevel"/>
    <w:lvl w:ilvl="0">
      <w:lvlJc w:val="left"/>
      <w:lvlText w:val="#"/>
      <w:numFmt w:val="bullet"/>
      <w:start w:val="1"/>
    </w:lvl>
  </w:abstractNum>
  <w:abstractNum w:abstractNumId="38">
    <w:nsid w:val="555C55B5"/>
    <w:multiLevelType w:val="hybridMultilevel"/>
    <w:lvl w:ilvl="0">
      <w:lvlJc w:val="left"/>
      <w:lvlText w:val="1"/>
      <w:numFmt w:val="bullet"/>
      <w:start w:val="1"/>
    </w:lvl>
  </w:abstractNum>
  <w:abstractNum w:abstractNumId="39">
    <w:nsid w:val="3FA62ACA"/>
    <w:multiLevelType w:val="hybridMultilevel"/>
    <w:lvl w:ilvl="0">
      <w:lvlJc w:val="left"/>
      <w:lvlText w:val="2"/>
      <w:numFmt w:val="bullet"/>
      <w:start w:val="1"/>
    </w:lvl>
  </w:abstractNum>
  <w:abstractNum w:abstractNumId="40">
    <w:nsid w:val="14FCE74E"/>
    <w:multiLevelType w:val="hybridMultilevel"/>
    <w:lvl w:ilvl="0">
      <w:lvlJc w:val="left"/>
      <w:lvlText w:val="3"/>
      <w:numFmt w:val="bullet"/>
      <w:start w:val="1"/>
    </w:lvl>
  </w:abstractNum>
  <w:abstractNum w:abstractNumId="41">
    <w:nsid w:val="6A3DD3E8"/>
    <w:multiLevelType w:val="hybridMultilevel"/>
    <w:lvl w:ilvl="0">
      <w:lvlJc w:val="left"/>
      <w:lvlText w:val="(%1)"/>
      <w:numFmt w:val="lowerRoman"/>
      <w:start w:val="1"/>
    </w:lvl>
  </w:abstractNum>
  <w:abstractNum w:abstractNumId="42">
    <w:nsid w:val="71C91298"/>
    <w:multiLevelType w:val="hybridMultilevel"/>
    <w:lvl w:ilvl="0">
      <w:lvlJc w:val="left"/>
      <w:lvlText w:val="4"/>
      <w:numFmt w:val="bullet"/>
      <w:start w:val="1"/>
    </w:lvl>
  </w:abstractNum>
  <w:abstractNum w:abstractNumId="43">
    <w:nsid w:val="9DAF632"/>
    <w:multiLevelType w:val="hybridMultilevel"/>
    <w:lvl w:ilvl="0">
      <w:lvlJc w:val="left"/>
      <w:lvlText w:val="1"/>
      <w:numFmt w:val="bullet"/>
      <w:start w:val="1"/>
    </w:lvl>
  </w:abstractNum>
  <w:abstractNum w:abstractNumId="44">
    <w:nsid w:val="53299938"/>
    <w:multiLevelType w:val="hybridMultilevel"/>
    <w:lvl w:ilvl="0">
      <w:lvlJc w:val="left"/>
      <w:lvlText w:val="2"/>
      <w:numFmt w:val="bullet"/>
      <w:start w:val="1"/>
    </w:lvl>
  </w:abstractNum>
  <w:abstractNum w:abstractNumId="45">
    <w:nsid w:val="1FBFE8E0"/>
    <w:multiLevelType w:val="hybridMultilevel"/>
    <w:lvl w:ilvl="0">
      <w:lvlJc w:val="left"/>
      <w:lvlText w:val="3"/>
      <w:numFmt w:val="bullet"/>
      <w:start w:val="1"/>
    </w:lvl>
    <w:lvl w:ilvl="1">
      <w:lvlJc w:val="left"/>
      <w:lvlText w:val="(%2)"/>
      <w:numFmt w:val="lowerRoman"/>
      <w:start w:val="1"/>
    </w:lvl>
  </w:abstractNum>
  <w:abstractNum w:abstractNumId="46">
    <w:nsid w:val="5092CA79"/>
    <w:multiLevelType w:val="hybridMultilevel"/>
    <w:lvl w:ilvl="0">
      <w:lvlJc w:val="left"/>
      <w:lvlText w:val="4"/>
      <w:numFmt w:val="bullet"/>
      <w:start w:val="1"/>
    </w:lvl>
  </w:abstractNum>
  <w:abstractNum w:abstractNumId="47">
    <w:nsid w:val="1D545C4D"/>
    <w:multiLevelType w:val="hybridMultilevel"/>
    <w:lvl w:ilvl="0">
      <w:lvlJc w:val="left"/>
      <w:lvlText w:val="5"/>
      <w:numFmt w:val="bullet"/>
      <w:start w:val="1"/>
    </w:lvl>
  </w:abstractNum>
  <w:abstractNum w:abstractNumId="48">
    <w:nsid w:val="59ADEA3D"/>
    <w:multiLevelType w:val="hybridMultilevel"/>
    <w:lvl w:ilvl="0">
      <w:lvlJc w:val="left"/>
      <w:lvlText w:val="6"/>
      <w:numFmt w:val="bullet"/>
      <w:start w:val="1"/>
    </w:lvl>
  </w:abstractNum>
  <w:abstractNum w:abstractNumId="49">
    <w:nsid w:val="288F1A34"/>
    <w:multiLevelType w:val="hybridMultilevel"/>
    <w:lvl w:ilvl="0">
      <w:lvlJc w:val="left"/>
      <w:lvlText w:val="7"/>
      <w:numFmt w:val="bullet"/>
      <w:start w:val="1"/>
    </w:lvl>
  </w:abstractNum>
  <w:abstractNum w:abstractNumId="50">
    <w:nsid w:val="2A155DBC"/>
    <w:multiLevelType w:val="hybridMultilevel"/>
    <w:lvl w:ilvl="0">
      <w:lvlJc w:val="left"/>
      <w:lvlText w:val="8"/>
      <w:numFmt w:val="bullet"/>
      <w:start w:val="1"/>
    </w:lvl>
  </w:abstractNum>
  <w:abstractNum w:abstractNumId="51">
    <w:nsid w:val="1D9F6E5F"/>
    <w:multiLevelType w:val="hybridMultilevel"/>
    <w:lvl w:ilvl="0">
      <w:lvlJc w:val="left"/>
      <w:lvlText w:val="9"/>
      <w:numFmt w:val="bullet"/>
      <w:start w:val="1"/>
    </w:lvl>
  </w:abstractNum>
  <w:abstractNum w:abstractNumId="52">
    <w:nsid w:val="97E1B4E"/>
    <w:multiLevelType w:val="hybridMultilevel"/>
    <w:lvl w:ilvl="0">
      <w:lvlJc w:val="left"/>
      <w:lvlText w:val="%1"/>
      <w:numFmt w:val="decimal"/>
      <w:start w:val="10"/>
    </w:lvl>
  </w:abstractNum>
  <w:abstractNum w:abstractNumId="53">
    <w:nsid w:val="51088277"/>
    <w:multiLevelType w:val="hybridMultilevel"/>
    <w:lvl w:ilvl="0">
      <w:lvlJc w:val="left"/>
      <w:lvlText w:val="%1."/>
      <w:numFmt w:val="upperLetter"/>
      <w:start w:val="1"/>
    </w:lvl>
  </w:abstractNum>
  <w:abstractNum w:abstractNumId="54">
    <w:nsid w:val="1CA0C5FA"/>
    <w:multiLevelType w:val="hybridMultilevel"/>
    <w:lvl w:ilvl="0">
      <w:lvlJc w:val="left"/>
      <w:lvlText w:val="%1."/>
      <w:numFmt w:val="upperLetter"/>
      <w:start w:val="1"/>
    </w:lvl>
  </w:abstractNum>
  <w:abstractNum w:abstractNumId="55">
    <w:nsid w:val="53584BCB"/>
    <w:multiLevelType w:val="hybridMultilevel"/>
    <w:lvl w:ilvl="0">
      <w:lvlJc w:val="left"/>
      <w:lvlText w:val="%1."/>
      <w:numFmt w:val="decimal"/>
      <w:start w:val="1"/>
    </w:lvl>
  </w:abstractNum>
  <w:abstractNum w:abstractNumId="56">
    <w:nsid w:val="415E286C"/>
    <w:multiLevelType w:val="hybridMultilevel"/>
    <w:lvl w:ilvl="0">
      <w:lvlJc w:val="left"/>
      <w:lvlText w:val="(%1)"/>
      <w:numFmt w:val="lowerLetter"/>
      <w:start w:val="1"/>
    </w:lvl>
  </w:abstractNum>
  <w:abstractNum w:abstractNumId="57">
    <w:nsid w:val="7C58FD05"/>
    <w:multiLevelType w:val="hybridMultilevel"/>
    <w:lvl w:ilvl="0">
      <w:lvlJc w:val="left"/>
      <w:lvlText w:val="%1."/>
      <w:numFmt w:val="decimal"/>
      <w:start w:val="2"/>
    </w:lvl>
  </w:abstractNum>
  <w:abstractNum w:abstractNumId="58">
    <w:nsid w:val="23D86AAC"/>
    <w:multiLevelType w:val="hybridMultilevel"/>
    <w:lvl w:ilvl="0">
      <w:lvlJc w:val="left"/>
      <w:lvlText w:val="(%1)"/>
      <w:numFmt w:val="lowerLetter"/>
      <w:start w:val="1"/>
    </w:lvl>
  </w:abstractNum>
  <w:abstractNum w:abstractNumId="59">
    <w:nsid w:val="45E6D486"/>
    <w:multiLevelType w:val="hybridMultilevel"/>
    <w:lvl w:ilvl="0">
      <w:lvlJc w:val="left"/>
      <w:lvlText w:val="(%1)"/>
      <w:numFmt w:val="lowerLetter"/>
      <w:start w:val="3"/>
    </w:lvl>
  </w:abstractNum>
  <w:abstractNum w:abstractNumId="60">
    <w:nsid w:val="5C10FE21"/>
    <w:multiLevelType w:val="hybridMultilevel"/>
    <w:lvl w:ilvl="0">
      <w:lvlJc w:val="left"/>
      <w:lvlText w:val="(%1)"/>
      <w:numFmt w:val="lowerLetter"/>
      <w:start w:val="1"/>
    </w:lvl>
  </w:abstractNum>
  <w:abstractNum w:abstractNumId="61">
    <w:nsid w:val="E7FFA2B"/>
    <w:multiLevelType w:val="hybridMultilevel"/>
    <w:lvl w:ilvl="0">
      <w:lvlJc w:val="left"/>
      <w:lvlText w:val="(%1)"/>
      <w:numFmt w:val="lowerLetter"/>
      <w:start w:val="1"/>
    </w:lvl>
  </w:abstractNum>
  <w:abstractNum w:abstractNumId="62">
    <w:nsid w:val="3C5991AA"/>
    <w:multiLevelType w:val="hybridMultilevel"/>
    <w:lvl w:ilvl="0">
      <w:lvlJc w:val="left"/>
      <w:lvlText w:val="%1."/>
      <w:numFmt w:val="decimal"/>
      <w:start w:val="3"/>
    </w:lvl>
  </w:abstractNum>
  <w:abstractNum w:abstractNumId="63">
    <w:nsid w:val="4BD8591A"/>
    <w:multiLevelType w:val="hybridMultilevel"/>
    <w:lvl w:ilvl="0">
      <w:lvlJc w:val="left"/>
      <w:lvlText w:val="(%1)"/>
      <w:numFmt w:val="lowerLetter"/>
      <w:start w:val="1"/>
    </w:lvl>
  </w:abstractNum>
  <w:abstractNum w:abstractNumId="64">
    <w:nsid w:val="78DF6A55"/>
    <w:multiLevelType w:val="hybridMultilevel"/>
    <w:lvl w:ilvl="0">
      <w:lvlJc w:val="left"/>
      <w:lvlText w:val="(%1)"/>
      <w:numFmt w:val="lowerLetter"/>
      <w:start w:val="1"/>
    </w:lvl>
  </w:abstractNum>
  <w:abstractNum w:abstractNumId="65">
    <w:nsid w:val="39B7AAA2"/>
    <w:multiLevelType w:val="hybridMultilevel"/>
    <w:lvl w:ilvl="0">
      <w:lvlJc w:val="left"/>
      <w:lvlText w:val="(%1)"/>
      <w:numFmt w:val="lowerRoman"/>
      <w:start w:val="1"/>
    </w:lvl>
  </w:abstractNum>
  <w:abstractNum w:abstractNumId="66">
    <w:nsid w:val="2B0D8DBE"/>
    <w:multiLevelType w:val="hybridMultilevel"/>
    <w:lvl w:ilvl="0">
      <w:lvlJc w:val="left"/>
      <w:lvlText w:val="(%1)"/>
      <w:numFmt w:val="lowerLetter"/>
      <w:start w:val="1"/>
    </w:lvl>
  </w:abstractNum>
  <w:abstractNum w:abstractNumId="67">
    <w:nsid w:val="6C80EC70"/>
    <w:multiLevelType w:val="hybridMultilevel"/>
    <w:lvl w:ilvl="0">
      <w:lvlJc w:val="left"/>
      <w:lvlText w:val="(%1)"/>
      <w:numFmt w:val="lowerLetter"/>
      <w:start w:val="1"/>
    </w:lvl>
  </w:abstractNum>
  <w:abstractNum w:abstractNumId="68">
    <w:nsid w:val="379E21B5"/>
    <w:multiLevelType w:val="hybridMultilevel"/>
    <w:lvl w:ilvl="0">
      <w:lvlJc w:val="left"/>
      <w:lvlText w:val="(%1)"/>
      <w:numFmt w:val="lowerLetter"/>
      <w:start w:val="2"/>
    </w:lvl>
  </w:abstractNum>
  <w:abstractNum w:abstractNumId="69">
    <w:nsid w:val="69E373"/>
    <w:multiLevelType w:val="hybridMultilevel"/>
    <w:lvl w:ilvl="0">
      <w:lvlJc w:val="left"/>
      <w:lvlText w:val="%1."/>
      <w:numFmt w:val="decimal"/>
      <w:start w:val="4"/>
    </w:lvl>
  </w:abstractNum>
  <w:abstractNum w:abstractNumId="70">
    <w:nsid w:val="2C27173B"/>
    <w:multiLevelType w:val="hybridMultilevel"/>
    <w:lvl w:ilvl="0">
      <w:lvlJc w:val="left"/>
      <w:lvlText w:val="%1."/>
      <w:numFmt w:val="decimal"/>
      <w:start w:val="5"/>
    </w:lvl>
  </w:abstractNum>
  <w:abstractNum w:abstractNumId="71">
    <w:nsid w:val="4C9B0904"/>
    <w:multiLevelType w:val="hybridMultilevel"/>
    <w:lvl w:ilvl="0">
      <w:lvlJc w:val="left"/>
      <w:lvlText w:val="%1."/>
      <w:numFmt w:val="decimal"/>
      <w:start w:val="6"/>
    </w:lvl>
  </w:abstractNum>
  <w:abstractNum w:abstractNumId="72">
    <w:nsid w:val="6AA7B75C"/>
    <w:multiLevelType w:val="hybridMultilevel"/>
    <w:lvl w:ilvl="0">
      <w:lvlJc w:val="left"/>
      <w:lvlText w:val="%1."/>
      <w:numFmt w:val="decimal"/>
      <w:start w:val="7"/>
    </w:lvl>
  </w:abstractNum>
  <w:abstractNum w:abstractNumId="73">
    <w:nsid w:val="1DF029D3"/>
    <w:multiLevelType w:val="hybridMultilevel"/>
    <w:lvl w:ilvl="0">
      <w:lvlJc w:val="left"/>
      <w:lvlText w:val="%1."/>
      <w:numFmt w:val="decimal"/>
      <w:start w:val="8"/>
    </w:lvl>
  </w:abstractNum>
  <w:abstractNum w:abstractNumId="74">
    <w:nsid w:val="5675FF36"/>
    <w:multiLevelType w:val="hybridMultilevel"/>
    <w:lvl w:ilvl="0">
      <w:lvlJc w:val="left"/>
      <w:lvlText w:val="%1."/>
      <w:numFmt w:val="decimal"/>
      <w:start w:val="9"/>
    </w:lvl>
  </w:abstractNum>
  <w:abstractNum w:abstractNumId="75">
    <w:nsid w:val="3DD15094"/>
    <w:multiLevelType w:val="hybridMultilevel"/>
    <w:lvl w:ilvl="0">
      <w:lvlJc w:val="left"/>
      <w:lvlText w:val="(%1)"/>
      <w:numFmt w:val="lowerLetter"/>
      <w:start w:val="1"/>
    </w:lvl>
  </w:abstractNum>
  <w:abstractNum w:abstractNumId="76">
    <w:nsid w:val="3DB012B3"/>
    <w:multiLevelType w:val="hybridMultilevel"/>
    <w:lvl w:ilvl="0">
      <w:lvlJc w:val="left"/>
      <w:lvlText w:val="(%1)"/>
      <w:numFmt w:val="lowerLetter"/>
      <w:start w:val="1"/>
    </w:lvl>
    <w:lvl w:ilvl="1">
      <w:lvlJc w:val="left"/>
      <w:lvlText w:val="(%2)"/>
      <w:numFmt w:val="lowerRoman"/>
      <w:start w:val="1"/>
    </w:lvl>
  </w:abstractNum>
  <w:abstractNum w:abstractNumId="77">
    <w:nsid w:val="2708C9AF"/>
    <w:multiLevelType w:val="hybridMultilevel"/>
    <w:lvl w:ilvl="0">
      <w:lvlJc w:val="left"/>
      <w:lvlText w:val="%1."/>
      <w:numFmt w:val="decimal"/>
      <w:start w:val="10"/>
    </w:lvl>
  </w:abstractNum>
  <w:abstractNum w:abstractNumId="78">
    <w:nsid w:val="5B25ACE2"/>
    <w:multiLevelType w:val="hybridMultilevel"/>
    <w:lvl w:ilvl="0">
      <w:lvlJc w:val="left"/>
      <w:lvlText w:val="(%1)"/>
      <w:numFmt w:val="lowerLetter"/>
      <w:start w:val="1"/>
    </w:lvl>
  </w:abstractNum>
  <w:abstractNum w:abstractNumId="79">
    <w:nsid w:val="175DFCF0"/>
    <w:multiLevelType w:val="hybridMultilevel"/>
    <w:lvl w:ilvl="0">
      <w:lvlJc w:val="left"/>
      <w:lvlText w:val="%1."/>
      <w:numFmt w:val="decimal"/>
      <w:start w:val="1"/>
    </w:lvl>
  </w:abstractNum>
  <w:abstractNum w:abstractNumId="80">
    <w:nsid w:val="4F97E3E4"/>
    <w:multiLevelType w:val="hybridMultilevel"/>
    <w:lvl w:ilvl="0">
      <w:lvlJc w:val="left"/>
      <w:lvlText w:val="(%1)"/>
      <w:numFmt w:val="lowerLetter"/>
      <w:start w:val="1"/>
    </w:lvl>
  </w:abstractNum>
  <w:abstractNum w:abstractNumId="81">
    <w:nsid w:val="53B0A9E"/>
    <w:multiLevelType w:val="hybridMultilevel"/>
    <w:lvl w:ilvl="0">
      <w:lvlJc w:val="left"/>
      <w:lvlText w:val="%1."/>
      <w:numFmt w:val="decimal"/>
      <w:start w:val="2"/>
    </w:lvl>
  </w:abstractNum>
  <w:abstractNum w:abstractNumId="82">
    <w:nsid w:val="34FD6B4F"/>
    <w:multiLevelType w:val="hybridMultilevel"/>
    <w:lvl w:ilvl="0">
      <w:lvlJc w:val="left"/>
      <w:lvlText w:val="%1"/>
      <w:numFmt w:val="decimal"/>
      <w:start w:val="1"/>
    </w:lvl>
    <w:lvl w:ilvl="1">
      <w:lvlJc w:val="left"/>
      <w:lvlText w:val="%2."/>
      <w:numFmt w:val="decimal"/>
      <w:start w:val="3"/>
    </w:lvl>
  </w:abstractNum>
  <w:abstractNum w:abstractNumId="83">
    <w:nsid w:val="5915FF32"/>
    <w:multiLevelType w:val="hybridMultilevel"/>
    <w:lvl w:ilvl="0">
      <w:lvlJc w:val="left"/>
      <w:lvlText w:val="(%1)"/>
      <w:numFmt w:val="decimal"/>
      <w:start w:val="1"/>
    </w:lvl>
    <w:lvl w:ilvl="1">
      <w:lvlJc w:val="left"/>
      <w:lvlText w:val="%2"/>
      <w:numFmt w:val="decimal"/>
      <w:start w:val="1"/>
    </w:lvl>
  </w:abstractNum>
  <w:abstractNum w:abstractNumId="84">
    <w:nsid w:val="56438D15"/>
    <w:multiLevelType w:val="hybridMultilevel"/>
    <w:lvl w:ilvl="0">
      <w:lvlJc w:val="left"/>
      <w:lvlText w:val="%1"/>
      <w:numFmt w:val="upperLetter"/>
      <w:start w:val="1"/>
    </w:lvl>
    <w:lvl w:ilvl="1">
      <w:lvlJc w:val="left"/>
      <w:lvlText w:val="%2."/>
      <w:numFmt w:val="decimal"/>
      <w:start w:val="4"/>
    </w:lvl>
  </w:abstractNum>
  <w:abstractNum w:abstractNumId="85">
    <w:nsid w:val="519E3149"/>
    <w:multiLevelType w:val="hybridMultilevel"/>
    <w:lvl w:ilvl="0">
      <w:lvlJc w:val="left"/>
      <w:lvlText w:val="(%1)"/>
      <w:numFmt w:val="upperLetter"/>
      <w:start w:val="1"/>
    </w:lvl>
    <w:lvl w:ilvl="1">
      <w:lvlJc w:val="left"/>
      <w:lvlText w:val="%2"/>
      <w:numFmt w:val="decimal"/>
      <w:start w:val="1"/>
    </w:lvl>
  </w:abstractNum>
  <w:abstractNum w:abstractNumId="86">
    <w:nsid w:val="2C6E4AFD"/>
    <w:multiLevelType w:val="hybridMultilevel"/>
    <w:lvl w:ilvl="0">
      <w:lvlJc w:val="left"/>
      <w:lvlText w:val="(%1)"/>
      <w:numFmt w:val="lowerLetter"/>
      <w:start w:val="1"/>
    </w:lvl>
  </w:abstractNum>
  <w:abstractNum w:abstractNumId="87">
    <w:nsid w:val="17A1B582"/>
    <w:multiLevelType w:val="hybridMultilevel"/>
    <w:lvl w:ilvl="0">
      <w:lvlJc w:val="left"/>
      <w:lvlText w:val="(%1)"/>
      <w:numFmt w:val="lowerLetter"/>
      <w:start w:val="2"/>
    </w:lvl>
  </w:abstractNum>
  <w:abstractNum w:abstractNumId="88">
    <w:nsid w:val="4DF72E4E"/>
    <w:multiLevelType w:val="hybridMultilevel"/>
    <w:lvl w:ilvl="0">
      <w:lvlJc w:val="left"/>
      <w:lvlText w:val="(%1)"/>
      <w:numFmt w:val="lowerLetter"/>
      <w:start w:val="6"/>
    </w:lvl>
  </w:abstractNum>
  <w:abstractNum w:abstractNumId="89">
    <w:nsid w:val="5046B5A9"/>
    <w:multiLevelType w:val="hybridMultilevel"/>
    <w:lvl w:ilvl="0">
      <w:lvlJc w:val="left"/>
      <w:lvlText w:val="%1."/>
      <w:numFmt w:val="decimal"/>
      <w:start w:val="5"/>
    </w:lvl>
  </w:abstractNum>
  <w:abstractNum w:abstractNumId="90">
    <w:nsid w:val="5D888A08"/>
    <w:multiLevelType w:val="hybridMultilevel"/>
    <w:lvl w:ilvl="0">
      <w:lvlJc w:val="left"/>
      <w:lvlText w:val="%1."/>
      <w:numFmt w:val="decimal"/>
      <w:start w:val="6"/>
    </w:lvl>
  </w:abstractNum>
  <w:abstractNum w:abstractNumId="91">
    <w:nsid w:val="2A082C70"/>
    <w:multiLevelType w:val="hybridMultilevel"/>
    <w:lvl w:ilvl="0">
      <w:lvlJc w:val="left"/>
      <w:lvlText w:val="%1."/>
      <w:numFmt w:val="decimal"/>
      <w:start w:val="7"/>
    </w:lvl>
  </w:abstractNum>
  <w:abstractNum w:abstractNumId="92">
    <w:nsid w:val="5EC6AFD4"/>
    <w:multiLevelType w:val="hybridMultilevel"/>
    <w:lvl w:ilvl="0">
      <w:lvlJc w:val="left"/>
      <w:lvlText w:val="%1."/>
      <w:numFmt w:val="decimal"/>
      <w:start w:val="11"/>
    </w:lvl>
  </w:abstractNum>
  <w:abstractNum w:abstractNumId="93">
    <w:nsid w:val="19E21BB2"/>
    <w:multiLevelType w:val="hybridMultilevel"/>
    <w:lvl w:ilvl="0">
      <w:lvlJc w:val="left"/>
      <w:lvlText w:val="%1."/>
      <w:numFmt w:val="decimal"/>
      <w:start w:val="13"/>
    </w:lvl>
  </w:abstractNum>
  <w:abstractNum w:abstractNumId="94">
    <w:nsid w:val="75E0858A"/>
    <w:multiLevelType w:val="hybridMultilevel"/>
    <w:lvl w:ilvl="0">
      <w:lvlJc w:val="left"/>
      <w:lvlText w:val="(%1)"/>
      <w:numFmt w:val="lowerRoman"/>
      <w:start w:val="3"/>
    </w:lvl>
  </w:abstractNum>
  <w:abstractNum w:abstractNumId="95">
    <w:nsid w:val="57A61A29"/>
    <w:multiLevelType w:val="hybridMultilevel"/>
    <w:lvl w:ilvl="0">
      <w:lvlJc w:val="left"/>
      <w:lvlText w:val="(%1)"/>
      <w:numFmt w:val="lowerRoman"/>
      <w:start w:val="2"/>
    </w:lvl>
  </w:abstractNum>
  <w:abstractNum w:abstractNumId="96">
    <w:nsid w:val="5399C654"/>
    <w:multiLevelType w:val="hybridMultilevel"/>
    <w:lvl w:ilvl="0">
      <w:lvlJc w:val="left"/>
      <w:lvlText w:val="(%1)"/>
      <w:numFmt w:val="lowerRoman"/>
      <w:start w:val="2"/>
    </w:lvl>
  </w:abstractNum>
  <w:abstractNum w:abstractNumId="97">
    <w:nsid w:val="20EE1348"/>
    <w:multiLevelType w:val="hybridMultilevel"/>
    <w:lvl w:ilvl="0">
      <w:lvlJc w:val="left"/>
      <w:lvlText w:val="%1."/>
      <w:numFmt w:val="decimal"/>
      <w:start w:val="1"/>
    </w:lvl>
  </w:abstractNum>
  <w:abstractNum w:abstractNumId="98">
    <w:nsid w:val="4427069A"/>
    <w:multiLevelType w:val="hybridMultilevel"/>
    <w:lvl w:ilvl="0">
      <w:lvlJc w:val="left"/>
      <w:lvlText w:val="%1."/>
      <w:numFmt w:val="decimal"/>
      <w:start w:val="2"/>
    </w:lvl>
  </w:abstractNum>
  <w:abstractNum w:abstractNumId="99">
    <w:nsid w:val="B37E80A"/>
    <w:multiLevelType w:val="hybridMultilevel"/>
    <w:lvl w:ilvl="0">
      <w:lvlJc w:val="left"/>
      <w:lvlText w:val="%1."/>
      <w:numFmt w:val="decimal"/>
      <w:start w:val="5"/>
    </w:lvl>
  </w:abstractNum>
  <w:abstractNum w:abstractNumId="100">
    <w:nsid w:val="2157F6BC"/>
    <w:multiLevelType w:val="hybridMultilevel"/>
    <w:lvl w:ilvl="0">
      <w:lvlJc w:val="left"/>
      <w:lvlText w:val="%1."/>
      <w:numFmt w:val="decimal"/>
      <w:start w:val="6"/>
    </w:lvl>
  </w:abstractNum>
  <w:abstractNum w:abstractNumId="101">
    <w:nsid w:val="704E1DD5"/>
    <w:multiLevelType w:val="hybridMultilevel"/>
    <w:lvl w:ilvl="0">
      <w:lvlJc w:val="left"/>
      <w:lvlText w:val="%1."/>
      <w:numFmt w:val="decimal"/>
      <w:start w:val="8"/>
    </w:lvl>
  </w:abstractNum>
  <w:abstractNum w:abstractNumId="102">
    <w:nsid w:val="57D2F10E"/>
    <w:multiLevelType w:val="hybridMultilevel"/>
    <w:lvl w:ilvl="0">
      <w:lvlJc w:val="left"/>
      <w:lvlText w:val="%1."/>
      <w:numFmt w:val="decimal"/>
      <w:start w:val="9"/>
    </w:lvl>
  </w:abstractNum>
  <w:abstractNum w:abstractNumId="103">
    <w:nsid w:val="BFFAE18"/>
    <w:multiLevelType w:val="hybridMultilevel"/>
    <w:lvl w:ilvl="0">
      <w:lvlJc w:val="left"/>
      <w:lvlText w:val="%1."/>
      <w:numFmt w:val="decimal"/>
      <w:start w:val="17"/>
    </w:lvl>
  </w:abstractNum>
  <w:abstractNum w:abstractNumId="104">
    <w:nsid w:val="E3E47A8"/>
    <w:multiLevelType w:val="hybridMultilevel"/>
    <w:lvl w:ilvl="0">
      <w:lvlJc w:val="left"/>
      <w:lvlText w:val="%1."/>
      <w:numFmt w:val="upperLetter"/>
      <w:start w:val="1"/>
    </w:lvl>
  </w:abstractNum>
  <w:abstractNum w:abstractNumId="105">
    <w:nsid w:val="2E48F044"/>
    <w:multiLevelType w:val="hybridMultilevel"/>
    <w:lvl w:ilvl="0">
      <w:lvlJc w:val="left"/>
      <w:lvlText w:val="*"/>
      <w:numFmt w:val="bullet"/>
      <w:start w:val="1"/>
    </w:lvl>
  </w:abstractNum>
  <w:abstractNum w:abstractNumId="106">
    <w:nsid w:val="49D0FEAC"/>
    <w:multiLevelType w:val="hybridMultilevel"/>
    <w:lvl w:ilvl="0">
      <w:lvlJc w:val="left"/>
      <w:lvlText w:val="%1."/>
      <w:numFmt w:val="decimal"/>
      <w:start w:val="1"/>
    </w:lvl>
  </w:abstractNum>
  <w:abstractNum w:abstractNumId="107">
    <w:nsid w:val="4BEE5A5B"/>
    <w:multiLevelType w:val="hybridMultilevel"/>
    <w:lvl w:ilvl="0">
      <w:lvlJc w:val="left"/>
      <w:lvlText w:val="%1."/>
      <w:numFmt w:val="decimal"/>
      <w:start w:val="2"/>
    </w:lvl>
  </w:abstractNum>
  <w:abstractNum w:abstractNumId="108">
    <w:nsid w:val="5551B9F3"/>
    <w:multiLevelType w:val="hybridMultilevel"/>
    <w:lvl w:ilvl="0">
      <w:lvlJc w:val="left"/>
      <w:lvlText w:val="%1."/>
      <w:numFmt w:val="decimal"/>
      <w:start w:val="5"/>
    </w:lvl>
  </w:abstractNum>
  <w:abstractNum w:abstractNumId="109">
    <w:nsid w:val="24F6AB8E"/>
    <w:multiLevelType w:val="hybridMultilevel"/>
    <w:lvl w:ilvl="0">
      <w:lvlJc w:val="left"/>
      <w:lvlText w:val="%1."/>
      <w:numFmt w:val="decimal"/>
      <w:start w:val="7"/>
    </w:lvl>
  </w:abstractNum>
  <w:abstractNum w:abstractNumId="110">
    <w:nsid w:val="634C574C"/>
    <w:multiLevelType w:val="hybridMultilevel"/>
    <w:lvl w:ilvl="0">
      <w:lvlJc w:val="left"/>
      <w:lvlText w:val="%1."/>
      <w:numFmt w:val="decimal"/>
      <w:start w:val="8"/>
    </w:lvl>
  </w:abstractNum>
  <w:abstractNum w:abstractNumId="111">
    <w:nsid w:val="24E99DD7"/>
    <w:multiLevelType w:val="hybridMultilevel"/>
    <w:lvl w:ilvl="0">
      <w:lvlJc w:val="left"/>
      <w:lvlText w:val="%1."/>
      <w:numFmt w:val="decimal"/>
      <w:start w:val="10"/>
    </w:lvl>
  </w:abstractNum>
  <w:abstractNum w:abstractNumId="112">
    <w:nsid w:val="2A31B62D"/>
    <w:multiLevelType w:val="hybridMultilevel"/>
    <w:lvl w:ilvl="0">
      <w:lvlJc w:val="left"/>
      <w:lvlText w:val="%1."/>
      <w:numFmt w:val="decimal"/>
      <w:start w:val="20"/>
    </w:lvl>
  </w:abstractNum>
  <w:abstractNum w:abstractNumId="113">
    <w:nsid w:val="1849C29B"/>
    <w:multiLevelType w:val="hybridMultilevel"/>
    <w:lvl w:ilvl="0">
      <w:lvlJc w:val="left"/>
      <w:lvlText w:val="1"/>
      <w:numFmt w:val="bullet"/>
      <w:start w:val="1"/>
    </w:lvl>
  </w:abstractNum>
  <w:abstractNum w:abstractNumId="114">
    <w:nsid w:val="7DFF9D09"/>
    <w:multiLevelType w:val="hybridMultilevel"/>
    <w:lvl w:ilvl="0">
      <w:lvlJc w:val="left"/>
      <w:lvlText w:val="%1."/>
      <w:numFmt w:val="upperLetter"/>
      <w:start w:val="1"/>
    </w:lvl>
  </w:abstractNum>
  <w:abstractNum w:abstractNumId="115">
    <w:nsid w:val="754342"/>
    <w:multiLevelType w:val="hybridMultilevel"/>
    <w:lvl w:ilvl="0">
      <w:lvlJc w:val="left"/>
      <w:lvlText w:val="*"/>
      <w:numFmt w:val="bullet"/>
      <w:start w:val="1"/>
    </w:lvl>
  </w:abstractNum>
  <w:abstractNum w:abstractNumId="116">
    <w:nsid w:val="69E7F3E5"/>
    <w:multiLevelType w:val="hybridMultilevel"/>
    <w:lvl w:ilvl="0">
      <w:lvlJc w:val="left"/>
      <w:lvlText w:val="%1."/>
      <w:numFmt w:val="decimal"/>
      <w:start w:val="1"/>
    </w:lvl>
  </w:abstractNum>
  <w:abstractNum w:abstractNumId="117">
    <w:nsid w:val="2A6DE806"/>
    <w:multiLevelType w:val="hybridMultilevel"/>
    <w:lvl w:ilvl="0">
      <w:lvlJc w:val="left"/>
      <w:lvlText w:val="%1"/>
      <w:numFmt w:val="decimal"/>
      <w:start w:val="1"/>
    </w:lvl>
    <w:lvl w:ilvl="1">
      <w:lvlJc w:val="left"/>
      <w:lvlText w:val="(%2)"/>
      <w:numFmt w:val="lowerLetter"/>
      <w:start w:val="1"/>
    </w:lvl>
  </w:abstractNum>
  <w:abstractNum w:abstractNumId="118">
    <w:nsid w:val="1816F8C4"/>
    <w:multiLevelType w:val="hybridMultilevel"/>
    <w:lvl w:ilvl="0">
      <w:lvlJc w:val="left"/>
      <w:lvlText w:val="(%1)"/>
      <w:numFmt w:val="decimal"/>
      <w:start w:val="5"/>
    </w:lvl>
    <w:lvl w:ilvl="1">
      <w:lvlJc w:val="left"/>
      <w:lvlText w:val="(%2)"/>
      <w:numFmt w:val="lowerLetter"/>
      <w:start w:val="3"/>
    </w:lvl>
  </w:abstractNum>
  <w:abstractNum w:abstractNumId="119">
    <w:nsid w:val="37DF2233"/>
    <w:multiLevelType w:val="hybridMultilevel"/>
    <w:lvl w:ilvl="0">
      <w:lvlJc w:val="left"/>
      <w:lvlText w:val="(%1)"/>
      <w:numFmt w:val="lowerLetter"/>
      <w:start w:val="4"/>
    </w:lvl>
  </w:abstractNum>
  <w:abstractNum w:abstractNumId="120">
    <w:nsid w:val="7AB49DAF"/>
    <w:multiLevelType w:val="hybridMultilevel"/>
    <w:lvl w:ilvl="0">
      <w:lvlJc w:val="left"/>
      <w:lvlText w:val="(%1)"/>
      <w:numFmt w:val="lowerLetter"/>
      <w:start w:val="1"/>
    </w:lvl>
    <w:lvl w:ilvl="1">
      <w:lvlJc w:val="left"/>
      <w:lvlText w:val="(%2)"/>
      <w:numFmt w:val="lowerRoman"/>
      <w:start w:val="1"/>
    </w:lvl>
  </w:abstractNum>
  <w:abstractNum w:abstractNumId="121">
    <w:nsid w:val="759F82CD"/>
    <w:multiLevelType w:val="hybridMultilevel"/>
    <w:lvl w:ilvl="0">
      <w:lvlJc w:val="left"/>
      <w:lvlText w:val="(%1)"/>
      <w:numFmt w:val="lowerLetter"/>
      <w:start w:val="4"/>
    </w:lvl>
  </w:abstractNum>
  <w:abstractNum w:abstractNumId="122">
    <w:nsid w:val="61E74EA3"/>
    <w:multiLevelType w:val="hybridMultilevel"/>
    <w:lvl w:ilvl="0">
      <w:lvlJc w:val="left"/>
      <w:lvlText w:val="%1."/>
      <w:numFmt w:val="decimal"/>
      <w:start w:val="5"/>
    </w:lvl>
  </w:abstractNum>
  <w:abstractNum w:abstractNumId="123">
    <w:nsid w:val="597B4D84"/>
    <w:multiLevelType w:val="hybridMultilevel"/>
    <w:lvl w:ilvl="0">
      <w:lvlJc w:val="left"/>
      <w:lvlText w:val="(%1)"/>
      <w:numFmt w:val="lowerLetter"/>
      <w:start w:val="1"/>
    </w:lvl>
  </w:abstractNum>
  <w:abstractNum w:abstractNumId="124">
    <w:nsid w:val="F819E7F"/>
    <w:multiLevelType w:val="hybridMultilevel"/>
    <w:lvl w:ilvl="0">
      <w:lvlJc w:val="left"/>
      <w:lvlText w:val="(%1)"/>
      <w:numFmt w:val="lowerLetter"/>
      <w:start w:val="2"/>
    </w:lvl>
  </w:abstractNum>
  <w:abstractNum w:abstractNumId="125">
    <w:nsid w:val="57C7D42D"/>
    <w:multiLevelType w:val="hybridMultilevel"/>
    <w:lvl w:ilvl="0">
      <w:lvlJc w:val="left"/>
      <w:lvlText w:val="(%1)"/>
      <w:numFmt w:val="lowerLetter"/>
      <w:start w:val="1"/>
    </w:lvl>
  </w:abstractNum>
  <w:abstractNum w:abstractNumId="126">
    <w:nsid w:val="312167AD"/>
    <w:multiLevelType w:val="hybridMultilevel"/>
    <w:lvl w:ilvl="0">
      <w:lvlJc w:val="left"/>
      <w:lvlText w:val="(%1)"/>
      <w:numFmt w:val="lowerLetter"/>
      <w:start w:val="2"/>
    </w:lvl>
  </w:abstractNum>
  <w:abstractNum w:abstractNumId="127">
    <w:nsid w:val="631B64D4"/>
    <w:multiLevelType w:val="hybridMultilevel"/>
    <w:lvl w:ilvl="0">
      <w:lvlJc w:val="left"/>
      <w:lvlText w:val="%1."/>
      <w:numFmt w:val="decimal"/>
      <w:start w:val="6"/>
    </w:lvl>
  </w:abstractNum>
  <w:abstractNum w:abstractNumId="128">
    <w:nsid w:val="78B5E776"/>
    <w:multiLevelType w:val="hybridMultilevel"/>
    <w:lvl w:ilvl="0">
      <w:lvlJc w:val="left"/>
      <w:lvlText w:val="%1."/>
      <w:numFmt w:val="decimal"/>
      <w:start w:val="1"/>
    </w:lvl>
  </w:abstractNum>
  <w:abstractNum w:abstractNumId="129">
    <w:nsid w:val="75486E47"/>
    <w:multiLevelType w:val="hybridMultilevel"/>
    <w:lvl w:ilvl="0">
      <w:lvlJc w:val="left"/>
      <w:lvlText w:val="%1."/>
      <w:numFmt w:val="decimal"/>
      <w:start w:val="2"/>
    </w:lvl>
  </w:abstractNum>
  <w:abstractNum w:abstractNumId="130">
    <w:nsid w:val="6E534CDE"/>
    <w:multiLevelType w:val="hybridMultilevel"/>
    <w:lvl w:ilvl="0">
      <w:lvlJc w:val="left"/>
      <w:lvlText w:val="%1."/>
      <w:numFmt w:val="decimal"/>
      <w:start w:val="3"/>
    </w:lvl>
  </w:abstractNum>
  <w:abstractNum w:abstractNumId="131">
    <w:nsid w:val="1A0DDE32"/>
    <w:multiLevelType w:val="hybridMultilevel"/>
    <w:lvl w:ilvl="0">
      <w:lvlJc w:val="left"/>
      <w:lvlText w:val="(%1)"/>
      <w:numFmt w:val="lowerRoman"/>
      <w:start w:val="3"/>
    </w:lvl>
  </w:abstractNum>
  <w:abstractNum w:abstractNumId="132">
    <w:nsid w:val="65968C1C"/>
    <w:multiLevelType w:val="hybridMultilevel"/>
    <w:lvl w:ilvl="0">
      <w:lvlJc w:val="left"/>
      <w:lvlText w:val="%1."/>
      <w:numFmt w:val="decimal"/>
      <w:start w:val="4"/>
    </w:lvl>
  </w:abstractNum>
  <w:abstractNum w:abstractNumId="133">
    <w:nsid w:val="46263DEC"/>
    <w:multiLevelType w:val="hybridMultilevel"/>
    <w:lvl w:ilvl="0">
      <w:lvlJc w:val="left"/>
      <w:lvlText w:val="(%1)"/>
      <w:numFmt w:val="decimal"/>
      <w:start w:val="3"/>
    </w:lvl>
  </w:abstractNum>
  <w:abstractNum w:abstractNumId="134">
    <w:nsid w:val="260D8C4A"/>
    <w:multiLevelType w:val="hybridMultilevel"/>
    <w:lvl w:ilvl="0">
      <w:lvlJc w:val="left"/>
      <w:lvlText w:val="(%1)"/>
      <w:numFmt w:val="lowerRoman"/>
      <w:start w:val="2"/>
    </w:lvl>
  </w:abstractNum>
  <w:abstractNum w:abstractNumId="135">
    <w:nsid w:val="73D4D3C4"/>
    <w:multiLevelType w:val="hybridMultilevel"/>
    <w:lvl w:ilvl="0">
      <w:lvlJc w:val="left"/>
      <w:lvlText w:val="%1."/>
      <w:numFmt w:val="decimal"/>
      <w:start w:val="5"/>
    </w:lvl>
  </w:abstractNum>
  <w:abstractNum w:abstractNumId="136">
    <w:nsid w:val="746F2E30"/>
    <w:multiLevelType w:val="hybridMultilevel"/>
    <w:lvl w:ilvl="0">
      <w:lvlJc w:val="left"/>
      <w:lvlText w:val="%1."/>
      <w:numFmt w:val="decimal"/>
      <w:start w:val="1"/>
    </w:lvl>
  </w:abstractNum>
  <w:abstractNum w:abstractNumId="137">
    <w:nsid w:val="6FDE8AF6"/>
    <w:multiLevelType w:val="hybridMultilevel"/>
    <w:lvl w:ilvl="0">
      <w:lvlJc w:val="left"/>
      <w:lvlText w:val="%1"/>
      <w:numFmt w:val="decimal"/>
      <w:start w:val="1"/>
    </w:lvl>
    <w:lvl w:ilvl="1">
      <w:lvlJc w:val="left"/>
      <w:lvlText w:val="%2."/>
      <w:numFmt w:val="decimal"/>
      <w:start w:val="3"/>
    </w:lvl>
  </w:abstractNum>
  <w:abstractNum w:abstractNumId="138">
    <w:nsid w:val="3FC32E20"/>
    <w:multiLevelType w:val="hybridMultilevel"/>
    <w:lvl w:ilvl="0">
      <w:lvlJc w:val="left"/>
      <w:lvlText w:val="(%1)"/>
      <w:numFmt w:val="decimal"/>
      <w:start w:val="10"/>
    </w:lvl>
    <w:lvl w:ilvl="1">
      <w:lvlJc w:val="left"/>
      <w:lvlText w:val="%2"/>
      <w:numFmt w:val="decimal"/>
      <w:start w:val="1"/>
    </w:lvl>
  </w:abstractNum>
  <w:abstractNum w:abstractNumId="139">
    <w:nsid w:val="49C0E823"/>
    <w:multiLevelType w:val="hybridMultilevel"/>
    <w:lvl w:ilvl="0">
      <w:lvlJc w:val="left"/>
      <w:lvlText w:val="%1."/>
      <w:numFmt w:val="decimal"/>
      <w:start w:val="7"/>
    </w:lvl>
  </w:abstractNum>
  <w:abstractNum w:abstractNumId="140">
    <w:nsid w:val="14D53685"/>
    <w:multiLevelType w:val="hybridMultilevel"/>
    <w:lvl w:ilvl="0">
      <w:lvlJc w:val="left"/>
      <w:lvlText w:val="%1."/>
      <w:numFmt w:val="decimal"/>
      <w:start w:val="10"/>
    </w:lvl>
  </w:abstractNum>
  <w:abstractNum w:abstractNumId="141">
    <w:nsid w:val="230F856C"/>
    <w:multiLevelType w:val="hybridMultilevel"/>
    <w:lvl w:ilvl="0">
      <w:lvlJc w:val="left"/>
      <w:lvlText w:val="%1."/>
      <w:numFmt w:val="decimal"/>
      <w:start w:val="11"/>
    </w:lvl>
  </w:abstractNum>
  <w:abstractNum w:abstractNumId="142">
    <w:nsid w:val="6EAA85FB"/>
    <w:multiLevelType w:val="hybridMultilevel"/>
    <w:lvl w:ilvl="0">
      <w:lvlJc w:val="left"/>
      <w:lvlText w:val="%1."/>
      <w:numFmt w:val="decimal"/>
      <w:start w:val="15"/>
    </w:lvl>
  </w:abstractNum>
  <w:abstractNum w:abstractNumId="143">
    <w:nsid w:val="3F06ECB2"/>
    <w:multiLevelType w:val="hybridMultilevel"/>
    <w:lvl w:ilvl="0">
      <w:lvlJc w:val="left"/>
      <w:lvlText w:val="%1."/>
      <w:numFmt w:val="decimal"/>
      <w:start w:val="16"/>
    </w:lvl>
  </w:abstractNum>
  <w:abstractNum w:abstractNumId="144">
    <w:nsid w:val="3B594807"/>
    <w:multiLevelType w:val="hybridMultilevel"/>
    <w:lvl w:ilvl="0">
      <w:lvlJc w:val="left"/>
      <w:lvlText w:val="%1."/>
      <w:numFmt w:val="decimal"/>
      <w:start w:val="17"/>
    </w:lvl>
  </w:abstractNum>
  <w:abstractNum w:abstractNumId="145">
    <w:nsid w:val="6CAA2304"/>
    <w:multiLevelType w:val="hybridMultilevel"/>
    <w:lvl w:ilvl="0">
      <w:lvlJc w:val="left"/>
      <w:lvlText w:val="%1."/>
      <w:numFmt w:val="decimal"/>
      <w:start w:val="1"/>
    </w:lvl>
  </w:abstractNum>
  <w:abstractNum w:abstractNumId="146">
    <w:nsid w:val="3F7C2FF4"/>
    <w:multiLevelType w:val="hybridMultilevel"/>
    <w:lvl w:ilvl="0">
      <w:lvlJc w:val="left"/>
      <w:lvlText w:val="%1."/>
      <w:numFmt w:val="decimal"/>
      <w:start w:val="2"/>
    </w:lvl>
  </w:abstractNum>
  <w:abstractNum w:abstractNumId="147">
    <w:nsid w:val="25413BEC"/>
    <w:multiLevelType w:val="hybridMultilevel"/>
    <w:lvl w:ilvl="0">
      <w:lvlJc w:val="left"/>
      <w:lvlText w:val="%1."/>
      <w:numFmt w:val="decimal"/>
      <w:start w:val="3"/>
    </w:lvl>
  </w:abstractNum>
  <w:abstractNum w:abstractNumId="148">
    <w:nsid w:val="17180B0B"/>
    <w:multiLevelType w:val="hybridMultilevel"/>
    <w:lvl w:ilvl="0">
      <w:lvlJc w:val="left"/>
      <w:lvlText w:val="(%1)"/>
      <w:numFmt w:val="lowerRoman"/>
      <w:start w:val="3"/>
    </w:lvl>
  </w:abstractNum>
  <w:abstractNum w:abstractNumId="149">
    <w:nsid w:val="579328B9"/>
    <w:multiLevelType w:val="hybridMultilevel"/>
    <w:lvl w:ilvl="0">
      <w:lvlJc w:val="left"/>
      <w:lvlText w:val="%1."/>
      <w:numFmt w:val="decimal"/>
      <w:start w:val="4"/>
    </w:lvl>
  </w:abstractNum>
  <w:abstractNum w:abstractNumId="150">
    <w:nsid w:val="5D205E20"/>
    <w:multiLevelType w:val="hybridMultilevel"/>
    <w:lvl w:ilvl="0">
      <w:lvlJc w:val="left"/>
      <w:lvlText w:val="%1."/>
      <w:numFmt w:val="decimal"/>
      <w:start w:val="6"/>
    </w:lvl>
  </w:abstractNum>
  <w:abstractNum w:abstractNumId="151">
    <w:nsid w:val="11CCA8BA"/>
    <w:multiLevelType w:val="hybridMultilevel"/>
    <w:lvl w:ilvl="0">
      <w:lvlJc w:val="left"/>
      <w:lvlText w:val="["/>
      <w:numFmt w:val="bullet"/>
      <w:start w:val="1"/>
    </w:lvl>
  </w:abstractNum>
  <w:abstractNum w:abstractNumId="152">
    <w:nsid w:val="4D32AB86"/>
    <w:multiLevelType w:val="hybridMultilevel"/>
    <w:lvl w:ilvl="0">
      <w:lvlJc w:val="left"/>
      <w:lvlText w:val="(%1)"/>
      <w:numFmt w:val="lowerLetter"/>
      <w:start w:val="1"/>
    </w:lvl>
  </w:abstractNum>
  <w:abstractNum w:abstractNumId="153">
    <w:nsid w:val="3F07ACC3"/>
    <w:multiLevelType w:val="hybridMultilevel"/>
    <w:lvl w:ilvl="0">
      <w:lvlJc w:val="left"/>
      <w:lvlText w:val="(%1)"/>
      <w:numFmt w:val="lowerLetter"/>
      <w:start w:val="1"/>
    </w:lvl>
  </w:abstractNum>
  <w:abstractNum w:abstractNumId="154">
    <w:nsid w:val="6B47F63E"/>
    <w:multiLevelType w:val="hybridMultilevel"/>
    <w:lvl w:ilvl="0">
      <w:lvlJc w:val="left"/>
      <w:lvlText w:val="(%1)"/>
      <w:numFmt w:val="lowerLetter"/>
      <w:start w:val="2"/>
    </w:lvl>
  </w:abstractNum>
  <w:abstractNum w:abstractNumId="155">
    <w:nsid w:val="5CB44A05"/>
    <w:multiLevelType w:val="hybridMultilevel"/>
    <w:lvl w:ilvl="0">
      <w:lvlJc w:val="left"/>
      <w:lvlText w:val="(%1)"/>
      <w:numFmt w:val="lowerLetter"/>
      <w:start w:val="1"/>
    </w:lvl>
    <w:lvl w:ilvl="1">
      <w:lvlJc w:val="left"/>
      <w:lvlText w:val="(%2)"/>
      <w:numFmt w:val="lowerRoman"/>
      <w:start w:val="1"/>
    </w:lvl>
  </w:abstractNum>
  <w:abstractNum w:abstractNumId="156">
    <w:nsid w:val="16CF80F1"/>
    <w:multiLevelType w:val="hybridMultilevel"/>
    <w:lvl w:ilvl="0">
      <w:lvlJc w:val="left"/>
      <w:lvlText w:val="%1"/>
      <w:numFmt w:val="lowerLetter"/>
      <w:start w:val="1"/>
    </w:lvl>
    <w:lvl w:ilvl="1">
      <w:lvlJc w:val="left"/>
      <w:lvlText w:val="(%2)"/>
      <w:numFmt w:val="lowerLetter"/>
      <w:start w:val="61"/>
    </w:lvl>
  </w:abstractNum>
  <w:abstractNum w:abstractNumId="157">
    <w:nsid w:val="1C695DEC"/>
    <w:multiLevelType w:val="hybridMultilevel"/>
    <w:lvl w:ilvl="0">
      <w:lvlJc w:val="left"/>
      <w:lvlText w:val="(%1)"/>
      <w:numFmt w:val="lowerLetter"/>
      <w:start w:val="9"/>
    </w:lvl>
    <w:lvl w:ilvl="1">
      <w:lvlJc w:val="left"/>
      <w:lvlText w:val="%2"/>
      <w:numFmt w:val="lowerLetter"/>
      <w:start w:val="1"/>
    </w:lvl>
  </w:abstractNum>
  <w:abstractNum w:abstractNumId="158">
    <w:nsid w:val="3FCFAED9"/>
    <w:multiLevelType w:val="hybridMultilevel"/>
    <w:lvl w:ilvl="0">
      <w:lvlJc w:val="left"/>
      <w:lvlText w:val="%1"/>
      <w:numFmt w:val="lowerLetter"/>
      <w:start w:val="1"/>
    </w:lvl>
    <w:lvl w:ilvl="1">
      <w:lvlJc w:val="left"/>
      <w:lvlText w:val="(%2)"/>
      <w:numFmt w:val="lowerLetter"/>
      <w:start w:val="1"/>
    </w:lvl>
  </w:abstractNum>
  <w:abstractNum w:abstractNumId="159">
    <w:nsid w:val="F856867"/>
    <w:multiLevelType w:val="hybridMultilevel"/>
    <w:lvl w:ilvl="0">
      <w:lvlJc w:val="left"/>
      <w:lvlText w:val="(%1)"/>
      <w:numFmt w:val="lowerLetter"/>
      <w:start w:val="35"/>
    </w:lvl>
    <w:lvl w:ilvl="1">
      <w:lvlJc w:val="left"/>
      <w:lvlText w:val="(%2)"/>
      <w:numFmt w:val="lowerLetter"/>
      <w:start w:val="2"/>
    </w:lvl>
  </w:abstractNum>
  <w:abstractNum w:abstractNumId="160">
    <w:nsid w:val="11B1CC33"/>
    <w:multiLevelType w:val="hybridMultilevel"/>
    <w:lvl w:ilvl="0">
      <w:lvlJc w:val="left"/>
      <w:lvlText w:val="(%1)"/>
      <w:numFmt w:val="lowerLetter"/>
      <w:start w:val="1"/>
    </w:lvl>
    <w:lvl w:ilvl="1">
      <w:lvlJc w:val="left"/>
      <w:lvlText w:val="(%2)"/>
      <w:numFmt w:val="lowerRoman"/>
      <w:start w:val="1"/>
    </w:lvl>
  </w:abstractNum>
  <w:abstractNum w:abstractNumId="161">
    <w:nsid w:val="2E22FBB7"/>
    <w:multiLevelType w:val="hybridMultilevel"/>
    <w:lvl w:ilvl="0">
      <w:lvlJc w:val="left"/>
      <w:lvlText w:val="(%1)"/>
      <w:numFmt w:val="lowerLetter"/>
      <w:start w:val="5"/>
    </w:lvl>
  </w:abstractNum>
  <w:abstractNum w:abstractNumId="162">
    <w:nsid w:val="29934699"/>
    <w:multiLevelType w:val="hybridMultilevel"/>
    <w:lvl w:ilvl="0">
      <w:lvlJc w:val="left"/>
      <w:lvlText w:val="(%1)"/>
      <w:numFmt w:val="lowerLetter"/>
      <w:start w:val="1"/>
    </w:lvl>
  </w:abstractNum>
  <w:abstractNum w:abstractNumId="163">
    <w:nsid w:val="77485850"/>
    <w:multiLevelType w:val="hybridMultilevel"/>
    <w:lvl w:ilvl="0">
      <w:lvlJc w:val="left"/>
      <w:lvlText w:val="(%1)"/>
      <w:numFmt w:val="lowerLetter"/>
      <w:start w:val="3"/>
    </w:lvl>
  </w:abstractNum>
  <w:abstractNum w:abstractNumId="164">
    <w:nsid w:val="744939A3"/>
    <w:multiLevelType w:val="hybridMultilevel"/>
    <w:lvl w:ilvl="0">
      <w:lvlJc w:val="left"/>
      <w:lvlText w:val="(%1)"/>
      <w:numFmt w:val="lowerLetter"/>
      <w:start w:val="2"/>
    </w:lvl>
  </w:abstractNum>
  <w:abstractNum w:abstractNumId="165">
    <w:nsid w:val="4FA0D2E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83" Type="http://schemas.openxmlformats.org/officeDocument/2006/relationships/image" Target="media/image164.png"/><Relationship Id="rId184"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87" Type="http://schemas.openxmlformats.org/officeDocument/2006/relationships/image" Target="media/image168.png"/><Relationship Id="rId188" Type="http://schemas.openxmlformats.org/officeDocument/2006/relationships/image" Target="media/image169.png"/><Relationship Id="rId189" Type="http://schemas.openxmlformats.org/officeDocument/2006/relationships/image" Target="media/image170.png"/><Relationship Id="rId190" Type="http://schemas.openxmlformats.org/officeDocument/2006/relationships/image" Target="media/image171.png"/><Relationship Id="rId191" Type="http://schemas.openxmlformats.org/officeDocument/2006/relationships/image" Target="media/image172.png"/><Relationship Id="rId192" Type="http://schemas.openxmlformats.org/officeDocument/2006/relationships/image" Target="media/image173.png"/><Relationship Id="rId193" Type="http://schemas.openxmlformats.org/officeDocument/2006/relationships/image" Target="media/image174.png"/><Relationship Id="rId194" Type="http://schemas.openxmlformats.org/officeDocument/2006/relationships/image" Target="media/image175.png"/><Relationship Id="rId195"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png"/><Relationship Id="rId198" Type="http://schemas.openxmlformats.org/officeDocument/2006/relationships/image" Target="media/image179.png"/><Relationship Id="rId199" Type="http://schemas.openxmlformats.org/officeDocument/2006/relationships/image" Target="media/image180.png"/><Relationship Id="rId200"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03" Type="http://schemas.openxmlformats.org/officeDocument/2006/relationships/image" Target="media/image184.png"/><Relationship Id="rId204" Type="http://schemas.openxmlformats.org/officeDocument/2006/relationships/image" Target="media/image185.png"/><Relationship Id="rId205" Type="http://schemas.openxmlformats.org/officeDocument/2006/relationships/image" Target="media/image186.png"/><Relationship Id="rId206" Type="http://schemas.openxmlformats.org/officeDocument/2006/relationships/image" Target="media/image187.png"/><Relationship Id="rId207"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212" Type="http://schemas.openxmlformats.org/officeDocument/2006/relationships/image" Target="media/image193.png"/><Relationship Id="rId213" Type="http://schemas.openxmlformats.org/officeDocument/2006/relationships/image" Target="media/image194.png"/><Relationship Id="rId214" Type="http://schemas.openxmlformats.org/officeDocument/2006/relationships/image" Target="media/image195.png"/><Relationship Id="rId215" Type="http://schemas.openxmlformats.org/officeDocument/2006/relationships/image" Target="media/image196.png"/><Relationship Id="rId216" Type="http://schemas.openxmlformats.org/officeDocument/2006/relationships/image" Target="media/image197.png"/><Relationship Id="rId217" Type="http://schemas.openxmlformats.org/officeDocument/2006/relationships/image" Target="media/image198.png"/><Relationship Id="rId218" Type="http://schemas.openxmlformats.org/officeDocument/2006/relationships/image" Target="media/image199.png"/><Relationship Id="rId219" Type="http://schemas.openxmlformats.org/officeDocument/2006/relationships/image" Target="media/image200.png"/><Relationship Id="rId220" Type="http://schemas.openxmlformats.org/officeDocument/2006/relationships/image" Target="media/image201.png"/><Relationship Id="rId221" Type="http://schemas.openxmlformats.org/officeDocument/2006/relationships/image" Target="media/image202.png"/><Relationship Id="rId222" Type="http://schemas.openxmlformats.org/officeDocument/2006/relationships/image" Target="media/image203.png"/><Relationship Id="rId223" Type="http://schemas.openxmlformats.org/officeDocument/2006/relationships/image" Target="media/image204.png"/><Relationship Id="rId224" Type="http://schemas.openxmlformats.org/officeDocument/2006/relationships/image" Target="media/image205.png"/><Relationship Id="rId225" Type="http://schemas.openxmlformats.org/officeDocument/2006/relationships/image" Target="media/image206.png"/><Relationship Id="rId226" Type="http://schemas.openxmlformats.org/officeDocument/2006/relationships/image" Target="media/image207.png"/><Relationship Id="rId227" Type="http://schemas.openxmlformats.org/officeDocument/2006/relationships/image" Target="media/image208.png"/><Relationship Id="rId228" Type="http://schemas.openxmlformats.org/officeDocument/2006/relationships/image" Target="media/image209.png"/><Relationship Id="rId229" Type="http://schemas.openxmlformats.org/officeDocument/2006/relationships/image" Target="media/image210.png"/><Relationship Id="rId230" Type="http://schemas.openxmlformats.org/officeDocument/2006/relationships/image" Target="media/image211.png"/><Relationship Id="rId231" Type="http://schemas.openxmlformats.org/officeDocument/2006/relationships/image" Target="media/image212.png"/><Relationship Id="rId232" Type="http://schemas.openxmlformats.org/officeDocument/2006/relationships/image" Target="media/image213.png"/><Relationship Id="rId233" Type="http://schemas.openxmlformats.org/officeDocument/2006/relationships/image" Target="media/image214.png"/><Relationship Id="rId234" Type="http://schemas.openxmlformats.org/officeDocument/2006/relationships/image" Target="media/image215.png"/><Relationship Id="rId235" Type="http://schemas.openxmlformats.org/officeDocument/2006/relationships/image" Target="media/image216.png"/><Relationship Id="rId236" Type="http://schemas.openxmlformats.org/officeDocument/2006/relationships/image" Target="media/image217.png"/><Relationship Id="rId237" Type="http://schemas.openxmlformats.org/officeDocument/2006/relationships/image" Target="media/image218.png"/><Relationship Id="rId238" Type="http://schemas.openxmlformats.org/officeDocument/2006/relationships/image" Target="media/image219.png"/><Relationship Id="rId239" Type="http://schemas.openxmlformats.org/officeDocument/2006/relationships/image" Target="media/image220.png"/><Relationship Id="rId240" Type="http://schemas.openxmlformats.org/officeDocument/2006/relationships/image" Target="media/image221.png"/><Relationship Id="rId241" Type="http://schemas.openxmlformats.org/officeDocument/2006/relationships/image" Target="media/image222.png"/><Relationship Id="rId242" Type="http://schemas.openxmlformats.org/officeDocument/2006/relationships/image" Target="media/image223.png"/><Relationship Id="rId243" Type="http://schemas.openxmlformats.org/officeDocument/2006/relationships/image" Target="media/image224.png"/><Relationship Id="rId244" Type="http://schemas.openxmlformats.org/officeDocument/2006/relationships/image" Target="media/image225.png"/><Relationship Id="rId245" Type="http://schemas.openxmlformats.org/officeDocument/2006/relationships/image" Target="media/image226.png"/><Relationship Id="rId246" Type="http://schemas.openxmlformats.org/officeDocument/2006/relationships/image" Target="media/image227.png"/><Relationship Id="rId247" Type="http://schemas.openxmlformats.org/officeDocument/2006/relationships/image" Target="media/image228.png"/><Relationship Id="rId248" Type="http://schemas.openxmlformats.org/officeDocument/2006/relationships/image" Target="media/image229.png"/><Relationship Id="rId249" Type="http://schemas.openxmlformats.org/officeDocument/2006/relationships/image" Target="media/image230.png"/><Relationship Id="rId250" Type="http://schemas.openxmlformats.org/officeDocument/2006/relationships/image" Target="media/image231.png"/><Relationship Id="rId251" Type="http://schemas.openxmlformats.org/officeDocument/2006/relationships/image" Target="media/image232.png"/><Relationship Id="rId252" Type="http://schemas.openxmlformats.org/officeDocument/2006/relationships/image" Target="media/image233.png"/><Relationship Id="rId253" Type="http://schemas.openxmlformats.org/officeDocument/2006/relationships/image" Target="media/image234.png"/><Relationship Id="rId254" Type="http://schemas.openxmlformats.org/officeDocument/2006/relationships/image" Target="media/image235.png"/><Relationship Id="rId255" Type="http://schemas.openxmlformats.org/officeDocument/2006/relationships/image" Target="media/image236.png"/><Relationship Id="rId256" Type="http://schemas.openxmlformats.org/officeDocument/2006/relationships/image" Target="media/image237.png"/><Relationship Id="rId257" Type="http://schemas.openxmlformats.org/officeDocument/2006/relationships/image" Target="media/image238.png"/><Relationship Id="rId258" Type="http://schemas.openxmlformats.org/officeDocument/2006/relationships/image" Target="media/image239.png"/><Relationship Id="rId259" Type="http://schemas.openxmlformats.org/officeDocument/2006/relationships/image" Target="media/image240.png"/><Relationship Id="rId260" Type="http://schemas.openxmlformats.org/officeDocument/2006/relationships/image" Target="media/image241.png"/><Relationship Id="rId261" Type="http://schemas.openxmlformats.org/officeDocument/2006/relationships/image" Target="media/image242.png"/><Relationship Id="rId262" Type="http://schemas.openxmlformats.org/officeDocument/2006/relationships/image" Target="media/image243.png"/><Relationship Id="rId263" Type="http://schemas.openxmlformats.org/officeDocument/2006/relationships/image" Target="media/image244.png"/><Relationship Id="rId264" Type="http://schemas.openxmlformats.org/officeDocument/2006/relationships/image" Target="media/image245.png"/><Relationship Id="rId265" Type="http://schemas.openxmlformats.org/officeDocument/2006/relationships/image" Target="media/image246.png"/><Relationship Id="rId266" Type="http://schemas.openxmlformats.org/officeDocument/2006/relationships/image" Target="media/image247.png"/><Relationship Id="rId267" Type="http://schemas.openxmlformats.org/officeDocument/2006/relationships/image" Target="media/image248.png"/><Relationship Id="rId268" Type="http://schemas.openxmlformats.org/officeDocument/2006/relationships/image" Target="media/image249.png"/><Relationship Id="rId269" Type="http://schemas.openxmlformats.org/officeDocument/2006/relationships/image" Target="media/image250.png"/><Relationship Id="rId270" Type="http://schemas.openxmlformats.org/officeDocument/2006/relationships/image" Target="media/image251.png"/><Relationship Id="rId271" Type="http://schemas.openxmlformats.org/officeDocument/2006/relationships/image" Target="media/image252.png"/><Relationship Id="rId272" Type="http://schemas.openxmlformats.org/officeDocument/2006/relationships/image" Target="media/image253.png"/><Relationship Id="rId273" Type="http://schemas.openxmlformats.org/officeDocument/2006/relationships/image" Target="media/image254.png"/><Relationship Id="rId274" Type="http://schemas.openxmlformats.org/officeDocument/2006/relationships/image" Target="media/image255.png"/><Relationship Id="rId275" Type="http://schemas.openxmlformats.org/officeDocument/2006/relationships/image" Target="media/image256.png"/><Relationship Id="rId276" Type="http://schemas.openxmlformats.org/officeDocument/2006/relationships/image" Target="media/image257.png"/><Relationship Id="rId277" Type="http://schemas.openxmlformats.org/officeDocument/2006/relationships/image" Target="media/image258.png"/><Relationship Id="rId278" Type="http://schemas.openxmlformats.org/officeDocument/2006/relationships/image" Target="media/image259.png"/><Relationship Id="rId279" Type="http://schemas.openxmlformats.org/officeDocument/2006/relationships/image" Target="media/image260.png"/><Relationship Id="rId280" Type="http://schemas.openxmlformats.org/officeDocument/2006/relationships/image" Target="media/image261.png"/><Relationship Id="rId281" Type="http://schemas.openxmlformats.org/officeDocument/2006/relationships/image" Target="media/image262.png"/><Relationship Id="rId282" Type="http://schemas.openxmlformats.org/officeDocument/2006/relationships/image" Target="media/image263.png"/><Relationship Id="rId283" Type="http://schemas.openxmlformats.org/officeDocument/2006/relationships/image" Target="media/image264.png"/><Relationship Id="rId284" Type="http://schemas.openxmlformats.org/officeDocument/2006/relationships/image" Target="media/image265.png"/><Relationship Id="rId285" Type="http://schemas.openxmlformats.org/officeDocument/2006/relationships/image" Target="media/image266.png"/><Relationship Id="rId286" Type="http://schemas.openxmlformats.org/officeDocument/2006/relationships/image" Target="media/image267.png"/><Relationship Id="rId287" Type="http://schemas.openxmlformats.org/officeDocument/2006/relationships/image" Target="media/image268.png"/><Relationship Id="rId288" Type="http://schemas.openxmlformats.org/officeDocument/2006/relationships/image" Target="media/image269.png"/><Relationship Id="rId289" Type="http://schemas.openxmlformats.org/officeDocument/2006/relationships/image" Target="media/image270.png"/><Relationship Id="rId290" Type="http://schemas.openxmlformats.org/officeDocument/2006/relationships/image" Target="media/image271.png"/><Relationship Id="rId291" Type="http://schemas.openxmlformats.org/officeDocument/2006/relationships/image" Target="media/image272.png"/><Relationship Id="rId292" Type="http://schemas.openxmlformats.org/officeDocument/2006/relationships/image" Target="media/image273.png"/><Relationship Id="rId293" Type="http://schemas.openxmlformats.org/officeDocument/2006/relationships/image" Target="media/image274.png"/><Relationship Id="rId294" Type="http://schemas.openxmlformats.org/officeDocument/2006/relationships/image" Target="media/image275.png"/><Relationship Id="rId295" Type="http://schemas.openxmlformats.org/officeDocument/2006/relationships/image" Target="media/image276.png"/><Relationship Id="rId296" Type="http://schemas.openxmlformats.org/officeDocument/2006/relationships/image" Target="media/image277.png"/><Relationship Id="rId297" Type="http://schemas.openxmlformats.org/officeDocument/2006/relationships/image" Target="media/image278.png"/><Relationship Id="rId298" Type="http://schemas.openxmlformats.org/officeDocument/2006/relationships/image" Target="media/image279.png"/><Relationship Id="rId299" Type="http://schemas.openxmlformats.org/officeDocument/2006/relationships/image" Target="media/image280.png"/><Relationship Id="rId300" Type="http://schemas.openxmlformats.org/officeDocument/2006/relationships/image" Target="media/image281.png"/><Relationship Id="rId301" Type="http://schemas.openxmlformats.org/officeDocument/2006/relationships/image" Target="media/image282.png"/><Relationship Id="rId302" Type="http://schemas.openxmlformats.org/officeDocument/2006/relationships/image" Target="media/image283.png"/><Relationship Id="rId303" Type="http://schemas.openxmlformats.org/officeDocument/2006/relationships/image" Target="media/image284.png"/><Relationship Id="rId304" Type="http://schemas.openxmlformats.org/officeDocument/2006/relationships/image" Target="media/image285.png"/><Relationship Id="rId305" Type="http://schemas.openxmlformats.org/officeDocument/2006/relationships/image" Target="media/image286.png"/><Relationship Id="rId306" Type="http://schemas.openxmlformats.org/officeDocument/2006/relationships/image" Target="media/image287.png"/><Relationship Id="rId307" Type="http://schemas.openxmlformats.org/officeDocument/2006/relationships/image" Target="media/image288.png"/><Relationship Id="rId308" Type="http://schemas.openxmlformats.org/officeDocument/2006/relationships/image" Target="media/image289.png"/><Relationship Id="rId309" Type="http://schemas.openxmlformats.org/officeDocument/2006/relationships/image" Target="media/image290.png"/><Relationship Id="rId310" Type="http://schemas.openxmlformats.org/officeDocument/2006/relationships/image" Target="media/image291.png"/><Relationship Id="rId311" Type="http://schemas.openxmlformats.org/officeDocument/2006/relationships/image" Target="media/image292.png"/><Relationship Id="rId312" Type="http://schemas.openxmlformats.org/officeDocument/2006/relationships/image" Target="media/image293.png"/><Relationship Id="rId313" Type="http://schemas.openxmlformats.org/officeDocument/2006/relationships/image" Target="media/image294.png"/><Relationship Id="rId314" Type="http://schemas.openxmlformats.org/officeDocument/2006/relationships/image" Target="media/image295.png"/><Relationship Id="rId315" Type="http://schemas.openxmlformats.org/officeDocument/2006/relationships/image" Target="media/image296.png"/><Relationship Id="rId316" Type="http://schemas.openxmlformats.org/officeDocument/2006/relationships/image" Target="media/image297.png"/><Relationship Id="rId317" Type="http://schemas.openxmlformats.org/officeDocument/2006/relationships/image" Target="media/image298.png"/><Relationship Id="rId318" Type="http://schemas.openxmlformats.org/officeDocument/2006/relationships/image" Target="media/image299.png"/><Relationship Id="rId319" Type="http://schemas.openxmlformats.org/officeDocument/2006/relationships/image" Target="media/image300.png"/><Relationship Id="rId320" Type="http://schemas.openxmlformats.org/officeDocument/2006/relationships/image" Target="media/image301.png"/><Relationship Id="rId321" Type="http://schemas.openxmlformats.org/officeDocument/2006/relationships/image" Target="media/image302.png"/><Relationship Id="rId322" Type="http://schemas.openxmlformats.org/officeDocument/2006/relationships/image" Target="media/image303.png"/><Relationship Id="rId323" Type="http://schemas.openxmlformats.org/officeDocument/2006/relationships/image" Target="media/image304.png"/><Relationship Id="rId324" Type="http://schemas.openxmlformats.org/officeDocument/2006/relationships/image" Target="media/image305.png"/><Relationship Id="rId325" Type="http://schemas.openxmlformats.org/officeDocument/2006/relationships/image" Target="media/image306.png"/><Relationship Id="rId326" Type="http://schemas.openxmlformats.org/officeDocument/2006/relationships/image" Target="media/image307.png"/><Relationship Id="rId327" Type="http://schemas.openxmlformats.org/officeDocument/2006/relationships/image" Target="media/image308.png"/><Relationship Id="rId328" Type="http://schemas.openxmlformats.org/officeDocument/2006/relationships/image" Target="media/image309.png"/><Relationship Id="rId329" Type="http://schemas.openxmlformats.org/officeDocument/2006/relationships/image" Target="media/image310.png"/><Relationship Id="rId330" Type="http://schemas.openxmlformats.org/officeDocument/2006/relationships/image" Target="media/image311.png"/><Relationship Id="rId331" Type="http://schemas.openxmlformats.org/officeDocument/2006/relationships/image" Target="media/image312.png"/><Relationship Id="rId332" Type="http://schemas.openxmlformats.org/officeDocument/2006/relationships/image" Target="media/image313.png"/><Relationship Id="rId333" Type="http://schemas.openxmlformats.org/officeDocument/2006/relationships/image" Target="media/image314.png"/><Relationship Id="rId334" Type="http://schemas.openxmlformats.org/officeDocument/2006/relationships/image" Target="media/image315.png"/><Relationship Id="rId335" Type="http://schemas.openxmlformats.org/officeDocument/2006/relationships/image" Target="media/image316.png"/><Relationship Id="rId336" Type="http://schemas.openxmlformats.org/officeDocument/2006/relationships/image" Target="media/image317.png"/><Relationship Id="rId337" Type="http://schemas.openxmlformats.org/officeDocument/2006/relationships/image" Target="media/image318.png"/><Relationship Id="rId338" Type="http://schemas.openxmlformats.org/officeDocument/2006/relationships/image" Target="media/image319.png"/><Relationship Id="rId339" Type="http://schemas.openxmlformats.org/officeDocument/2006/relationships/image" Target="media/image320.png"/><Relationship Id="rId340" Type="http://schemas.openxmlformats.org/officeDocument/2006/relationships/image" Target="media/image321.png"/><Relationship Id="rId341" Type="http://schemas.openxmlformats.org/officeDocument/2006/relationships/image" Target="media/image322.png"/><Relationship Id="rId342" Type="http://schemas.openxmlformats.org/officeDocument/2006/relationships/image" Target="media/image323.png"/><Relationship Id="rId343" Type="http://schemas.openxmlformats.org/officeDocument/2006/relationships/image" Target="media/image324.png"/><Relationship Id="rId344" Type="http://schemas.openxmlformats.org/officeDocument/2006/relationships/image" Target="media/image325.png"/><Relationship Id="rId345" Type="http://schemas.openxmlformats.org/officeDocument/2006/relationships/image" Target="media/image326.png"/><Relationship Id="rId346" Type="http://schemas.openxmlformats.org/officeDocument/2006/relationships/image" Target="media/image327.png"/><Relationship Id="rId347" Type="http://schemas.openxmlformats.org/officeDocument/2006/relationships/image" Target="media/image328.png"/><Relationship Id="rId348" Type="http://schemas.openxmlformats.org/officeDocument/2006/relationships/image" Target="media/image329.png"/><Relationship Id="rId349" Type="http://schemas.openxmlformats.org/officeDocument/2006/relationships/image" Target="media/image330.png"/><Relationship Id="rId350" Type="http://schemas.openxmlformats.org/officeDocument/2006/relationships/image" Target="media/image331.png"/><Relationship Id="rId351" Type="http://schemas.openxmlformats.org/officeDocument/2006/relationships/image" Target="media/image332.png"/><Relationship Id="rId352" Type="http://schemas.openxmlformats.org/officeDocument/2006/relationships/image" Target="media/image333.png"/><Relationship Id="rId353" Type="http://schemas.openxmlformats.org/officeDocument/2006/relationships/image" Target="media/image334.png"/><Relationship Id="rId354" Type="http://schemas.openxmlformats.org/officeDocument/2006/relationships/image" Target="media/image335.png"/><Relationship Id="rId355" Type="http://schemas.openxmlformats.org/officeDocument/2006/relationships/image" Target="media/image336.png"/><Relationship Id="rId356" Type="http://schemas.openxmlformats.org/officeDocument/2006/relationships/image" Target="media/image337.png"/><Relationship Id="rId357" Type="http://schemas.openxmlformats.org/officeDocument/2006/relationships/image" Target="media/image338.png"/><Relationship Id="rId358" Type="http://schemas.openxmlformats.org/officeDocument/2006/relationships/image" Target="media/image339.png"/><Relationship Id="rId359" Type="http://schemas.openxmlformats.org/officeDocument/2006/relationships/image" Target="media/image340.png"/><Relationship Id="rId360" Type="http://schemas.openxmlformats.org/officeDocument/2006/relationships/image" Target="media/image341.png"/><Relationship Id="rId361" Type="http://schemas.openxmlformats.org/officeDocument/2006/relationships/image" Target="media/image342.png"/><Relationship Id="rId362" Type="http://schemas.openxmlformats.org/officeDocument/2006/relationships/image" Target="media/image343.png"/><Relationship Id="rId363" Type="http://schemas.openxmlformats.org/officeDocument/2006/relationships/image" Target="media/image344.png"/><Relationship Id="rId364" Type="http://schemas.openxmlformats.org/officeDocument/2006/relationships/image" Target="media/image345.png"/><Relationship Id="rId365" Type="http://schemas.openxmlformats.org/officeDocument/2006/relationships/image" Target="media/image346.png"/><Relationship Id="rId366" Type="http://schemas.openxmlformats.org/officeDocument/2006/relationships/image" Target="media/image347.png"/><Relationship Id="rId367" Type="http://schemas.openxmlformats.org/officeDocument/2006/relationships/image" Target="media/image348.png"/><Relationship Id="rId368" Type="http://schemas.openxmlformats.org/officeDocument/2006/relationships/image" Target="media/image349.png"/><Relationship Id="rId369" Type="http://schemas.openxmlformats.org/officeDocument/2006/relationships/image" Target="media/image350.png"/><Relationship Id="rId370" Type="http://schemas.openxmlformats.org/officeDocument/2006/relationships/image" Target="media/image351.png"/><Relationship Id="rId371" Type="http://schemas.openxmlformats.org/officeDocument/2006/relationships/image" Target="media/image352.png"/><Relationship Id="rId372" Type="http://schemas.openxmlformats.org/officeDocument/2006/relationships/image" Target="media/image353.png"/><Relationship Id="rId373" Type="http://schemas.openxmlformats.org/officeDocument/2006/relationships/image" Target="media/image354.png"/><Relationship Id="rId374" Type="http://schemas.openxmlformats.org/officeDocument/2006/relationships/image" Target="media/image355.png"/><Relationship Id="rId375" Type="http://schemas.openxmlformats.org/officeDocument/2006/relationships/image" Target="media/image356.png"/><Relationship Id="rId376" Type="http://schemas.openxmlformats.org/officeDocument/2006/relationships/image" Target="media/image357.png"/><Relationship Id="rId377" Type="http://schemas.openxmlformats.org/officeDocument/2006/relationships/image" Target="media/image358.png"/><Relationship Id="rId378" Type="http://schemas.openxmlformats.org/officeDocument/2006/relationships/image" Target="media/image359.png"/><Relationship Id="rId379" Type="http://schemas.openxmlformats.org/officeDocument/2006/relationships/image" Target="media/image360.png"/><Relationship Id="rId380" Type="http://schemas.openxmlformats.org/officeDocument/2006/relationships/image" Target="media/image361.png"/><Relationship Id="rId381" Type="http://schemas.openxmlformats.org/officeDocument/2006/relationships/image" Target="media/image362.png"/><Relationship Id="rId382" Type="http://schemas.openxmlformats.org/officeDocument/2006/relationships/image" Target="media/image363.png"/><Relationship Id="rId383" Type="http://schemas.openxmlformats.org/officeDocument/2006/relationships/image" Target="media/image364.png"/><Relationship Id="rId384" Type="http://schemas.openxmlformats.org/officeDocument/2006/relationships/image" Target="media/image365.png"/><Relationship Id="rId385" Type="http://schemas.openxmlformats.org/officeDocument/2006/relationships/image" Target="media/image366.png"/><Relationship Id="rId386" Type="http://schemas.openxmlformats.org/officeDocument/2006/relationships/image" Target="media/image367.png"/><Relationship Id="rId387" Type="http://schemas.openxmlformats.org/officeDocument/2006/relationships/image" Target="media/image368.png"/><Relationship Id="rId388" Type="http://schemas.openxmlformats.org/officeDocument/2006/relationships/image" Target="media/image369.png"/><Relationship Id="rId389" Type="http://schemas.openxmlformats.org/officeDocument/2006/relationships/image" Target="media/image370.png"/><Relationship Id="rId390" Type="http://schemas.openxmlformats.org/officeDocument/2006/relationships/image" Target="media/image371.png"/><Relationship Id="rId391" Type="http://schemas.openxmlformats.org/officeDocument/2006/relationships/image" Target="media/image372.png"/><Relationship Id="rId392" Type="http://schemas.openxmlformats.org/officeDocument/2006/relationships/image" Target="media/image373.png"/><Relationship Id="rId393" Type="http://schemas.openxmlformats.org/officeDocument/2006/relationships/image" Target="media/image374.png"/><Relationship Id="rId394" Type="http://schemas.openxmlformats.org/officeDocument/2006/relationships/image" Target="media/image375.png"/><Relationship Id="rId395" Type="http://schemas.openxmlformats.org/officeDocument/2006/relationships/image" Target="media/image376.png"/><Relationship Id="rId396" Type="http://schemas.openxmlformats.org/officeDocument/2006/relationships/image" Target="media/image377.png"/><Relationship Id="rId397" Type="http://schemas.openxmlformats.org/officeDocument/2006/relationships/image" Target="media/image378.png"/><Relationship Id="rId398" Type="http://schemas.openxmlformats.org/officeDocument/2006/relationships/image" Target="media/image379.png"/><Relationship Id="rId399" Type="http://schemas.openxmlformats.org/officeDocument/2006/relationships/image" Target="media/image380.png"/><Relationship Id="rId400" Type="http://schemas.openxmlformats.org/officeDocument/2006/relationships/image" Target="media/image381.png"/><Relationship Id="rId401" Type="http://schemas.openxmlformats.org/officeDocument/2006/relationships/image" Target="media/image382.png"/><Relationship Id="rId402" Type="http://schemas.openxmlformats.org/officeDocument/2006/relationships/image" Target="media/image383.png"/><Relationship Id="rId403" Type="http://schemas.openxmlformats.org/officeDocument/2006/relationships/image" Target="media/image384.png"/><Relationship Id="rId404" Type="http://schemas.openxmlformats.org/officeDocument/2006/relationships/image" Target="media/image385.png"/><Relationship Id="rId405" Type="http://schemas.openxmlformats.org/officeDocument/2006/relationships/image" Target="media/image386.png"/><Relationship Id="rId406" Type="http://schemas.openxmlformats.org/officeDocument/2006/relationships/image" Target="media/image387.png"/><Relationship Id="rId407" Type="http://schemas.openxmlformats.org/officeDocument/2006/relationships/image" Target="media/image388.png"/><Relationship Id="rId408" Type="http://schemas.openxmlformats.org/officeDocument/2006/relationships/image" Target="media/image389.png"/><Relationship Id="rId409" Type="http://schemas.openxmlformats.org/officeDocument/2006/relationships/image" Target="media/image390.png"/><Relationship Id="rId410" Type="http://schemas.openxmlformats.org/officeDocument/2006/relationships/image" Target="media/image391.png"/><Relationship Id="rId411" Type="http://schemas.openxmlformats.org/officeDocument/2006/relationships/image" Target="media/image392.png"/><Relationship Id="rId412" Type="http://schemas.openxmlformats.org/officeDocument/2006/relationships/image" Target="media/image393.png"/><Relationship Id="rId413" Type="http://schemas.openxmlformats.org/officeDocument/2006/relationships/image" Target="media/image394.png"/><Relationship Id="rId414" Type="http://schemas.openxmlformats.org/officeDocument/2006/relationships/image" Target="media/image395.png"/><Relationship Id="rId415" Type="http://schemas.openxmlformats.org/officeDocument/2006/relationships/image" Target="media/image396.png"/><Relationship Id="rId416" Type="http://schemas.openxmlformats.org/officeDocument/2006/relationships/image" Target="media/image397.png"/><Relationship Id="rId417" Type="http://schemas.openxmlformats.org/officeDocument/2006/relationships/image" Target="media/image398.png"/><Relationship Id="rId418" Type="http://schemas.openxmlformats.org/officeDocument/2006/relationships/image" Target="media/image399.png"/><Relationship Id="rId419" Type="http://schemas.openxmlformats.org/officeDocument/2006/relationships/image" Target="media/image400.png"/><Relationship Id="rId420" Type="http://schemas.openxmlformats.org/officeDocument/2006/relationships/image" Target="media/image401.png"/><Relationship Id="rId421" Type="http://schemas.openxmlformats.org/officeDocument/2006/relationships/image" Target="media/image402.png"/><Relationship Id="rId422" Type="http://schemas.openxmlformats.org/officeDocument/2006/relationships/image" Target="media/image403.png"/><Relationship Id="rId423" Type="http://schemas.openxmlformats.org/officeDocument/2006/relationships/image" Target="media/image404.png"/><Relationship Id="rId424" Type="http://schemas.openxmlformats.org/officeDocument/2006/relationships/image" Target="media/image405.png"/><Relationship Id="rId425" Type="http://schemas.openxmlformats.org/officeDocument/2006/relationships/image" Target="media/image406.png"/><Relationship Id="rId426" Type="http://schemas.openxmlformats.org/officeDocument/2006/relationships/image" Target="media/image407.png"/><Relationship Id="rId427" Type="http://schemas.openxmlformats.org/officeDocument/2006/relationships/image" Target="media/image408.png"/><Relationship Id="rId428" Type="http://schemas.openxmlformats.org/officeDocument/2006/relationships/image" Target="media/image409.png"/><Relationship Id="rId429" Type="http://schemas.openxmlformats.org/officeDocument/2006/relationships/image" Target="media/image410.png"/><Relationship Id="rId430" Type="http://schemas.openxmlformats.org/officeDocument/2006/relationships/image" Target="media/image411.png"/><Relationship Id="rId431" Type="http://schemas.openxmlformats.org/officeDocument/2006/relationships/image" Target="media/image412.png"/><Relationship Id="rId432" Type="http://schemas.openxmlformats.org/officeDocument/2006/relationships/image" Target="media/image413.png"/><Relationship Id="rId433" Type="http://schemas.openxmlformats.org/officeDocument/2006/relationships/image" Target="media/image414.png"/><Relationship Id="rId434" Type="http://schemas.openxmlformats.org/officeDocument/2006/relationships/image" Target="media/image415.png"/><Relationship Id="rId435" Type="http://schemas.openxmlformats.org/officeDocument/2006/relationships/image" Target="media/image416.png"/><Relationship Id="rId436" Type="http://schemas.openxmlformats.org/officeDocument/2006/relationships/image" Target="media/image417.png"/><Relationship Id="rId437" Type="http://schemas.openxmlformats.org/officeDocument/2006/relationships/image" Target="media/image418.png"/><Relationship Id="rId438" Type="http://schemas.openxmlformats.org/officeDocument/2006/relationships/image" Target="media/image419.png"/><Relationship Id="rId439" Type="http://schemas.openxmlformats.org/officeDocument/2006/relationships/image" Target="media/image420.png"/><Relationship Id="rId440" Type="http://schemas.openxmlformats.org/officeDocument/2006/relationships/image" Target="media/image421.png"/><Relationship Id="rId441" Type="http://schemas.openxmlformats.org/officeDocument/2006/relationships/image" Target="media/image422.png"/><Relationship Id="rId442" Type="http://schemas.openxmlformats.org/officeDocument/2006/relationships/image" Target="media/image423.png"/><Relationship Id="rId443" Type="http://schemas.openxmlformats.org/officeDocument/2006/relationships/image" Target="media/image424.png"/><Relationship Id="rId444" Type="http://schemas.openxmlformats.org/officeDocument/2006/relationships/image" Target="media/image425.png"/><Relationship Id="rId445" Type="http://schemas.openxmlformats.org/officeDocument/2006/relationships/image" Target="media/image426.png"/><Relationship Id="rId446" Type="http://schemas.openxmlformats.org/officeDocument/2006/relationships/image" Target="media/image427.png"/><Relationship Id="rId447" Type="http://schemas.openxmlformats.org/officeDocument/2006/relationships/image" Target="media/image428.png"/><Relationship Id="rId448" Type="http://schemas.openxmlformats.org/officeDocument/2006/relationships/image" Target="media/image429.png"/><Relationship Id="rId449" Type="http://schemas.openxmlformats.org/officeDocument/2006/relationships/image" Target="media/image430.png"/><Relationship Id="rId450" Type="http://schemas.openxmlformats.org/officeDocument/2006/relationships/image" Target="media/image431.png"/><Relationship Id="rId451" Type="http://schemas.openxmlformats.org/officeDocument/2006/relationships/image" Target="media/image432.png"/><Relationship Id="rId452" Type="http://schemas.openxmlformats.org/officeDocument/2006/relationships/image" Target="media/image433.png"/><Relationship Id="rId453" Type="http://schemas.openxmlformats.org/officeDocument/2006/relationships/image" Target="media/image434.png"/><Relationship Id="rId454" Type="http://schemas.openxmlformats.org/officeDocument/2006/relationships/image" Target="media/image435.png"/><Relationship Id="rId455" Type="http://schemas.openxmlformats.org/officeDocument/2006/relationships/image" Target="media/image436.png"/><Relationship Id="rId456" Type="http://schemas.openxmlformats.org/officeDocument/2006/relationships/image" Target="media/image437.png"/><Relationship Id="rId457" Type="http://schemas.openxmlformats.org/officeDocument/2006/relationships/image" Target="media/image438.png"/><Relationship Id="rId458" Type="http://schemas.openxmlformats.org/officeDocument/2006/relationships/image" Target="media/image439.png"/><Relationship Id="rId459" Type="http://schemas.openxmlformats.org/officeDocument/2006/relationships/image" Target="media/image440.png"/><Relationship Id="rId460" Type="http://schemas.openxmlformats.org/officeDocument/2006/relationships/image" Target="media/image441.png"/><Relationship Id="rId461" Type="http://schemas.openxmlformats.org/officeDocument/2006/relationships/image" Target="media/image442.png"/><Relationship Id="rId462" Type="http://schemas.openxmlformats.org/officeDocument/2006/relationships/image" Target="media/image443.png"/><Relationship Id="rId463" Type="http://schemas.openxmlformats.org/officeDocument/2006/relationships/image" Target="media/image444.png"/><Relationship Id="rId464" Type="http://schemas.openxmlformats.org/officeDocument/2006/relationships/image" Target="media/image445.png"/><Relationship Id="rId465" Type="http://schemas.openxmlformats.org/officeDocument/2006/relationships/image" Target="media/image446.png"/><Relationship Id="rId466" Type="http://schemas.openxmlformats.org/officeDocument/2006/relationships/image" Target="media/image447.png"/><Relationship Id="rId467" Type="http://schemas.openxmlformats.org/officeDocument/2006/relationships/image" Target="media/image448.png"/><Relationship Id="rId468" Type="http://schemas.openxmlformats.org/officeDocument/2006/relationships/image" Target="media/image449.png"/><Relationship Id="rId469" Type="http://schemas.openxmlformats.org/officeDocument/2006/relationships/image" Target="media/image450.png"/><Relationship Id="rId470" Type="http://schemas.openxmlformats.org/officeDocument/2006/relationships/image" Target="media/image451.png"/><Relationship Id="rId471" Type="http://schemas.openxmlformats.org/officeDocument/2006/relationships/image" Target="media/image452.png"/><Relationship Id="rId472" Type="http://schemas.openxmlformats.org/officeDocument/2006/relationships/image" Target="media/image453.png"/><Relationship Id="rId473" Type="http://schemas.openxmlformats.org/officeDocument/2006/relationships/image" Target="media/image454.png"/><Relationship Id="rId474" Type="http://schemas.openxmlformats.org/officeDocument/2006/relationships/image" Target="media/image455.png"/><Relationship Id="rId475" Type="http://schemas.openxmlformats.org/officeDocument/2006/relationships/image" Target="media/image456.png"/><Relationship Id="rId476" Type="http://schemas.openxmlformats.org/officeDocument/2006/relationships/image" Target="media/image457.png"/><Relationship Id="rId477" Type="http://schemas.openxmlformats.org/officeDocument/2006/relationships/image" Target="media/image458.png"/><Relationship Id="rId478" Type="http://schemas.openxmlformats.org/officeDocument/2006/relationships/image" Target="media/image459.png"/><Relationship Id="rId479" Type="http://schemas.openxmlformats.org/officeDocument/2006/relationships/image" Target="media/image460.png"/><Relationship Id="rId480" Type="http://schemas.openxmlformats.org/officeDocument/2006/relationships/image" Target="media/image461.png"/><Relationship Id="rId481" Type="http://schemas.openxmlformats.org/officeDocument/2006/relationships/image" Target="media/image462.png"/><Relationship Id="rId482" Type="http://schemas.openxmlformats.org/officeDocument/2006/relationships/image" Target="media/image463.png"/><Relationship Id="rId483" Type="http://schemas.openxmlformats.org/officeDocument/2006/relationships/image" Target="media/image464.png"/><Relationship Id="rId484" Type="http://schemas.openxmlformats.org/officeDocument/2006/relationships/image" Target="media/image465.png"/><Relationship Id="rId485" Type="http://schemas.openxmlformats.org/officeDocument/2006/relationships/image" Target="media/image466.png"/><Relationship Id="rId486" Type="http://schemas.openxmlformats.org/officeDocument/2006/relationships/image" Target="media/image467.png"/><Relationship Id="rId487" Type="http://schemas.openxmlformats.org/officeDocument/2006/relationships/image" Target="media/image468.png"/><Relationship Id="rId488" Type="http://schemas.openxmlformats.org/officeDocument/2006/relationships/image" Target="media/image469.png"/><Relationship Id="rId489" Type="http://schemas.openxmlformats.org/officeDocument/2006/relationships/image" Target="media/image470.png"/><Relationship Id="rId490" Type="http://schemas.openxmlformats.org/officeDocument/2006/relationships/image" Target="media/image471.png"/><Relationship Id="rId491" Type="http://schemas.openxmlformats.org/officeDocument/2006/relationships/image" Target="media/image472.png"/><Relationship Id="rId492" Type="http://schemas.openxmlformats.org/officeDocument/2006/relationships/image" Target="media/image473.png"/><Relationship Id="rId493" Type="http://schemas.openxmlformats.org/officeDocument/2006/relationships/image" Target="media/image474.png"/><Relationship Id="rId494" Type="http://schemas.openxmlformats.org/officeDocument/2006/relationships/image" Target="media/image475.png"/><Relationship Id="rId495" Type="http://schemas.openxmlformats.org/officeDocument/2006/relationships/image" Target="media/image476.png"/><Relationship Id="rId496" Type="http://schemas.openxmlformats.org/officeDocument/2006/relationships/image" Target="media/image477.png"/><Relationship Id="rId497" Type="http://schemas.openxmlformats.org/officeDocument/2006/relationships/image" Target="media/image478.png"/><Relationship Id="rId498" Type="http://schemas.openxmlformats.org/officeDocument/2006/relationships/image" Target="media/image479.png"/><Relationship Id="rId499" Type="http://schemas.openxmlformats.org/officeDocument/2006/relationships/image" Target="media/image480.png"/><Relationship Id="rId500" Type="http://schemas.openxmlformats.org/officeDocument/2006/relationships/image" Target="media/image481.png"/><Relationship Id="rId501" Type="http://schemas.openxmlformats.org/officeDocument/2006/relationships/image" Target="media/image482.png"/><Relationship Id="rId502" Type="http://schemas.openxmlformats.org/officeDocument/2006/relationships/image" Target="media/image483.png"/><Relationship Id="rId503" Type="http://schemas.openxmlformats.org/officeDocument/2006/relationships/image" Target="media/image484.png"/><Relationship Id="rId504" Type="http://schemas.openxmlformats.org/officeDocument/2006/relationships/image" Target="media/image485.png"/><Relationship Id="rId505" Type="http://schemas.openxmlformats.org/officeDocument/2006/relationships/image" Target="media/image486.png"/><Relationship Id="rId506" Type="http://schemas.openxmlformats.org/officeDocument/2006/relationships/image" Target="media/image487.png"/><Relationship Id="rId507" Type="http://schemas.openxmlformats.org/officeDocument/2006/relationships/image" Target="media/image488.png"/><Relationship Id="rId508" Type="http://schemas.openxmlformats.org/officeDocument/2006/relationships/image" Target="media/image489.png"/><Relationship Id="rId509" Type="http://schemas.openxmlformats.org/officeDocument/2006/relationships/image" Target="media/image490.png"/><Relationship Id="rId510" Type="http://schemas.openxmlformats.org/officeDocument/2006/relationships/image" Target="media/image491.png"/><Relationship Id="rId511" Type="http://schemas.openxmlformats.org/officeDocument/2006/relationships/image" Target="media/image492.png"/><Relationship Id="rId512" Type="http://schemas.openxmlformats.org/officeDocument/2006/relationships/image" Target="media/image493.png"/><Relationship Id="rId513" Type="http://schemas.openxmlformats.org/officeDocument/2006/relationships/image" Target="media/image494.png"/><Relationship Id="rId514" Type="http://schemas.openxmlformats.org/officeDocument/2006/relationships/image" Target="media/image495.png"/><Relationship Id="rId515" Type="http://schemas.openxmlformats.org/officeDocument/2006/relationships/image" Target="media/image496.png"/><Relationship Id="rId516" Type="http://schemas.openxmlformats.org/officeDocument/2006/relationships/image" Target="media/image497.png"/><Relationship Id="rId517" Type="http://schemas.openxmlformats.org/officeDocument/2006/relationships/image" Target="media/image498.png"/><Relationship Id="rId518" Type="http://schemas.openxmlformats.org/officeDocument/2006/relationships/image" Target="media/image499.png"/><Relationship Id="rId519" Type="http://schemas.openxmlformats.org/officeDocument/2006/relationships/image" Target="media/image500.png"/><Relationship Id="rId520" Type="http://schemas.openxmlformats.org/officeDocument/2006/relationships/image" Target="media/image501.png"/><Relationship Id="rId521" Type="http://schemas.openxmlformats.org/officeDocument/2006/relationships/image" Target="media/image502.png"/><Relationship Id="rId522" Type="http://schemas.openxmlformats.org/officeDocument/2006/relationships/image" Target="media/image503.png"/><Relationship Id="rId523" Type="http://schemas.openxmlformats.org/officeDocument/2006/relationships/image" Target="media/image504.png"/><Relationship Id="rId524" Type="http://schemas.openxmlformats.org/officeDocument/2006/relationships/image" Target="media/image505.png"/><Relationship Id="rId525" Type="http://schemas.openxmlformats.org/officeDocument/2006/relationships/image" Target="media/image506.png"/><Relationship Id="rId526" Type="http://schemas.openxmlformats.org/officeDocument/2006/relationships/image" Target="media/image507.png"/><Relationship Id="rId527" Type="http://schemas.openxmlformats.org/officeDocument/2006/relationships/image" Target="media/image508.png"/><Relationship Id="rId528" Type="http://schemas.openxmlformats.org/officeDocument/2006/relationships/image" Target="media/image509.png"/><Relationship Id="rId529" Type="http://schemas.openxmlformats.org/officeDocument/2006/relationships/image" Target="media/image510.png"/><Relationship Id="rId530" Type="http://schemas.openxmlformats.org/officeDocument/2006/relationships/image" Target="media/image511.png"/><Relationship Id="rId531" Type="http://schemas.openxmlformats.org/officeDocument/2006/relationships/image" Target="media/image512.png"/><Relationship Id="rId532" Type="http://schemas.openxmlformats.org/officeDocument/2006/relationships/image" Target="media/image513.png"/><Relationship Id="rId533" Type="http://schemas.openxmlformats.org/officeDocument/2006/relationships/image" Target="media/image514.png"/><Relationship Id="rId534" Type="http://schemas.openxmlformats.org/officeDocument/2006/relationships/image" Target="media/image515.png"/><Relationship Id="rId535" Type="http://schemas.openxmlformats.org/officeDocument/2006/relationships/image" Target="media/image516.png"/><Relationship Id="rId536" Type="http://schemas.openxmlformats.org/officeDocument/2006/relationships/image" Target="media/image517.png"/><Relationship Id="rId537" Type="http://schemas.openxmlformats.org/officeDocument/2006/relationships/image" Target="media/image518.png"/><Relationship Id="rId538" Type="http://schemas.openxmlformats.org/officeDocument/2006/relationships/image" Target="media/image519.png"/><Relationship Id="rId539" Type="http://schemas.openxmlformats.org/officeDocument/2006/relationships/image" Target="media/image520.png"/><Relationship Id="rId540" Type="http://schemas.openxmlformats.org/officeDocument/2006/relationships/image" Target="media/image521.png"/><Relationship Id="rId541" Type="http://schemas.openxmlformats.org/officeDocument/2006/relationships/image" Target="media/image522.png"/><Relationship Id="rId542" Type="http://schemas.openxmlformats.org/officeDocument/2006/relationships/image" Target="media/image523.png"/><Relationship Id="rId543" Type="http://schemas.openxmlformats.org/officeDocument/2006/relationships/image" Target="media/image524.png"/><Relationship Id="rId544" Type="http://schemas.openxmlformats.org/officeDocument/2006/relationships/image" Target="media/image525.png"/><Relationship Id="rId545" Type="http://schemas.openxmlformats.org/officeDocument/2006/relationships/image" Target="media/image526.png"/><Relationship Id="rId546" Type="http://schemas.openxmlformats.org/officeDocument/2006/relationships/image" Target="media/image527.png"/><Relationship Id="rId547" Type="http://schemas.openxmlformats.org/officeDocument/2006/relationships/image" Target="media/image528.png"/><Relationship Id="rId548" Type="http://schemas.openxmlformats.org/officeDocument/2006/relationships/image" Target="media/image529.png"/><Relationship Id="rId549" Type="http://schemas.openxmlformats.org/officeDocument/2006/relationships/image" Target="media/image530.png"/><Relationship Id="rId550" Type="http://schemas.openxmlformats.org/officeDocument/2006/relationships/image" Target="media/image531.png"/><Relationship Id="rId551" Type="http://schemas.openxmlformats.org/officeDocument/2006/relationships/image" Target="media/image532.png"/><Relationship Id="rId552" Type="http://schemas.openxmlformats.org/officeDocument/2006/relationships/image" Target="media/image533.png"/><Relationship Id="rId553" Type="http://schemas.openxmlformats.org/officeDocument/2006/relationships/image" Target="media/image534.png"/><Relationship Id="rId554" Type="http://schemas.openxmlformats.org/officeDocument/2006/relationships/image" Target="media/image535.png"/><Relationship Id="rId555" Type="http://schemas.openxmlformats.org/officeDocument/2006/relationships/image" Target="media/image536.png"/><Relationship Id="rId556" Type="http://schemas.openxmlformats.org/officeDocument/2006/relationships/image" Target="media/image537.png"/><Relationship Id="rId557" Type="http://schemas.openxmlformats.org/officeDocument/2006/relationships/image" Target="media/image538.png"/><Relationship Id="rId558" Type="http://schemas.openxmlformats.org/officeDocument/2006/relationships/image" Target="media/image539.png"/><Relationship Id="rId559" Type="http://schemas.openxmlformats.org/officeDocument/2006/relationships/image" Target="media/image540.png"/><Relationship Id="rId560" Type="http://schemas.openxmlformats.org/officeDocument/2006/relationships/image" Target="media/image541.png"/><Relationship Id="rId561" Type="http://schemas.openxmlformats.org/officeDocument/2006/relationships/image" Target="media/image542.png"/><Relationship Id="rId562" Type="http://schemas.openxmlformats.org/officeDocument/2006/relationships/image" Target="media/image543.png"/><Relationship Id="rId563" Type="http://schemas.openxmlformats.org/officeDocument/2006/relationships/image" Target="media/image544.png"/><Relationship Id="rId564" Type="http://schemas.openxmlformats.org/officeDocument/2006/relationships/image" Target="media/image545.png"/><Relationship Id="rId565" Type="http://schemas.openxmlformats.org/officeDocument/2006/relationships/image" Target="media/image546.png"/><Relationship Id="rId566" Type="http://schemas.openxmlformats.org/officeDocument/2006/relationships/image" Target="media/image547.png"/><Relationship Id="rId567" Type="http://schemas.openxmlformats.org/officeDocument/2006/relationships/image" Target="media/image548.png"/><Relationship Id="rId568" Type="http://schemas.openxmlformats.org/officeDocument/2006/relationships/image" Target="media/image549.png"/><Relationship Id="rId569" Type="http://schemas.openxmlformats.org/officeDocument/2006/relationships/image" Target="media/image550.png"/><Relationship Id="rId570" Type="http://schemas.openxmlformats.org/officeDocument/2006/relationships/image" Target="media/image551.png"/><Relationship Id="rId571" Type="http://schemas.openxmlformats.org/officeDocument/2006/relationships/image" Target="media/image552.png"/><Relationship Id="rId572" Type="http://schemas.openxmlformats.org/officeDocument/2006/relationships/image" Target="media/image553.png"/><Relationship Id="rId573" Type="http://schemas.openxmlformats.org/officeDocument/2006/relationships/image" Target="media/image554.png"/><Relationship Id="rId574" Type="http://schemas.openxmlformats.org/officeDocument/2006/relationships/image" Target="media/image555.png"/><Relationship Id="rId575" Type="http://schemas.openxmlformats.org/officeDocument/2006/relationships/image" Target="media/image556.png"/><Relationship Id="rId576" Type="http://schemas.openxmlformats.org/officeDocument/2006/relationships/image" Target="media/image557.png"/><Relationship Id="rId577" Type="http://schemas.openxmlformats.org/officeDocument/2006/relationships/image" Target="media/image558.png"/><Relationship Id="rId578" Type="http://schemas.openxmlformats.org/officeDocument/2006/relationships/image" Target="media/image559.png"/><Relationship Id="rId579" Type="http://schemas.openxmlformats.org/officeDocument/2006/relationships/image" Target="media/image560.png"/><Relationship Id="rId580" Type="http://schemas.openxmlformats.org/officeDocument/2006/relationships/image" Target="media/image561.png"/><Relationship Id="rId581" Type="http://schemas.openxmlformats.org/officeDocument/2006/relationships/image" Target="media/image562.png"/><Relationship Id="rId582" Type="http://schemas.openxmlformats.org/officeDocument/2006/relationships/image" Target="media/image563.png"/><Relationship Id="rId583" Type="http://schemas.openxmlformats.org/officeDocument/2006/relationships/image" Target="media/image564.png"/><Relationship Id="rId584" Type="http://schemas.openxmlformats.org/officeDocument/2006/relationships/image" Target="media/image565.png"/><Relationship Id="rId585" Type="http://schemas.openxmlformats.org/officeDocument/2006/relationships/image" Target="media/image566.png"/><Relationship Id="rId586" Type="http://schemas.openxmlformats.org/officeDocument/2006/relationships/image" Target="media/image567.png"/><Relationship Id="rId587" Type="http://schemas.openxmlformats.org/officeDocument/2006/relationships/image" Target="media/image568.png"/><Relationship Id="rId588" Type="http://schemas.openxmlformats.org/officeDocument/2006/relationships/image" Target="media/image569.png"/><Relationship Id="rId589" Type="http://schemas.openxmlformats.org/officeDocument/2006/relationships/image" Target="media/image570.png"/><Relationship Id="rId590" Type="http://schemas.openxmlformats.org/officeDocument/2006/relationships/image" Target="media/image571.png"/><Relationship Id="rId591" Type="http://schemas.openxmlformats.org/officeDocument/2006/relationships/image" Target="media/image572.png"/><Relationship Id="rId592" Type="http://schemas.openxmlformats.org/officeDocument/2006/relationships/image" Target="media/image573.png"/><Relationship Id="rId593" Type="http://schemas.openxmlformats.org/officeDocument/2006/relationships/image" Target="media/image574.png"/><Relationship Id="rId594" Type="http://schemas.openxmlformats.org/officeDocument/2006/relationships/image" Target="media/image575.png"/><Relationship Id="rId595" Type="http://schemas.openxmlformats.org/officeDocument/2006/relationships/image" Target="media/image576.png"/><Relationship Id="rId596" Type="http://schemas.openxmlformats.org/officeDocument/2006/relationships/image" Target="media/image577.png"/><Relationship Id="rId597" Type="http://schemas.openxmlformats.org/officeDocument/2006/relationships/image" Target="media/image578.png"/><Relationship Id="rId598" Type="http://schemas.openxmlformats.org/officeDocument/2006/relationships/image" Target="media/image579.png"/><Relationship Id="rId599" Type="http://schemas.openxmlformats.org/officeDocument/2006/relationships/image" Target="media/image580.png"/><Relationship Id="rId600" Type="http://schemas.openxmlformats.org/officeDocument/2006/relationships/image" Target="media/image581.png"/><Relationship Id="rId601" Type="http://schemas.openxmlformats.org/officeDocument/2006/relationships/image" Target="media/image582.png"/><Relationship Id="rId602" Type="http://schemas.openxmlformats.org/officeDocument/2006/relationships/image" Target="media/image583.png"/><Relationship Id="rId603" Type="http://schemas.openxmlformats.org/officeDocument/2006/relationships/image" Target="media/image584.png"/><Relationship Id="rId604" Type="http://schemas.openxmlformats.org/officeDocument/2006/relationships/image" Target="media/image585.png"/><Relationship Id="rId605" Type="http://schemas.openxmlformats.org/officeDocument/2006/relationships/image" Target="media/image586.png"/><Relationship Id="rId606" Type="http://schemas.openxmlformats.org/officeDocument/2006/relationships/image" Target="media/image587.png"/><Relationship Id="rId607" Type="http://schemas.openxmlformats.org/officeDocument/2006/relationships/image" Target="media/image588.png"/><Relationship Id="rId608" Type="http://schemas.openxmlformats.org/officeDocument/2006/relationships/image" Target="media/image589.png"/><Relationship Id="rId609" Type="http://schemas.openxmlformats.org/officeDocument/2006/relationships/image" Target="media/image590.png"/><Relationship Id="rId610" Type="http://schemas.openxmlformats.org/officeDocument/2006/relationships/image" Target="media/image591.png"/><Relationship Id="rId611" Type="http://schemas.openxmlformats.org/officeDocument/2006/relationships/image" Target="media/image592.png"/><Relationship Id="rId612" Type="http://schemas.openxmlformats.org/officeDocument/2006/relationships/image" Target="media/image593.png"/><Relationship Id="rId613" Type="http://schemas.openxmlformats.org/officeDocument/2006/relationships/image" Target="media/image594.png"/><Relationship Id="rId614" Type="http://schemas.openxmlformats.org/officeDocument/2006/relationships/image" Target="media/image595.png"/><Relationship Id="rId615" Type="http://schemas.openxmlformats.org/officeDocument/2006/relationships/image" Target="media/image596.png"/><Relationship Id="rId616" Type="http://schemas.openxmlformats.org/officeDocument/2006/relationships/image" Target="media/image597.png"/><Relationship Id="rId617" Type="http://schemas.openxmlformats.org/officeDocument/2006/relationships/image" Target="media/image598.png"/><Relationship Id="rId618" Type="http://schemas.openxmlformats.org/officeDocument/2006/relationships/image" Target="media/image599.png"/><Relationship Id="rId619" Type="http://schemas.openxmlformats.org/officeDocument/2006/relationships/image" Target="media/image600.png"/><Relationship Id="rId620" Type="http://schemas.openxmlformats.org/officeDocument/2006/relationships/image" Target="media/image601.png"/><Relationship Id="rId621" Type="http://schemas.openxmlformats.org/officeDocument/2006/relationships/image" Target="media/image602.png"/><Relationship Id="rId622" Type="http://schemas.openxmlformats.org/officeDocument/2006/relationships/image" Target="media/image603.png"/><Relationship Id="rId623" Type="http://schemas.openxmlformats.org/officeDocument/2006/relationships/image" Target="media/image604.png"/><Relationship Id="rId624" Type="http://schemas.openxmlformats.org/officeDocument/2006/relationships/image" Target="media/image605.png"/><Relationship Id="rId625" Type="http://schemas.openxmlformats.org/officeDocument/2006/relationships/image" Target="media/image606.png"/><Relationship Id="rId626" Type="http://schemas.openxmlformats.org/officeDocument/2006/relationships/image" Target="media/image607.png"/><Relationship Id="rId627" Type="http://schemas.openxmlformats.org/officeDocument/2006/relationships/image" Target="media/image608.png"/><Relationship Id="rId628" Type="http://schemas.openxmlformats.org/officeDocument/2006/relationships/image" Target="media/image609.png"/><Relationship Id="rId629" Type="http://schemas.openxmlformats.org/officeDocument/2006/relationships/image" Target="media/image610.png"/><Relationship Id="rId630" Type="http://schemas.openxmlformats.org/officeDocument/2006/relationships/image" Target="media/image611.png"/><Relationship Id="rId631" Type="http://schemas.openxmlformats.org/officeDocument/2006/relationships/image" Target="media/image612.png"/><Relationship Id="rId632" Type="http://schemas.openxmlformats.org/officeDocument/2006/relationships/image" Target="media/image613.png"/><Relationship Id="rId633" Type="http://schemas.openxmlformats.org/officeDocument/2006/relationships/image" Target="media/image614.png"/><Relationship Id="rId634" Type="http://schemas.openxmlformats.org/officeDocument/2006/relationships/image" Target="media/image615.png"/><Relationship Id="rId635" Type="http://schemas.openxmlformats.org/officeDocument/2006/relationships/image" Target="media/image616.png"/><Relationship Id="rId636" Type="http://schemas.openxmlformats.org/officeDocument/2006/relationships/image" Target="media/image617.png"/><Relationship Id="rId637" Type="http://schemas.openxmlformats.org/officeDocument/2006/relationships/image" Target="media/image618.png"/><Relationship Id="rId638" Type="http://schemas.openxmlformats.org/officeDocument/2006/relationships/image" Target="media/image619.png"/><Relationship Id="rId639" Type="http://schemas.openxmlformats.org/officeDocument/2006/relationships/image" Target="media/image620.png"/><Relationship Id="rId640" Type="http://schemas.openxmlformats.org/officeDocument/2006/relationships/image" Target="media/image621.png"/><Relationship Id="rId641" Type="http://schemas.openxmlformats.org/officeDocument/2006/relationships/image" Target="media/image622.png"/><Relationship Id="rId642" Type="http://schemas.openxmlformats.org/officeDocument/2006/relationships/image" Target="media/image623.png"/><Relationship Id="rId643" Type="http://schemas.openxmlformats.org/officeDocument/2006/relationships/image" Target="media/image624.png"/><Relationship Id="rId644" Type="http://schemas.openxmlformats.org/officeDocument/2006/relationships/image" Target="media/image625.png"/><Relationship Id="rId645" Type="http://schemas.openxmlformats.org/officeDocument/2006/relationships/image" Target="media/image626.png"/><Relationship Id="rId646" Type="http://schemas.openxmlformats.org/officeDocument/2006/relationships/image" Target="media/image627.png"/><Relationship Id="rId647" Type="http://schemas.openxmlformats.org/officeDocument/2006/relationships/image" Target="media/image628.png"/><Relationship Id="rId648" Type="http://schemas.openxmlformats.org/officeDocument/2006/relationships/image" Target="media/image629.png"/><Relationship Id="rId649" Type="http://schemas.openxmlformats.org/officeDocument/2006/relationships/image" Target="media/image630.png"/><Relationship Id="rId650" Type="http://schemas.openxmlformats.org/officeDocument/2006/relationships/image" Target="media/image631.png"/><Relationship Id="rId651" Type="http://schemas.openxmlformats.org/officeDocument/2006/relationships/image" Target="media/image632.png"/><Relationship Id="rId652" Type="http://schemas.openxmlformats.org/officeDocument/2006/relationships/image" Target="media/image633.png"/><Relationship Id="rId653" Type="http://schemas.openxmlformats.org/officeDocument/2006/relationships/image" Target="media/image634.png"/><Relationship Id="rId654" Type="http://schemas.openxmlformats.org/officeDocument/2006/relationships/image" Target="media/image635.png"/><Relationship Id="rId655" Type="http://schemas.openxmlformats.org/officeDocument/2006/relationships/image" Target="media/image636.png"/><Relationship Id="rId656" Type="http://schemas.openxmlformats.org/officeDocument/2006/relationships/image" Target="media/image637.png"/><Relationship Id="rId657" Type="http://schemas.openxmlformats.org/officeDocument/2006/relationships/image" Target="media/image638.png"/><Relationship Id="rId658" Type="http://schemas.openxmlformats.org/officeDocument/2006/relationships/image" Target="media/image639.png"/><Relationship Id="rId659" Type="http://schemas.openxmlformats.org/officeDocument/2006/relationships/image" Target="media/image640.png"/><Relationship Id="rId660" Type="http://schemas.openxmlformats.org/officeDocument/2006/relationships/image" Target="media/image641.png"/><Relationship Id="rId661" Type="http://schemas.openxmlformats.org/officeDocument/2006/relationships/image" Target="media/image642.png"/><Relationship Id="rId662" Type="http://schemas.openxmlformats.org/officeDocument/2006/relationships/image" Target="media/image643.png"/><Relationship Id="rId663" Type="http://schemas.openxmlformats.org/officeDocument/2006/relationships/image" Target="media/image644.png"/><Relationship Id="rId664" Type="http://schemas.openxmlformats.org/officeDocument/2006/relationships/image" Target="media/image645.png"/><Relationship Id="rId665" Type="http://schemas.openxmlformats.org/officeDocument/2006/relationships/image" Target="media/image646.png"/><Relationship Id="rId666" Type="http://schemas.openxmlformats.org/officeDocument/2006/relationships/image" Target="media/image647.png"/><Relationship Id="rId667" Type="http://schemas.openxmlformats.org/officeDocument/2006/relationships/image" Target="media/image648.png"/><Relationship Id="rId668" Type="http://schemas.openxmlformats.org/officeDocument/2006/relationships/image" Target="media/image649.png"/><Relationship Id="rId669" Type="http://schemas.openxmlformats.org/officeDocument/2006/relationships/image" Target="media/image650.png"/><Relationship Id="rId670" Type="http://schemas.openxmlformats.org/officeDocument/2006/relationships/image" Target="media/image651.png"/><Relationship Id="rId671" Type="http://schemas.openxmlformats.org/officeDocument/2006/relationships/image" Target="media/image652.png"/><Relationship Id="rId672" Type="http://schemas.openxmlformats.org/officeDocument/2006/relationships/image" Target="media/image653.png"/><Relationship Id="rId673" Type="http://schemas.openxmlformats.org/officeDocument/2006/relationships/image" Target="media/image654.png"/><Relationship Id="rId674" Type="http://schemas.openxmlformats.org/officeDocument/2006/relationships/image" Target="media/image655.png"/><Relationship Id="rId675" Type="http://schemas.openxmlformats.org/officeDocument/2006/relationships/image" Target="media/image656.png"/><Relationship Id="rId676" Type="http://schemas.openxmlformats.org/officeDocument/2006/relationships/image" Target="media/image657.png"/><Relationship Id="rId677" Type="http://schemas.openxmlformats.org/officeDocument/2006/relationships/image" Target="media/image658.png"/><Relationship Id="rId678" Type="http://schemas.openxmlformats.org/officeDocument/2006/relationships/image" Target="media/image659.png"/><Relationship Id="rId679" Type="http://schemas.openxmlformats.org/officeDocument/2006/relationships/image" Target="media/image660.png"/><Relationship Id="rId680" Type="http://schemas.openxmlformats.org/officeDocument/2006/relationships/image" Target="media/image661.png"/><Relationship Id="rId681" Type="http://schemas.openxmlformats.org/officeDocument/2006/relationships/image" Target="media/image662.png"/><Relationship Id="rId682" Type="http://schemas.openxmlformats.org/officeDocument/2006/relationships/image" Target="media/image663.png"/><Relationship Id="rId683" Type="http://schemas.openxmlformats.org/officeDocument/2006/relationships/image" Target="media/image664.png"/><Relationship Id="rId684" Type="http://schemas.openxmlformats.org/officeDocument/2006/relationships/image" Target="media/image665.png"/><Relationship Id="rId685" Type="http://schemas.openxmlformats.org/officeDocument/2006/relationships/image" Target="media/image666.png"/><Relationship Id="rId686" Type="http://schemas.openxmlformats.org/officeDocument/2006/relationships/image" Target="media/image667.png"/><Relationship Id="rId687" Type="http://schemas.openxmlformats.org/officeDocument/2006/relationships/image" Target="media/image668.png"/><Relationship Id="rId688" Type="http://schemas.openxmlformats.org/officeDocument/2006/relationships/image" Target="media/image669.png"/><Relationship Id="rId689" Type="http://schemas.openxmlformats.org/officeDocument/2006/relationships/image" Target="media/image670.png"/><Relationship Id="rId690" Type="http://schemas.openxmlformats.org/officeDocument/2006/relationships/image" Target="media/image671.png"/><Relationship Id="rId691" Type="http://schemas.openxmlformats.org/officeDocument/2006/relationships/image" Target="media/image672.png"/><Relationship Id="rId692" Type="http://schemas.openxmlformats.org/officeDocument/2006/relationships/image" Target="media/image673.png"/><Relationship Id="rId693" Type="http://schemas.openxmlformats.org/officeDocument/2006/relationships/image" Target="media/image674.png"/><Relationship Id="rId694" Type="http://schemas.openxmlformats.org/officeDocument/2006/relationships/image" Target="media/image675.png"/><Relationship Id="rId695" Type="http://schemas.openxmlformats.org/officeDocument/2006/relationships/image" Target="media/image676.png"/><Relationship Id="rId696" Type="http://schemas.openxmlformats.org/officeDocument/2006/relationships/image" Target="media/image677.png"/><Relationship Id="rId697" Type="http://schemas.openxmlformats.org/officeDocument/2006/relationships/image" Target="media/image678.png"/><Relationship Id="rId698" Type="http://schemas.openxmlformats.org/officeDocument/2006/relationships/image" Target="media/image679.png"/><Relationship Id="rId699" Type="http://schemas.openxmlformats.org/officeDocument/2006/relationships/image" Target="media/image680.png"/><Relationship Id="rId700" Type="http://schemas.openxmlformats.org/officeDocument/2006/relationships/image" Target="media/image681.png"/><Relationship Id="rId701" Type="http://schemas.openxmlformats.org/officeDocument/2006/relationships/image" Target="media/image682.png"/><Relationship Id="rId702" Type="http://schemas.openxmlformats.org/officeDocument/2006/relationships/image" Target="media/image683.png"/><Relationship Id="rId703" Type="http://schemas.openxmlformats.org/officeDocument/2006/relationships/image" Target="media/image684.png"/><Relationship Id="rId704" Type="http://schemas.openxmlformats.org/officeDocument/2006/relationships/image" Target="media/image685.png"/><Relationship Id="rId705" Type="http://schemas.openxmlformats.org/officeDocument/2006/relationships/image" Target="media/image686.png"/><Relationship Id="rId706" Type="http://schemas.openxmlformats.org/officeDocument/2006/relationships/image" Target="media/image687.png"/><Relationship Id="rId707" Type="http://schemas.openxmlformats.org/officeDocument/2006/relationships/image" Target="media/image688.png"/><Relationship Id="rId708" Type="http://schemas.openxmlformats.org/officeDocument/2006/relationships/image" Target="media/image689.png"/><Relationship Id="rId709" Type="http://schemas.openxmlformats.org/officeDocument/2006/relationships/image" Target="media/image690.png"/><Relationship Id="rId710" Type="http://schemas.openxmlformats.org/officeDocument/2006/relationships/image" Target="media/image691.png"/><Relationship Id="rId711" Type="http://schemas.openxmlformats.org/officeDocument/2006/relationships/image" Target="media/image692.png"/><Relationship Id="rId712" Type="http://schemas.openxmlformats.org/officeDocument/2006/relationships/image" Target="media/image693.png"/><Relationship Id="rId713" Type="http://schemas.openxmlformats.org/officeDocument/2006/relationships/image" Target="media/image694.png"/><Relationship Id="rId714" Type="http://schemas.openxmlformats.org/officeDocument/2006/relationships/image" Target="media/image695.png"/><Relationship Id="rId715" Type="http://schemas.openxmlformats.org/officeDocument/2006/relationships/image" Target="media/image696.png"/><Relationship Id="rId716" Type="http://schemas.openxmlformats.org/officeDocument/2006/relationships/image" Target="media/image697.png"/><Relationship Id="rId717" Type="http://schemas.openxmlformats.org/officeDocument/2006/relationships/image" Target="media/image698.png"/><Relationship Id="rId718" Type="http://schemas.openxmlformats.org/officeDocument/2006/relationships/image" Target="media/image699.png"/><Relationship Id="rId719" Type="http://schemas.openxmlformats.org/officeDocument/2006/relationships/image" Target="media/image700.png"/><Relationship Id="rId720" Type="http://schemas.openxmlformats.org/officeDocument/2006/relationships/image" Target="media/image701.png"/><Relationship Id="rId721" Type="http://schemas.openxmlformats.org/officeDocument/2006/relationships/image" Target="media/image702.png"/><Relationship Id="rId722" Type="http://schemas.openxmlformats.org/officeDocument/2006/relationships/image" Target="media/image703.png"/><Relationship Id="rId723" Type="http://schemas.openxmlformats.org/officeDocument/2006/relationships/image" Target="media/image704.png"/><Relationship Id="rId724" Type="http://schemas.openxmlformats.org/officeDocument/2006/relationships/image" Target="media/image705.png"/><Relationship Id="rId725" Type="http://schemas.openxmlformats.org/officeDocument/2006/relationships/image" Target="media/image706.png"/><Relationship Id="rId726" Type="http://schemas.openxmlformats.org/officeDocument/2006/relationships/image" Target="media/image707.png"/><Relationship Id="rId727" Type="http://schemas.openxmlformats.org/officeDocument/2006/relationships/image" Target="media/image708.png"/><Relationship Id="rId728" Type="http://schemas.openxmlformats.org/officeDocument/2006/relationships/image" Target="media/image709.png"/><Relationship Id="rId729" Type="http://schemas.openxmlformats.org/officeDocument/2006/relationships/image" Target="media/image710.png"/><Relationship Id="rId730" Type="http://schemas.openxmlformats.org/officeDocument/2006/relationships/image" Target="media/image711.png"/><Relationship Id="rId731" Type="http://schemas.openxmlformats.org/officeDocument/2006/relationships/image" Target="media/image712.png"/><Relationship Id="rId732" Type="http://schemas.openxmlformats.org/officeDocument/2006/relationships/image" Target="media/image713.png"/><Relationship Id="rId733" Type="http://schemas.openxmlformats.org/officeDocument/2006/relationships/image" Target="media/image714.png"/><Relationship Id="rId734" Type="http://schemas.openxmlformats.org/officeDocument/2006/relationships/image" Target="media/image715.png"/><Relationship Id="rId735" Type="http://schemas.openxmlformats.org/officeDocument/2006/relationships/image" Target="media/image716.png"/><Relationship Id="rId736" Type="http://schemas.openxmlformats.org/officeDocument/2006/relationships/image" Target="media/image717.png"/><Relationship Id="rId737" Type="http://schemas.openxmlformats.org/officeDocument/2006/relationships/image" Target="media/image718.png"/><Relationship Id="rId738" Type="http://schemas.openxmlformats.org/officeDocument/2006/relationships/image" Target="media/image719.png"/><Relationship Id="rId739" Type="http://schemas.openxmlformats.org/officeDocument/2006/relationships/image" Target="media/image720.png"/><Relationship Id="rId740" Type="http://schemas.openxmlformats.org/officeDocument/2006/relationships/image" Target="media/image721.png"/><Relationship Id="rId741" Type="http://schemas.openxmlformats.org/officeDocument/2006/relationships/image" Target="media/image722.png"/><Relationship Id="rId742" Type="http://schemas.openxmlformats.org/officeDocument/2006/relationships/image" Target="media/image723.png"/><Relationship Id="rId743" Type="http://schemas.openxmlformats.org/officeDocument/2006/relationships/image" Target="media/image724.png"/><Relationship Id="rId744" Type="http://schemas.openxmlformats.org/officeDocument/2006/relationships/image" Target="media/image725.png"/><Relationship Id="rId745" Type="http://schemas.openxmlformats.org/officeDocument/2006/relationships/image" Target="media/image726.png"/><Relationship Id="rId746" Type="http://schemas.openxmlformats.org/officeDocument/2006/relationships/image" Target="media/image727.png"/><Relationship Id="rId747" Type="http://schemas.openxmlformats.org/officeDocument/2006/relationships/image" Target="media/image728.png"/><Relationship Id="rId748" Type="http://schemas.openxmlformats.org/officeDocument/2006/relationships/image" Target="media/image729.png"/><Relationship Id="rId749" Type="http://schemas.openxmlformats.org/officeDocument/2006/relationships/image" Target="media/image730.png"/><Relationship Id="rId750" Type="http://schemas.openxmlformats.org/officeDocument/2006/relationships/image" Target="media/image731.png"/><Relationship Id="rId751" Type="http://schemas.openxmlformats.org/officeDocument/2006/relationships/image" Target="media/image732.png"/><Relationship Id="rId752" Type="http://schemas.openxmlformats.org/officeDocument/2006/relationships/image" Target="media/image733.png"/><Relationship Id="rId753" Type="http://schemas.openxmlformats.org/officeDocument/2006/relationships/image" Target="media/image734.png"/><Relationship Id="rId754" Type="http://schemas.openxmlformats.org/officeDocument/2006/relationships/image" Target="media/image735.png"/><Relationship Id="rId755" Type="http://schemas.openxmlformats.org/officeDocument/2006/relationships/image" Target="media/image736.png"/><Relationship Id="rId756" Type="http://schemas.openxmlformats.org/officeDocument/2006/relationships/image" Target="media/image737.png"/><Relationship Id="rId757" Type="http://schemas.openxmlformats.org/officeDocument/2006/relationships/image" Target="media/image738.png"/><Relationship Id="rId758" Type="http://schemas.openxmlformats.org/officeDocument/2006/relationships/image" Target="media/image739.png"/><Relationship Id="rId759" Type="http://schemas.openxmlformats.org/officeDocument/2006/relationships/image" Target="media/image740.png"/><Relationship Id="rId760" Type="http://schemas.openxmlformats.org/officeDocument/2006/relationships/image" Target="media/image741.png"/><Relationship Id="rId761" Type="http://schemas.openxmlformats.org/officeDocument/2006/relationships/image" Target="media/image742.png"/><Relationship Id="rId762" Type="http://schemas.openxmlformats.org/officeDocument/2006/relationships/image" Target="media/image743.png"/><Relationship Id="rId763" Type="http://schemas.openxmlformats.org/officeDocument/2006/relationships/image" Target="media/image744.png"/><Relationship Id="rId764" Type="http://schemas.openxmlformats.org/officeDocument/2006/relationships/image" Target="media/image745.png"/><Relationship Id="rId765" Type="http://schemas.openxmlformats.org/officeDocument/2006/relationships/image" Target="media/image746.png"/><Relationship Id="rId766" Type="http://schemas.openxmlformats.org/officeDocument/2006/relationships/image" Target="media/image747.png"/><Relationship Id="rId767" Type="http://schemas.openxmlformats.org/officeDocument/2006/relationships/image" Target="media/image748.png"/><Relationship Id="rId768" Type="http://schemas.openxmlformats.org/officeDocument/2006/relationships/image" Target="media/image749.png"/><Relationship Id="rId769" Type="http://schemas.openxmlformats.org/officeDocument/2006/relationships/image" Target="media/image750.png"/><Relationship Id="rId770" Type="http://schemas.openxmlformats.org/officeDocument/2006/relationships/image" Target="media/image751.png"/><Relationship Id="rId771" Type="http://schemas.openxmlformats.org/officeDocument/2006/relationships/image" Target="media/image752.png"/><Relationship Id="rId772" Type="http://schemas.openxmlformats.org/officeDocument/2006/relationships/image" Target="media/image753.png"/><Relationship Id="rId773" Type="http://schemas.openxmlformats.org/officeDocument/2006/relationships/image" Target="media/image754.png"/><Relationship Id="rId774" Type="http://schemas.openxmlformats.org/officeDocument/2006/relationships/image" Target="media/image755.png"/><Relationship Id="rId775" Type="http://schemas.openxmlformats.org/officeDocument/2006/relationships/image" Target="media/image756.png"/><Relationship Id="rId776" Type="http://schemas.openxmlformats.org/officeDocument/2006/relationships/image" Target="media/image757.png"/><Relationship Id="rId777" Type="http://schemas.openxmlformats.org/officeDocument/2006/relationships/image" Target="media/image758.png"/><Relationship Id="rId778" Type="http://schemas.openxmlformats.org/officeDocument/2006/relationships/image" Target="media/image759.png"/><Relationship Id="rId779" Type="http://schemas.openxmlformats.org/officeDocument/2006/relationships/image" Target="media/image760.png"/><Relationship Id="rId780" Type="http://schemas.openxmlformats.org/officeDocument/2006/relationships/image" Target="media/image761.png"/><Relationship Id="rId781" Type="http://schemas.openxmlformats.org/officeDocument/2006/relationships/image" Target="media/image762.png"/><Relationship Id="rId782" Type="http://schemas.openxmlformats.org/officeDocument/2006/relationships/image" Target="media/image763.png"/><Relationship Id="rId783" Type="http://schemas.openxmlformats.org/officeDocument/2006/relationships/image" Target="media/image764.png"/><Relationship Id="rId784" Type="http://schemas.openxmlformats.org/officeDocument/2006/relationships/image" Target="media/image765.png"/><Relationship Id="rId785" Type="http://schemas.openxmlformats.org/officeDocument/2006/relationships/image" Target="media/image766.png"/><Relationship Id="rId786" Type="http://schemas.openxmlformats.org/officeDocument/2006/relationships/image" Target="media/image767.png"/><Relationship Id="rId787" Type="http://schemas.openxmlformats.org/officeDocument/2006/relationships/image" Target="media/image768.png"/><Relationship Id="rId788" Type="http://schemas.openxmlformats.org/officeDocument/2006/relationships/image" Target="media/image769.png"/><Relationship Id="rId789" Type="http://schemas.openxmlformats.org/officeDocument/2006/relationships/image" Target="media/image770.png"/><Relationship Id="rId790" Type="http://schemas.openxmlformats.org/officeDocument/2006/relationships/image" Target="media/image771.png"/><Relationship Id="rId791" Type="http://schemas.openxmlformats.org/officeDocument/2006/relationships/image" Target="media/image772.png"/><Relationship Id="rId792" Type="http://schemas.openxmlformats.org/officeDocument/2006/relationships/image" Target="media/image773.png"/><Relationship Id="rId793" Type="http://schemas.openxmlformats.org/officeDocument/2006/relationships/image" Target="media/image774.png"/><Relationship Id="rId794" Type="http://schemas.openxmlformats.org/officeDocument/2006/relationships/image" Target="media/image775.png"/><Relationship Id="rId795" Type="http://schemas.openxmlformats.org/officeDocument/2006/relationships/image" Target="media/image776.png"/><Relationship Id="rId796" Type="http://schemas.openxmlformats.org/officeDocument/2006/relationships/image" Target="media/image777.png"/><Relationship Id="rId797" Type="http://schemas.openxmlformats.org/officeDocument/2006/relationships/image" Target="media/image778.png"/><Relationship Id="rId798" Type="http://schemas.openxmlformats.org/officeDocument/2006/relationships/image" Target="media/image779.png"/><Relationship Id="rId799" Type="http://schemas.openxmlformats.org/officeDocument/2006/relationships/image" Target="media/image780.png"/><Relationship Id="rId800" Type="http://schemas.openxmlformats.org/officeDocument/2006/relationships/image" Target="media/image781.png"/><Relationship Id="rId801" Type="http://schemas.openxmlformats.org/officeDocument/2006/relationships/image" Target="media/image782.png"/><Relationship Id="rId802" Type="http://schemas.openxmlformats.org/officeDocument/2006/relationships/image" Target="media/image783.png"/><Relationship Id="rId803" Type="http://schemas.openxmlformats.org/officeDocument/2006/relationships/image" Target="media/image784.png"/><Relationship Id="rId804" Type="http://schemas.openxmlformats.org/officeDocument/2006/relationships/image" Target="media/image785.png"/><Relationship Id="rId805" Type="http://schemas.openxmlformats.org/officeDocument/2006/relationships/image" Target="media/image786.png"/><Relationship Id="rId806" Type="http://schemas.openxmlformats.org/officeDocument/2006/relationships/image" Target="media/image787.png"/><Relationship Id="rId807" Type="http://schemas.openxmlformats.org/officeDocument/2006/relationships/image" Target="media/image788.png"/><Relationship Id="rId808" Type="http://schemas.openxmlformats.org/officeDocument/2006/relationships/image" Target="media/image789.png"/><Relationship Id="rId809" Type="http://schemas.openxmlformats.org/officeDocument/2006/relationships/image" Target="media/image790.png"/><Relationship Id="rId810" Type="http://schemas.openxmlformats.org/officeDocument/2006/relationships/image" Target="media/image791.png"/><Relationship Id="rId811" Type="http://schemas.openxmlformats.org/officeDocument/2006/relationships/image" Target="media/image792.png"/><Relationship Id="rId812" Type="http://schemas.openxmlformats.org/officeDocument/2006/relationships/image" Target="media/image793.png"/><Relationship Id="rId813" Type="http://schemas.openxmlformats.org/officeDocument/2006/relationships/image" Target="media/image794.png"/><Relationship Id="rId814" Type="http://schemas.openxmlformats.org/officeDocument/2006/relationships/image" Target="media/image795.png"/><Relationship Id="rId815" Type="http://schemas.openxmlformats.org/officeDocument/2006/relationships/image" Target="media/image796.png"/><Relationship Id="rId816" Type="http://schemas.openxmlformats.org/officeDocument/2006/relationships/image" Target="media/image797.png"/><Relationship Id="rId817" Type="http://schemas.openxmlformats.org/officeDocument/2006/relationships/image" Target="media/image798.png"/><Relationship Id="rId818" Type="http://schemas.openxmlformats.org/officeDocument/2006/relationships/image" Target="media/image799.png"/><Relationship Id="rId819" Type="http://schemas.openxmlformats.org/officeDocument/2006/relationships/image" Target="media/image800.png"/><Relationship Id="rId820" Type="http://schemas.openxmlformats.org/officeDocument/2006/relationships/image" Target="media/image801.png"/><Relationship Id="rId821" Type="http://schemas.openxmlformats.org/officeDocument/2006/relationships/image" Target="media/image802.png"/><Relationship Id="rId822" Type="http://schemas.openxmlformats.org/officeDocument/2006/relationships/image" Target="media/image803.png"/><Relationship Id="rId823" Type="http://schemas.openxmlformats.org/officeDocument/2006/relationships/image" Target="media/image804.png"/><Relationship Id="rId824" Type="http://schemas.openxmlformats.org/officeDocument/2006/relationships/image" Target="media/image805.jpeg"/><Relationship Id="rId825" Type="http://schemas.openxmlformats.org/officeDocument/2006/relationships/image" Target="media/image806.png"/><Relationship Id="rId826" Type="http://schemas.openxmlformats.org/officeDocument/2006/relationships/image" Target="media/image807.png"/><Relationship Id="rId827" Type="http://schemas.openxmlformats.org/officeDocument/2006/relationships/image" Target="media/image808.png"/><Relationship Id="rId828" Type="http://schemas.openxmlformats.org/officeDocument/2006/relationships/image" Target="media/image809.jpeg"/><Relationship Id="rId829" Type="http://schemas.openxmlformats.org/officeDocument/2006/relationships/image" Target="media/image810.png"/><Relationship Id="rId830" Type="http://schemas.openxmlformats.org/officeDocument/2006/relationships/image" Target="media/image811.png"/><Relationship Id="rId831" Type="http://schemas.openxmlformats.org/officeDocument/2006/relationships/image" Target="media/image812.png"/><Relationship Id="rId832" Type="http://schemas.openxmlformats.org/officeDocument/2006/relationships/image" Target="media/image813.png"/><Relationship Id="rId833" Type="http://schemas.openxmlformats.org/officeDocument/2006/relationships/image" Target="media/image814.png"/><Relationship Id="rId834" Type="http://schemas.openxmlformats.org/officeDocument/2006/relationships/image" Target="media/image815.png"/><Relationship Id="rId835" Type="http://schemas.openxmlformats.org/officeDocument/2006/relationships/image" Target="media/image816.png"/><Relationship Id="rId836" Type="http://schemas.openxmlformats.org/officeDocument/2006/relationships/image" Target="media/image817.png"/><Relationship Id="rId837" Type="http://schemas.openxmlformats.org/officeDocument/2006/relationships/image" Target="media/image818.png"/><Relationship Id="rId838" Type="http://schemas.openxmlformats.org/officeDocument/2006/relationships/image" Target="media/image819.png"/><Relationship Id="rId839" Type="http://schemas.openxmlformats.org/officeDocument/2006/relationships/image" Target="media/image820.png"/><Relationship Id="rId840" Type="http://schemas.openxmlformats.org/officeDocument/2006/relationships/image" Target="media/image821.png"/><Relationship Id="rId841" Type="http://schemas.openxmlformats.org/officeDocument/2006/relationships/image" Target="media/image822.png"/><Relationship Id="rId842" Type="http://schemas.openxmlformats.org/officeDocument/2006/relationships/image" Target="media/image823.png"/><Relationship Id="rId843" Type="http://schemas.openxmlformats.org/officeDocument/2006/relationships/image" Target="media/image824.png"/><Relationship Id="rId844" Type="http://schemas.openxmlformats.org/officeDocument/2006/relationships/image" Target="media/image825.png"/><Relationship Id="rId845" Type="http://schemas.openxmlformats.org/officeDocument/2006/relationships/image" Target="media/image826.png"/><Relationship Id="rId846" Type="http://schemas.openxmlformats.org/officeDocument/2006/relationships/image" Target="media/image827.png"/><Relationship Id="rId847" Type="http://schemas.openxmlformats.org/officeDocument/2006/relationships/image" Target="media/image828.png"/><Relationship Id="rId848" Type="http://schemas.openxmlformats.org/officeDocument/2006/relationships/image" Target="media/image829.png"/><Relationship Id="rId849" Type="http://schemas.openxmlformats.org/officeDocument/2006/relationships/image" Target="media/image830.png"/><Relationship Id="rId850" Type="http://schemas.openxmlformats.org/officeDocument/2006/relationships/image" Target="media/image831.png"/><Relationship Id="rId851" Type="http://schemas.openxmlformats.org/officeDocument/2006/relationships/image" Target="media/image832.png"/><Relationship Id="rId852" Type="http://schemas.openxmlformats.org/officeDocument/2006/relationships/image" Target="media/image833.png"/><Relationship Id="rId853" Type="http://schemas.openxmlformats.org/officeDocument/2006/relationships/image" Target="media/image834.png"/><Relationship Id="rId854" Type="http://schemas.openxmlformats.org/officeDocument/2006/relationships/image" Target="media/image835.jpeg"/><Relationship Id="rId855" Type="http://schemas.openxmlformats.org/officeDocument/2006/relationships/image" Target="media/image836.png"/><Relationship Id="rId856" Type="http://schemas.openxmlformats.org/officeDocument/2006/relationships/image" Target="media/image837.png"/><Relationship Id="rId857" Type="http://schemas.openxmlformats.org/officeDocument/2006/relationships/image" Target="media/image838.png"/><Relationship Id="rId858" Type="http://schemas.openxmlformats.org/officeDocument/2006/relationships/image" Target="media/image839.png"/><Relationship Id="rId859" Type="http://schemas.openxmlformats.org/officeDocument/2006/relationships/image" Target="media/image840.png"/><Relationship Id="rId860" Type="http://schemas.openxmlformats.org/officeDocument/2006/relationships/image" Target="media/image841.png"/><Relationship Id="rId861" Type="http://schemas.openxmlformats.org/officeDocument/2006/relationships/image" Target="media/image842.png"/><Relationship Id="rId862" Type="http://schemas.openxmlformats.org/officeDocument/2006/relationships/image" Target="media/image843.png"/><Relationship Id="rId863" Type="http://schemas.openxmlformats.org/officeDocument/2006/relationships/image" Target="media/image844.png"/><Relationship Id="rId864" Type="http://schemas.openxmlformats.org/officeDocument/2006/relationships/image" Target="media/image845.png"/><Relationship Id="rId865" Type="http://schemas.openxmlformats.org/officeDocument/2006/relationships/image" Target="media/image846.png"/><Relationship Id="rId866" Type="http://schemas.openxmlformats.org/officeDocument/2006/relationships/image" Target="media/image847.png"/><Relationship Id="rId867" Type="http://schemas.openxmlformats.org/officeDocument/2006/relationships/image" Target="media/image848.png"/><Relationship Id="rId868" Type="http://schemas.openxmlformats.org/officeDocument/2006/relationships/image" Target="media/image849.png"/><Relationship Id="rId869" Type="http://schemas.openxmlformats.org/officeDocument/2006/relationships/image" Target="media/image850.png"/><Relationship Id="rId870" Type="http://schemas.openxmlformats.org/officeDocument/2006/relationships/image" Target="media/image851.png"/><Relationship Id="rId871" Type="http://schemas.openxmlformats.org/officeDocument/2006/relationships/image" Target="media/image852.png"/><Relationship Id="rId872" Type="http://schemas.openxmlformats.org/officeDocument/2006/relationships/image" Target="media/image853.png"/><Relationship Id="rId873" Type="http://schemas.openxmlformats.org/officeDocument/2006/relationships/image" Target="media/image854.png"/><Relationship Id="rId874" Type="http://schemas.openxmlformats.org/officeDocument/2006/relationships/image" Target="media/image855.png"/><Relationship Id="rId875" Type="http://schemas.openxmlformats.org/officeDocument/2006/relationships/image" Target="media/image856.png"/><Relationship Id="rId876" Type="http://schemas.openxmlformats.org/officeDocument/2006/relationships/image" Target="media/image857.png"/><Relationship Id="rId877" Type="http://schemas.openxmlformats.org/officeDocument/2006/relationships/image" Target="media/image858.png"/><Relationship Id="rId878" Type="http://schemas.openxmlformats.org/officeDocument/2006/relationships/image" Target="media/image859.png"/><Relationship Id="rId879" Type="http://schemas.openxmlformats.org/officeDocument/2006/relationships/image" Target="media/image860.png"/><Relationship Id="rId880" Type="http://schemas.openxmlformats.org/officeDocument/2006/relationships/image" Target="media/image861.png"/><Relationship Id="rId881" Type="http://schemas.openxmlformats.org/officeDocument/2006/relationships/image" Target="media/image862.png"/><Relationship Id="rId882" Type="http://schemas.openxmlformats.org/officeDocument/2006/relationships/image" Target="media/image863.png"/><Relationship Id="rId883" Type="http://schemas.openxmlformats.org/officeDocument/2006/relationships/image" Target="media/image864.png"/><Relationship Id="rId884" Type="http://schemas.openxmlformats.org/officeDocument/2006/relationships/image" Target="media/image865.png"/><Relationship Id="rId885" Type="http://schemas.openxmlformats.org/officeDocument/2006/relationships/image" Target="media/image866.jpeg"/><Relationship Id="rId886" Type="http://schemas.openxmlformats.org/officeDocument/2006/relationships/image" Target="media/image867.png"/><Relationship Id="rId887" Type="http://schemas.openxmlformats.org/officeDocument/2006/relationships/image" Target="media/image868.png"/><Relationship Id="rId57" Type="http://schemas.openxmlformats.org/officeDocument/2006/relationships/hyperlink" Target="http://www.sec.gov/Archives/edgar/data/1983550/000121390025036076/ea0238860-20f_trident.htm" TargetMode="External"/><Relationship Id="rId58" Type="http://schemas.openxmlformats.org/officeDocument/2006/relationships/hyperlink" Target="http://www.sec.gov/Archives/edgar/data/1983550/000121390025077710/ea025367301-6k_trident.htm" TargetMode="External"/><Relationship Id="rId59" Type="http://schemas.openxmlformats.org/officeDocument/2006/relationships/hyperlink" Target="http://www.sec.gov/Archives/edgar/data/1983550/000121390025090317/ea0257686-6k_trident.htm" TargetMode="External"/><Relationship Id="rId60" Type="http://schemas.openxmlformats.org/officeDocument/2006/relationships/hyperlink" Target="http://www.sec.gov/Archives/edgar/data/1472033/000119380523001432/e619012_f6-trident.htm" TargetMode="External"/><Relationship Id="rId61" Type="http://schemas.openxmlformats.org/officeDocument/2006/relationships/hyperlink" Target="http://www.sec.gov/Archives/edgar/data/1472033/000119380524000371/e619366_f6a-trident.htm" TargetMode="External"/><Relationship Id="rId67" Type="http://schemas.openxmlformats.org/officeDocument/2006/relationships/hyperlink" Target="http://www.sec.gov/Archives/edgar/data/1983550/000101376223001433/ff12023ex3-2_trident.htm" TargetMode="External"/><Relationship Id="rId68" Type="http://schemas.openxmlformats.org/officeDocument/2006/relationships/hyperlink" Target="http://www.sec.gov/Archives/edgar/data/1983550/000101376223001433/ff12023ex4-3_trident.htm" TargetMode="External"/><Relationship Id="rId69" Type="http://schemas.openxmlformats.org/officeDocument/2006/relationships/hyperlink" Target="https://www.sec.gov/Archives/edgar/data/1983550/000101376223004960/ff12023a1ex4-2_trident.htm" TargetMode="External"/><Relationship Id="rId70" Type="http://schemas.openxmlformats.org/officeDocument/2006/relationships/hyperlink" Target="http://www.sec.gov/Archives/edgar/data/1983550/000121390024105620/ea022358101ex99-3_trident.htm" TargetMode="External"/><Relationship Id="rId71" Type="http://schemas.openxmlformats.org/officeDocument/2006/relationships/hyperlink" Target="http://www.sec.gov/Archives/edgar/data/1983550/000101376223001433/ff12023ex10-1_trident.htm" TargetMode="External"/><Relationship Id="rId72" Type="http://schemas.openxmlformats.org/officeDocument/2006/relationships/hyperlink" Target="http://www.sec.gov/Archives/edgar/data/1983550/000101376223001433/ff12023ex10-2_trident.htm" TargetMode="External"/><Relationship Id="rId73" Type="http://schemas.openxmlformats.org/officeDocument/2006/relationships/hyperlink" Target="http://www.sec.gov/Archives/edgar/data/1983550/000101376223001433/ff12023ex21-1_trid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2025-10-03T15:15:20Z</dcterms:created>
  <dcterms:modified xsi:type="dcterms:W3CDTF">2025-10-03T15:15:20Z</dcterms:modified>
</cp:coreProperties>
</file>