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18, 2024.</w:t>
      </w:r>
    </w:p>
    <w:p>
      <w:pPr>
        <w:spacing w:after="0" w:line="50"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333-274857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44"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Offices)</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Stephanie Tang, Esq.</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Ross David Carmel, Esq.</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Hogan Lovells</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Barry P. Biggar, Esq.</w:t>
            </w:r>
          </w:p>
        </w:tc>
      </w:tr>
      <w:tr>
        <w:trPr>
          <w:trHeight w:val="216"/>
        </w:trPr>
        <w:tc>
          <w:tcPr>
            <w:tcW w:w="29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b w:val="1"/>
                <w:bCs w:val="1"/>
                <w:color w:val="auto"/>
                <w:w w:val="97"/>
              </w:rPr>
              <w:t>11</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One Pacific Place</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Sichenzia Ross Ference Carmel LLP</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88 Queensway Road</w:t>
            </w:r>
          </w:p>
        </w:tc>
        <w:tc>
          <w:tcPr>
            <w:tcW w:w="3740" w:type="dxa"/>
            <w:vAlign w:val="bottom"/>
          </w:tcPr>
          <w:p>
            <w:pPr>
              <w:jc w:val="center"/>
              <w:ind w:left="670"/>
              <w:spacing w:after="0" w:line="216" w:lineRule="exact"/>
              <w:rPr>
                <w:sz w:val="20"/>
                <w:szCs w:val="20"/>
                <w:color w:val="auto"/>
              </w:rPr>
            </w:pPr>
            <w:r>
              <w:rPr>
                <w:rFonts w:ascii="Times New Roman" w:cs="Times New Roman" w:eastAsia="Times New Roman" w:hAnsi="Times New Roman"/>
                <w:sz w:val="18"/>
                <w:szCs w:val="18"/>
                <w:b w:val="1"/>
                <w:bCs w:val="1"/>
                <w:color w:val="auto"/>
                <w:w w:val="98"/>
              </w:rPr>
              <w:t>1185 Avenue of the Americas 31</w:t>
            </w:r>
            <w:r>
              <w:rPr>
                <w:rFonts w:ascii="Times New Roman" w:cs="Times New Roman" w:eastAsia="Times New Roman" w:hAnsi="Times New Roman"/>
                <w:sz w:val="20"/>
                <w:szCs w:val="20"/>
                <w:b w:val="1"/>
                <w:bCs w:val="1"/>
                <w:color w:val="auto"/>
                <w:w w:val="98"/>
                <w:vertAlign w:val="superscript"/>
              </w:rPr>
              <w:t>st</w:t>
            </w:r>
            <w:r>
              <w:rPr>
                <w:rFonts w:ascii="Times New Roman" w:cs="Times New Roman" w:eastAsia="Times New Roman" w:hAnsi="Times New Roman"/>
                <w:sz w:val="18"/>
                <w:szCs w:val="18"/>
                <w:b w:val="1"/>
                <w:bCs w:val="1"/>
                <w:color w:val="auto"/>
                <w:w w:val="98"/>
              </w:rPr>
              <w:t xml:space="preserve"> Floor</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r>
      <w:tr>
        <w:trPr>
          <w:trHeight w:val="238"/>
        </w:trPr>
        <w:tc>
          <w:tcPr>
            <w:tcW w:w="29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+852 2219 0888</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+1 212 930 9700</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52" w:lineRule="exact"/>
        <w:rPr>
          <w:sz w:val="24"/>
          <w:szCs w:val="24"/>
          <w:color w:val="auto"/>
        </w:rPr>
      </w:pPr>
    </w:p>
    <w:p>
      <w:pPr>
        <w:ind w:left="460" w:right="679" w:firstLine="432"/>
        <w:spacing w:after="0" w:line="300"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ind w:left="460" w:right="71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460" w:right="63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9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1119" w:firstLine="432"/>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8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jc w:val="both"/>
        <w:ind w:left="460" w:right="799" w:firstLine="432"/>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55" w:lineRule="exact"/>
        <w:rPr>
          <w:sz w:val="24"/>
          <w:szCs w:val="24"/>
          <w:color w:val="auto"/>
        </w:rPr>
      </w:pPr>
    </w:p>
    <w:p>
      <w:pPr>
        <w:ind w:left="880" w:right="839" w:hanging="426"/>
        <w:spacing w:after="0" w:line="298" w:lineRule="auto"/>
        <w:tabs>
          <w:tab w:leader="none" w:pos="85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ind w:left="460" w:right="479" w:firstLine="432"/>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ectPr>
          <w:pgSz w:w="11900" w:h="16936" w:orient="portrait"/>
          <w:cols w:equalWidth="0" w:num="1">
            <w:col w:w="9019"/>
          </w:cols>
          <w:pgMar w:left="1440" w:top="333" w:right="1440" w:bottom="0" w:gutter="0" w:footer="0" w:header="0"/>
        </w:sectPr>
      </w:pPr>
    </w:p>
    <w:bookmarkStart w:id="1" w:name="page2"/>
    <w:bookmarkEnd w:id="1"/>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269240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311785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594995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F-1 (File No. 333-274857) contains disclosure that will be circulated as two separate final prospectuses, as set forth below.</w:t>
      </w:r>
    </w:p>
    <w:p>
      <w:pPr>
        <w:spacing w:after="0" w:line="94" w:lineRule="exact"/>
        <w:rPr>
          <w:sz w:val="20"/>
          <w:szCs w:val="20"/>
          <w:color w:val="auto"/>
        </w:rPr>
      </w:pPr>
    </w:p>
    <w:p>
      <w:pPr>
        <w:ind w:left="1320" w:right="57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prospectus. A prospectus (the “Public Offering Prospectus”) to be used for the public offering of 1,800,000 American depositary shares representing 14,400,000 Class B ordinary shares of the Registrant (the “Public Offering ADSs”) through the underwriter named on the cover page of the Public Offering Prospectus.</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5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 prospectus. A prospectus (the “Resale Prospectus”) to be used for the offer and potential resale by the selling shareholder identified in this registration statement (the “Selling Shareholder”) of 3,125,000 American depositary shares representing 25,000,000 Class B ordinary shares of the Registrant (the “Shareholder ADSs”). The Selling Shareholder owns Class B ordinary shares of the Registrant prior to this offering, which will be converted into Shareholder ADSs effective immediately prior to the effective time of this registration statement.</w:t>
      </w:r>
    </w:p>
    <w:p>
      <w:pPr>
        <w:spacing w:after="0" w:line="106"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The Resale Prospectus is substantively identical to the Public Offering Prospectus, except for the following principal points:</w:t>
      </w:r>
    </w:p>
    <w:p>
      <w:pPr>
        <w:spacing w:after="0" w:line="94" w:lineRule="exact"/>
        <w:rPr>
          <w:sz w:val="20"/>
          <w:szCs w:val="20"/>
          <w:color w:val="auto"/>
        </w:rPr>
      </w:pPr>
    </w:p>
    <w:p>
      <w:pPr>
        <w:ind w:left="1320" w:right="65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outside and inside front covers and back cover pages; among other things, the identification of the underwriter and related compensation for the Public Offering ADSs will only be included in the Public Offering Prospectus and the Shareholder ADSs will be listed on the outside and inside front covers of the Resale Prospectus without identification of the underwriter and related compensation information;</w:t>
      </w:r>
    </w:p>
    <w:p>
      <w:pPr>
        <w:spacing w:after="0" w:line="115"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“Offering” sections in the Prospectus Summary section relating to the offering of the Public Offering ADSs and the Shareholder ADSs, as applicable; such Offering section included in the Public Offering Prospectus will summarize the offering of the Public Offering ADSs and such Offering section included in the Resale Prospectus will summarize the offering of the Shareholder ADSs;</w:t>
      </w:r>
    </w:p>
    <w:p>
      <w:pPr>
        <w:spacing w:after="0" w:line="102" w:lineRule="exact"/>
        <w:rPr>
          <w:rFonts w:ascii="Times New Roman" w:cs="Times New Roman" w:eastAsia="Times New Roman" w:hAnsi="Times New Roman"/>
          <w:sz w:val="18"/>
          <w:szCs w:val="18"/>
          <w:color w:val="auto"/>
        </w:rPr>
      </w:pPr>
    </w:p>
    <w:p>
      <w:pPr>
        <w:ind w:left="1320" w:right="579" w:hanging="434"/>
        <w:spacing w:after="0" w:line="289"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contains different “Use of Proceeds” sections, with the Use of Proceeds section included in the Resale Prospectus only indicating that the Registrant will not receive any proceeds from the sale of the Shareholder ADSs by the Selling Shareholder that occur pursuant to this registration statement;</w:t>
      </w:r>
    </w:p>
    <w:p>
      <w:pPr>
        <w:spacing w:after="0" w:line="90" w:lineRule="exact"/>
        <w:rPr>
          <w:rFonts w:ascii="Times New Roman" w:cs="Times New Roman" w:eastAsia="Times New Roman" w:hAnsi="Times New Roman"/>
          <w:sz w:val="17"/>
          <w:szCs w:val="17"/>
          <w:color w:val="auto"/>
        </w:rPr>
      </w:pPr>
    </w:p>
    <w:p>
      <w:pPr>
        <w:ind w:left="1320" w:right="119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contain the Capitalization and Dilution sections included in the Public Offering Prospectus;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“Selling Shareholder” section is only included in the Resale Prospectus;</w:t>
      </w:r>
    </w:p>
    <w:p>
      <w:pPr>
        <w:spacing w:after="0" w:line="144" w:lineRule="exact"/>
        <w:rPr>
          <w:rFonts w:ascii="Times New Roman" w:cs="Times New Roman" w:eastAsia="Times New Roman" w:hAnsi="Times New Roman"/>
          <w:sz w:val="18"/>
          <w:szCs w:val="18"/>
          <w:color w:val="auto"/>
        </w:rPr>
      </w:pPr>
    </w:p>
    <w:p>
      <w:pPr>
        <w:ind w:left="1320" w:right="819" w:hanging="434"/>
        <w:spacing w:after="0" w:line="312"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“Underwriting” section from the Public Offering Prospectus is not included in the Resale Prospectus and the “Plan of Distribution” section is included only in the Resale Prospectus; and</w:t>
      </w:r>
    </w:p>
    <w:p>
      <w:pPr>
        <w:spacing w:after="0" w:line="72" w:lineRule="exact"/>
        <w:rPr>
          <w:rFonts w:ascii="Times New Roman" w:cs="Times New Roman" w:eastAsia="Times New Roman" w:hAnsi="Times New Roman"/>
          <w:sz w:val="17"/>
          <w:szCs w:val="17"/>
          <w:color w:val="auto"/>
        </w:rPr>
      </w:pPr>
    </w:p>
    <w:p>
      <w:pPr>
        <w:ind w:left="1320" w:right="5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Matters” section in the Resale Prospectus on page Alt-5 deletes the reference to counsel for the underwriter.</w:t>
      </w:r>
    </w:p>
    <w:p>
      <w:pPr>
        <w:spacing w:after="0" w:line="9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Registrant has included in this registration statement a set of alternate pages after the back-cover page of the Public Offering Prospectus (the “Alternate Pages”) to reflect the foregoing differences in the Resale Prospectus as compared to the Public Offering Prospectus. The Public Offering Prospectus will exclude the Alternate Pages and will be used for the public offering by the Registrant. The Resale Prospectus will be substantively identical to the Public Offering Prospectus except for the addition or substitution of the Alternate Pages and will be used for the resale offering by the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241935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D2232A"/>
        </w:rPr>
        <w:t>Dated March 18,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64770</wp:posOffset>
            </wp:positionV>
            <wp:extent cx="3943350" cy="84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42" w:gutter="0" w:footer="0" w:header="0"/>
        </w:sectPr>
      </w:pP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14,400,000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109" w:lineRule="exact"/>
        <w:rPr>
          <w:sz w:val="20"/>
          <w:szCs w:val="20"/>
          <w:color w:val="auto"/>
        </w:rPr>
      </w:pPr>
    </w:p>
    <w:p>
      <w:pPr>
        <w:sectPr>
          <w:pgSz w:w="11900" w:h="16838" w:orient="portrait"/>
          <w:cols w:equalWidth="0" w:num="3">
            <w:col w:w="3240" w:space="720"/>
            <w:col w:w="1380" w:space="720"/>
            <w:col w:w="2959"/>
          </w:cols>
          <w:pgMar w:left="1440" w:top="270" w:right="1440" w:bottom="42" w:gutter="0" w:footer="0" w:header="0"/>
          <w:type w:val="continuous"/>
        </w:sect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42" w:gutter="0" w:footer="0" w:header="0"/>
          <w:type w:val="continuous"/>
        </w:sectPr>
      </w:pPr>
    </w:p>
    <w:p>
      <w:pPr>
        <w:spacing w:after="0" w:line="97" w:lineRule="exact"/>
        <w:rPr>
          <w:sz w:val="20"/>
          <w:szCs w:val="20"/>
          <w:color w:val="auto"/>
        </w:rPr>
      </w:pPr>
    </w:p>
    <w:p>
      <w:pPr>
        <w:ind w:left="460" w:right="459" w:firstLine="432"/>
        <w:spacing w:after="0" w:line="233" w:lineRule="auto"/>
        <w:rPr>
          <w:sz w:val="20"/>
          <w:szCs w:val="20"/>
          <w:color w:val="auto"/>
        </w:rPr>
      </w:pPr>
      <w:r>
        <w:rPr>
          <w:rFonts w:ascii="Times New Roman" w:cs="Times New Roman" w:eastAsia="Times New Roman" w:hAnsi="Times New Roman"/>
          <w:sz w:val="14"/>
          <w:szCs w:val="14"/>
          <w:color w:val="auto"/>
        </w:rPr>
        <w:t>This is the initial public offering of American depositary shares, or ADSs, of Trident Digital Tech Holdings Ltd. We are offering on a firm commitment basis 1,800,000 ADSs representing 14,400,000 Class B ordinary shares (the “Public Offering ADSs”). Infinite Partner International Limited (the “Selling Shareholder”) is also offering 3,125,000 ADSs representing 25,000,000 Class B ordinary shares (the “Shareholder ADSs”) to be sold in the offering pursuant to a prospectus (the “Resale Prospectus”) which forms a part of the registration statement of which this prospectus also forms a part.</w:t>
      </w:r>
    </w:p>
    <w:p>
      <w:pPr>
        <w:spacing w:after="0" w:line="56" w:lineRule="exact"/>
        <w:rPr>
          <w:sz w:val="20"/>
          <w:szCs w:val="20"/>
          <w:color w:val="auto"/>
        </w:rPr>
      </w:pPr>
    </w:p>
    <w:p>
      <w:pPr>
        <w:ind w:left="460" w:right="519" w:firstLine="432"/>
        <w:spacing w:after="0" w:line="236" w:lineRule="auto"/>
        <w:rPr>
          <w:sz w:val="20"/>
          <w:szCs w:val="20"/>
          <w:color w:val="auto"/>
        </w:rPr>
      </w:pPr>
      <w:r>
        <w:rPr>
          <w:rFonts w:ascii="Times New Roman" w:cs="Times New Roman" w:eastAsia="Times New Roman" w:hAnsi="Times New Roman"/>
          <w:sz w:val="14"/>
          <w:szCs w:val="14"/>
          <w:color w:val="auto"/>
        </w:rPr>
        <w:t>Prior to this offering of the Public Offering ADSs, there has been no public market for our ADSs or our Class B ordinary shares. We anticipate that the initial public offering price per ADS in this offering will be between US$5.00 and US$7.00. 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spacing w:after="0" w:line="55" w:lineRule="exact"/>
        <w:rPr>
          <w:sz w:val="20"/>
          <w:szCs w:val="20"/>
          <w:color w:val="auto"/>
        </w:rPr>
      </w:pPr>
    </w:p>
    <w:p>
      <w:pPr>
        <w:ind w:left="460" w:right="519" w:firstLine="432"/>
        <w:spacing w:after="0" w:line="236" w:lineRule="auto"/>
        <w:rPr>
          <w:sz w:val="20"/>
          <w:szCs w:val="20"/>
          <w:color w:val="auto"/>
        </w:rPr>
      </w:pPr>
      <w:r>
        <w:rPr>
          <w:rFonts w:ascii="Times New Roman" w:cs="Times New Roman" w:eastAsia="Times New Roman" w:hAnsi="Times New Roman"/>
          <w:sz w:val="14"/>
          <w:szCs w:val="14"/>
          <w:color w:val="auto"/>
        </w:rPr>
        <w:t>No sales of the Shareholder ADSs shall occur until after the closing of the offering of the Public Offering ADSs. Once, and if, our ADSs are listed on the Nasdaq Capital Market and there is an established market for these resale shares, the Shareholder ADSs may be sold at prevailing market prices, prices related to prevailing market prices or at privately negotiated prices. We will not receive any of the proceeds from the sale of the Shareholder ADSs by the Selling Shareholder.</w:t>
      </w:r>
    </w:p>
    <w:p>
      <w:pPr>
        <w:spacing w:after="0" w:line="42" w:lineRule="exact"/>
        <w:rPr>
          <w:sz w:val="20"/>
          <w:szCs w:val="20"/>
          <w:color w:val="auto"/>
        </w:rPr>
      </w:pPr>
    </w:p>
    <w:p>
      <w:pPr>
        <w:ind w:left="460" w:right="499" w:firstLine="432"/>
        <w:spacing w:after="0" w:line="225" w:lineRule="auto"/>
        <w:rPr>
          <w:sz w:val="20"/>
          <w:szCs w:val="20"/>
          <w:color w:val="auto"/>
        </w:rPr>
      </w:pPr>
      <w:r>
        <w:rPr>
          <w:rFonts w:ascii="Times New Roman" w:cs="Times New Roman" w:eastAsia="Times New Roman" w:hAnsi="Times New Roman"/>
          <w:sz w:val="14"/>
          <w:szCs w:val="14"/>
          <w:color w:val="auto"/>
        </w:rPr>
        <w:t>Following the completion of this offering of the Public Offering ADSs and the offering of the Shareholder ADSs by the Selling Shareholder pursuant to the Resale Prospectus, our issued and outstanding share capital will consist of 50,000,000 Class A ordinary shares and 466,364,286 Class B ordinary shares. Mr. Soon Huat Lim will beneficially own all of our issued Class A ordinary shares and will be able to exercise 92.4% of the total voting power of our issued and outstanding share capital immediately following the completion of this offering.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Immediately following the completion of this offering of the Public Offering ADSs and the offering of the Shareholder ADSs by the Selling Shareholder pursuant to the Resale Prospectus,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56"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under applicable U.S. federal securities laws and are eligible for reduced public company reporting requirements.</w:t>
      </w:r>
    </w:p>
    <w:p>
      <w:pPr>
        <w:spacing w:after="0" w:line="1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960" w:type="dxa"/>
            <w:vAlign w:val="bottom"/>
            <w:gridSpan w:val="6"/>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r>
      <w:tr>
        <w:trPr>
          <w:trHeight w:val="203"/>
        </w:trPr>
        <w:tc>
          <w:tcPr>
            <w:tcW w:w="6960" w:type="dxa"/>
            <w:vAlign w:val="bottom"/>
            <w:gridSpan w:val="6"/>
          </w:tcPr>
          <w:p>
            <w:pPr>
              <w:ind w:left="420"/>
              <w:spacing w:after="0" w:line="202" w:lineRule="exact"/>
              <w:rPr>
                <w:sz w:val="20"/>
                <w:szCs w:val="20"/>
                <w:color w:val="auto"/>
              </w:rPr>
            </w:pPr>
            <w:r>
              <w:rPr>
                <w:rFonts w:ascii="Times New Roman" w:cs="Times New Roman" w:eastAsia="Times New Roman" w:hAnsi="Times New Roman"/>
                <w:sz w:val="18"/>
                <w:szCs w:val="18"/>
                <w:b w:val="1"/>
                <w:bCs w:val="1"/>
                <w:color w:val="auto"/>
              </w:rPr>
              <w:t>Investing in our ADSs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11.</w:t>
            </w:r>
          </w:p>
        </w:tc>
        <w:tc>
          <w:tcPr>
            <w:tcW w:w="1140" w:type="dxa"/>
            <w:vAlign w:val="bottom"/>
          </w:tcPr>
          <w:p>
            <w:pPr>
              <w:spacing w:after="0"/>
              <w:rPr>
                <w:sz w:val="17"/>
                <w:szCs w:val="17"/>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41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PRICE US$</w:t>
            </w:r>
          </w:p>
        </w:tc>
        <w:tc>
          <w:tcPr>
            <w:tcW w:w="28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PER ADS</w:t>
            </w:r>
          </w:p>
        </w:tc>
        <w:tc>
          <w:tcPr>
            <w:tcW w:w="1140" w:type="dxa"/>
            <w:vAlign w:val="bottom"/>
          </w:tcPr>
          <w:p>
            <w:pPr>
              <w:spacing w:after="0"/>
              <w:rPr>
                <w:sz w:val="24"/>
                <w:szCs w:val="24"/>
                <w:color w:val="auto"/>
              </w:rPr>
            </w:pPr>
          </w:p>
        </w:tc>
      </w:tr>
      <w:tr>
        <w:trPr>
          <w:trHeight w:val="283"/>
        </w:trPr>
        <w:tc>
          <w:tcPr>
            <w:tcW w:w="6960" w:type="dxa"/>
            <w:vAlign w:val="bottom"/>
            <w:gridSpan w:val="6"/>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r>
      <w:tr>
        <w:trPr>
          <w:trHeight w:val="426"/>
        </w:trPr>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36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 of the Public Offering ADSs</w:t>
            </w:r>
          </w:p>
        </w:tc>
        <w:tc>
          <w:tcPr>
            <w:tcW w:w="5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r>
      <w:tr>
        <w:trPr>
          <w:trHeight w:val="28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1"/>
                <w:szCs w:val="21"/>
                <w:color w:val="auto"/>
                <w:vertAlign w:val="superscript"/>
              </w:rPr>
              <w:t>(1)</w:t>
            </w:r>
          </w:p>
        </w:tc>
        <w:tc>
          <w:tcPr>
            <w:tcW w:w="520" w:type="dxa"/>
            <w:vAlign w:val="bottom"/>
          </w:tcPr>
          <w:p>
            <w:pPr>
              <w:spacing w:after="0"/>
              <w:rPr>
                <w:sz w:val="24"/>
                <w:szCs w:val="24"/>
                <w:color w:val="auto"/>
              </w:rPr>
            </w:pPr>
          </w:p>
        </w:tc>
        <w:tc>
          <w:tcPr>
            <w:tcW w:w="232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US$</w:t>
            </w: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5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r>
      <w:tr>
        <w:trPr>
          <w:trHeight w:val="25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73" w:lineRule="exact"/>
        <w:rPr>
          <w:sz w:val="20"/>
          <w:szCs w:val="20"/>
          <w:color w:val="auto"/>
        </w:rPr>
      </w:pPr>
    </w:p>
    <w:p>
      <w:pPr>
        <w:ind w:left="880" w:hanging="42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for additional disclosure regarding underwriting compensation payable by us.</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We expect our total cash expenses for this offering of the Public Offering ADSs (including cash expenses payable to our underwriter</w:t>
      </w:r>
    </w:p>
    <w:p>
      <w:pPr>
        <w:spacing w:after="0" w:line="4" w:lineRule="exact"/>
        <w:rPr>
          <w:sz w:val="20"/>
          <w:szCs w:val="20"/>
          <w:color w:val="auto"/>
        </w:rPr>
      </w:pPr>
    </w:p>
    <w:p>
      <w:pPr>
        <w:ind w:left="460" w:right="479"/>
        <w:spacing w:after="0" w:line="230" w:lineRule="auto"/>
        <w:rPr>
          <w:sz w:val="20"/>
          <w:szCs w:val="20"/>
          <w:color w:val="auto"/>
        </w:rPr>
      </w:pPr>
      <w:r>
        <w:rPr>
          <w:rFonts w:ascii="Times New Roman" w:cs="Times New Roman" w:eastAsia="Times New Roman" w:hAnsi="Times New Roman"/>
          <w:sz w:val="14"/>
          <w:szCs w:val="14"/>
          <w:color w:val="auto"/>
        </w:rPr>
        <w:t>for its out-of-pocket expenses) to be approximately US$ , exclusive of the above discounts and commissions. In addition, we will pay additional items of value in connection with this offering of the Public Offering ADSs that are viewed by the Financial Industry Regulatory Authority, or FINRA, as underwriting compensation. These payments will further reduce proceeds available to us before expenses. See “Underwriting.”</w:t>
      </w:r>
    </w:p>
    <w:p>
      <w:pPr>
        <w:spacing w:after="0" w:line="53" w:lineRule="exact"/>
        <w:rPr>
          <w:sz w:val="20"/>
          <w:szCs w:val="20"/>
          <w:color w:val="auto"/>
        </w:rPr>
      </w:pPr>
    </w:p>
    <w:p>
      <w:pPr>
        <w:ind w:left="460" w:right="539" w:firstLine="432"/>
        <w:spacing w:after="0" w:line="244" w:lineRule="auto"/>
        <w:rPr>
          <w:sz w:val="20"/>
          <w:szCs w:val="20"/>
          <w:color w:val="auto"/>
        </w:rPr>
      </w:pPr>
      <w:r>
        <w:rPr>
          <w:rFonts w:ascii="Times New Roman" w:cs="Times New Roman" w:eastAsia="Times New Roman" w:hAnsi="Times New Roman"/>
          <w:sz w:val="14"/>
          <w:szCs w:val="14"/>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201" w:lineRule="exact"/>
        <w:rPr>
          <w:sz w:val="20"/>
          <w:szCs w:val="20"/>
          <w:color w:val="auto"/>
        </w:rPr>
      </w:pPr>
    </w:p>
    <w:tbl>
      <w:tblPr>
        <w:tblLayout w:type="fixed"/>
        <w:tblInd w:w="880" w:type="dxa"/>
        <w:tblCellMar>
          <w:top w:w="0" w:type="dxa"/>
          <w:left w:w="0" w:type="dxa"/>
          <w:bottom w:w="0" w:type="dxa"/>
          <w:right w:w="0" w:type="dxa"/>
        </w:tblCellMar>
      </w:tblPr>
      <w:tr>
        <w:trPr>
          <w:trHeight w:val="188"/>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The underwriter expects to deliver the Public Offering ADSs against payment in U.S. dollars to purchasers on or about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49530</wp:posOffset>
            </wp:positionV>
            <wp:extent cx="1320165"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016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Prospectus dated</w:t>
            </w:r>
          </w:p>
        </w:tc>
        <w:tc>
          <w:tcPr>
            <w:tcW w:w="36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 2024</w:t>
            </w:r>
          </w:p>
        </w:tc>
      </w:tr>
      <w:tr>
        <w:trPr>
          <w:trHeight w:val="405"/>
        </w:trPr>
        <w:tc>
          <w:tcPr>
            <w:tcW w:w="4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42" w:gutter="0" w:footer="0" w:header="0"/>
          <w:type w:val="continuous"/>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73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7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20"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Neither we nor the underwriter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spacing w:after="0" w:line="96"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Until , 2024 (the 25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07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5077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5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40" w:right="1119" w:firstLine="432"/>
        <w:spacing w:after="0" w:line="261" w:lineRule="auto"/>
        <w:rPr>
          <w:sz w:val="20"/>
          <w:szCs w:val="20"/>
          <w:color w:val="auto"/>
        </w:rPr>
      </w:pPr>
      <w:r>
        <w:rPr>
          <w:rFonts w:ascii="Times New Roman" w:cs="Times New Roman" w:eastAsia="Times New Roman" w:hAnsi="Times New Roman"/>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72"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80" w:lineRule="exact"/>
        <w:rPr>
          <w:sz w:val="20"/>
          <w:szCs w:val="20"/>
          <w:color w:val="auto"/>
        </w:rPr>
      </w:pPr>
    </w:p>
    <w:p>
      <w:pPr>
        <w:ind w:left="540" w:right="69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68" w:lineRule="exact"/>
        <w:rPr>
          <w:sz w:val="20"/>
          <w:szCs w:val="20"/>
          <w:color w:val="auto"/>
        </w:rPr>
      </w:pPr>
    </w:p>
    <w:p>
      <w:pPr>
        <w:ind w:left="540" w:right="63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400" w:right="659" w:hanging="424"/>
        <w:spacing w:after="0" w:line="259"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400" w:right="639" w:hanging="424"/>
        <w:spacing w:after="0" w:line="26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20" w:lineRule="exact"/>
        <w:rPr>
          <w:sz w:val="20"/>
          <w:szCs w:val="20"/>
          <w:color w:val="auto"/>
        </w:rPr>
      </w:pPr>
    </w:p>
    <w:p>
      <w:pPr>
        <w:ind w:left="540" w:right="579" w:firstLine="432"/>
        <w:spacing w:after="0" w:line="256"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19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79"/>
        <w:spacing w:after="0" w:line="266" w:lineRule="auto"/>
        <w:rPr>
          <w:sz w:val="20"/>
          <w:szCs w:val="20"/>
          <w:color w:val="auto"/>
        </w:rPr>
      </w:pPr>
      <w:r>
        <w:rPr>
          <w:rFonts w:ascii="Times New Roman" w:cs="Times New Roman" w:eastAsia="Times New Roman" w:hAnsi="Times New Roman"/>
          <w:sz w:val="18"/>
          <w:szCs w:val="18"/>
          <w:color w:val="auto"/>
        </w:rPr>
        <w:t>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8"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58" w:lineRule="exact"/>
        <w:rPr>
          <w:sz w:val="20"/>
          <w:szCs w:val="20"/>
          <w:color w:val="auto"/>
        </w:rPr>
      </w:pPr>
    </w:p>
    <w:p>
      <w:pPr>
        <w:ind w:left="1400" w:right="81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digital transformation enabler in the SME segment of the e-commerce enablement and digital optimizing services market in Singapore;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architecture;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perspective and efficient operational capabilities;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seasoned and visionary management team with international perspective.</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144" w:lineRule="exact"/>
        <w:rPr>
          <w:sz w:val="20"/>
          <w:szCs w:val="20"/>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a generational shift to Web 3.0;</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grow our client base;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geographical reach;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acquisitions.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2" w:lineRule="exact"/>
        <w:rPr>
          <w:sz w:val="20"/>
          <w:szCs w:val="20"/>
          <w:color w:val="auto"/>
        </w:rPr>
      </w:pPr>
    </w:p>
    <w:p>
      <w:pPr>
        <w:ind w:left="1400" w:right="7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growth may not be sustainable or indicative of our future growth. Our business could be harmed if we fail to manage our infrastructure to support future growth.</w:t>
      </w:r>
    </w:p>
    <w:p>
      <w:pPr>
        <w:spacing w:after="0" w:line="80" w:lineRule="exact"/>
        <w:rPr>
          <w:rFonts w:ascii="Times New Roman" w:cs="Times New Roman" w:eastAsia="Times New Roman" w:hAnsi="Times New Roman"/>
          <w:sz w:val="18"/>
          <w:szCs w:val="18"/>
          <w:color w:val="auto"/>
        </w:rPr>
      </w:pPr>
    </w:p>
    <w:p>
      <w:pPr>
        <w:ind w:left="1400" w:right="57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08" w:lineRule="exact"/>
        <w:rPr>
          <w:rFonts w:ascii="Times New Roman" w:cs="Times New Roman" w:eastAsia="Times New Roman" w:hAnsi="Times New Roman"/>
          <w:sz w:val="18"/>
          <w:szCs w:val="18"/>
          <w:color w:val="auto"/>
        </w:rPr>
      </w:pPr>
    </w:p>
    <w:p>
      <w:pPr>
        <w:ind w:left="1400" w:right="57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solutions and services, our business and results of operations could be adversely affected.</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19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8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108" w:lineRule="exact"/>
        <w:rPr>
          <w:rFonts w:ascii="Times New Roman" w:cs="Times New Roman" w:eastAsia="Times New Roman" w:hAnsi="Times New Roman"/>
          <w:sz w:val="18"/>
          <w:szCs w:val="18"/>
          <w:color w:val="auto"/>
        </w:rPr>
      </w:pPr>
    </w:p>
    <w:p>
      <w:pPr>
        <w:ind w:left="1400" w:right="6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94" w:lineRule="exact"/>
        <w:rPr>
          <w:rFonts w:ascii="Times New Roman" w:cs="Times New Roman" w:eastAsia="Times New Roman" w:hAnsi="Times New Roman"/>
          <w:sz w:val="18"/>
          <w:szCs w:val="18"/>
          <w:color w:val="auto"/>
        </w:rPr>
      </w:pPr>
    </w:p>
    <w:p>
      <w:pPr>
        <w:ind w:left="1400" w:right="7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08"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implement our growth strategies successfully which would limit our growth and cause the market price of our ADS to decline.</w:t>
      </w:r>
    </w:p>
    <w:p>
      <w:pPr>
        <w:spacing w:after="0" w:line="94" w:lineRule="exact"/>
        <w:rPr>
          <w:rFonts w:ascii="Times New Roman" w:cs="Times New Roman" w:eastAsia="Times New Roman" w:hAnsi="Times New Roman"/>
          <w:sz w:val="18"/>
          <w:szCs w:val="18"/>
          <w:color w:val="auto"/>
        </w:rPr>
      </w:pPr>
    </w:p>
    <w:p>
      <w:pPr>
        <w:ind w:left="1400" w:right="83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infrastructure may adversely affect our business, results of operations and financial condition.</w:t>
      </w:r>
    </w:p>
    <w:p>
      <w:pPr>
        <w:spacing w:after="0" w:line="80" w:lineRule="exact"/>
        <w:rPr>
          <w:rFonts w:ascii="Times New Roman" w:cs="Times New Roman" w:eastAsia="Times New Roman" w:hAnsi="Times New Roman"/>
          <w:sz w:val="18"/>
          <w:szCs w:val="18"/>
          <w:color w:val="auto"/>
        </w:rPr>
      </w:pPr>
    </w:p>
    <w:p>
      <w:pPr>
        <w:ind w:left="1400" w:right="10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reliable performance of Internet infrastructure, bandwidth providers, data center providers, cloud providers, mobile infrastructure, and other third parties.</w:t>
      </w:r>
    </w:p>
    <w:p>
      <w:pPr>
        <w:spacing w:after="0" w:line="94" w:lineRule="exact"/>
        <w:rPr>
          <w:rFonts w:ascii="Times New Roman" w:cs="Times New Roman" w:eastAsia="Times New Roman" w:hAnsi="Times New Roman"/>
          <w:sz w:val="18"/>
          <w:szCs w:val="18"/>
          <w:color w:val="auto"/>
        </w:rPr>
      </w:pPr>
    </w:p>
    <w:p>
      <w:pPr>
        <w:ind w:left="1400" w:right="7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08" w:lineRule="exact"/>
        <w:rPr>
          <w:rFonts w:ascii="Times New Roman" w:cs="Times New Roman" w:eastAsia="Times New Roman" w:hAnsi="Times New Roman"/>
          <w:sz w:val="18"/>
          <w:szCs w:val="18"/>
          <w:color w:val="auto"/>
        </w:rPr>
      </w:pPr>
    </w:p>
    <w:p>
      <w:pPr>
        <w:ind w:left="1400" w:right="99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or proprietary rights could substantially harm our business and results of operations.</w:t>
      </w:r>
    </w:p>
    <w:p>
      <w:pPr>
        <w:spacing w:after="0" w:line="80" w:lineRule="exact"/>
        <w:rPr>
          <w:rFonts w:ascii="Times New Roman" w:cs="Times New Roman" w:eastAsia="Times New Roman" w:hAnsi="Times New Roman"/>
          <w:sz w:val="18"/>
          <w:szCs w:val="18"/>
          <w:color w:val="auto"/>
        </w:rPr>
      </w:pPr>
    </w:p>
    <w:p>
      <w:pPr>
        <w:ind w:left="1400" w:right="639" w:hanging="424"/>
        <w:spacing w:after="0" w:line="261"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2" w:lineRule="exact"/>
        <w:rPr>
          <w:rFonts w:ascii="Times New Roman" w:cs="Times New Roman" w:eastAsia="Times New Roman" w:hAnsi="Times New Roman"/>
          <w:sz w:val="18"/>
          <w:szCs w:val="18"/>
          <w:color w:val="auto"/>
        </w:rPr>
      </w:pPr>
    </w:p>
    <w:p>
      <w:pPr>
        <w:jc w:val="both"/>
        <w:ind w:left="1400" w:right="7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senior management team and highly skilled personnel; if we are unable to retain or motivate key personnel or hire, retain and motivate qualified personnel, our business would be harmed.</w:t>
      </w:r>
    </w:p>
    <w:p>
      <w:pPr>
        <w:spacing w:after="0" w:line="108" w:lineRule="exact"/>
        <w:rPr>
          <w:rFonts w:ascii="Times New Roman" w:cs="Times New Roman" w:eastAsia="Times New Roman" w:hAnsi="Times New Roman"/>
          <w:sz w:val="18"/>
          <w:szCs w:val="18"/>
          <w:color w:val="auto"/>
        </w:rPr>
      </w:pPr>
    </w:p>
    <w:p>
      <w:pPr>
        <w:ind w:left="1400" w:right="6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94" w:lineRule="exact"/>
        <w:rPr>
          <w:rFonts w:ascii="Times New Roman" w:cs="Times New Roman" w:eastAsia="Times New Roman" w:hAnsi="Times New Roman"/>
          <w:sz w:val="18"/>
          <w:szCs w:val="18"/>
          <w:color w:val="auto"/>
        </w:rPr>
      </w:pPr>
    </w:p>
    <w:p>
      <w:pPr>
        <w:ind w:left="1400" w:right="59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Jurisdictions Where We Operate</w:t>
      </w:r>
    </w:p>
    <w:p>
      <w:pPr>
        <w:spacing w:after="0" w:line="162" w:lineRule="exact"/>
        <w:rPr>
          <w:sz w:val="20"/>
          <w:szCs w:val="20"/>
          <w:color w:val="auto"/>
        </w:rPr>
      </w:pPr>
    </w:p>
    <w:p>
      <w:pPr>
        <w:jc w:val="both"/>
        <w:ind w:left="1400" w:right="659" w:hanging="424"/>
        <w:spacing w:after="0" w:line="26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08" w:lineRule="exact"/>
        <w:rPr>
          <w:rFonts w:ascii="Times New Roman" w:cs="Times New Roman" w:eastAsia="Times New Roman" w:hAnsi="Times New Roman"/>
          <w:sz w:val="18"/>
          <w:szCs w:val="18"/>
          <w:color w:val="auto"/>
        </w:rPr>
      </w:pPr>
    </w:p>
    <w:p>
      <w:pPr>
        <w:ind w:left="1400" w:right="91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respect of acts of war, terrorist attacks, epidemics, political unrest, natural disasters, adverse weather and other uncontrollable events.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48" w:lineRule="exact"/>
        <w:rPr>
          <w:sz w:val="20"/>
          <w:szCs w:val="20"/>
          <w:color w:val="auto"/>
        </w:rPr>
      </w:pPr>
    </w:p>
    <w:p>
      <w:pPr>
        <w:ind w:left="1400" w:right="81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or our ADSs may not develop and the trading price for our ADSs may fluctuate significantly.</w:t>
      </w:r>
    </w:p>
    <w:p>
      <w:pPr>
        <w:spacing w:after="0" w:line="94" w:lineRule="exact"/>
        <w:rPr>
          <w:rFonts w:ascii="Times New Roman" w:cs="Times New Roman" w:eastAsia="Times New Roman" w:hAnsi="Times New Roman"/>
          <w:sz w:val="18"/>
          <w:szCs w:val="18"/>
          <w:color w:val="auto"/>
        </w:rPr>
      </w:pPr>
    </w:p>
    <w:p>
      <w:pPr>
        <w:ind w:left="1400" w:right="9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27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71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108" w:lineRule="exact"/>
        <w:rPr>
          <w:rFonts w:ascii="Times New Roman" w:cs="Times New Roman" w:eastAsia="Times New Roman" w:hAnsi="Times New Roman"/>
          <w:sz w:val="18"/>
          <w:szCs w:val="18"/>
          <w:color w:val="auto"/>
        </w:rPr>
      </w:pPr>
    </w:p>
    <w:p>
      <w:pPr>
        <w:ind w:left="1400" w:right="5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4" w:lineRule="exact"/>
        <w:rPr>
          <w:rFonts w:ascii="Times New Roman" w:cs="Times New Roman" w:eastAsia="Times New Roman" w:hAnsi="Times New Roman"/>
          <w:sz w:val="18"/>
          <w:szCs w:val="18"/>
          <w:color w:val="auto"/>
        </w:rPr>
      </w:pPr>
    </w:p>
    <w:p>
      <w:pPr>
        <w:ind w:left="1400" w:right="8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Nasdaq Stock Market Rules.</w:t>
      </w:r>
    </w:p>
    <w:p>
      <w:pPr>
        <w:spacing w:after="0" w:line="108" w:lineRule="exact"/>
        <w:rPr>
          <w:rFonts w:ascii="Times New Roman" w:cs="Times New Roman" w:eastAsia="Times New Roman" w:hAnsi="Times New Roman"/>
          <w:sz w:val="18"/>
          <w:szCs w:val="18"/>
          <w:color w:val="auto"/>
        </w:rPr>
      </w:pPr>
    </w:p>
    <w:p>
      <w:pPr>
        <w:ind w:left="1400" w:right="659" w:hanging="424"/>
        <w:spacing w:after="0" w:line="261"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substantial sales of our ADSs by the Selling Shareholder after the effective date of the registration statement of which this prospectus forms a part, which could have a material adverse effect on the price of our ADSs after this offering (see the disclosure beginning on page 35 of this Public Offering Prospectus).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color w:val="auto"/>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spacing w:after="0" w:line="99" w:lineRule="exact"/>
        <w:rPr>
          <w:sz w:val="20"/>
          <w:szCs w:val="20"/>
          <w:color w:val="auto"/>
        </w:rPr>
      </w:pPr>
    </w:p>
    <w:p>
      <w:pPr>
        <w:ind w:left="540" w:right="659" w:firstLine="432"/>
        <w:spacing w:after="0" w:line="258"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spacing w:after="0" w:line="116" w:lineRule="exact"/>
        <w:rPr>
          <w:sz w:val="20"/>
          <w:szCs w:val="20"/>
          <w:color w:val="auto"/>
        </w:rPr>
      </w:pPr>
    </w:p>
    <w:p>
      <w:pPr>
        <w:ind w:left="540" w:right="719" w:firstLine="432"/>
        <w:spacing w:after="0" w:line="266" w:lineRule="auto"/>
        <w:rPr>
          <w:sz w:val="20"/>
          <w:szCs w:val="20"/>
          <w:color w:val="auto"/>
        </w:rPr>
      </w:pPr>
      <w:r>
        <w:rPr>
          <w:rFonts w:ascii="Times New Roman" w:cs="Times New Roman" w:eastAsia="Times New Roman" w:hAnsi="Times New Roman"/>
          <w:sz w:val="18"/>
          <w:szCs w:val="18"/>
          <w:color w:val="auto"/>
        </w:rPr>
        <w:t>Upon the completion of the reorganization, Quality Zone Technologies Pte. Ltd. became a wholly-owned subsidiary of Trident Digital Tech Holdings Ltd and Trident Digital Tech Pte. Ltd. became a wholly-owned subsidiary of Quality Zone Technologies Pte. Ltd.</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48" w:lineRule="exact"/>
        <w:rPr>
          <w:sz w:val="20"/>
          <w:szCs w:val="20"/>
          <w:color w:val="auto"/>
        </w:rPr>
      </w:pPr>
    </w:p>
    <w:p>
      <w:pPr>
        <w:ind w:left="540" w:right="799" w:firstLine="432"/>
        <w:spacing w:after="0" w:line="255"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99"/>
        <w:spacing w:after="0" w:line="256" w:lineRule="auto"/>
        <w:rPr>
          <w:sz w:val="20"/>
          <w:szCs w:val="20"/>
          <w:color w:val="auto"/>
        </w:rPr>
      </w:pPr>
      <w:r>
        <w:rPr>
          <w:rFonts w:ascii="Times New Roman" w:cs="Times New Roman" w:eastAsia="Times New Roman" w:hAnsi="Times New Roman"/>
          <w:sz w:val="18"/>
          <w:szCs w:val="18"/>
          <w:color w:val="auto"/>
        </w:rPr>
        <w:t>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20"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of the Public Offering ADSs;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48"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of the Public Offering ADSs and the offering of the Shareholder ADSs by the Selling Shareholder pursuant to the Resale Prospectus, Mr. Soon Huat Lim, our founder, chairman of board of directors and chief executive officer will beneficially own 48.7% of our total issued and outstanding ordinary shares, representing 92.4% of the total voting power. As a result, Mr. Soon Huat Lim will have the ability to control or significantly influence the outcome of matters requiring approval by shareholders.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including an exemption from the requirement that a majority of our board of directors must be independent directors, you will not have the same protection afforded to shareholders of companies that are subject to these corporate governance requirements. See “Risk</w:t>
      </w:r>
    </w:p>
    <w:p>
      <w:pPr>
        <w:spacing w:after="0" w:line="4" w:lineRule="exact"/>
        <w:rPr>
          <w:sz w:val="20"/>
          <w:szCs w:val="20"/>
          <w:color w:val="auto"/>
        </w:rPr>
      </w:pPr>
    </w:p>
    <w:p>
      <w:pPr>
        <w:ind w:left="540" w:right="639"/>
        <w:spacing w:after="0" w:line="269" w:lineRule="auto"/>
        <w:rPr>
          <w:sz w:val="20"/>
          <w:szCs w:val="20"/>
          <w:color w:val="auto"/>
        </w:rPr>
      </w:pPr>
      <w:r>
        <w:rPr>
          <w:rFonts w:ascii="Times New Roman" w:cs="Times New Roman" w:eastAsia="Times New Roman" w:hAnsi="Times New Roman"/>
          <w:sz w:val="17"/>
          <w:szCs w:val="17"/>
          <w:color w:val="auto"/>
        </w:rPr>
        <w:t>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 Even if we cease to be a controlled company, we may still rely on exemptions available to foreign private issuers, including being able to adopt home country practices in relation to corporate governance matters and an exemption from the requirement that a majority of our board of directors must be independent directors. See the section of this prospectus captioned “— Implications of Being a Foreign Private Issuer.”</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540" w:right="619" w:firstLine="432"/>
        <w:spacing w:after="0" w:line="255"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w:t>
      </w:r>
    </w:p>
    <w:p>
      <w:pPr>
        <w:spacing w:after="0" w:line="3" w:lineRule="exact"/>
        <w:rPr>
          <w:sz w:val="20"/>
          <w:szCs w:val="20"/>
          <w:color w:val="auto"/>
        </w:rPr>
      </w:pPr>
    </w:p>
    <w:p>
      <w:pPr>
        <w:ind w:left="540" w:right="579"/>
        <w:spacing w:after="0" w:line="252" w:lineRule="auto"/>
        <w:rPr>
          <w:sz w:val="20"/>
          <w:szCs w:val="20"/>
          <w:color w:val="auto"/>
        </w:rPr>
      </w:pPr>
      <w:r>
        <w:rPr>
          <w:rFonts w:ascii="Times New Roman" w:cs="Times New Roman" w:eastAsia="Times New Roman" w:hAnsi="Times New Roman"/>
          <w:sz w:val="18"/>
          <w:szCs w:val="18"/>
          <w:color w:val="auto"/>
        </w:rPr>
        <w:t>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540" w:right="579" w:firstLine="432"/>
        <w:spacing w:after="0" w:line="264" w:lineRule="auto"/>
        <w:rPr>
          <w:sz w:val="20"/>
          <w:szCs w:val="20"/>
          <w:color w:val="auto"/>
        </w:rPr>
      </w:pPr>
      <w:r>
        <w:rPr>
          <w:rFonts w:ascii="Times New Roman" w:cs="Times New Roman" w:eastAsia="Times New Roman" w:hAnsi="Times New Roman"/>
          <w:sz w:val="18"/>
          <w:szCs w:val="18"/>
          <w:color w:val="auto"/>
        </w:rPr>
        <w:t>Our principal executive office is located at Suntec Tower 3, 8 Temasek Boulevard Road, #24-03, Singapore, 038988. Our telephone number at this address is +65 6513 6868. Our registered office in the Cayman Islands is located at the Office of Maples Corporate Services Limited, PO Box 309, Ugland House, Grand Cayman, KY1-1104, Cayman Islands.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51" w:lineRule="exact"/>
        <w:rPr>
          <w:sz w:val="20"/>
          <w:szCs w:val="20"/>
          <w:color w:val="auto"/>
        </w:rPr>
      </w:pPr>
    </w:p>
    <w:p>
      <w:pPr>
        <w:jc w:val="both"/>
        <w:ind w:left="540" w:right="5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offices. Our website is </w:t>
      </w:r>
      <w:r>
        <w:rPr>
          <w:rFonts w:ascii="Times New Roman" w:cs="Times New Roman" w:eastAsia="Times New Roman" w:hAnsi="Times New Roman"/>
          <w:sz w:val="18"/>
          <w:szCs w:val="18"/>
          <w:i w:val="1"/>
          <w:iCs w:val="1"/>
          <w:color w:val="auto"/>
        </w:rPr>
        <w:t>https://tridentity.me</w:t>
      </w:r>
      <w:r>
        <w:rPr>
          <w:rFonts w:ascii="Times New Roman" w:cs="Times New Roman" w:eastAsia="Times New Roman" w:hAnsi="Times New Roman"/>
          <w:sz w:val="18"/>
          <w:szCs w:val="18"/>
          <w:color w:val="auto"/>
        </w:rPr>
        <w:t>. The information contained on our website is not a part of this prospectus.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prospectus only:</w:t>
      </w:r>
    </w:p>
    <w:p>
      <w:pPr>
        <w:spacing w:after="0" w:line="158" w:lineRule="exact"/>
        <w:rPr>
          <w:sz w:val="20"/>
          <w:szCs w:val="20"/>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that evidence our ADSs;</w:t>
      </w:r>
    </w:p>
    <w:p>
      <w:pPr>
        <w:spacing w:after="0" w:line="144" w:lineRule="exact"/>
        <w:rPr>
          <w:rFonts w:ascii="Times New Roman" w:cs="Times New Roman" w:eastAsia="Times New Roman" w:hAnsi="Times New Roman"/>
          <w:sz w:val="18"/>
          <w:szCs w:val="18"/>
          <w:color w:val="auto"/>
        </w:rPr>
      </w:pPr>
    </w:p>
    <w:p>
      <w:pPr>
        <w:ind w:left="1400" w:right="117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eight Class B ordinary shares;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US$0.00001 per share;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US$0.00001 per share;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“GDP” refers to gross domestic product;</w:t>
      </w:r>
    </w:p>
    <w:p>
      <w:pPr>
        <w:spacing w:after="0" w:line="157" w:lineRule="exact"/>
        <w:rPr>
          <w:rFonts w:ascii="Times New Roman" w:cs="Times New Roman" w:eastAsia="Times New Roman" w:hAnsi="Times New Roman"/>
          <w:sz w:val="18"/>
          <w:szCs w:val="18"/>
          <w:color w:val="auto"/>
        </w:rPr>
      </w:pPr>
    </w:p>
    <w:p>
      <w:pPr>
        <w:ind w:left="1400" w:right="1279" w:hanging="424"/>
        <w:spacing w:after="0" w:line="312" w:lineRule="auto"/>
        <w:tabs>
          <w:tab w:leader="none" w:pos="13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“IMDA” refers to Infocomm Media Development Authority, a statutory board under the Singapore Ministry of Communications and Information of the Republic of Singapore;</w:t>
      </w:r>
    </w:p>
    <w:p>
      <w:pPr>
        <w:spacing w:after="0" w:line="58" w:lineRule="exact"/>
        <w:rPr>
          <w:rFonts w:ascii="Times New Roman" w:cs="Times New Roman" w:eastAsia="Times New Roman" w:hAnsi="Times New Roman"/>
          <w:sz w:val="17"/>
          <w:szCs w:val="17"/>
          <w:color w:val="auto"/>
        </w:rPr>
      </w:pPr>
    </w:p>
    <w:p>
      <w:pPr>
        <w:ind w:left="1400" w:right="7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and Class B ordinary shares, par value US$0.00001 per share;</w:t>
      </w:r>
    </w:p>
    <w:p>
      <w:pPr>
        <w:spacing w:after="0" w:line="94"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“QZT” refers to Quality Zone Technologies Pte. Ltd., a company incorporated in Singapore, and a direct wholly-owned subsidiary of our Company;</w:t>
      </w:r>
    </w:p>
    <w:p>
      <w:pPr>
        <w:spacing w:after="0" w:line="94" w:lineRule="exact"/>
        <w:rPr>
          <w:rFonts w:ascii="Times New Roman" w:cs="Times New Roman" w:eastAsia="Times New Roman" w:hAnsi="Times New Roman"/>
          <w:sz w:val="18"/>
          <w:szCs w:val="18"/>
          <w:color w:val="auto"/>
        </w:rPr>
      </w:pPr>
    </w:p>
    <w:p>
      <w:pPr>
        <w:ind w:left="1400" w:right="1079" w:hanging="424"/>
        <w:spacing w:after="0" w:line="258"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Resale Shares” means the 1,925,000 ADSs of the 3,125,000 ADSs representing 25,000,000 Class B ordinary shares of the Company held by Infinite Partner International Limited, or the Selling Shareholder, and being subject to a leak-out agreement between the Selling Shareholder and the Company, that are being registered pursuant to the Resale Prospectus;</w:t>
      </w:r>
    </w:p>
    <w:p>
      <w:pPr>
        <w:spacing w:after="0" w:line="102"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or “SGD” refers to the Singapore dollar, the legal currency of Singapore;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refers to the Republic of Singapore;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 refers to small and medium enterprises;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spacing w:after="0" w:line="98" w:lineRule="exact"/>
        <w:rPr>
          <w:rFonts w:ascii="Times New Roman" w:cs="Times New Roman" w:eastAsia="Times New Roman" w:hAnsi="Times New Roman"/>
          <w:sz w:val="18"/>
          <w:szCs w:val="18"/>
          <w:color w:val="auto"/>
        </w:rPr>
      </w:pPr>
    </w:p>
    <w:p>
      <w:pPr>
        <w:ind w:left="1400" w:right="133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Singapore” refers to Trident Digital Tech Pte. Ltd., a company incorporated in Singapore, and an indirect wholly-owned subsidiary of our Company;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“dollars,” or “U.S. dollars” refers to the legal currency of the United States;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 and</w:t>
      </w:r>
    </w:p>
    <w:p>
      <w:pPr>
        <w:spacing w:after="0" w:line="144" w:lineRule="exact"/>
        <w:rPr>
          <w:rFonts w:ascii="Times New Roman" w:cs="Times New Roman" w:eastAsia="Times New Roman" w:hAnsi="Times New Roman"/>
          <w:sz w:val="18"/>
          <w:szCs w:val="18"/>
          <w:color w:val="auto"/>
        </w:rPr>
      </w:pPr>
    </w:p>
    <w:p>
      <w:pPr>
        <w:ind w:left="1400" w:right="5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“Trident Cayman” and “our” refer to Trident Digital Tech Holdings Ltd, a Cayman Islands company and its subsidiaries.</w:t>
      </w:r>
    </w:p>
    <w:p>
      <w:pPr>
        <w:spacing w:after="0" w:line="94"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82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9082405"/>
                    </a:xfrm>
                    <a:prstGeom prst="rect">
                      <a:avLst/>
                    </a:prstGeom>
                    <a:noFill/>
                  </pic:spPr>
                </pic:pic>
              </a:graphicData>
            </a:graphic>
          </wp:anchor>
        </w:drawing>
      </w:r>
    </w:p>
    <w:p>
      <w:pPr>
        <w:sectPr>
          <w:pgSz w:w="11900" w:h="16838" w:orient="portrait"/>
          <w:cols w:equalWidth="0" w:num="1">
            <w:col w:w="9019"/>
          </w:cols>
          <w:pgMar w:left="1440" w:top="270" w:right="1440" w:bottom="1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198"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ADSs Outstanding immediately after this offering</w:t>
      </w:r>
    </w:p>
    <w:p>
      <w:pPr>
        <w:spacing w:after="0" w:line="200" w:lineRule="exact"/>
        <w:rPr>
          <w:sz w:val="20"/>
          <w:szCs w:val="20"/>
          <w:color w:val="auto"/>
        </w:rPr>
      </w:pPr>
    </w:p>
    <w:p>
      <w:pPr>
        <w:spacing w:after="0" w:line="367"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after this offering</w:t>
      </w:r>
    </w:p>
    <w:p>
      <w:pPr>
        <w:spacing w:after="0" w:line="3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Lock-up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ind w:right="739"/>
        <w:spacing w:after="0" w:line="282" w:lineRule="auto"/>
        <w:rPr>
          <w:sz w:val="20"/>
          <w:szCs w:val="20"/>
          <w:color w:val="auto"/>
        </w:rPr>
      </w:pPr>
      <w:r>
        <w:rPr>
          <w:rFonts w:ascii="Times New Roman" w:cs="Times New Roman" w:eastAsia="Times New Roman" w:hAnsi="Times New Roman"/>
          <w:sz w:val="18"/>
          <w:szCs w:val="18"/>
          <w:color w:val="auto"/>
        </w:rPr>
        <w:t>We expect that the initial public offering price will be between US$5.00 and US$7.00 per ADS.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1,800,000 ADSs.</w:t>
      </w:r>
    </w:p>
    <w:p>
      <w:pPr>
        <w:spacing w:after="0" w:line="200" w:lineRule="exact"/>
        <w:rPr>
          <w:sz w:val="20"/>
          <w:szCs w:val="20"/>
          <w:color w:val="auto"/>
        </w:rPr>
      </w:pPr>
    </w:p>
    <w:p>
      <w:pPr>
        <w:spacing w:after="0" w:line="214" w:lineRule="exact"/>
        <w:rPr>
          <w:sz w:val="20"/>
          <w:szCs w:val="20"/>
          <w:color w:val="auto"/>
        </w:rPr>
      </w:pPr>
    </w:p>
    <w:p>
      <w:pPr>
        <w:ind w:right="1179"/>
        <w:spacing w:after="0" w:line="266" w:lineRule="auto"/>
        <w:rPr>
          <w:sz w:val="20"/>
          <w:szCs w:val="20"/>
          <w:color w:val="auto"/>
        </w:rPr>
      </w:pPr>
      <w:r>
        <w:rPr>
          <w:rFonts w:ascii="Times New Roman" w:cs="Times New Roman" w:eastAsia="Times New Roman" w:hAnsi="Times New Roman"/>
          <w:sz w:val="18"/>
          <w:szCs w:val="18"/>
          <w:color w:val="auto"/>
        </w:rPr>
        <w:t>1,800,000 ADSs, excluding an aggregate of 3,125,000 Shareholder ADSs to be sold by the Selling Shareholder pursuant to the Resale Prospectus.</w:t>
      </w:r>
    </w:p>
    <w:p>
      <w:pPr>
        <w:spacing w:after="0" w:line="365"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w:t>
      </w:r>
    </w:p>
    <w:p>
      <w:pPr>
        <w:spacing w:after="0" w:line="135" w:lineRule="exact"/>
        <w:rPr>
          <w:sz w:val="20"/>
          <w:szCs w:val="20"/>
          <w:color w:val="auto"/>
        </w:rPr>
      </w:pPr>
    </w:p>
    <w:p>
      <w:pPr>
        <w:jc w:val="both"/>
        <w:ind w:right="719"/>
        <w:spacing w:after="0" w:line="282" w:lineRule="auto"/>
        <w:rPr>
          <w:sz w:val="20"/>
          <w:szCs w:val="20"/>
          <w:color w:val="auto"/>
        </w:rPr>
      </w:pPr>
      <w:r>
        <w:rPr>
          <w:rFonts w:ascii="Times New Roman" w:cs="Times New Roman" w:eastAsia="Times New Roman" w:hAnsi="Times New Roman"/>
          <w:sz w:val="18"/>
          <w:szCs w:val="18"/>
          <w:color w:val="auto"/>
        </w:rPr>
        <w:t>Each ADS represents eight Class B ordinary shares, par value US$0.00001 per share. The ADSs generally are uncertificated.</w:t>
      </w:r>
    </w:p>
    <w:p>
      <w:pPr>
        <w:spacing w:after="0" w:line="94"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The depositary will hold the Class B ordinary shares underlying your ADSs and you will have rights as provided in the deposit agreement.</w:t>
      </w:r>
    </w:p>
    <w:p>
      <w:pPr>
        <w:spacing w:after="0" w:line="108"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spacing w:after="0" w:line="102" w:lineRule="exact"/>
        <w:rPr>
          <w:sz w:val="20"/>
          <w:szCs w:val="20"/>
          <w:color w:val="auto"/>
        </w:rPr>
      </w:pPr>
    </w:p>
    <w:p>
      <w:pPr>
        <w:ind w:right="579"/>
        <w:spacing w:after="0" w:line="256" w:lineRule="auto"/>
        <w:rPr>
          <w:sz w:val="20"/>
          <w:szCs w:val="20"/>
          <w:color w:val="auto"/>
        </w:rPr>
      </w:pPr>
      <w:r>
        <w:rPr>
          <w:rFonts w:ascii="Times New Roman" w:cs="Times New Roman" w:eastAsia="Times New Roman" w:hAnsi="Times New Roman"/>
          <w:sz w:val="18"/>
          <w:szCs w:val="18"/>
          <w:color w:val="auto"/>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spacing w:after="0" w:line="120"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143" w:lineRule="exact"/>
        <w:rPr>
          <w:sz w:val="20"/>
          <w:szCs w:val="20"/>
          <w:color w:val="auto"/>
        </w:rPr>
      </w:pPr>
    </w:p>
    <w:p>
      <w:pPr>
        <w:ind w:right="579"/>
        <w:spacing w:after="0" w:line="254"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US$7.96 million from this offering of the Public Offering ADSs, after deducting the underwriting discounts, commissions, non-accountable expense allowance and estimated offering expenses payable by us and assuming an initial public offering price of US$6.00 per ADS, being the mid-point of the estimated range of the initial public offering price shown on the front cover of this prospectus.</w:t>
      </w:r>
    </w:p>
    <w:p>
      <w:pPr>
        <w:spacing w:after="0" w:line="124" w:lineRule="exact"/>
        <w:rPr>
          <w:sz w:val="20"/>
          <w:szCs w:val="20"/>
          <w:color w:val="auto"/>
        </w:rPr>
      </w:pPr>
    </w:p>
    <w:p>
      <w:pPr>
        <w:ind w:right="619"/>
        <w:spacing w:after="0" w:line="255" w:lineRule="auto"/>
        <w:rPr>
          <w:sz w:val="20"/>
          <w:szCs w:val="20"/>
          <w:color w:val="auto"/>
        </w:rPr>
      </w:pPr>
      <w:r>
        <w:rPr>
          <w:rFonts w:ascii="Times New Roman" w:cs="Times New Roman" w:eastAsia="Times New Roman" w:hAnsi="Times New Roman"/>
          <w:sz w:val="18"/>
          <w:szCs w:val="18"/>
          <w:color w:val="auto"/>
        </w:rPr>
        <w:t>We plan to use the net proceeds we receive from this offering of the Public Offering ADSs to invest in research and development, the Singapore market, and for general corporate purposes. We will not receive any proceeds from the sale of the Shareholder ADSs by the Selling Shareholder pursuant to the Resale Prospectus. See “Use of Proceeds” for additional information.</w:t>
      </w:r>
    </w:p>
    <w:p>
      <w:pPr>
        <w:spacing w:after="0" w:line="148" w:lineRule="exact"/>
        <w:rPr>
          <w:sz w:val="20"/>
          <w:szCs w:val="20"/>
          <w:color w:val="auto"/>
        </w:rPr>
      </w:pPr>
    </w:p>
    <w:p>
      <w:pPr>
        <w:ind w:right="619"/>
        <w:spacing w:after="0" w:line="256" w:lineRule="auto"/>
        <w:rPr>
          <w:sz w:val="20"/>
          <w:szCs w:val="20"/>
          <w:color w:val="auto"/>
        </w:rPr>
      </w:pPr>
      <w:r>
        <w:rPr>
          <w:rFonts w:ascii="Times New Roman" w:cs="Times New Roman" w:eastAsia="Times New Roman" w:hAnsi="Times New Roman"/>
          <w:sz w:val="18"/>
          <w:szCs w:val="18"/>
          <w:color w:val="auto"/>
        </w:rPr>
        <w:t>We, our directors and executive officers, and shareholders holding 5% or more of our ordinary shares are expected to enter into lock-up agreements with the Underwriter not to sell, transfer, or dispose of any Class B ordinary shares for a period of up to six months after this offering of the Public Offering ADSs is completed. See “Underwriting” for more information.</w:t>
      </w:r>
    </w:p>
    <w:p>
      <w:pPr>
        <w:spacing w:after="0" w:line="200" w:lineRule="exact"/>
        <w:rPr>
          <w:sz w:val="20"/>
          <w:szCs w:val="20"/>
          <w:color w:val="auto"/>
        </w:rPr>
      </w:pPr>
    </w:p>
    <w:p>
      <w:pPr>
        <w:sectPr>
          <w:pgSz w:w="11900" w:h="16838" w:orient="portrait"/>
          <w:cols w:equalWidth="0" w:num="2">
            <w:col w:w="3520" w:space="260"/>
            <w:col w:w="5239"/>
          </w:cols>
          <w:pgMar w:left="1440" w:top="270" w:right="1440" w:bottom="1132" w:gutter="0" w:footer="0" w:header="0"/>
          <w:type w:val="continuous"/>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32"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4418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4418965"/>
                    </a:xfrm>
                    <a:prstGeom prst="rect">
                      <a:avLst/>
                    </a:prstGeom>
                    <a:noFill/>
                  </pic:spPr>
                </pic:pic>
              </a:graphicData>
            </a:graphic>
          </wp:anchor>
        </w:drawing>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Leak-out Agreement</w:t>
            </w: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The Relevant Resale Shares are subject to a leak-out agreement</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between the Selling Shareholder and the Company, pursuant to</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9"/>
              </w:rPr>
              <w:t>which the sale of the Relevant Resale Shares is subject to certain</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resale restrictions based on the closing price and the average</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daily trading volume of the Company’s ADSs on Nasdaq. See</w:t>
            </w:r>
          </w:p>
        </w:tc>
      </w:tr>
      <w:tr>
        <w:trPr>
          <w:trHeight w:val="234"/>
        </w:trPr>
        <w:tc>
          <w:tcPr>
            <w:tcW w:w="2500" w:type="dxa"/>
            <w:vAlign w:val="bottom"/>
          </w:tcPr>
          <w:p>
            <w:pPr>
              <w:spacing w:after="0"/>
              <w:rPr>
                <w:sz w:val="20"/>
                <w:szCs w:val="20"/>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“Shares Eligible for Future Sale” for more information.</w:t>
            </w:r>
          </w:p>
        </w:tc>
      </w:tr>
      <w:tr>
        <w:trPr>
          <w:trHeight w:val="37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w:t>
            </w:r>
          </w:p>
        </w:tc>
      </w:tr>
      <w:tr>
        <w:trPr>
          <w:trHeight w:val="216"/>
        </w:trPr>
        <w:tc>
          <w:tcPr>
            <w:tcW w:w="2500" w:type="dxa"/>
            <w:vAlign w:val="bottom"/>
          </w:tcPr>
          <w:p>
            <w:pPr>
              <w:spacing w:after="0"/>
              <w:rPr>
                <w:sz w:val="18"/>
                <w:szCs w:val="18"/>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prospectus for a discussion of the risks you should carefully</w:t>
            </w:r>
          </w:p>
        </w:tc>
      </w:tr>
      <w:tr>
        <w:trPr>
          <w:trHeight w:val="234"/>
        </w:trPr>
        <w:tc>
          <w:tcPr>
            <w:tcW w:w="2500" w:type="dxa"/>
            <w:vAlign w:val="bottom"/>
          </w:tcPr>
          <w:p>
            <w:pPr>
              <w:spacing w:after="0"/>
              <w:rPr>
                <w:sz w:val="20"/>
                <w:szCs w:val="20"/>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consider before investing in the ADSs.</w:t>
            </w:r>
          </w:p>
        </w:tc>
      </w:tr>
      <w:tr>
        <w:trPr>
          <w:trHeight w:val="38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We have applied to have the ADSs listed on the Nasdaq Capital</w:t>
            </w:r>
          </w:p>
        </w:tc>
      </w:tr>
      <w:tr>
        <w:trPr>
          <w:trHeight w:val="234"/>
        </w:trPr>
        <w:tc>
          <w:tcPr>
            <w:tcW w:w="2500" w:type="dxa"/>
            <w:vAlign w:val="bottom"/>
          </w:tcPr>
          <w:p>
            <w:pPr>
              <w:spacing w:after="0"/>
              <w:rPr>
                <w:sz w:val="20"/>
                <w:szCs w:val="20"/>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Market under the symbol “TDTH.”</w:t>
            </w:r>
          </w:p>
        </w:tc>
      </w:tr>
      <w:tr>
        <w:trPr>
          <w:trHeight w:val="38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Payment and Settlement</w:t>
            </w: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The Public Offering ADSs are expected to be delivered against</w:t>
            </w:r>
          </w:p>
        </w:tc>
      </w:tr>
      <w:tr>
        <w:trPr>
          <w:trHeight w:val="216"/>
        </w:trPr>
        <w:tc>
          <w:tcPr>
            <w:tcW w:w="2500" w:type="dxa"/>
            <w:vAlign w:val="bottom"/>
          </w:tcPr>
          <w:p>
            <w:pPr>
              <w:spacing w:after="0"/>
              <w:rPr>
                <w:sz w:val="18"/>
                <w:szCs w:val="18"/>
                <w:color w:val="auto"/>
              </w:rPr>
            </w:pPr>
          </w:p>
        </w:tc>
        <w:tc>
          <w:tcPr>
            <w:tcW w:w="1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payment on</w:t>
            </w: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 2024. They will be registered in the name of</w:t>
            </w:r>
          </w:p>
        </w:tc>
      </w:tr>
      <w:tr>
        <w:trPr>
          <w:trHeight w:val="234"/>
        </w:trPr>
        <w:tc>
          <w:tcPr>
            <w:tcW w:w="2500" w:type="dxa"/>
            <w:vAlign w:val="bottom"/>
          </w:tcPr>
          <w:p>
            <w:pPr>
              <w:spacing w:after="0"/>
              <w:rPr>
                <w:sz w:val="20"/>
                <w:szCs w:val="20"/>
                <w:color w:val="auto"/>
              </w:rPr>
            </w:pPr>
          </w:p>
        </w:tc>
        <w:tc>
          <w:tcPr>
            <w:tcW w:w="54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 nominee of The Depository Trust Company, or DTC.</w:t>
            </w:r>
          </w:p>
        </w:tc>
      </w:tr>
      <w:tr>
        <w:trPr>
          <w:trHeight w:val="405"/>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Depositary</w:t>
            </w:r>
          </w:p>
        </w:tc>
        <w:tc>
          <w:tcPr>
            <w:tcW w:w="1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Citibank, N.A.</w:t>
            </w:r>
          </w:p>
        </w:tc>
        <w:tc>
          <w:tcPr>
            <w:tcW w:w="3460" w:type="dxa"/>
            <w:vAlign w:val="bottom"/>
          </w:tcPr>
          <w:p>
            <w:pPr>
              <w:spacing w:after="0"/>
              <w:rPr>
                <w:sz w:val="24"/>
                <w:szCs w:val="24"/>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number of ordinary shares that will be issued and outstanding immediately after this offering:</w:t>
      </w:r>
    </w:p>
    <w:p>
      <w:pPr>
        <w:spacing w:after="0" w:line="158" w:lineRule="exact"/>
        <w:rPr>
          <w:sz w:val="20"/>
          <w:szCs w:val="20"/>
          <w:color w:val="auto"/>
        </w:rPr>
      </w:pPr>
    </w:p>
    <w:p>
      <w:pPr>
        <w:ind w:left="1400" w:hanging="42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501,964,286 issued and outstanding ordinary shares as of the date of this prospectus;</w:t>
      </w:r>
    </w:p>
    <w:p>
      <w:pPr>
        <w:spacing w:after="0" w:line="14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14,400,000 Class B ordinary shares in the form of ADSs that we will issue and sell in this offering;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76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67651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121" w:lineRule="exact"/>
        <w:rPr>
          <w:sz w:val="20"/>
          <w:szCs w:val="20"/>
          <w:color w:val="auto"/>
        </w:rPr>
      </w:pPr>
    </w:p>
    <w:p>
      <w:pPr>
        <w:ind w:left="540" w:right="79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06" w:lineRule="exact"/>
        <w:rPr>
          <w:sz w:val="20"/>
          <w:szCs w:val="20"/>
          <w:color w:val="auto"/>
        </w:rPr>
      </w:pPr>
    </w:p>
    <w:p>
      <w:pPr>
        <w:ind w:left="540" w:right="7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6"/>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1,262,899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657,092</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481,165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475,123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(378,896)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96,227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(71,530)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(174,377)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(170,817)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(80,883)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136,576</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2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(Loss)/Income before income tax</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(1,124,696)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(1,861,412)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(156,703)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29,967</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(153,220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2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number of Ordinary</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 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earnings per ordinary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747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5747385"/>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3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422,242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17"/>
                <w:szCs w:val="17"/>
                <w:color w:val="auto"/>
              </w:rPr>
            </w:pP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left w:val="single" w:sz="8" w:color="CCEEFF"/>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9,524,598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17"/>
                <w:szCs w:val="17"/>
                <w:color w:val="auto"/>
              </w:rPr>
            </w:pP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471,332</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11,093,048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5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left w:val="single" w:sz="8" w:color="CCEEFF"/>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(3,226,191</w:t>
            </w:r>
          </w:p>
        </w:tc>
        <w:tc>
          <w:tcPr>
            <w:tcW w:w="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17"/>
                <w:szCs w:val="17"/>
                <w:color w:val="auto"/>
              </w:rPr>
            </w:pP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right="9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w: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50"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Cash, at beginning of year</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Cash, at end of year</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216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214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Pr>
          <w:p>
            <w:pPr>
              <w:spacing w:after="0"/>
              <w:rPr>
                <w:sz w:val="18"/>
                <w:szCs w:val="18"/>
                <w:color w:val="auto"/>
              </w:rPr>
            </w:pPr>
          </w:p>
        </w:tc>
        <w:tc>
          <w:tcPr>
            <w:tcW w:w="142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6"/>
        </w:trPr>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r>
      <w:tr>
        <w:trPr>
          <w:trHeight w:val="230"/>
        </w:trPr>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ind w:left="220" w:hanging="218"/>
        <w:spacing w:after="0"/>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(609,946)  $  244,100   $ (2,380,926)  $   (27,514)</w:t>
      </w:r>
    </w:p>
    <w:p>
      <w:pPr>
        <w:spacing w:after="0" w:line="76"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(73,885)(53,313)(79,043)—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1,378,257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66,030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5,426,739</w:t>
            </w:r>
          </w:p>
        </w:tc>
        <w:tc>
          <w:tcPr>
            <w:tcW w:w="2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(118,326)</w:t>
            </w:r>
          </w:p>
        </w:tc>
      </w:tr>
      <w:tr>
        <w:trPr>
          <w:trHeight w:val="27"/>
        </w:trPr>
        <w:tc>
          <w:tcPr>
            <w:tcW w:w="8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32,401</w:t>
            </w:r>
          </w:p>
        </w:tc>
        <w:tc>
          <w:tcPr>
            <w:tcW w:w="60" w:type="dxa"/>
            <w:vAlign w:val="bottom"/>
          </w:tcPr>
          <w:p>
            <w:pPr>
              <w:spacing w:after="0"/>
              <w:rPr>
                <w:sz w:val="19"/>
                <w:szCs w:val="19"/>
                <w:color w:val="auto"/>
              </w:rPr>
            </w:pPr>
          </w:p>
        </w:tc>
      </w:tr>
      <w:tr>
        <w:trPr>
          <w:trHeight w:val="279"/>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671,672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255,956</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3,020,342</w:t>
            </w:r>
          </w:p>
        </w:tc>
        <w:tc>
          <w:tcPr>
            <w:tcW w:w="2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(113,439)</w:t>
            </w:r>
          </w:p>
        </w:tc>
      </w:tr>
      <w:tr>
        <w:trPr>
          <w:trHeight w:val="297"/>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945,265</w:t>
            </w:r>
          </w:p>
        </w:tc>
        <w:tc>
          <w:tcPr>
            <w:tcW w:w="10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273,593</w:t>
            </w:r>
          </w:p>
        </w:tc>
        <w:tc>
          <w:tcPr>
            <w:tcW w:w="1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$ 3,965,607</w:t>
            </w:r>
          </w:p>
        </w:tc>
        <w:tc>
          <w:tcPr>
            <w:tcW w:w="22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160,154</w:t>
            </w:r>
          </w:p>
        </w:tc>
        <w:tc>
          <w:tcPr>
            <w:tcW w:w="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80" w:space="680"/>
            <w:col w:w="485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rapid growth may not be sustainable or indicative of our future growth.</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fail to manage our infrastructure to support future growth.</w:t>
      </w:r>
    </w:p>
    <w:p>
      <w:pPr>
        <w:spacing w:after="0" w:line="16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89" w:lineRule="exact"/>
        <w:rPr>
          <w:sz w:val="20"/>
          <w:szCs w:val="20"/>
          <w:color w:val="auto"/>
        </w:rPr>
      </w:pPr>
    </w:p>
    <w:p>
      <w:pPr>
        <w:ind w:left="460" w:right="9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Currently, substantially all of our sales are to clients in the e-commerce, food and beverage, fintech, healthcare and service, wholesale and retail industries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spacing w:after="0" w:line="184" w:lineRule="exact"/>
        <w:rPr>
          <w:sz w:val="20"/>
          <w:szCs w:val="20"/>
          <w:color w:val="auto"/>
        </w:rPr>
      </w:pPr>
    </w:p>
    <w:p>
      <w:pPr>
        <w:ind w:left="4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solutions and services, our business and results of operations could be adversely affected.</w:t>
      </w:r>
    </w:p>
    <w:p>
      <w:pPr>
        <w:spacing w:after="0" w:line="91"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Our ability to attract new clients and increase revenue from existing clients depends in part on our ability to enhance and improve our solutions and to introduce new features and services. For example, we introduced Tridentity, our Web 3.0-enabled e-commerce platform whereby customers and merchants can transact in a transparent and secure way, in the fourth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spacing w:after="0" w:line="127" w:lineRule="exact"/>
        <w:rPr>
          <w:sz w:val="20"/>
          <w:szCs w:val="20"/>
          <w:color w:val="auto"/>
        </w:rPr>
      </w:pPr>
    </w:p>
    <w:p>
      <w:pPr>
        <w:jc w:val="both"/>
        <w:ind w:left="460" w:right="759" w:firstLine="432"/>
        <w:spacing w:after="0" w:line="272" w:lineRule="auto"/>
        <w:rPr>
          <w:sz w:val="20"/>
          <w:szCs w:val="20"/>
          <w:color w:val="auto"/>
        </w:rPr>
      </w:pPr>
      <w:r>
        <w:rPr>
          <w:rFonts w:ascii="Times New Roman" w:cs="Times New Roman" w:eastAsia="Times New Roman" w:hAnsi="Times New Roman"/>
          <w:sz w:val="17"/>
          <w:szCs w:val="17"/>
          <w:color w:val="auto"/>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w:t>
      </w:r>
    </w:p>
    <w:p>
      <w:pPr>
        <w:spacing w:after="0" w:line="2" w:lineRule="exact"/>
        <w:rPr>
          <w:sz w:val="20"/>
          <w:szCs w:val="20"/>
          <w:color w:val="auto"/>
        </w:rPr>
      </w:pPr>
    </w:p>
    <w:p>
      <w:pPr>
        <w:ind w:left="460" w:right="479"/>
        <w:spacing w:after="0" w:line="251" w:lineRule="auto"/>
        <w:rPr>
          <w:sz w:val="20"/>
          <w:szCs w:val="20"/>
          <w:color w:val="auto"/>
        </w:rPr>
      </w:pPr>
      <w:r>
        <w:rPr>
          <w:rFonts w:ascii="Times New Roman" w:cs="Times New Roman" w:eastAsia="Times New Roman" w:hAnsi="Times New Roman"/>
          <w:sz w:val="18"/>
          <w:szCs w:val="18"/>
          <w:color w:val="auto"/>
        </w:rPr>
        <w:t>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spacing w:after="0" w:line="190"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services or pricing models may not accurately reflect the optimal pricing necessary to attract new clients and retain existing clients as the market matures.</w:t>
      </w:r>
    </w:p>
    <w:p>
      <w:pPr>
        <w:spacing w:after="0" w:line="78"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spacing w:after="0" w:line="190"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spacing w:after="0" w:line="10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spacing w:after="0" w:line="185"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client support, if we experience complaints regarding our client support or if our support is more expensive than anticipated, our business and reputation could suffer.</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spacing w:after="0" w:line="183"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9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spacing w:after="0" w:line="193" w:lineRule="exact"/>
        <w:rPr>
          <w:sz w:val="20"/>
          <w:szCs w:val="20"/>
          <w:color w:val="auto"/>
        </w:rPr>
      </w:pPr>
    </w:p>
    <w:p>
      <w:pPr>
        <w:jc w:val="both"/>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9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spacing w:after="0" w:line="11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66" w:lineRule="auto"/>
        <w:rPr>
          <w:sz w:val="20"/>
          <w:szCs w:val="20"/>
          <w:color w:val="auto"/>
        </w:rPr>
      </w:pPr>
      <w:r>
        <w:rPr>
          <w:rFonts w:ascii="Times New Roman" w:cs="Times New Roman" w:eastAsia="Times New Roman" w:hAnsi="Times New Roman"/>
          <w:sz w:val="18"/>
          <w:szCs w:val="18"/>
          <w:color w:val="auto"/>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Further, in light of these advantages, even if our solutions and services are more effective than the offerings of our competitors, current or potential clients might accept our competitors’ offerings in lieu of purchasing our solutions and services.</w:t>
      </w:r>
    </w:p>
    <w:p>
      <w:pPr>
        <w:spacing w:after="0" w:line="10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spacing w:after="0" w:line="10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spacing w:after="0" w:line="183"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on an annual basis since we were founded, anticipate increasing our operating expenses in the future, and may not achieve or sustain profitability.</w:t>
      </w:r>
    </w:p>
    <w:p>
      <w:pPr>
        <w:spacing w:after="0" w:line="91" w:lineRule="exact"/>
        <w:rPr>
          <w:sz w:val="20"/>
          <w:szCs w:val="20"/>
          <w:color w:val="auto"/>
        </w:rPr>
      </w:pPr>
    </w:p>
    <w:p>
      <w:pPr>
        <w:jc w:val="both"/>
        <w:ind w:left="460" w:right="519" w:firstLine="432"/>
        <w:spacing w:after="0" w:line="272" w:lineRule="auto"/>
        <w:rPr>
          <w:sz w:val="20"/>
          <w:szCs w:val="20"/>
          <w:color w:val="auto"/>
        </w:rPr>
      </w:pPr>
      <w:r>
        <w:rPr>
          <w:rFonts w:ascii="Times New Roman" w:cs="Times New Roman" w:eastAsia="Times New Roman" w:hAnsi="Times New Roman"/>
          <w:sz w:val="17"/>
          <w:szCs w:val="17"/>
          <w:color w:val="auto"/>
        </w:rPr>
        <w:t>We have incurred net loss of approximately US$1.13 million and US$1.86 million in fiscal year 2022 and the six months ended June 30, 2023, respectively. We must generate and sustain higher revenue levels in future periods to become profitable, and, even if we do, we may not be able to maintain or increase our profitability.</w:t>
      </w:r>
    </w:p>
    <w:p>
      <w:pPr>
        <w:spacing w:after="0" w:line="2" w:lineRule="exact"/>
        <w:rPr>
          <w:sz w:val="20"/>
          <w:szCs w:val="20"/>
          <w:color w:val="auto"/>
        </w:rPr>
      </w:pPr>
    </w:p>
    <w:p>
      <w:pPr>
        <w:ind w:left="460" w:right="819"/>
        <w:spacing w:after="0" w:line="260" w:lineRule="auto"/>
        <w:rPr>
          <w:sz w:val="20"/>
          <w:szCs w:val="20"/>
          <w:color w:val="auto"/>
        </w:rPr>
      </w:pPr>
      <w:r>
        <w:rPr>
          <w:rFonts w:ascii="Times New Roman" w:cs="Times New Roman" w:eastAsia="Times New Roman" w:hAnsi="Times New Roman"/>
          <w:sz w:val="18"/>
          <w:szCs w:val="18"/>
          <w:color w:val="auto"/>
        </w:rPr>
        <w:t>We expect to continue to incur losses for the foreseeable future as we expend substantial financial and other resources on, among other things:</w:t>
      </w:r>
    </w:p>
    <w:p>
      <w:pPr>
        <w:spacing w:after="0" w:line="114" w:lineRule="exact"/>
        <w:rPr>
          <w:sz w:val="20"/>
          <w:szCs w:val="20"/>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expanding our direct sales team and online marketing programs;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development of new solutions and new features for, and enhancements of, our existing services;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and infrastructure organically and through acquisitions and strategic partnerships; and</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risk management, accounting, and other expenses related to being a public company.</w:t>
      </w:r>
    </w:p>
    <w:p>
      <w:pPr>
        <w:spacing w:after="0" w:line="8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spacing w:after="0" w:line="12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94"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108"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other risks described herein, factors that may affect our operating results include the following:</w:t>
      </w:r>
    </w:p>
    <w:p>
      <w:pPr>
        <w:spacing w:after="0" w:line="94" w:lineRule="exact"/>
        <w:rPr>
          <w:sz w:val="20"/>
          <w:szCs w:val="20"/>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digital solutions and e-commerce offerings;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retain and increase adoption by our existing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preference for cloud-based services as a result of security breaches in the industry or privacy concerns, or other security or reliability concerns regarding our solutions;</w:t>
      </w:r>
    </w:p>
    <w:p>
      <w:pPr>
        <w:spacing w:after="0" w:line="94"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in the timing of their budget and billing cycles and purchasing decisions;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implementation timeline of our solutions with new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and existing clients choosing our competitors’ solutions or developing their own solutions in-house;</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or introduction of new solutions that are easier to use or more advanced than our current solutions;</w:t>
      </w:r>
    </w:p>
    <w:p>
      <w:pPr>
        <w:spacing w:after="0" w:line="80"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or retention of more entrenched or rival services in the markets where we compete or plan to compete;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5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80"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share-based compensation, goodwill impairments and other non-cash charges;</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44"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as well as economic conditions specifically affecting industries in which our clients operate;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technical difficulties with, or interruptions to, the delivery and use of our solutions from our technology vendors, and/or our own developed technology;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and our reputation in our target markets.</w:t>
      </w:r>
    </w:p>
    <w:p>
      <w:pPr>
        <w:spacing w:after="0" w:line="14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incur indebtedness that could adversely affect our financial flexibility and expose us to risks that could materially adversely affect our liquidity and financial condition.</w:t>
      </w:r>
    </w:p>
    <w:p>
      <w:pPr>
        <w:spacing w:after="0" w:line="55"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June 30, 2023,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spacing w:after="0" w:line="112" w:lineRule="exact"/>
        <w:rPr>
          <w:sz w:val="20"/>
          <w:szCs w:val="20"/>
          <w:color w:val="auto"/>
        </w:rPr>
      </w:pPr>
    </w:p>
    <w:p>
      <w:pPr>
        <w:ind w:left="1320" w:right="7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spacing w:after="0" w:line="94"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80"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if our future borrowings are at variable rates of interest, which could result in higher interest expense in the event of increases in interest rates.</w:t>
      </w:r>
    </w:p>
    <w:p>
      <w:pPr>
        <w:spacing w:after="0" w:line="95"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spacing w:after="0" w:line="188"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0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spacing w:after="0" w:line="190"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implement our growth strategies successfully which would limit our growth and cause the market price of our ADS to decline.</w:t>
      </w:r>
    </w:p>
    <w:p>
      <w:pPr>
        <w:spacing w:after="0" w:line="91" w:lineRule="exact"/>
        <w:rPr>
          <w:sz w:val="20"/>
          <w:szCs w:val="20"/>
          <w:color w:val="auto"/>
        </w:rPr>
      </w:pPr>
    </w:p>
    <w:p>
      <w:pPr>
        <w:ind w:left="460" w:right="1199" w:firstLine="432"/>
        <w:spacing w:after="0" w:line="282"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implement successfully our growth strategies. We expect to invest substantial amounts to:</w:t>
      </w:r>
    </w:p>
    <w:p>
      <w:pPr>
        <w:spacing w:after="0" w:line="81"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Tridentity offerings;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new solutions and add features and functionality to existing solutions;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salesforce and marketing to win new clients;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our existing clients;</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verticals and markets;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acquisitions or strategic investments;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systems architecture, scalability, availability, performance and network security;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and risk management.</w:t>
      </w:r>
    </w:p>
    <w:p>
      <w:pPr>
        <w:spacing w:after="0" w:line="158"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Our investment in these programs will affect adversely our short-term profitability. This would impact revenues adversely and cause our business to suffer.</w:t>
      </w:r>
    </w:p>
    <w:p>
      <w:pPr>
        <w:spacing w:after="0" w:line="15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entering new market segments or further penetrating our existing market segments, our revenue or revenue growth could be materially adversely affected.</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spacing w:after="0" w:line="11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spacing w:after="0" w:line="160" w:lineRule="exact"/>
        <w:rPr>
          <w:sz w:val="20"/>
          <w:szCs w:val="20"/>
          <w:color w:val="auto"/>
        </w:rPr>
      </w:pPr>
    </w:p>
    <w:p>
      <w:pPr>
        <w:jc w:val="both"/>
        <w:ind w:left="4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spacing w:after="0" w:line="107"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02" w:lineRule="exact"/>
        <w:rPr>
          <w:sz w:val="20"/>
          <w:szCs w:val="20"/>
          <w:color w:val="auto"/>
        </w:rPr>
      </w:pPr>
    </w:p>
    <w:p>
      <w:pPr>
        <w:ind w:left="1320" w:right="579" w:hanging="434"/>
        <w:spacing w:after="0" w:line="258"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spacing w:after="0" w:line="115" w:lineRule="exact"/>
        <w:rPr>
          <w:rFonts w:ascii="Times New Roman" w:cs="Times New Roman" w:eastAsia="Times New Roman" w:hAnsi="Times New Roman"/>
          <w:sz w:val="18"/>
          <w:szCs w:val="18"/>
          <w:color w:val="auto"/>
        </w:rPr>
      </w:pPr>
    </w:p>
    <w:p>
      <w:pPr>
        <w:jc w:val="both"/>
        <w:ind w:left="1320" w:right="599" w:hanging="434"/>
        <w:spacing w:after="0" w:line="266"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solutions, personnel or operations of any company that we acquire, particularly if key personnel of the acquired company decide not to work for us;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44"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would limit other potential uses for our cash;</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financial maintenance covenants; and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shareholders may be diluted and earnings per share may decrease.</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94"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spacing w:after="0" w:line="189" w:lineRule="exact"/>
        <w:rPr>
          <w:sz w:val="20"/>
          <w:szCs w:val="20"/>
          <w:color w:val="auto"/>
        </w:rPr>
      </w:pPr>
    </w:p>
    <w:p>
      <w:pPr>
        <w:ind w:left="4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infrastructure may adversely affect our business, results of operations and financial condition.</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spacing w:after="0" w:line="186" w:lineRule="exact"/>
        <w:rPr>
          <w:sz w:val="20"/>
          <w:szCs w:val="20"/>
          <w:color w:val="auto"/>
        </w:rPr>
      </w:pPr>
    </w:p>
    <w:p>
      <w:pPr>
        <w:ind w:left="46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reliable performance of Internet infrastructure, bandwidth providers, data center providers, cloud providers, mobile infrastructure, and other third parties.</w:t>
      </w:r>
    </w:p>
    <w:p>
      <w:pPr>
        <w:spacing w:after="0" w:line="7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9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spacing w:after="0" w:line="123"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85" w:lineRule="exact"/>
        <w:rPr>
          <w:sz w:val="20"/>
          <w:szCs w:val="20"/>
          <w:color w:val="auto"/>
        </w:rPr>
      </w:pPr>
    </w:p>
    <w:p>
      <w:pPr>
        <w:ind w:left="4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or proprietary rights could substantially harm our business and results of operations.</w:t>
      </w:r>
    </w:p>
    <w:p>
      <w:pPr>
        <w:spacing w:after="0" w:line="91"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As of June 30, 2023, we have one registered trademark in Singapore. See “</w:t>
      </w:r>
      <w:r>
        <w:rPr>
          <w:rFonts w:ascii="Times New Roman" w:cs="Times New Roman" w:eastAsia="Times New Roman" w:hAnsi="Times New Roman"/>
          <w:sz w:val="18"/>
          <w:szCs w:val="18"/>
          <w:i w:val="1"/>
          <w:iCs w:val="1"/>
          <w:color w:val="auto"/>
        </w:rPr>
        <w:t>Business — Intellectual Property.</w:t>
      </w:r>
      <w:r>
        <w:rPr>
          <w:rFonts w:ascii="Times New Roman" w:cs="Times New Roman" w:eastAsia="Times New Roman" w:hAnsi="Times New Roman"/>
          <w:sz w:val="18"/>
          <w:szCs w:val="18"/>
          <w:color w:val="auto"/>
        </w:rPr>
        <w:t>” Any use of trademarks by third parties which are similar or identical to ours may also result in imitation of our platform, which may adversely affect our business, prospects, financial condition and results of operation.</w:t>
      </w:r>
    </w:p>
    <w:p>
      <w:pPr>
        <w:spacing w:after="0" w:line="9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spacing w:after="0" w:line="12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66" w:lineRule="auto"/>
        <w:rPr>
          <w:sz w:val="20"/>
          <w:szCs w:val="20"/>
          <w:color w:val="auto"/>
        </w:rPr>
      </w:pPr>
      <w:r>
        <w:rPr>
          <w:rFonts w:ascii="Times New Roman" w:cs="Times New Roman" w:eastAsia="Times New Roman" w:hAnsi="Times New Roman"/>
          <w:sz w:val="18"/>
          <w:szCs w:val="18"/>
          <w:color w:val="auto"/>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rely on certain technology and software licensed from third parties.</w:t>
      </w:r>
    </w:p>
    <w:p>
      <w:pPr>
        <w:spacing w:after="0" w:line="162" w:lineRule="exact"/>
        <w:rPr>
          <w:sz w:val="20"/>
          <w:szCs w:val="20"/>
          <w:color w:val="auto"/>
        </w:rPr>
      </w:pPr>
    </w:p>
    <w:p>
      <w:pPr>
        <w:jc w:val="both"/>
        <w:ind w:left="460" w:right="679" w:firstLine="432"/>
        <w:spacing w:after="0" w:line="257" w:lineRule="auto"/>
        <w:rPr>
          <w:sz w:val="20"/>
          <w:szCs w:val="20"/>
          <w:color w:val="auto"/>
        </w:rPr>
      </w:pPr>
      <w:r>
        <w:rPr>
          <w:rFonts w:ascii="Times New Roman" w:cs="Times New Roman" w:eastAsia="Times New Roman" w:hAnsi="Times New Roman"/>
          <w:sz w:val="18"/>
          <w:szCs w:val="18"/>
          <w:color w:val="auto"/>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w:t>
      </w:r>
    </w:p>
    <w:p>
      <w:pPr>
        <w:spacing w:after="0" w:line="1" w:lineRule="exact"/>
        <w:rPr>
          <w:sz w:val="20"/>
          <w:szCs w:val="20"/>
          <w:color w:val="auto"/>
        </w:rPr>
      </w:pPr>
    </w:p>
    <w:p>
      <w:pPr>
        <w:ind w:left="460" w:right="699"/>
        <w:spacing w:after="0" w:line="252" w:lineRule="auto"/>
        <w:rPr>
          <w:sz w:val="20"/>
          <w:szCs w:val="20"/>
          <w:color w:val="auto"/>
        </w:rPr>
      </w:pPr>
      <w:r>
        <w:rPr>
          <w:rFonts w:ascii="Times New Roman" w:cs="Times New Roman" w:eastAsia="Times New Roman" w:hAnsi="Times New Roman"/>
          <w:sz w:val="18"/>
          <w:szCs w:val="18"/>
          <w:color w:val="auto"/>
        </w:rPr>
        <w:t>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spacing w:after="0" w:line="12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spacing w:after="0" w:line="179" w:lineRule="exact"/>
        <w:rPr>
          <w:sz w:val="20"/>
          <w:szCs w:val="20"/>
          <w:color w:val="auto"/>
        </w:rPr>
      </w:pPr>
    </w:p>
    <w:p>
      <w:pPr>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of our services and technologies may use “open source” software, which may restrict how we use or distribute our services or require that we release the source code of certain solutions subject to those licenses.</w:t>
      </w:r>
    </w:p>
    <w:p>
      <w:pPr>
        <w:spacing w:after="0" w:line="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83" w:lineRule="exact"/>
        <w:rPr>
          <w:sz w:val="20"/>
          <w:szCs w:val="20"/>
          <w:color w:val="auto"/>
        </w:rPr>
      </w:pPr>
    </w:p>
    <w:p>
      <w:pPr>
        <w:ind w:left="46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3"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7" w:lineRule="auto"/>
        <w:rPr>
          <w:sz w:val="20"/>
          <w:szCs w:val="20"/>
          <w:color w:val="auto"/>
        </w:rPr>
      </w:pPr>
      <w:r>
        <w:rPr>
          <w:rFonts w:ascii="Times New Roman" w:cs="Times New Roman" w:eastAsia="Times New Roman" w:hAnsi="Times New Roman"/>
          <w:sz w:val="17"/>
          <w:szCs w:val="17"/>
          <w:color w:val="auto"/>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72" w:lineRule="exact"/>
        <w:rPr>
          <w:sz w:val="20"/>
          <w:szCs w:val="20"/>
          <w:color w:val="auto"/>
        </w:rPr>
      </w:pPr>
    </w:p>
    <w:p>
      <w:pPr>
        <w:ind w:left="460" w:right="7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senior management team and highly skilled personnel; if we are unable to retain or motivate key personnel or hire, retain and motivate qualified personnel, our business would be harmed.</w:t>
      </w:r>
    </w:p>
    <w:p>
      <w:pPr>
        <w:spacing w:after="0" w:line="10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spacing w:after="0" w:line="11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89" w:lineRule="auto"/>
        <w:rPr>
          <w:sz w:val="20"/>
          <w:szCs w:val="20"/>
          <w:color w:val="auto"/>
        </w:rPr>
      </w:pPr>
      <w:r>
        <w:rPr>
          <w:rFonts w:ascii="Times New Roman" w:cs="Times New Roman" w:eastAsia="Times New Roman" w:hAnsi="Times New Roman"/>
          <w:sz w:val="17"/>
          <w:szCs w:val="17"/>
          <w:color w:val="auto"/>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spacing w:after="0" w:line="154"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7"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91" w:lineRule="exact"/>
        <w:rPr>
          <w:sz w:val="20"/>
          <w:szCs w:val="20"/>
          <w:color w:val="auto"/>
        </w:rPr>
      </w:pPr>
    </w:p>
    <w:p>
      <w:pPr>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0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109"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62"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Jurisdictions Where We Operate</w:t>
      </w:r>
    </w:p>
    <w:p>
      <w:pPr>
        <w:spacing w:after="0" w:line="225" w:lineRule="exact"/>
        <w:rPr>
          <w:sz w:val="20"/>
          <w:szCs w:val="20"/>
          <w:color w:val="auto"/>
        </w:rPr>
      </w:pPr>
    </w:p>
    <w:p>
      <w:pPr>
        <w:ind w:left="4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4" w:lineRule="exact"/>
        <w:rPr>
          <w:sz w:val="20"/>
          <w:szCs w:val="20"/>
          <w:color w:val="auto"/>
        </w:rPr>
      </w:pPr>
    </w:p>
    <w:p>
      <w:pPr>
        <w:ind w:left="4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in respect of acts of war, terrorist attacks, epidemics, political unrest, natural disasters, adverse weather and other uncontrollable events.</w:t>
      </w:r>
    </w:p>
    <w:p>
      <w:pPr>
        <w:spacing w:after="0" w:line="9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spacing w:after="0" w:line="184" w:lineRule="exact"/>
        <w:rPr>
          <w:sz w:val="20"/>
          <w:szCs w:val="20"/>
          <w:color w:val="auto"/>
        </w:rPr>
      </w:pPr>
    </w:p>
    <w:p>
      <w:pPr>
        <w:ind w:left="4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and policies, and any actual or perceived failure to comply could harm our reputation and brand, subject us to significant fines and liability, or otherwise adversely affect our business.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225" w:lineRule="exact"/>
        <w:rPr>
          <w:sz w:val="20"/>
          <w:szCs w:val="20"/>
          <w:color w:val="auto"/>
        </w:rPr>
      </w:pPr>
    </w:p>
    <w:p>
      <w:pPr>
        <w:ind w:left="4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our ADSs may not develop and the trading price for our ADSs may fluctuate significantly.</w:t>
      </w:r>
    </w:p>
    <w:p>
      <w:pPr>
        <w:spacing w:after="0" w:line="78"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88" w:lineRule="exact"/>
        <w:rPr>
          <w:sz w:val="20"/>
          <w:szCs w:val="20"/>
          <w:color w:val="auto"/>
        </w:rPr>
      </w:pPr>
    </w:p>
    <w:p>
      <w:pPr>
        <w:ind w:left="4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9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2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85"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9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our founder, chairman of board of directors and chief executive officer, Mr. Soon Huat Lim, will together beneficially own all of our issued Class A ordinary shares. These Class A ordinary shares will constitute approximately 9.7% of our total issued and outstanding share capital immediately after the completion of this offering and 86.5%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ADSs.</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86" w:lineRule="exact"/>
        <w:rPr>
          <w:sz w:val="20"/>
          <w:szCs w:val="20"/>
          <w:color w:val="auto"/>
        </w:rPr>
      </w:pPr>
    </w:p>
    <w:p>
      <w:pPr>
        <w:jc w:val="both"/>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07"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9" w:lineRule="exact"/>
        <w:rPr>
          <w:sz w:val="20"/>
          <w:szCs w:val="20"/>
          <w:color w:val="auto"/>
        </w:rPr>
      </w:pPr>
    </w:p>
    <w:p>
      <w:pPr>
        <w:ind w:left="4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99"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89"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91"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of the Public Offering ADSs.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89" w:lineRule="auto"/>
        <w:rPr>
          <w:sz w:val="20"/>
          <w:szCs w:val="20"/>
          <w:color w:val="auto"/>
        </w:rPr>
      </w:pPr>
      <w:r>
        <w:rPr>
          <w:rFonts w:ascii="Times New Roman" w:cs="Times New Roman" w:eastAsia="Times New Roman" w:hAnsi="Times New Roman"/>
          <w:sz w:val="17"/>
          <w:szCs w:val="17"/>
          <w:color w:val="auto"/>
        </w:rPr>
        <w:t>In addition, you may experience 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spacing w:after="0" w:line="140" w:lineRule="exact"/>
        <w:rPr>
          <w:sz w:val="20"/>
          <w:szCs w:val="20"/>
          <w:color w:val="auto"/>
        </w:rPr>
      </w:pPr>
    </w:p>
    <w:p>
      <w:pPr>
        <w:ind w:left="4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of the Public Offering ADSs and we may use these proceeds in ways with which you may not agree.</w:t>
      </w:r>
    </w:p>
    <w:p>
      <w:pPr>
        <w:spacing w:after="0" w:line="6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of the Public Offering ADSs,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of the Public Offering ADSs.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171"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64"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7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contain anti-takeover provisions that could have a material adverse effect on the rights of holders of our ordinary shares and the ADSs.</w:t>
      </w:r>
    </w:p>
    <w:p>
      <w:pPr>
        <w:spacing w:after="0" w:line="6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78"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9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499"/>
        <w:spacing w:after="0" w:line="267" w:lineRule="auto"/>
        <w:rPr>
          <w:sz w:val="20"/>
          <w:szCs w:val="20"/>
          <w:color w:val="auto"/>
        </w:rPr>
      </w:pPr>
      <w:r>
        <w:rPr>
          <w:rFonts w:ascii="Times New Roman" w:cs="Times New Roman" w:eastAsia="Times New Roman" w:hAnsi="Times New Roman"/>
          <w:sz w:val="17"/>
          <w:szCs w:val="17"/>
          <w:color w:val="auto"/>
        </w:rPr>
        <w:t>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spacing w:after="0" w:line="397" w:lineRule="exact"/>
        <w:rPr>
          <w:sz w:val="20"/>
          <w:szCs w:val="20"/>
          <w:color w:val="auto"/>
        </w:rPr>
      </w:pPr>
    </w:p>
    <w:p>
      <w:pPr>
        <w:jc w:val="both"/>
        <w:ind w:left="4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6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08" w:lineRule="exact"/>
        <w:rPr>
          <w:sz w:val="20"/>
          <w:szCs w:val="20"/>
          <w:color w:val="auto"/>
        </w:rPr>
      </w:pPr>
    </w:p>
    <w:p>
      <w:pPr>
        <w:ind w:left="1320" w:right="77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poll, the depository bank will vote (or cause the custodian to vote) the ordinary shares held on deposit in accordance with the voting instructions received from the holders of ADSs.</w:t>
      </w:r>
    </w:p>
    <w:p>
      <w:pPr>
        <w:spacing w:after="0" w:line="108"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9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10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spacing w:after="0" w:line="9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35" w:lineRule="exact"/>
        <w:rPr>
          <w:sz w:val="20"/>
          <w:szCs w:val="20"/>
          <w:color w:val="auto"/>
        </w:rPr>
      </w:pPr>
    </w:p>
    <w:p>
      <w:pPr>
        <w:ind w:left="460" w:right="1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w:t>
      </w:r>
    </w:p>
    <w:p>
      <w:pPr>
        <w:spacing w:after="0" w:line="7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47"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4"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3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519"/>
        <w:spacing w:after="0" w:line="261" w:lineRule="auto"/>
        <w:rPr>
          <w:sz w:val="20"/>
          <w:szCs w:val="20"/>
          <w:color w:val="auto"/>
        </w:rPr>
      </w:pPr>
      <w:r>
        <w:rPr>
          <w:rFonts w:ascii="Times New Roman" w:cs="Times New Roman" w:eastAsia="Times New Roman" w:hAnsi="Times New Roman"/>
          <w:sz w:val="18"/>
          <w:szCs w:val="18"/>
          <w:color w:val="auto"/>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62"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4" w:lineRule="exact"/>
        <w:rPr>
          <w:sz w:val="20"/>
          <w:szCs w:val="20"/>
          <w:color w:val="auto"/>
        </w:rPr>
      </w:pPr>
    </w:p>
    <w:p>
      <w:pPr>
        <w:ind w:left="460" w:right="1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7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4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79"/>
        <w:spacing w:after="0" w:line="256" w:lineRule="auto"/>
        <w:rPr>
          <w:sz w:val="20"/>
          <w:szCs w:val="20"/>
          <w:color w:val="auto"/>
        </w:rPr>
      </w:pPr>
      <w:r>
        <w:rPr>
          <w:rFonts w:ascii="Times New Roman" w:cs="Times New Roman" w:eastAsia="Times New Roman" w:hAnsi="Times New Roman"/>
          <w:sz w:val="18"/>
          <w:szCs w:val="18"/>
          <w:color w:val="auto"/>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spacing w:after="0" w:line="183" w:lineRule="exact"/>
        <w:rPr>
          <w:sz w:val="20"/>
          <w:szCs w:val="20"/>
          <w:color w:val="auto"/>
        </w:rPr>
      </w:pPr>
    </w:p>
    <w:p>
      <w:pPr>
        <w:ind w:left="4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91"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B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spacing w:after="0" w:line="12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w:t>
      </w:r>
    </w:p>
    <w:p>
      <w:pPr>
        <w:spacing w:after="0" w:line="2"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0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2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76" w:lineRule="exact"/>
        <w:rPr>
          <w:sz w:val="20"/>
          <w:szCs w:val="20"/>
          <w:color w:val="auto"/>
        </w:rPr>
      </w:pPr>
    </w:p>
    <w:p>
      <w:pPr>
        <w:ind w:left="4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the Cayman Islands, we are permitted to adopt certain home country practices in relation to corporate governance matters that differ significantly from the Nasdaq Stock Market Rules.</w:t>
      </w:r>
    </w:p>
    <w:p>
      <w:pPr>
        <w:spacing w:after="0" w:line="68" w:lineRule="exact"/>
        <w:rPr>
          <w:sz w:val="20"/>
          <w:szCs w:val="20"/>
          <w:color w:val="auto"/>
        </w:rPr>
      </w:pPr>
    </w:p>
    <w:p>
      <w:pPr>
        <w:jc w:val="both"/>
        <w:ind w:left="460" w:right="579" w:firstLine="432"/>
        <w:spacing w:after="0" w:line="272" w:lineRule="auto"/>
        <w:rPr>
          <w:sz w:val="20"/>
          <w:szCs w:val="20"/>
          <w:color w:val="auto"/>
        </w:rPr>
      </w:pPr>
      <w:r>
        <w:rPr>
          <w:rFonts w:ascii="Times New Roman" w:cs="Times New Roman" w:eastAsia="Times New Roman" w:hAnsi="Times New Roman"/>
          <w:sz w:val="17"/>
          <w:szCs w:val="17"/>
          <w:color w:val="auto"/>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w:t>
      </w:r>
    </w:p>
    <w:p>
      <w:pPr>
        <w:spacing w:after="0" w:line="2" w:lineRule="exact"/>
        <w:rPr>
          <w:sz w:val="20"/>
          <w:szCs w:val="20"/>
          <w:color w:val="auto"/>
        </w:rPr>
      </w:pPr>
    </w:p>
    <w:p>
      <w:pPr>
        <w:jc w:val="both"/>
        <w:ind w:left="460" w:right="519"/>
        <w:spacing w:after="0" w:line="255" w:lineRule="auto"/>
        <w:rPr>
          <w:sz w:val="20"/>
          <w:szCs w:val="20"/>
          <w:color w:val="auto"/>
        </w:rPr>
      </w:pPr>
      <w:r>
        <w:rPr>
          <w:rFonts w:ascii="Times New Roman" w:cs="Times New Roman" w:eastAsia="Times New Roman" w:hAnsi="Times New Roman"/>
          <w:sz w:val="18"/>
          <w:szCs w:val="18"/>
          <w:color w:val="auto"/>
        </w:rPr>
        <w:t>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05" w:lineRule="exact"/>
        <w:rPr>
          <w:sz w:val="20"/>
          <w:szCs w:val="20"/>
          <w:color w:val="auto"/>
        </w:rPr>
      </w:pPr>
    </w:p>
    <w:p>
      <w:pPr>
        <w:jc w:val="both"/>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4" w:lineRule="exact"/>
        <w:rPr>
          <w:sz w:val="20"/>
          <w:szCs w:val="20"/>
          <w:color w:val="auto"/>
        </w:rPr>
      </w:pPr>
    </w:p>
    <w:p>
      <w:pPr>
        <w:ind w:left="460" w:right="479" w:firstLine="432"/>
        <w:spacing w:after="0" w:line="312" w:lineRule="auto"/>
        <w:rPr>
          <w:sz w:val="20"/>
          <w:szCs w:val="20"/>
          <w:color w:val="auto"/>
        </w:rPr>
      </w:pPr>
      <w:r>
        <w:rPr>
          <w:rFonts w:ascii="Times New Roman" w:cs="Times New Roman" w:eastAsia="Times New Roman" w:hAnsi="Times New Roman"/>
          <w:sz w:val="17"/>
          <w:szCs w:val="17"/>
          <w:color w:val="auto"/>
        </w:rPr>
        <w:t>Because we are a foreign private issuer under the Exchange Act, we are exempt from certain provisions of the securities rules and regulations in the United States that are applicable to U.S. domestic issuers, including:</w:t>
      </w:r>
    </w:p>
    <w:p>
      <w:pPr>
        <w:spacing w:after="0" w:line="32" w:lineRule="exact"/>
        <w:rPr>
          <w:sz w:val="20"/>
          <w:szCs w:val="20"/>
          <w:color w:val="auto"/>
        </w:rPr>
      </w:pPr>
    </w:p>
    <w:p>
      <w:pPr>
        <w:ind w:left="1320" w:right="6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53"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320" w:right="499" w:hanging="434"/>
        <w:spacing w:after="0" w:line="312" w:lineRule="auto"/>
        <w:tabs>
          <w:tab w:leader="none" w:pos="13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liability for insiders who profit from trades made in a short period of time;</w:t>
      </w:r>
    </w:p>
    <w:p>
      <w:pPr>
        <w:spacing w:after="0" w:line="31"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and</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13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08" w:lineRule="exact"/>
        <w:rPr>
          <w:sz w:val="20"/>
          <w:szCs w:val="20"/>
          <w:color w:val="auto"/>
        </w:rPr>
      </w:pPr>
    </w:p>
    <w:p>
      <w:pPr>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spacing w:after="0" w:line="160" w:lineRule="exact"/>
        <w:rPr>
          <w:sz w:val="20"/>
          <w:szCs w:val="20"/>
          <w:color w:val="auto"/>
        </w:rPr>
      </w:pPr>
    </w:p>
    <w:p>
      <w:pPr>
        <w:jc w:val="both"/>
        <w:ind w:left="460" w:right="9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4"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will be a “controlled company” as defined under the Nasdaq Stock Market Rules upon the completion of this offering. Upon the completion of this offering, Mr. Soon Huat Lim, our founder, chairman of board of directors and chief executive officer will beneficially own 48.7% of our total issued and outstanding ordinary shares, representing 92.4% of the total voting power. As a result, Mr. Soon Huat Lim will have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including the proceeds from this offering of the Public Offering ADSs,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2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w:t>
      </w:r>
    </w:p>
    <w:p>
      <w:pPr>
        <w:spacing w:after="0" w:line="148" w:lineRule="exact"/>
        <w:rPr>
          <w:sz w:val="20"/>
          <w:szCs w:val="20"/>
          <w:color w:val="auto"/>
        </w:rPr>
      </w:pPr>
    </w:p>
    <w:p>
      <w:pPr>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Upon the completion of this offering, we will become a public company and expect to incur significant legal, accounting and other expenses that we did not incur as a private company. The Sarbanes-Oxley</w:t>
      </w:r>
    </w:p>
    <w:p>
      <w:pPr>
        <w:spacing w:after="0" w:line="1"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4" w:lineRule="exact"/>
        <w:rPr>
          <w:sz w:val="20"/>
          <w:szCs w:val="20"/>
          <w:color w:val="auto"/>
        </w:rPr>
      </w:pPr>
    </w:p>
    <w:p>
      <w:pPr>
        <w:ind w:left="460" w:right="979" w:firstLine="432"/>
        <w:spacing w:after="0" w:line="266" w:lineRule="auto"/>
        <w:rPr>
          <w:sz w:val="20"/>
          <w:szCs w:val="20"/>
          <w:color w:val="auto"/>
        </w:rPr>
      </w:pPr>
      <w:r>
        <w:rPr>
          <w:rFonts w:ascii="Times New Roman" w:cs="Times New Roman" w:eastAsia="Times New Roman" w:hAnsi="Times New Roman"/>
          <w:sz w:val="18"/>
          <w:szCs w:val="18"/>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72" w:lineRule="exact"/>
        <w:rPr>
          <w:sz w:val="20"/>
          <w:szCs w:val="20"/>
          <w:color w:val="auto"/>
        </w:rPr>
      </w:pPr>
    </w:p>
    <w:p>
      <w:pPr>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13"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spacing w:after="0" w:line="108"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spacing w:after="0" w:line="124" w:lineRule="exact"/>
        <w:rPr>
          <w:sz w:val="20"/>
          <w:szCs w:val="20"/>
          <w:color w:val="auto"/>
        </w:rPr>
      </w:pPr>
    </w:p>
    <w:p>
      <w:pPr>
        <w:ind w:left="460" w:right="539" w:firstLine="432"/>
        <w:spacing w:after="0" w:line="312" w:lineRule="auto"/>
        <w:rPr>
          <w:sz w:val="20"/>
          <w:szCs w:val="20"/>
          <w:color w:val="auto"/>
        </w:rPr>
      </w:pPr>
      <w:r>
        <w:rPr>
          <w:rFonts w:ascii="Times New Roman" w:cs="Times New Roman" w:eastAsia="Times New Roman" w:hAnsi="Times New Roman"/>
          <w:sz w:val="17"/>
          <w:szCs w:val="17"/>
          <w:color w:val="auto"/>
        </w:rPr>
        <w:t>In response to the material weaknesses identified prior to this offering, we are in the process of implementing a number of measures to address the material weaknesses identified, including but not limited to:</w:t>
      </w:r>
    </w:p>
    <w:p>
      <w:pPr>
        <w:spacing w:after="0" w:line="72" w:lineRule="exact"/>
        <w:rPr>
          <w:sz w:val="20"/>
          <w:szCs w:val="20"/>
          <w:color w:val="auto"/>
        </w:rPr>
      </w:pPr>
    </w:p>
    <w:p>
      <w:pPr>
        <w:ind w:left="1320" w:right="10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comprehensive set of processes and internal controls to timely and appropriately;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transactions that may be subject to complex U.S. GAAP accounting treatment;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the transactions in accordance with the relevant U.S. GAAP;</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accounting technical analysis;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ongoing training program to provide sufficient and appropriate trainings for accounting and financial reporting personnel, including trainings related to U.S. GAAP and SEC reporting requirements.</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8" w:lineRule="auto"/>
        <w:rPr>
          <w:sz w:val="20"/>
          <w:szCs w:val="20"/>
          <w:color w:val="auto"/>
        </w:rPr>
      </w:pPr>
      <w:r>
        <w:rPr>
          <w:rFonts w:ascii="Times New Roman" w:cs="Times New Roman" w:eastAsia="Times New Roman" w:hAnsi="Times New Roman"/>
          <w:sz w:val="18"/>
          <w:szCs w:val="18"/>
          <w:color w:val="auto"/>
        </w:rPr>
        <w:t>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spacing w:after="0" w:line="116"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3"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78"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90"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9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99"/>
        <w:spacing w:after="0" w:line="266" w:lineRule="auto"/>
        <w:rPr>
          <w:sz w:val="20"/>
          <w:szCs w:val="20"/>
          <w:color w:val="auto"/>
        </w:rPr>
      </w:pPr>
      <w:r>
        <w:rPr>
          <w:rFonts w:ascii="Times New Roman" w:cs="Times New Roman" w:eastAsia="Times New Roman" w:hAnsi="Times New Roman"/>
          <w:sz w:val="18"/>
          <w:szCs w:val="18"/>
          <w:color w:val="auto"/>
        </w:rPr>
        <w:t>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could be subject to rapid and substantial volatility.</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spacing w:after="0" w:line="12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spacing w:after="0" w:line="188" w:lineRule="exact"/>
        <w:rPr>
          <w:sz w:val="20"/>
          <w:szCs w:val="20"/>
          <w:color w:val="auto"/>
        </w:rPr>
      </w:pPr>
    </w:p>
    <w:p>
      <w:pPr>
        <w:ind w:left="4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may be substantial sales of our ADSs by the Selling Shareholder after the effective date of this registration statement of which this prospectus forms a part, which could have a material adverse effect on the price of our ADSs after this offering of Public Offering ADSs.</w:t>
      </w:r>
    </w:p>
    <w:p>
      <w:pPr>
        <w:spacing w:after="0" w:line="9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also registers on behalf of the Selling Shareholder an aggregate of 3,125,000 ADSs representing 25,000,000 Class B ordinary shares. The Selling Shareholder, however, will not be required to sell any or all of its respective Shareholder ADSs or, conversely, the Selling Shareholder may choose to sell its respective Shareholder ADSs at its own initiative. Sales of a substantial number of ADSs representing our Class B ordinary shares by the Selling Shareholder after the effective date of the registration statement of which this prospectus forms a part could cause the market price of our ADSs to drop (possibly below the initial public offering price of the Public Offering ADSs in this offering of Public Offering ADSs) and could impair our ability to raise capital in the future by selling additional Company securities.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148"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0"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digital solutions and e-commerce market in Singapore, Southeast Asia and globally;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Singapore, Southeast Asia and globally.</w:t>
      </w:r>
    </w:p>
    <w:p>
      <w:pPr>
        <w:spacing w:after="0" w:line="15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24"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spacing w:after="0" w:line="108" w:lineRule="exact"/>
        <w:rPr>
          <w:sz w:val="20"/>
          <w:szCs w:val="20"/>
          <w:color w:val="auto"/>
        </w:rPr>
      </w:pPr>
    </w:p>
    <w:p>
      <w:pPr>
        <w:jc w:val="both"/>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estimate that the aggregate net proceeds to us from this offering of approximately US$7.96 million of the Public Offering ADSs, after deducting underwriting discounts, non-accountable expense allowance and estimated expenses payable by us in connection with this offering, and assuming an initial offering price of US$6.00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US$6.00 per ADS would increase (decrease) the net proceeds of this offering of the Public Offering ADSs by approximately US$1.80 million.</w:t>
      </w:r>
    </w:p>
    <w:p>
      <w:pPr>
        <w:spacing w:after="0" w:line="121" w:lineRule="exact"/>
        <w:rPr>
          <w:sz w:val="20"/>
          <w:szCs w:val="20"/>
          <w:color w:val="auto"/>
        </w:rPr>
      </w:pPr>
    </w:p>
    <w:p>
      <w:pPr>
        <w:ind w:left="460" w:right="959"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Shareholder ADSs by the Selling Shareholder pursuant to the Resale Prospectus.</w:t>
      </w:r>
    </w:p>
    <w:p>
      <w:pPr>
        <w:spacing w:after="0" w:line="9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of the Public Offering ADSs for the following purposes:</w:t>
      </w:r>
    </w:p>
    <w:p>
      <w:pPr>
        <w:spacing w:after="0" w:line="99" w:lineRule="exact"/>
        <w:rPr>
          <w:sz w:val="20"/>
          <w:szCs w:val="20"/>
          <w:color w:val="auto"/>
        </w:rPr>
      </w:pPr>
    </w:p>
    <w:p>
      <w:pPr>
        <w:ind w:left="1320" w:right="75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of the net proceeds for research and development, including development of infrastructure for our Web 3.0 e-commerce platform and further investment in our solutions;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of the net proceeds for investment in the Singapore market; and</w:t>
      </w:r>
    </w:p>
    <w:p>
      <w:pPr>
        <w:spacing w:after="0" w:line="157" w:lineRule="exact"/>
        <w:rPr>
          <w:rFonts w:ascii="Times New Roman" w:cs="Times New Roman" w:eastAsia="Times New Roman" w:hAnsi="Times New Roman"/>
          <w:sz w:val="18"/>
          <w:szCs w:val="18"/>
          <w:color w:val="auto"/>
        </w:rPr>
      </w:pPr>
    </w:p>
    <w:p>
      <w:pPr>
        <w:jc w:val="both"/>
        <w:ind w:left="1320" w:right="499" w:hanging="434"/>
        <w:spacing w:after="0" w:line="266"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spacing w:after="0" w:line="95"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of the Public Offering ADSs and we may use these proceeds in ways with which you may not agree.”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spacing w:after="0" w:line="11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07"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2023:</w:t>
      </w:r>
    </w:p>
    <w:p>
      <w:pPr>
        <w:spacing w:after="0" w:line="104"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03" w:lineRule="exact"/>
        <w:rPr>
          <w:rFonts w:ascii="Times New Roman" w:cs="Times New Roman" w:eastAsia="Times New Roman" w:hAnsi="Times New Roman"/>
          <w:sz w:val="18"/>
          <w:szCs w:val="18"/>
          <w:color w:val="auto"/>
        </w:rPr>
      </w:pPr>
    </w:p>
    <w:p>
      <w:pPr>
        <w:ind w:left="1320" w:right="559" w:hanging="434"/>
        <w:spacing w:after="0" w:line="258"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as adjusted basis to reflect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48" w:lineRule="exact"/>
        <w:rPr>
          <w:rFonts w:ascii="Times New Roman" w:cs="Times New Roman" w:eastAsia="Times New Roman" w:hAnsi="Times New Roman"/>
          <w:sz w:val="18"/>
          <w:szCs w:val="18"/>
          <w:color w:val="auto"/>
        </w:rPr>
      </w:pPr>
    </w:p>
    <w:p>
      <w:pPr>
        <w:ind w:left="1320" w:right="559" w:hanging="434"/>
        <w:spacing w:after="0" w:line="258"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w:t>
      </w:r>
    </w:p>
    <w:p>
      <w:pPr>
        <w:spacing w:after="0" w:line="62" w:lineRule="exact"/>
        <w:rPr>
          <w:sz w:val="20"/>
          <w:szCs w:val="20"/>
          <w:color w:val="auto"/>
        </w:rPr>
      </w:pPr>
    </w:p>
    <w:p>
      <w:pPr>
        <w:ind w:left="460" w:right="539" w:firstLine="432"/>
        <w:spacing w:after="0" w:line="274" w:lineRule="auto"/>
        <w:rPr>
          <w:sz w:val="20"/>
          <w:szCs w:val="20"/>
          <w:color w:val="auto"/>
        </w:rPr>
      </w:pPr>
      <w:r>
        <w:rPr>
          <w:rFonts w:ascii="Times New Roman" w:cs="Times New Roman" w:eastAsia="Times New Roman" w:hAnsi="Times New Roman"/>
          <w:sz w:val="17"/>
          <w:szCs w:val="17"/>
          <w:color w:val="auto"/>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7"/>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As of June 30, 2023</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Actual</w:t>
            </w:r>
          </w:p>
        </w:tc>
        <w:tc>
          <w:tcPr>
            <w:tcW w:w="108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2"/>
                <w:szCs w:val="22"/>
                <w:color w:val="auto"/>
              </w:rPr>
            </w:pPr>
          </w:p>
        </w:tc>
        <w:tc>
          <w:tcPr>
            <w:tcW w:w="88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As Adjusted</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22"/>
                <w:szCs w:val="22"/>
                <w:color w:val="auto"/>
              </w:rPr>
            </w:pPr>
          </w:p>
        </w:tc>
        <w:tc>
          <w:tcPr>
            <w:tcW w:w="10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As Adjusted</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21"/>
        </w:trPr>
        <w:tc>
          <w:tcPr>
            <w:tcW w:w="4940" w:type="dxa"/>
            <w:vAlign w:val="bottom"/>
          </w:tcPr>
          <w:p>
            <w:pPr>
              <w:spacing w:after="0"/>
              <w:rPr>
                <w:sz w:val="19"/>
                <w:szCs w:val="19"/>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US$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US$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US$</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40,197</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fees advance from shareholders</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7,590,421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loans</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561,998</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561,998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561,998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US$0.00001 per share;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1,000,000,000 Class A ordinary shares authorized,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50,000,000 and 50,000,000 Class A ordinary shares issued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June 30, 2023 and December 31, 2022,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4,000,000,000 Class B ordinary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360,205,000 and 360,205,000 Class B ordinary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June 30, 2023 and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4,102</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32,240</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8,631,312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16,592,097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(3,259,598)</w:t>
            </w:r>
          </w:p>
        </w:tc>
        <w:tc>
          <w:tcPr>
            <w:tcW w:w="11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(3,259,598)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(3,259,598)</w:t>
            </w:r>
          </w:p>
        </w:tc>
        <w:tc>
          <w:tcPr>
            <w:tcW w:w="0" w:type="dxa"/>
            <w:vAlign w:val="bottom"/>
          </w:tcPr>
          <w:p>
            <w:pPr>
              <w:spacing w:after="0"/>
              <w:rPr>
                <w:sz w:val="1"/>
                <w:szCs w:val="1"/>
                <w:color w:val="auto"/>
              </w:rPr>
            </w:pPr>
          </w:p>
        </w:tc>
      </w:tr>
      <w:tr>
        <w:trPr>
          <w:trHeight w:val="257"/>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87,496</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(3,226,191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5,464,230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13,425,159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10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8,966,857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16,927,786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of 89,795,000 shares of Class B ordinary shares on July 4, 2023 for the consideration of</w:t>
      </w:r>
    </w:p>
    <w:p>
      <w:pPr>
        <w:spacing w:after="0" w:line="26" w:lineRule="exact"/>
        <w:rPr>
          <w:rFonts w:ascii="Times New Roman" w:cs="Times New Roman" w:eastAsia="Times New Roman" w:hAnsi="Times New Roman"/>
          <w:sz w:val="16"/>
          <w:szCs w:val="16"/>
          <w:color w:val="auto"/>
        </w:rPr>
      </w:pPr>
    </w:p>
    <w:p>
      <w:pPr>
        <w:ind w:left="880" w:right="73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US$7,499,990 (received in cash and recorded as subscription fees advance from shareholders as of June 30, 2023) and the issuance of 1,964,286 shares of Class B ordinary shares on October 3, 2023 for the consideration of US$1,100,000.</w:t>
      </w:r>
    </w:p>
    <w:p>
      <w:pPr>
        <w:ind w:left="880" w:right="499" w:hanging="426"/>
        <w:spacing w:after="0" w:line="268"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12"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Our actual net tangible book value as of June 30, 2023 was approximately US$3.23 million in deficit, or US$0.01 per ordinary share in deficit and US$0.05 per ADS in deficit, respectively as of such date. Our actual as adjusted net tangible book value as of June 30, 2023 was approximately US$5.46 million, or US$0.01 per ordinary share and US$0.09 per ADS, respectively as of such date. Such actual as adjusted net tangible book value reflects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US$6.00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spacing w:after="0" w:line="13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Without taking into account any other changes in actual as adjusted net tangible book value after June 30, 2023, other than to give effect to our sale of the ADSs offered in this offering at the assumed initial public offering price of US$6.00 per ADS, which is the midpoint of the estimated initial public offering price range shown on the front cover of this prospectus, after deduction of the underwriting discounts and commissions and estimated offering expenses payable by us, the pro forma as adjusted net tangible book value as of June 30,</w:t>
      </w:r>
    </w:p>
    <w:p>
      <w:pPr>
        <w:spacing w:after="0" w:line="3"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2023 would have been US$12.99 million, or US$0.03 per ordinary share and US$0.20 per ADS. This represents an immediate increase in actual as adjusted net tangible book value of US$0.02 per ordinary share and US$0.11 per ADS to the existing shareholders and an immediate dilution in actual as adjusted net tangible book value of US$0.72 per ordinary share and US$5.80 per ADS to investors purchasing ADSs in this offering. The following table illustrates such dilution:</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Per ordinary</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2"/>
        </w:trPr>
        <w:tc>
          <w:tcPr>
            <w:tcW w:w="5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 ADS</w:t>
            </w:r>
          </w:p>
        </w:tc>
      </w:tr>
      <w:tr>
        <w:trPr>
          <w:trHeight w:val="47"/>
        </w:trPr>
        <w:tc>
          <w:tcPr>
            <w:tcW w:w="54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Actual net tangible book value (deficit) as of June 30, 2023</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40"/>
        </w:trPr>
        <w:tc>
          <w:tcPr>
            <w:tcW w:w="5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as adjusted net tangible book value as of June 30, 2023</w:t>
            </w:r>
            <w:r>
              <w:rPr>
                <w:rFonts w:ascii="Times New Roman" w:cs="Times New Roman" w:eastAsia="Times New Roman" w:hAnsi="Times New Roman"/>
                <w:sz w:val="20"/>
                <w:szCs w:val="20"/>
                <w:color w:val="auto"/>
                <w:vertAlign w:val="superscript"/>
              </w:rPr>
              <w:t>(1)</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 to this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0.20</w:t>
            </w:r>
          </w:p>
        </w:tc>
      </w:tr>
      <w:tr>
        <w:trPr>
          <w:trHeight w:val="40"/>
        </w:trPr>
        <w:tc>
          <w:tcPr>
            <w:tcW w:w="5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 of dilution in actual as adjusted net tangible book value to new</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investors in this offering</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5.80</w:t>
            </w:r>
          </w:p>
        </w:tc>
      </w:tr>
      <w:tr>
        <w:trPr>
          <w:trHeight w:val="40"/>
        </w:trPr>
        <w:tc>
          <w:tcPr>
            <w:tcW w:w="5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89,795,000 Class B ordinary shares on July 4, 2023 for the consideration of</w:t>
      </w:r>
    </w:p>
    <w:p>
      <w:pPr>
        <w:spacing w:after="0" w:line="26" w:lineRule="exact"/>
        <w:rPr>
          <w:rFonts w:ascii="Times New Roman" w:cs="Times New Roman" w:eastAsia="Times New Roman" w:hAnsi="Times New Roman"/>
          <w:sz w:val="16"/>
          <w:szCs w:val="16"/>
          <w:color w:val="auto"/>
        </w:rPr>
      </w:pPr>
    </w:p>
    <w:p>
      <w:pPr>
        <w:ind w:left="880" w:right="739"/>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US$6.00 per ADS would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increase (decrease) the pro forma as adjusted net tangible book value after giving effect to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US$1.80 million, the pro forma as adjusted net tangible book value per ordinary share and per ADS after giving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effect to this offering by US$0.003 per ordinary share and US$0.03 per ADS, and the dilution in the pro forma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adjusted net tangible book value per ordinary share and per ADS to new investors in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US$0.72 per ordinary share and US$5.77 per ADS, assuming no change to the number of ADSs offered by us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set forth on the front cover of this prospectus, and after deducting underwriting discounts and commissions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estimated offering expenses payable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June 30,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Ordinary Shares Purchased</w:t>
            </w:r>
          </w:p>
        </w:tc>
        <w:tc>
          <w:tcPr>
            <w:tcW w:w="380" w:type="dxa"/>
            <w:vAlign w:val="bottom"/>
          </w:tcPr>
          <w:p>
            <w:pPr>
              <w:spacing w:after="0"/>
              <w:rPr>
                <w:sz w:val="17"/>
                <w:szCs w:val="17"/>
                <w:color w:val="auto"/>
              </w:rPr>
            </w:pPr>
          </w:p>
        </w:tc>
        <w:tc>
          <w:tcPr>
            <w:tcW w:w="192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18"/>
        </w:trPr>
        <w:tc>
          <w:tcPr>
            <w:tcW w:w="18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Ordinary</w:t>
            </w:r>
          </w:p>
        </w:tc>
        <w:tc>
          <w:tcPr>
            <w:tcW w:w="80" w:type="dxa"/>
            <w:vAlign w:val="bottom"/>
          </w:tcPr>
          <w:p>
            <w:pPr>
              <w:spacing w:after="0"/>
              <w:rPr>
                <w:sz w:val="10"/>
                <w:szCs w:val="10"/>
                <w:color w:val="auto"/>
              </w:rPr>
            </w:pPr>
          </w:p>
        </w:tc>
        <w:tc>
          <w:tcPr>
            <w:tcW w:w="92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8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3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ADS</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501,964,286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8,603,742</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US$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10,800,000</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55.7% US$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516,364,286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19,403,742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08" w:lineRule="exact"/>
        <w:rPr>
          <w:sz w:val="20"/>
          <w:szCs w:val="20"/>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94" w:lineRule="exact"/>
        <w:rPr>
          <w:sz w:val="20"/>
          <w:szCs w:val="20"/>
          <w:color w:val="auto"/>
        </w:rPr>
      </w:pPr>
    </w:p>
    <w:p>
      <w:pPr>
        <w:ind w:left="1320" w:right="679" w:hanging="434"/>
        <w:spacing w:after="0" w:line="266"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8" w:lineRule="exact"/>
        <w:rPr>
          <w:rFonts w:ascii="Times New Roman" w:cs="Times New Roman" w:eastAsia="Times New Roman" w:hAnsi="Times New Roman"/>
          <w:sz w:val="18"/>
          <w:szCs w:val="18"/>
          <w:color w:val="auto"/>
        </w:rPr>
      </w:pPr>
    </w:p>
    <w:p>
      <w:pPr>
        <w:ind w:left="1320" w:right="133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81"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08"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21"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 as our agent upon whom process may be served in any action brought against us under the securities laws of the United States.</w:t>
      </w:r>
    </w:p>
    <w:p>
      <w:pPr>
        <w:spacing w:after="0" w:line="107"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10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08" w:lineRule="exact"/>
        <w:rPr>
          <w:sz w:val="20"/>
          <w:szCs w:val="20"/>
          <w:color w:val="auto"/>
        </w:rPr>
      </w:pPr>
    </w:p>
    <w:p>
      <w:pPr>
        <w:jc w:val="both"/>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Cayman Islands court may stay enforcement proceedings if concurrent proceedings are being brought elsewhere.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2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1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spacing w:after="0" w:line="9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102870</wp:posOffset>
            </wp:positionV>
            <wp:extent cx="3034665" cy="1791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3466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4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2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revenue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Selling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General and administrative expenses</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54" w:lineRule="exact"/>
        <w:rPr>
          <w:sz w:val="20"/>
          <w:szCs w:val="20"/>
          <w:color w:val="auto"/>
        </w:rPr>
      </w:pPr>
    </w:p>
    <w:p>
      <w:pPr>
        <w:ind w:left="640" w:right="440" w:hanging="179"/>
        <w:spacing w:after="0" w:line="282" w:lineRule="auto"/>
        <w:rPr>
          <w:sz w:val="20"/>
          <w:szCs w:val="20"/>
          <w:color w:val="auto"/>
        </w:rPr>
      </w:pPr>
      <w:r>
        <w:rPr>
          <w:rFonts w:ascii="Times New Roman" w:cs="Times New Roman" w:eastAsia="Times New Roman" w:hAnsi="Times New Roman"/>
          <w:sz w:val="18"/>
          <w:szCs w:val="18"/>
          <w:color w:val="auto"/>
        </w:rPr>
        <w:t>(Loss)/Income before income tax expense</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(loss)/income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comprehensive loss:</w:t>
      </w:r>
    </w:p>
    <w:p>
      <w:pPr>
        <w:spacing w:after="0" w:line="54" w:lineRule="exact"/>
        <w:rPr>
          <w:sz w:val="20"/>
          <w:szCs w:val="20"/>
          <w:color w:val="auto"/>
        </w:rPr>
      </w:pPr>
    </w:p>
    <w:p>
      <w:pPr>
        <w:ind w:left="820" w:right="600" w:hanging="179"/>
        <w:spacing w:after="0" w:line="282" w:lineRule="auto"/>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p>
      <w:pPr>
        <w:spacing w:after="0" w:line="54" w:lineRule="exact"/>
        <w:rPr>
          <w:sz w:val="20"/>
          <w:szCs w:val="20"/>
          <w:color w:val="auto"/>
        </w:rPr>
      </w:pPr>
    </w:p>
    <w:p>
      <w:pPr>
        <w:ind w:left="640" w:right="60" w:hanging="179"/>
        <w:spacing w:after="0" w:line="273" w:lineRule="auto"/>
        <w:rPr>
          <w:sz w:val="20"/>
          <w:szCs w:val="20"/>
          <w:color w:val="auto"/>
        </w:rPr>
      </w:pPr>
      <w:r>
        <w:rPr>
          <w:rFonts w:ascii="Times New Roman" w:cs="Times New Roman" w:eastAsia="Times New Roman" w:hAnsi="Times New Roman"/>
          <w:sz w:val="18"/>
          <w:szCs w:val="18"/>
          <w:color w:val="auto"/>
        </w:rPr>
        <w:t>Weighted average number of Ordinary Shares – basic and diluted</w:t>
      </w:r>
    </w:p>
    <w:p>
      <w:pPr>
        <w:spacing w:after="0" w:line="2" w:lineRule="exact"/>
        <w:rPr>
          <w:sz w:val="20"/>
          <w:szCs w:val="20"/>
          <w:color w:val="auto"/>
        </w:rPr>
      </w:pPr>
    </w:p>
    <w:p>
      <w:pPr>
        <w:ind w:left="640" w:hanging="179"/>
        <w:spacing w:after="0" w:line="282" w:lineRule="auto"/>
        <w:rPr>
          <w:sz w:val="20"/>
          <w:szCs w:val="20"/>
          <w:color w:val="auto"/>
        </w:rPr>
      </w:pPr>
      <w:r>
        <w:rPr>
          <w:rFonts w:ascii="Times New Roman" w:cs="Times New Roman" w:eastAsia="Times New Roman" w:hAnsi="Times New Roman"/>
          <w:sz w:val="18"/>
          <w:szCs w:val="18"/>
          <w:color w:val="auto"/>
        </w:rPr>
        <w:t>Basic and diluted earnings per ordinary share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6"/>
        </w:trPr>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
        </w:trPr>
        <w:tc>
          <w:tcPr>
            <w:tcW w:w="1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8"/>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1,262,899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657,092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481,165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475,123</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(378,896)</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91,596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96,227</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5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(71,530)</w:t>
            </w: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(174,377)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(170,817)</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(80,883)</w:t>
            </w: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155,475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44,900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70,300</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(1,124,696)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(1,861,412)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(156,703)</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29,967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34,853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(153,220</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-3813810</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-3453765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-3085465</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-2725420</wp:posOffset>
            </wp:positionV>
            <wp:extent cx="514350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-2365375</wp:posOffset>
            </wp:positionV>
            <wp:extent cx="514350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-1885315</wp:posOffset>
            </wp:positionV>
            <wp:extent cx="51435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-1525270</wp:posOffset>
            </wp:positionV>
            <wp:extent cx="514350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1968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-1028065</wp:posOffset>
            </wp:positionV>
            <wp:extent cx="514350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-548005</wp:posOffset>
            </wp:positionV>
            <wp:extent cx="514350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0</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3280" w:space="240"/>
            <w:col w:w="549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141,851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422,242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506,451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424,656</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9,524,598</w:t>
            </w: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471,332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11,093,048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35,119</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(3,226,191</w:t>
            </w:r>
          </w:p>
        </w:tc>
        <w:tc>
          <w:tcPr>
            <w:tcW w:w="1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3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line="196" w:lineRule="exact"/>
              <w:rPr>
                <w:sz w:val="20"/>
                <w:szCs w:val="20"/>
                <w:color w:val="auto"/>
              </w:rPr>
            </w:pPr>
            <w:r>
              <w:rPr>
                <w:rFonts w:ascii="Times New Roman" w:cs="Times New Roman" w:eastAsia="Times New Roman" w:hAnsi="Times New Roman"/>
                <w:sz w:val="18"/>
                <w:szCs w:val="18"/>
                <w:b w:val="1"/>
                <w:bCs w:val="1"/>
                <w:color w:val="auto"/>
              </w:rPr>
              <w:t>3,003,972</w:t>
            </w: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506,451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-1139825</wp:posOffset>
            </wp:positionV>
            <wp:extent cx="285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-1148080</wp:posOffset>
            </wp:positionV>
            <wp:extent cx="28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-67945</wp:posOffset>
            </wp:positionV>
            <wp:extent cx="285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7"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3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(609,946)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244,100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(2,380,926)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(27,514)</w:t>
            </w:r>
          </w:p>
        </w:tc>
      </w:tr>
      <w:tr>
        <w:trPr>
          <w:trHeight w:val="23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1,378,257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(118,326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32,401</w:t>
            </w:r>
          </w:p>
        </w:tc>
        <w:tc>
          <w:tcPr>
            <w:tcW w:w="140" w:type="dxa"/>
            <w:vAlign w:val="bottom"/>
          </w:tcPr>
          <w:p>
            <w:pPr>
              <w:spacing w:after="0"/>
              <w:rPr>
                <w:sz w:val="19"/>
                <w:szCs w:val="19"/>
                <w:color w:val="auto"/>
              </w:rPr>
            </w:pPr>
          </w:p>
        </w:tc>
      </w:tr>
      <w:tr>
        <w:trPr>
          <w:trHeight w:val="36"/>
        </w:trPr>
        <w:tc>
          <w:tcPr>
            <w:tcW w:w="3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671,672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255,956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3,020,342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(113,439)</w:t>
            </w: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80" w:type="dxa"/>
            <w:vAlign w:val="bottom"/>
          </w:tcPr>
          <w:p>
            <w:pPr>
              <w:spacing w:after="0"/>
              <w:rPr>
                <w:sz w:val="22"/>
                <w:szCs w:val="22"/>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273,593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3,965,607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160,154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2"/>
        </w:trPr>
        <w:tc>
          <w:tcPr>
            <w:tcW w:w="3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99"/>
              </w:rPr>
              <w:t>46</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 Statements.”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spacing w:after="0" w:line="104" w:lineRule="exact"/>
        <w:rPr>
          <w:sz w:val="20"/>
          <w:szCs w:val="20"/>
          <w:color w:val="auto"/>
        </w:rPr>
      </w:pPr>
    </w:p>
    <w:p>
      <w:pPr>
        <w:ind w:left="1320" w:right="479" w:hanging="434"/>
        <w:spacing w:after="0" w:line="259"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We provide customized offerings that address the specific needs of clients in our strategic vertical markets. As of June 30, 2023, we served over 200 clients across our core verticals such as food and beverage, wholesale and retail.</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24" w:lineRule="exact"/>
        <w:rPr>
          <w:sz w:val="20"/>
          <w:szCs w:val="20"/>
          <w:color w:val="auto"/>
        </w:rPr>
      </w:pPr>
    </w:p>
    <w:p>
      <w:pPr>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162"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our solutions and services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launched Tridentity in the fourth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clients</w:t>
      </w:r>
    </w:p>
    <w:p>
      <w:pPr>
        <w:spacing w:after="0" w:line="135"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into new verticals and new markets</w:t>
      </w:r>
    </w:p>
    <w:p>
      <w:pPr>
        <w:spacing w:after="0" w:line="13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35" w:lineRule="exact"/>
        <w:rPr>
          <w:sz w:val="20"/>
          <w:szCs w:val="20"/>
          <w:color w:val="auto"/>
        </w:rPr>
      </w:pPr>
    </w:p>
    <w:p>
      <w:pPr>
        <w:ind w:left="460" w:right="1099" w:firstLine="432"/>
        <w:spacing w:after="0" w:line="282" w:lineRule="auto"/>
        <w:rPr>
          <w:sz w:val="20"/>
          <w:szCs w:val="20"/>
          <w:color w:val="auto"/>
        </w:rPr>
      </w:pPr>
      <w:r>
        <w:rPr>
          <w:rFonts w:ascii="Times New Roman" w:cs="Times New Roman" w:eastAsia="Times New Roman" w:hAnsi="Times New Roman"/>
          <w:sz w:val="18"/>
          <w:szCs w:val="18"/>
          <w:color w:val="auto"/>
        </w:rPr>
        <w:t>We derive revenues principally from providing business consulting services and IT customization services.</w:t>
      </w:r>
    </w:p>
    <w:p>
      <w:pPr>
        <w:spacing w:after="0" w:line="65"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We provide a wide range of business consulting services to customers of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from business strategy advisory, design of business workflows and processes, brand and reputation, to digital marketing in achieving organization objectives such as enhancing cost efficiency, productivity and customer experience.</w:t>
      </w:r>
    </w:p>
    <w:p>
      <w:pPr>
        <w:spacing w:after="0" w:line="99"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We offer IT customization services, including tailor-made IT solutions or packaged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solutions to meet clients’ objectives. Our services cover end-to-end solutions, including IT consultancy, design of the system architecture, planning and design of the solution, implementation, quality assurance, as well as maintenance support services.</w:t>
      </w:r>
    </w:p>
    <w:p>
      <w:pPr>
        <w:spacing w:after="0" w:line="8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35"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5" w:lineRule="exact"/>
        <w:rPr>
          <w:sz w:val="20"/>
          <w:szCs w:val="20"/>
          <w:color w:val="auto"/>
        </w:rPr>
      </w:pPr>
    </w:p>
    <w:p>
      <w:pPr>
        <w:ind w:left="460" w:right="819" w:firstLine="432"/>
        <w:spacing w:after="0" w:line="256" w:lineRule="auto"/>
        <w:rPr>
          <w:sz w:val="20"/>
          <w:szCs w:val="20"/>
          <w:color w:val="auto"/>
        </w:rPr>
      </w:pPr>
      <w:r>
        <w:rPr>
          <w:rFonts w:ascii="Times New Roman" w:cs="Times New Roman" w:eastAsia="Times New Roman" w:hAnsi="Times New Roman"/>
          <w:sz w:val="18"/>
          <w:szCs w:val="18"/>
          <w:color w:val="auto"/>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2"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 from terminated consulting projects, (iii) referral commission, and (iv) interest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2023 Compared to Six months ended June 30, 2022</w:t>
      </w:r>
    </w:p>
    <w:p>
      <w:pPr>
        <w:spacing w:after="0" w:line="162"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income for the six months ended June 30, 2023 and 2022, respectively.</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center"/>
              <w:ind w:left="5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of change</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475,123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(378,896)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(181,813)</w:t>
            </w:r>
          </w:p>
        </w:tc>
        <w:tc>
          <w:tcPr>
            <w:tcW w:w="1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254.18%</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(1,380,893)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808.40%</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(111,972)</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138.44%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(1,674,678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518.11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(1,906,312)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(227,003)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(1,679,309)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739.77%</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(25,400)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(1,861,412)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(156,703)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(1,704,709)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1,087.86%</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(1,704,709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1,087.86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breakdown of revenues by revenue streams for the six months ended June 30, 2023 and 2022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3080" w:type="dxa"/>
            <w:vAlign w:val="bottom"/>
          </w:tcPr>
          <w:p>
            <w:pPr>
              <w:spacing w:after="0"/>
              <w:rPr>
                <w:sz w:val="18"/>
                <w:szCs w:val="18"/>
                <w:color w:val="auto"/>
              </w:rPr>
            </w:pPr>
          </w:p>
        </w:tc>
        <w:tc>
          <w:tcPr>
            <w:tcW w:w="1560" w:type="dxa"/>
            <w:vAlign w:val="bottom"/>
            <w:gridSpan w:val="3"/>
          </w:tcPr>
          <w:p>
            <w:pPr>
              <w:jc w:val="center"/>
              <w:ind w:left="73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6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6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USD</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w:t>
            </w:r>
            <w:r>
              <w:rPr>
                <w:rFonts w:ascii="Times New Roman" w:cs="Times New Roman" w:eastAsia="Times New Roman" w:hAnsi="Times New Roman"/>
                <w:sz w:val="18"/>
                <w:szCs w:val="18"/>
                <w:color w:val="auto"/>
              </w:rPr>
              <w:t>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113,764</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192,513</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(78,749)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(40.91)</w:t>
            </w:r>
            <w:r>
              <w:rPr>
                <w:rFonts w:ascii="Times New Roman" w:cs="Times New Roman" w:eastAsia="Times New Roman" w:hAnsi="Times New Roman"/>
                <w:sz w:val="18"/>
                <w:szCs w:val="18"/>
                <w:color w:val="auto"/>
              </w:rPr>
              <w:t>%</w:t>
            </w: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367,401</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282,610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r>
      <w:tr>
        <w:trPr>
          <w:trHeight w:val="41"/>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consulting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130,289</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272,874</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(142,585)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237,112</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227,376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2,335.41%</w:t>
            </w:r>
          </w:p>
        </w:tc>
      </w:tr>
      <w:tr>
        <w:trPr>
          <w:trHeight w:val="27"/>
        </w:trPr>
        <w:tc>
          <w:tcPr>
            <w:tcW w:w="3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481,165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475,123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6,042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Our revenues slightly increased by 1.27%, from US$475,123 for the six months ended June 30, 2022 to US$481,165 for the six months ended June 30, 2023. The increase was primarily due to the rapid development of our management software launched in second quarter of 2022, partially offset by the decrease of revenue from business consulting and IT consulting.</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Net revenues from business consulting services decreased from US$192,513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2022 to US$113,764 for the six months ended June 30, 2023, primarily attributed to (i) reduction of business consulting projects were completed, delivered and accepted by customers for the six months ended June 30, 2023; and partially offset by (ii) the appreciation of SGD against USD in our reporting currency translation from 1.3651 for the six months ended June 30, 2022 to 1.3361 for the six months ended June 30, 2023. The average contract price of completed projects were US$37,921 and US$32,086 for the six months ended June 30, 2023 and 2022, respectively.</w:t>
      </w:r>
    </w:p>
    <w:p>
      <w:pPr>
        <w:spacing w:after="0" w:line="115"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Net revenues from IT customization increased from US$282,610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to US$367,401 for the six months ended June 30, 2023, primarily due to (i) our newly engaged business line in providing management software solutions in second quarter of 2022, the business has thrived and generated greater revenue for the six months ended June 30, 2023; (ii) the appreciation of SGD against USD in our reporting currency translation; (iii) the increased of average contract price of US$37,857 from US$27,287 for the six months ended June 30, 2022 to US$65,145; and partially offset by (iv) reduction of IT customization projects were completed, delivered and accepted by customers for the six months ended June 30, 2023.</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breakdown of cost of revenues for the six months ended June 30, 2023 and 2022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1560" w:type="dxa"/>
            <w:vAlign w:val="bottom"/>
            <w:gridSpan w:val="3"/>
          </w:tcPr>
          <w:p>
            <w:pPr>
              <w:jc w:val="center"/>
              <w:ind w:left="7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gridSpan w:val="4"/>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72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72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USD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246,572</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235,583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122,142</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116,761</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20,855</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26,552</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44"/>
        </w:trPr>
        <w:tc>
          <w:tcPr>
            <w:tcW w:w="30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378,896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Our cost of revenues slightly increased by 2.82%, from US$378,896 for the six months ended June 30, 2022 to US$389,569 for the six months ended June 30, 2023.</w:t>
      </w:r>
    </w:p>
    <w:p>
      <w:pPr>
        <w:spacing w:after="0" w:line="92" w:lineRule="exact"/>
        <w:rPr>
          <w:sz w:val="20"/>
          <w:szCs w:val="20"/>
          <w:color w:val="auto"/>
        </w:rPr>
      </w:pPr>
    </w:p>
    <w:p>
      <w:pPr>
        <w:jc w:val="center"/>
        <w:ind w:right="179"/>
        <w:spacing w:after="0"/>
        <w:tabs>
          <w:tab w:leader="none" w:pos="160" w:val="left"/>
        </w:tabs>
        <w:rPr>
          <w:sz w:val="20"/>
          <w:szCs w:val="20"/>
          <w:color w:val="auto"/>
        </w:rPr>
      </w:pPr>
      <w:r>
        <w:rPr>
          <w:rFonts w:ascii="Times New Roman" w:cs="Times New Roman" w:eastAsia="Times New Roman" w:hAnsi="Times New Roman"/>
          <w:sz w:val="18"/>
          <w:szCs w:val="18"/>
          <w:i w:val="1"/>
          <w:iCs w:val="1"/>
          <w:color w:val="auto"/>
        </w:rPr>
        <w:t>Service fees.</w:t>
      </w:r>
      <w:r>
        <w:rPr>
          <w:sz w:val="20"/>
          <w:szCs w:val="20"/>
          <w:color w:val="auto"/>
        </w:rPr>
        <w:tab/>
      </w:r>
      <w:r>
        <w:rPr>
          <w:rFonts w:ascii="Times New Roman" w:cs="Times New Roman" w:eastAsia="Times New Roman" w:hAnsi="Times New Roman"/>
          <w:sz w:val="17"/>
          <w:szCs w:val="17"/>
          <w:color w:val="auto"/>
        </w:rPr>
        <w:t>Service fees increased from US$235,583 for the six months ended June 30, 2022 to</w:t>
      </w:r>
    </w:p>
    <w:p>
      <w:pPr>
        <w:spacing w:after="0" w:line="29" w:lineRule="exact"/>
        <w:rPr>
          <w:sz w:val="20"/>
          <w:szCs w:val="20"/>
          <w:color w:val="auto"/>
        </w:rPr>
      </w:pPr>
    </w:p>
    <w:p>
      <w:pPr>
        <w:ind w:left="460" w:right="639"/>
        <w:spacing w:after="0" w:line="253" w:lineRule="auto"/>
        <w:rPr>
          <w:sz w:val="20"/>
          <w:szCs w:val="20"/>
          <w:color w:val="auto"/>
        </w:rPr>
      </w:pPr>
      <w:r>
        <w:rPr>
          <w:rFonts w:ascii="Times New Roman" w:cs="Times New Roman" w:eastAsia="Times New Roman" w:hAnsi="Times New Roman"/>
          <w:sz w:val="18"/>
          <w:szCs w:val="18"/>
          <w:color w:val="auto"/>
        </w:rPr>
        <w:t>US$246,572 for the six months ended June 30, 2023, primarily due to the increase of incremental commission costs related to management software, partially offset by the decrease of service fees paid to suppliers or outsourcers related to business consulting and IT consulting, which in line with the completion status and revenue recognized.</w:t>
      </w:r>
    </w:p>
    <w:p>
      <w:pPr>
        <w:spacing w:after="0" w:line="119" w:lineRule="exact"/>
        <w:rPr>
          <w:sz w:val="20"/>
          <w:szCs w:val="20"/>
          <w:color w:val="auto"/>
        </w:rPr>
      </w:pPr>
    </w:p>
    <w:p>
      <w:pPr>
        <w:ind w:left="460" w:right="5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labor costs. </w:t>
      </w:r>
      <w:r>
        <w:rPr>
          <w:rFonts w:ascii="Times New Roman" w:cs="Times New Roman" w:eastAsia="Times New Roman" w:hAnsi="Times New Roman"/>
          <w:sz w:val="18"/>
          <w:szCs w:val="18"/>
          <w:color w:val="auto"/>
        </w:rPr>
        <w:t>Direct labor costs increased from US$116,761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US$122,142 for the six months ended June 30, 2023, primarily related to increases in base salaries and bonuses to our staff since second half of 2022.</w:t>
      </w:r>
    </w:p>
    <w:p>
      <w:pPr>
        <w:spacing w:after="0" w:line="92" w:lineRule="exact"/>
        <w:rPr>
          <w:sz w:val="20"/>
          <w:szCs w:val="20"/>
          <w:color w:val="auto"/>
        </w:rPr>
      </w:pPr>
    </w:p>
    <w:p>
      <w:pPr>
        <w:ind w:left="880"/>
        <w:spacing w:after="0"/>
        <w:tabs>
          <w:tab w:leader="none" w:pos="2540" w:val="left"/>
        </w:tabs>
        <w:rPr>
          <w:sz w:val="20"/>
          <w:szCs w:val="20"/>
          <w:color w:val="auto"/>
        </w:rPr>
      </w:pPr>
      <w:r>
        <w:rPr>
          <w:rFonts w:ascii="Times New Roman" w:cs="Times New Roman" w:eastAsia="Times New Roman" w:hAnsi="Times New Roman"/>
          <w:sz w:val="18"/>
          <w:szCs w:val="18"/>
          <w:i w:val="1"/>
          <w:iCs w:val="1"/>
          <w:color w:val="auto"/>
        </w:rPr>
        <w:t>Miscellaneous costs.</w:t>
      </w:r>
      <w:r>
        <w:rPr>
          <w:sz w:val="20"/>
          <w:szCs w:val="20"/>
          <w:color w:val="auto"/>
        </w:rPr>
        <w:tab/>
      </w:r>
      <w:r>
        <w:rPr>
          <w:rFonts w:ascii="Times New Roman" w:cs="Times New Roman" w:eastAsia="Times New Roman" w:hAnsi="Times New Roman"/>
          <w:sz w:val="17"/>
          <w:szCs w:val="17"/>
          <w:color w:val="auto"/>
        </w:rPr>
        <w:t>Miscellaneous cost decreased from US$26,552 for the six months ended June 30,</w:t>
      </w:r>
    </w:p>
    <w:p>
      <w:pPr>
        <w:spacing w:after="0" w:line="29" w:lineRule="exact"/>
        <w:rPr>
          <w:sz w:val="20"/>
          <w:szCs w:val="20"/>
          <w:color w:val="auto"/>
        </w:rPr>
      </w:pPr>
    </w:p>
    <w:p>
      <w:pPr>
        <w:jc w:val="both"/>
        <w:ind w:left="460" w:right="739"/>
        <w:spacing w:after="0" w:line="255" w:lineRule="auto"/>
        <w:rPr>
          <w:sz w:val="20"/>
          <w:szCs w:val="20"/>
          <w:color w:val="auto"/>
        </w:rPr>
      </w:pPr>
      <w:r>
        <w:rPr>
          <w:rFonts w:ascii="Times New Roman" w:cs="Times New Roman" w:eastAsia="Times New Roman" w:hAnsi="Times New Roman"/>
          <w:sz w:val="18"/>
          <w:szCs w:val="18"/>
          <w:color w:val="auto"/>
        </w:rPr>
        <w:t>2022 to US$20,855 for the six months ended June 30, 2023, primarily due to the decrease of our outsourcing contractor fee for general project’s support, which is in line with the decrease of our revenues from business consulting and IT consulting.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by 518.11%, from US$323,230 for the six months ended June 30, 2022 to US$1,997,908 for the six months ended June 30, 2023.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4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selling and marketing expenses increased from US$71,530 for the six months ended June 30, 2022 to US$253,343 for the six months ended June 30, 2023, primarily as a result of the business development persons hired in the new subsidiary since second half of 2022 for the exploration of business opportunities and preparation to initiate our Web 3.0 e-commerce platform.</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460" w:right="659" w:firstLine="432"/>
        <w:spacing w:after="0" w:line="253" w:lineRule="auto"/>
        <w:rPr>
          <w:sz w:val="20"/>
          <w:szCs w:val="20"/>
          <w:color w:val="auto"/>
        </w:rPr>
      </w:pPr>
      <w:r>
        <w:rPr>
          <w:rFonts w:ascii="Times New Roman" w:cs="Times New Roman" w:eastAsia="Times New Roman" w:hAnsi="Times New Roman"/>
          <w:sz w:val="18"/>
          <w:szCs w:val="18"/>
          <w:color w:val="auto"/>
        </w:rPr>
        <w:t>Our general and administrative expenses increased from US$170,817 for the six months ended June 30, 2022 to US$1,551,710 for the six months ended June 30, 2023. The increase was primarily due to (i) the increase in staff costs from US$77,498 for the six months ended June 30, 2022 to US$561,731 for the six months ended June 30, 2023, as a result of an increase in the number of employees hired to meet our business needs; (ii) the increase in professional service fees from US$8,418 for the six months ended June 30, 2022 to US$483,256 for the six months ended June 30, 2023 related to IPO professional services and the initiation of the Web 3.0 e-commerce platform; (iii) the increase of rent expenses from US$17,874 for the six months ended June 30, 2022 to US$200,292 for the six months ended June 30, 2023, as a result of an increase office spaces rent to meet our expansion of new business; and (iv) the increase of other overhead expenses, as a result of our expansion of business.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460" w:right="759" w:firstLine="432"/>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from US$80,883 for the six months ended June 30, 2022 to US$192,855 for the six months ended June 30, 2023, primarily as a result of the increased of system development expenses for the Web 3.0 e-commerce platform.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4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referral commission, and (iii) interest expenses.</w:t>
      </w:r>
    </w:p>
    <w:p>
      <w:pPr>
        <w:spacing w:after="0" w:line="94"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Our other income decreased from US$70,300 for the six months ended June 30, 2022 to US$44,900 for the six months ended June 30, 2023, primarily due to the decrease of government subsidies.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foregoing, we incurred net loss of US$1,861,412 and US$156,703 for the six months ended June 30, 2023 and 2022. The increased of net loss was primarily due to our early-stage input on initiating Web 3.0 e-commerce platform, which led to a significant increase of our operating expenses for the six months ended June 30, 2023.</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148"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income for the years ended December 31, 2022 and 2021, respectively.</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1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1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88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of change</w:t>
            </w:r>
          </w:p>
        </w:tc>
        <w:tc>
          <w:tcPr>
            <w:tcW w:w="0" w:type="dxa"/>
            <w:vAlign w:val="bottom"/>
          </w:tcPr>
          <w:p>
            <w:pPr>
              <w:spacing w:after="0"/>
              <w:rPr>
                <w:sz w:val="1"/>
                <w:szCs w:val="1"/>
                <w:color w:val="auto"/>
              </w:rPr>
            </w:pPr>
          </w:p>
        </w:tc>
      </w:tr>
      <w:tr>
        <w:trPr>
          <w:trHeight w:val="47"/>
        </w:trPr>
        <w:tc>
          <w:tcPr>
            <w:tcW w:w="37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$ 1,262,899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$ 657,092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605,807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92.20%</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(544,044)</w:t>
            </w:r>
          </w:p>
        </w:tc>
        <w:tc>
          <w:tcPr>
            <w:tcW w:w="8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119.14%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30.81%</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(117,811)</w:t>
            </w:r>
          </w:p>
        </w:tc>
        <w:tc>
          <w:tcPr>
            <w:tcW w:w="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(815,397)</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467.61%</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(1,220,786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409.78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2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(1,256,486)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(1,159,023)</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1189.19%</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131,790</w:t>
            </w:r>
          </w:p>
        </w:tc>
        <w:tc>
          <w:tcPr>
            <w:tcW w:w="100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155,475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(23,685)</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(Loss)/profit before income tax expense</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-2038.73%</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23,252</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-82.91%</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(1,159,456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-3869.11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breakdown of revenues by revenue streams for the years ended December 31, 2022 and 2021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6"/>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260,455</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368,979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396,637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236,828</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59.71%</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522,013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396,637</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125,376</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111,452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111,452</w:t>
            </w:r>
          </w:p>
        </w:tc>
        <w:tc>
          <w:tcPr>
            <w:tcW w:w="380" w:type="dxa"/>
            <w:vAlign w:val="bottom"/>
          </w:tcPr>
          <w:p>
            <w:pPr>
              <w:spacing w:after="0"/>
              <w:rPr>
                <w:sz w:val="22"/>
                <w:szCs w:val="22"/>
                <w:color w:val="auto"/>
              </w:rPr>
            </w:pP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657,092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605,807</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spacing w:after="0" w:line="110"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Net revenues from business consulting services increased from US$260,455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US$629,434 in 2022, primarily attributed to (i) more business consulting projects were completed, delivered and accepted by customers in 2022; and (ii) we offered more comprehensive brand consulting services to assist our customers in building international brands in 2022, those contract prices are higher compared to the essential branding services for the local market in 2021. The average contract price of completed projects increased from US$37,208 in 2021 to US$44,960 in 2022.</w:t>
      </w:r>
    </w:p>
    <w:p>
      <w:pPr>
        <w:spacing w:after="0" w:line="11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Net revenues from IT customization increased from US$396,637 in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US$633,465 in 2022, primarily due to (i) more IT customization projects were completed, delivered and accepted by customers in 2022; (ii) increase on average contract price of completed IT consulting projects from US$49,580 in 2021 to US$57,588 in 2022; and (iii) our newly engaged business line in providing management software solutions and the revenue was recognized in 2022.</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breakdown of cost of revenues for the years ended December 31, 2022 and 2021 is summarized below:</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6"/>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6"/>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710,793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232,290</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478,503</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205.99%</w:t>
            </w: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239,296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199,749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39,547</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cost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10,082</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5,693</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40,518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21,605</w:t>
            </w:r>
          </w:p>
        </w:tc>
        <w:tc>
          <w:tcPr>
            <w:tcW w:w="3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114.23%</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1,000,689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456,645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544,044</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Our cost of revenues increased from US$456,645 in 2021 to US$1,000,689 in 2022, representing a year-on-year increase of 119.14%.</w:t>
      </w:r>
    </w:p>
    <w:p>
      <w:pPr>
        <w:spacing w:after="0" w:line="92" w:lineRule="exact"/>
        <w:rPr>
          <w:sz w:val="20"/>
          <w:szCs w:val="20"/>
          <w:color w:val="auto"/>
        </w:rPr>
      </w:pPr>
    </w:p>
    <w:p>
      <w:pPr>
        <w:ind w:left="46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fees. </w:t>
      </w:r>
      <w:r>
        <w:rPr>
          <w:rFonts w:ascii="Times New Roman" w:cs="Times New Roman" w:eastAsia="Times New Roman" w:hAnsi="Times New Roman"/>
          <w:sz w:val="18"/>
          <w:szCs w:val="18"/>
          <w:color w:val="auto"/>
        </w:rPr>
        <w:t>Service fees increased from US$232,290 in 2021 to US$710,793 in 2022,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of service fees paid to suppliers or outsourcers, as a result of the fulfillment of increased project demands in 2022.</w:t>
      </w:r>
    </w:p>
    <w:p>
      <w:pPr>
        <w:spacing w:after="0" w:line="92" w:lineRule="exact"/>
        <w:rPr>
          <w:sz w:val="20"/>
          <w:szCs w:val="20"/>
          <w:color w:val="auto"/>
        </w:rPr>
      </w:pPr>
    </w:p>
    <w:p>
      <w:pPr>
        <w:ind w:left="460" w:right="91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labor costs. </w:t>
      </w:r>
      <w:r>
        <w:rPr>
          <w:rFonts w:ascii="Times New Roman" w:cs="Times New Roman" w:eastAsia="Times New Roman" w:hAnsi="Times New Roman"/>
          <w:sz w:val="18"/>
          <w:szCs w:val="18"/>
          <w:color w:val="auto"/>
        </w:rPr>
        <w:t>Direct labor costs increased from US$199,749 in 2021 to US$239,296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increases in base salaries and bonuses to our staff in 2022.</w:t>
      </w:r>
    </w:p>
    <w:p>
      <w:pPr>
        <w:spacing w:after="0" w:line="91" w:lineRule="exact"/>
        <w:rPr>
          <w:sz w:val="20"/>
          <w:szCs w:val="20"/>
          <w:color w:val="auto"/>
        </w:rPr>
      </w:pPr>
    </w:p>
    <w:p>
      <w:pPr>
        <w:ind w:left="460" w:right="8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Commission costs. </w:t>
      </w:r>
      <w:r>
        <w:rPr>
          <w:rFonts w:ascii="Times New Roman" w:cs="Times New Roman" w:eastAsia="Times New Roman" w:hAnsi="Times New Roman"/>
          <w:sz w:val="18"/>
          <w:szCs w:val="18"/>
          <w:color w:val="auto"/>
        </w:rPr>
        <w:t>Commission costs increased from US$5,693 in 2021 to US$10,082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attributed to the incremental commission costs needed to obtain new sales contracts related to our newly engaged business line in providing management software solutions in 2022.</w:t>
      </w:r>
    </w:p>
    <w:p>
      <w:pPr>
        <w:spacing w:after="0" w:line="106" w:lineRule="exact"/>
        <w:rPr>
          <w:sz w:val="20"/>
          <w:szCs w:val="20"/>
          <w:color w:val="auto"/>
        </w:rPr>
      </w:pPr>
    </w:p>
    <w:p>
      <w:pPr>
        <w:jc w:val="both"/>
        <w:ind w:left="460" w:right="8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costs. </w:t>
      </w:r>
      <w:r>
        <w:rPr>
          <w:rFonts w:ascii="Times New Roman" w:cs="Times New Roman" w:eastAsia="Times New Roman" w:hAnsi="Times New Roman"/>
          <w:sz w:val="18"/>
          <w:szCs w:val="18"/>
          <w:color w:val="auto"/>
        </w:rPr>
        <w:t>Miscellaneous cost increased from US$18,913 in 2021 to US$40,518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increase of our outsourcing contractor fee for general project’s support, which is in line with the increase of our revenues in 2022.</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6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from nil in 2021 to US$287,578 in 2022, primarily as a result of the system development expenses for the Web 3.0 e-commerce platform in 2022.</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35"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fees from terminated consulting projects, (iii) referral commission, and (iv) interest expenses.</w:t>
      </w:r>
    </w:p>
    <w:p>
      <w:pPr>
        <w:spacing w:after="0" w:line="67"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Our other income decreased from US$155,475 in 2021 to US$131,790 in 2022, primarily due to the decrease of referral commissions received for client referrals.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(loss)/income</w:t>
      </w:r>
    </w:p>
    <w:p>
      <w:pPr>
        <w:spacing w:after="0" w:line="148"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As a result of the foregoing, we incurred a net loss of US$1,129,489 in 2022, and recorded a net income of US$29,967 in 2021. The net loss in 2022 was primarily due to our early-stage input on initiating Web 3.0 e-commerce platform, which led to a significant increase of our operating expenses in 2022.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3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35"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 For the year of assessment 2024, companies will receive a 50% corporate income tax rebate capped at S$40,000.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have been cash flows from our operating activities, capital contributions from shareholders and loans from banks. As of June 30, 2023 and December 31, 2022, we had cash of US$3,965,607 and US$945,265, and total working capital deficit of US$3,270,695 and US$1,236,728, respectively.</w:t>
      </w:r>
    </w:p>
    <w:p>
      <w:pPr>
        <w:spacing w:after="0" w:line="85"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202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7"/>
        </w:trPr>
        <w:tc>
          <w:tcPr>
            <w:tcW w:w="3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r>
      <w:tr>
        <w:trPr>
          <w:trHeight w:val="46"/>
        </w:trPr>
        <w:tc>
          <w:tcPr>
            <w:tcW w:w="3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(609,946)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$ 244,100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(2,380,926)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(27,514)</w:t>
            </w: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(73,885)</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1,378,257</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(118,326)</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(22,754)</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53,572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32,401</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$ 255,956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3,020,342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(113,439)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273,593</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945,265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945,265</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3,965,607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160,154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-239395</wp:posOffset>
            </wp:positionV>
            <wp:extent cx="285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-247650</wp:posOffset>
            </wp:positionV>
            <wp:extent cx="285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2023 was US$2,380,926, primarily attributable to (i) our net loss of US$1,861,412, as adjusted by the reconciliation of net loss to net cash used in operating activities, which primarily comprised depreciation of right-of-use assets of US$163,534 and depreciation and amortization of US$18,837; and (ii) changes in operating assets and liabilities, which was primarily the result of (a) an increase in deferred offering costs of US$437,299, (b) an increase in contract cost assets of US$271,987, (c) a decrease in operating lease liabilities of US$137,438, and (d) a decrease in accrued expenses and other current liabilities of US$73,036, partially offset by an increase in deferred revenue of US$356,621.</w:t>
      </w:r>
    </w:p>
    <w:p>
      <w:pPr>
        <w:spacing w:after="0" w:line="124" w:lineRule="exact"/>
        <w:rPr>
          <w:sz w:val="20"/>
          <w:szCs w:val="20"/>
          <w:color w:val="auto"/>
        </w:rPr>
      </w:pPr>
    </w:p>
    <w:p>
      <w:pPr>
        <w:ind w:left="460" w:right="719" w:firstLine="432"/>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US$27,514, primarily attributable to (i) our net loss of US$156,703, as adjusted by the reconciliation of net loss to net cash used in operating activities, which primarily comprised depreciation of right-of-use asset of US$11,916 and depreciation and amortization of US$5,663; and (ii) changes in operating assets and liabilities, which was primarily the result of an increase in contract cost assets of US$120,607, partially offset by (a) an increase in accrued expenses and other current liabilities of US$124,342, and (b) an increase in accounts payable of US$104,876.</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Net cash used in operating activities in 2022 was US$609,946, primarily attributable to (i) our net loss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US$1,129,489, as adjusted by the reconciliation of net loss to net cash used in operating activities,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primarily comprised depreciation of right-of-use assets of US$101,099 and depreciation and amortization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US$16,867, and (ii) changes in operating assets and liabilities, which was primarily the result of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prepaid expenses and other current assets of US$111,981, (b) an increase in contract cost assets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US$268,509, and (c) a decrease in operating lease liabilities of US$127,196, partially offset by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deferred revenue of US$461,128; (b) an increase in accrued expenses and other current liabilities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US$249,052; and (c) an increase in accounts payable of US$166,358.</w:t>
      </w:r>
    </w:p>
    <w:p>
      <w:pPr>
        <w:spacing w:after="0" w:line="126" w:lineRule="exact"/>
        <w:rPr>
          <w:sz w:val="20"/>
          <w:szCs w:val="20"/>
          <w:color w:val="auto"/>
        </w:rPr>
      </w:pPr>
    </w:p>
    <w:p>
      <w:pPr>
        <w:ind w:left="460" w:right="579" w:firstLine="432"/>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w:t>
      </w:r>
    </w:p>
    <w:p>
      <w:pPr>
        <w:spacing w:after="0" w:line="3" w:lineRule="exact"/>
        <w:rPr>
          <w:sz w:val="20"/>
          <w:szCs w:val="20"/>
          <w:color w:val="auto"/>
        </w:rPr>
      </w:pPr>
    </w:p>
    <w:p>
      <w:pPr>
        <w:jc w:val="both"/>
        <w:ind w:left="460" w:right="1019" w:hanging="6"/>
        <w:spacing w:after="0" w:line="255"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deferred revenue of US$192,935; (b) an increase in accrued expenses and other current liabilities of US$54,678, and (c) an increase in accounts payable of US$51,491, partially offset by (a) an increase in accounts receivable, net of US$118,779.</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2023 was US$79,043, which was primarily attributable to purchase of property and equipment in the amount of US$79,043.</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nil.</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was US$73,885, which was primarily attributable to purchase of property and equipment in the amount of US$73,885 for our newly established subsidiary.</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2021 was US$53,313, which was primarily attributable to purchase of property and equipment in the amount of US$53,313 for business expansion.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2023 was US$5,426,739, which primarily comprised (i) subscription fees advance from shareholders of US$7,065,861; and (ii) loans from related parties of US$355,716, partially offset by (i) loans to related parties of US$1,007,634; (ii) repayment of loans from related parties of US$845,200; (iii) repayments of long-term bank loans of US$67,159; and (iv) dividend distribution of $74,845.</w:t>
      </w:r>
    </w:p>
    <w:p>
      <w:pPr>
        <w:spacing w:after="0" w:line="102" w:lineRule="exact"/>
        <w:rPr>
          <w:sz w:val="20"/>
          <w:szCs w:val="20"/>
          <w:color w:val="auto"/>
        </w:rPr>
      </w:pPr>
    </w:p>
    <w:p>
      <w:pPr>
        <w:jc w:val="both"/>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2022 was US$118,326, which primarily comprised (i) loans from related parties of US$1,465, partially offset by dividend distribution of US$106,219; and (ii) repayment of long-term bank loans of US$13,572.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2022 was US$1,378,257, which primarily comprised (i) loans from related parties of US$748,533, (ii) proceeds from long-term bank loans of US$652,789, and</w:t>
      </w:r>
    </w:p>
    <w:p>
      <w:pPr>
        <w:ind w:left="460" w:right="799" w:hanging="6"/>
        <w:spacing w:after="0" w:line="260" w:lineRule="auto"/>
        <w:tabs>
          <w:tab w:leader="none" w:pos="7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fees advance from a shareholder of US$ 524,560, partially offset by (i) repayment of loans from related parties of US$239,357, and (iii) dividend distribution of US$229,201.</w:t>
      </w:r>
    </w:p>
    <w:p>
      <w:pPr>
        <w:spacing w:after="0" w:line="114" w:lineRule="exact"/>
        <w:rPr>
          <w:sz w:val="20"/>
          <w:szCs w:val="20"/>
          <w:color w:val="auto"/>
        </w:rPr>
      </w:pPr>
    </w:p>
    <w:p>
      <w:pPr>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capital expenditures are primarily incurred for purposes of purchasing office and electric equipment and investments in office renovation. Our capital expenditures were US$79,043, US$73,885 and US$53,313 for the six months ended June 30, 2023, for the year ended December 31, 2022 and 2021, respectively. We intend to fund our future capital expenditures with our existing cash balance and proceeds from this offering. We will continue to make well-planned capital expenditures to meet the expected growth of our business.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under the non-cancellable operating lease with respect to the office and the warehouse as of June 30, 2023 are payable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12"/>
        </w:trPr>
        <w:tc>
          <w:tcPr>
            <w:tcW w:w="70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Commitment</w:t>
            </w:r>
          </w:p>
        </w:tc>
      </w:tr>
      <w:tr>
        <w:trPr>
          <w:trHeight w:val="46"/>
        </w:trPr>
        <w:tc>
          <w:tcPr>
            <w:tcW w:w="7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215,285</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445,552</w:t>
            </w:r>
          </w:p>
        </w:tc>
      </w:tr>
      <w:tr>
        <w:trPr>
          <w:trHeight w:val="41"/>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427,228</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364,534</w:t>
            </w:r>
          </w:p>
        </w:tc>
      </w:tr>
      <w:tr>
        <w:trPr>
          <w:trHeight w:val="40"/>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225,793</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1,678,392</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460" w:right="779" w:firstLine="432"/>
        <w:spacing w:after="0" w:line="281"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jc w:val="both"/>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nature of our business does not appear to be affected by seasonal variations.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48"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6" w:lineRule="auto"/>
        <w:rPr>
          <w:sz w:val="20"/>
          <w:szCs w:val="20"/>
          <w:color w:val="auto"/>
        </w:rPr>
      </w:pPr>
      <w:r>
        <w:rPr>
          <w:rFonts w:ascii="Times New Roman" w:cs="Times New Roman" w:eastAsia="Times New Roman" w:hAnsi="Times New Roman"/>
          <w:sz w:val="18"/>
          <w:szCs w:val="18"/>
          <w:color w:val="auto"/>
        </w:rPr>
        <w:t>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0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spacing w:after="0" w:line="99" w:lineRule="exact"/>
        <w:rPr>
          <w:sz w:val="20"/>
          <w:szCs w:val="20"/>
          <w:color w:val="auto"/>
        </w:rPr>
      </w:pPr>
    </w:p>
    <w:p>
      <w:pPr>
        <w:ind w:left="1280" w:hanging="39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critical accounting policies and practices include the following: (i) accounts receivable, net;</w:t>
      </w:r>
    </w:p>
    <w:p>
      <w:pPr>
        <w:spacing w:after="0" w:line="27" w:lineRule="exact"/>
        <w:rPr>
          <w:sz w:val="20"/>
          <w:szCs w:val="20"/>
          <w:color w:val="auto"/>
        </w:rPr>
      </w:pPr>
    </w:p>
    <w:p>
      <w:pPr>
        <w:jc w:val="both"/>
        <w:ind w:left="460" w:right="519" w:hanging="6"/>
        <w:spacing w:after="0" w:line="277" w:lineRule="auto"/>
        <w:tabs>
          <w:tab w:leader="none" w:pos="72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101" w:lineRule="exact"/>
        <w:rPr>
          <w:sz w:val="20"/>
          <w:szCs w:val="20"/>
          <w:color w:val="auto"/>
        </w:rPr>
      </w:pPr>
    </w:p>
    <w:p>
      <w:pPr>
        <w:ind w:left="460" w:right="999" w:firstLine="432"/>
        <w:spacing w:after="0" w:line="276" w:lineRule="auto"/>
        <w:rPr>
          <w:sz w:val="20"/>
          <w:szCs w:val="20"/>
          <w:color w:val="auto"/>
        </w:rPr>
      </w:pPr>
      <w:r>
        <w:rPr>
          <w:rFonts w:ascii="Times New Roman" w:cs="Times New Roman" w:eastAsia="Times New Roman" w:hAnsi="Times New Roman"/>
          <w:sz w:val="17"/>
          <w:szCs w:val="17"/>
          <w:color w:val="auto"/>
        </w:rPr>
        <w:t>We consider an accounting estimate to be critical if: (i) the accounting estimate requires us to make assumptions about matters that were highly uncertain at the time the accounting estimate was made, and</w:t>
      </w:r>
    </w:p>
    <w:p>
      <w:pPr>
        <w:spacing w:after="0" w:line="1" w:lineRule="exact"/>
        <w:rPr>
          <w:sz w:val="20"/>
          <w:szCs w:val="20"/>
          <w:color w:val="auto"/>
        </w:rPr>
      </w:pPr>
    </w:p>
    <w:p>
      <w:pPr>
        <w:ind w:left="460" w:right="499" w:hanging="6"/>
        <w:spacing w:after="0" w:line="253" w:lineRule="auto"/>
        <w:tabs>
          <w:tab w:leader="none" w:pos="7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Allowance for doubtful accounts for accounts receivable</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provision of allowance for doubtful accounts as of June 30, 2023, December 31,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of deferred tax assets</w:t>
      </w:r>
    </w:p>
    <w:p>
      <w:pPr>
        <w:spacing w:after="0" w:line="146"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December 31, 2022 and 2021. Thus, management decided to record all of the valuation allowance. Valuation allowance amounted to US$630,695, US$238,081 and US$30,974 as of June 30, 2023,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24"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We do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62"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46"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 translation and transaction</w:t>
      </w:r>
    </w:p>
    <w:p>
      <w:pPr>
        <w:spacing w:after="0" w:line="160"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4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Digital Solutions in Singapore</w:t>
      </w:r>
    </w:p>
    <w:p>
      <w:pPr>
        <w:spacing w:after="0" w:line="16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color w:val="auto"/>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w:t>
      </w:r>
    </w:p>
    <w:p>
      <w:pPr>
        <w:spacing w:after="0" w:line="1" w:lineRule="exact"/>
        <w:rPr>
          <w:sz w:val="20"/>
          <w:szCs w:val="20"/>
          <w:color w:val="auto"/>
        </w:rPr>
      </w:pPr>
    </w:p>
    <w:p>
      <w:pPr>
        <w:ind w:left="460" w:right="639" w:hanging="6"/>
        <w:spacing w:after="0" w:line="260" w:lineRule="auto"/>
        <w:tabs>
          <w:tab w:leader="none" w:pos="7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branding, design and marketing consulting services; (iii) application development and user experience and user interface interfacing; and (iv) IT consulting solution.</w:t>
      </w:r>
    </w:p>
    <w:p>
      <w:pPr>
        <w:spacing w:after="0" w:line="11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spacing w:after="0" w:line="7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spacing w:after="0" w:line="10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spacing w:after="0" w:line="11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Digital Solutions in Singapore</w:t>
      </w:r>
    </w:p>
    <w:p>
      <w:pPr>
        <w:spacing w:after="0" w:line="146" w:lineRule="exact"/>
        <w:rPr>
          <w:sz w:val="20"/>
          <w:szCs w:val="20"/>
          <w:color w:val="auto"/>
        </w:rPr>
      </w:pPr>
    </w:p>
    <w:p>
      <w:pPr>
        <w:ind w:left="1320" w:right="499" w:hanging="434"/>
        <w:spacing w:after="0" w:line="270" w:lineRule="auto"/>
        <w:tabs>
          <w:tab w:leader="none" w:pos="13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Demand for operational efficiency. </w:t>
      </w:r>
      <w:r>
        <w:rPr>
          <w:rFonts w:ascii="Times New Roman" w:cs="Times New Roman" w:eastAsia="Times New Roman" w:hAnsi="Times New Roman"/>
          <w:sz w:val="17"/>
          <w:szCs w:val="17"/>
          <w:color w:val="auto"/>
        </w:rPr>
        <w:t>Particularly for market entrants of e-commerce platforms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spacing w:after="0" w:line="105" w:lineRule="exact"/>
        <w:rPr>
          <w:rFonts w:ascii="Times New Roman" w:cs="Times New Roman" w:eastAsia="Times New Roman" w:hAnsi="Times New Roman"/>
          <w:sz w:val="17"/>
          <w:szCs w:val="17"/>
          <w:color w:val="auto"/>
        </w:rPr>
      </w:pPr>
    </w:p>
    <w:p>
      <w:pPr>
        <w:ind w:left="1320" w:right="499" w:hanging="434"/>
        <w:spacing w:after="0" w:line="256" w:lineRule="auto"/>
        <w:tabs>
          <w:tab w:leader="none" w:pos="131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Robust demand for omnichannel customer experience. </w:t>
      </w:r>
      <w:r>
        <w:rPr>
          <w:rFonts w:ascii="Times New Roman" w:cs="Times New Roman" w:eastAsia="Times New Roman" w:hAnsi="Times New Roman"/>
          <w:sz w:val="18"/>
          <w:szCs w:val="18"/>
          <w:color w:val="auto"/>
        </w:rPr>
        <w:t>With thriving numbers of Internet users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99"/>
        <w:spacing w:after="0" w:line="254" w:lineRule="auto"/>
        <w:rPr>
          <w:sz w:val="20"/>
          <w:szCs w:val="20"/>
          <w:color w:val="auto"/>
        </w:rPr>
      </w:pPr>
      <w:r>
        <w:rPr>
          <w:rFonts w:ascii="Times New Roman" w:cs="Times New Roman" w:eastAsia="Times New Roman" w:hAnsi="Times New Roman"/>
          <w:sz w:val="18"/>
          <w:szCs w:val="18"/>
          <w:color w:val="auto"/>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spacing w:after="0" w:line="119" w:lineRule="exact"/>
        <w:rPr>
          <w:sz w:val="20"/>
          <w:szCs w:val="20"/>
          <w:color w:val="auto"/>
        </w:rPr>
      </w:pPr>
    </w:p>
    <w:p>
      <w:pPr>
        <w:ind w:left="1320" w:right="679" w:hanging="434"/>
        <w:spacing w:after="0" w:line="254"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effort in promoting digital economy and society. </w:t>
      </w:r>
      <w:r>
        <w:rPr>
          <w:rFonts w:ascii="Times New Roman" w:cs="Times New Roman" w:eastAsia="Times New Roman" w:hAnsi="Times New Roman"/>
          <w:sz w:val="18"/>
          <w:szCs w:val="18"/>
          <w:color w:val="auto"/>
        </w:rPr>
        <w:t>Singapore government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54"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Significant impetus from SMEs. </w:t>
      </w:r>
      <w:r>
        <w:rPr>
          <w:rFonts w:ascii="Times New Roman" w:cs="Times New Roman" w:eastAsia="Times New Roman" w:hAnsi="Times New Roman"/>
          <w:sz w:val="18"/>
          <w:szCs w:val="18"/>
          <w:color w:val="auto"/>
        </w:rPr>
        <w:t>Government support for SME digitalization and skills upgrading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spacing w:after="0" w:line="10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Rise of Web 3.0 propelling e-commerce enablement</w:t>
      </w:r>
      <w:r>
        <w:rPr>
          <w:rFonts w:ascii="Times New Roman" w:cs="Times New Roman" w:eastAsia="Times New Roman" w:hAnsi="Times New Roman"/>
          <w:sz w:val="18"/>
          <w:szCs w:val="18"/>
          <w:color w:val="auto"/>
        </w:rPr>
        <w:t>. Web 3.0 primarily focuses on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spacing w:after="0" w:line="117" w:lineRule="exact"/>
        <w:rPr>
          <w:rFonts w:ascii="Times New Roman" w:cs="Times New Roman" w:eastAsia="Times New Roman" w:hAnsi="Times New Roman"/>
          <w:sz w:val="18"/>
          <w:szCs w:val="18"/>
          <w:color w:val="auto"/>
        </w:rPr>
      </w:pPr>
    </w:p>
    <w:p>
      <w:pPr>
        <w:ind w:left="1320" w:right="559" w:hanging="434"/>
        <w:spacing w:after="0" w:line="254" w:lineRule="auto"/>
        <w:tabs>
          <w:tab w:leader="none" w:pos="131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Demand for advancement in IT infrastructure and analytical tools. </w:t>
      </w:r>
      <w:r>
        <w:rPr>
          <w:rFonts w:ascii="Times New Roman" w:cs="Times New Roman" w:eastAsia="Times New Roman" w:hAnsi="Times New Roman"/>
          <w:sz w:val="18"/>
          <w:szCs w:val="18"/>
          <w:color w:val="auto"/>
        </w:rPr>
        <w:t>Advancements in IT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839"/>
        <w:spacing w:after="0" w:line="289" w:lineRule="auto"/>
        <w:rPr>
          <w:sz w:val="20"/>
          <w:szCs w:val="20"/>
          <w:color w:val="auto"/>
        </w:rPr>
      </w:pPr>
      <w:r>
        <w:rPr>
          <w:rFonts w:ascii="Times New Roman" w:cs="Times New Roman" w:eastAsia="Times New Roman" w:hAnsi="Times New Roman"/>
          <w:sz w:val="17"/>
          <w:szCs w:val="17"/>
          <w:color w:val="auto"/>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Singapore</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SMEs Go Digital Program in Singapore</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program is led by IMDA. Only those digital solutions providers that have been approved by IMDA can participate in the program and provide services to SMEs. Our Company is one of the pre-approved digital solution vendors.</w:t>
      </w:r>
    </w:p>
    <w:p>
      <w:pPr>
        <w:spacing w:after="0" w:line="108" w:lineRule="exact"/>
        <w:rPr>
          <w:sz w:val="20"/>
          <w:szCs w:val="20"/>
          <w:color w:val="auto"/>
        </w:rPr>
      </w:pPr>
    </w:p>
    <w:p>
      <w:pPr>
        <w:jc w:val="both"/>
        <w:ind w:left="460" w:right="1059" w:firstLine="432"/>
        <w:spacing w:after="0" w:line="266" w:lineRule="auto"/>
        <w:rPr>
          <w:sz w:val="20"/>
          <w:szCs w:val="20"/>
          <w:color w:val="auto"/>
        </w:rPr>
      </w:pPr>
      <w:r>
        <w:rPr>
          <w:rFonts w:ascii="Times New Roman" w:cs="Times New Roman" w:eastAsia="Times New Roman" w:hAnsi="Times New Roman"/>
          <w:sz w:val="18"/>
          <w:szCs w:val="18"/>
          <w:color w:val="auto"/>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80645</wp:posOffset>
            </wp:positionV>
            <wp:extent cx="4989195" cy="1800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891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Web 3.0 E-Commerce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more secure, and decentralized.</w:t>
      </w:r>
    </w:p>
    <w:p>
      <w:pPr>
        <w:spacing w:after="0" w:line="9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spacing w:after="0" w:line="120"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Web 3.0 E-Commerce</w:t>
      </w:r>
    </w:p>
    <w:p>
      <w:pPr>
        <w:spacing w:after="0" w:line="148" w:lineRule="exact"/>
        <w:rPr>
          <w:sz w:val="20"/>
          <w:szCs w:val="20"/>
          <w:color w:val="auto"/>
        </w:rPr>
      </w:pPr>
    </w:p>
    <w:p>
      <w:pPr>
        <w:ind w:left="460" w:right="1359" w:firstLine="432"/>
        <w:spacing w:after="0" w:line="282" w:lineRule="auto"/>
        <w:rPr>
          <w:sz w:val="20"/>
          <w:szCs w:val="20"/>
          <w:color w:val="auto"/>
        </w:rPr>
      </w:pPr>
      <w:r>
        <w:rPr>
          <w:rFonts w:ascii="Times New Roman" w:cs="Times New Roman" w:eastAsia="Times New Roman" w:hAnsi="Times New Roman"/>
          <w:sz w:val="18"/>
          <w:szCs w:val="18"/>
          <w:color w:val="auto"/>
        </w:rPr>
        <w:t>Web 3.0 will enable a decentralized commerce model where merchants list their products on a decentralized marketplace and customers can access them directly without any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4989195" cy="2434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Web 3.0 E-Commerce in Southeast Asia</w:t>
      </w:r>
    </w:p>
    <w:p>
      <w:pPr>
        <w:spacing w:after="0" w:line="160" w:lineRule="exact"/>
        <w:rPr>
          <w:sz w:val="20"/>
          <w:szCs w:val="20"/>
          <w:color w:val="auto"/>
        </w:rPr>
      </w:pPr>
    </w:p>
    <w:p>
      <w:pPr>
        <w:ind w:left="1320" w:right="479" w:hanging="434"/>
        <w:spacing w:after="0" w:line="253" w:lineRule="auto"/>
        <w:tabs>
          <w:tab w:leader="none" w:pos="131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Improved security, transparency and trust. </w:t>
      </w:r>
      <w:r>
        <w:rPr>
          <w:rFonts w:ascii="Times New Roman" w:cs="Times New Roman" w:eastAsia="Times New Roman" w:hAnsi="Times New Roman"/>
          <w:sz w:val="18"/>
          <w:szCs w:val="18"/>
          <w:color w:val="auto"/>
        </w:rPr>
        <w:t>The key technological advances in Web 3.0,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Enhanced personalized digital experience. </w:t>
      </w:r>
      <w:r>
        <w:rPr>
          <w:rFonts w:ascii="Times New Roman" w:cs="Times New Roman" w:eastAsia="Times New Roman" w:hAnsi="Times New Roman"/>
          <w:sz w:val="18"/>
          <w:szCs w:val="18"/>
          <w:color w:val="auto"/>
        </w:rPr>
        <w:t>Consumers nowadays expect personalized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spacing w:after="0" w:line="117" w:lineRule="exact"/>
        <w:rPr>
          <w:rFonts w:ascii="Times New Roman" w:cs="Times New Roman" w:eastAsia="Times New Roman" w:hAnsi="Times New Roman"/>
          <w:sz w:val="18"/>
          <w:szCs w:val="18"/>
          <w:i w:val="1"/>
          <w:iCs w:val="1"/>
          <w:color w:val="auto"/>
        </w:rPr>
      </w:pPr>
    </w:p>
    <w:p>
      <w:pPr>
        <w:ind w:left="1320" w:right="479" w:hanging="434"/>
        <w:spacing w:after="0" w:line="257"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Variety of user experience. </w:t>
      </w:r>
      <w:r>
        <w:rPr>
          <w:rFonts w:ascii="Times New Roman" w:cs="Times New Roman" w:eastAsia="Times New Roman" w:hAnsi="Times New Roman"/>
          <w:sz w:val="18"/>
          <w:szCs w:val="18"/>
          <w:color w:val="auto"/>
        </w:rPr>
        <w:t>Web 3.0 features advanced technology such as virtual/augmented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spacing w:after="0" w:line="114" w:lineRule="exact"/>
        <w:rPr>
          <w:rFonts w:ascii="Times New Roman" w:cs="Times New Roman" w:eastAsia="Times New Roman" w:hAnsi="Times New Roman"/>
          <w:sz w:val="18"/>
          <w:szCs w:val="18"/>
          <w:color w:val="auto"/>
        </w:rPr>
      </w:pPr>
    </w:p>
    <w:p>
      <w:pPr>
        <w:ind w:left="1320" w:right="519" w:hanging="434"/>
        <w:spacing w:after="0" w:line="256"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growing consumer base that embraces technology. </w:t>
      </w:r>
      <w:r>
        <w:rPr>
          <w:rFonts w:ascii="Times New Roman" w:cs="Times New Roman" w:eastAsia="Times New Roman" w:hAnsi="Times New Roman"/>
          <w:sz w:val="18"/>
          <w:szCs w:val="18"/>
          <w:color w:val="auto"/>
        </w:rPr>
        <w:t>With a high Internet penetration rate, a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spacing w:after="0" w:line="101" w:lineRule="exact"/>
        <w:rPr>
          <w:rFonts w:ascii="Times New Roman" w:cs="Times New Roman" w:eastAsia="Times New Roman" w:hAnsi="Times New Roman"/>
          <w:sz w:val="18"/>
          <w:szCs w:val="18"/>
          <w:color w:val="auto"/>
        </w:rPr>
      </w:pPr>
    </w:p>
    <w:p>
      <w:pPr>
        <w:ind w:left="1320" w:right="579" w:hanging="434"/>
        <w:spacing w:after="0" w:line="255"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endeavor. </w:t>
      </w:r>
      <w:r>
        <w:rPr>
          <w:rFonts w:ascii="Times New Roman" w:cs="Times New Roman" w:eastAsia="Times New Roman" w:hAnsi="Times New Roman"/>
          <w:sz w:val="18"/>
          <w:szCs w:val="18"/>
          <w:color w:val="auto"/>
        </w:rPr>
        <w:t>Governments in Southeast Asia have generally taken a progressive 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spacing w:after="0" w:line="117" w:lineRule="exact"/>
        <w:rPr>
          <w:rFonts w:ascii="Times New Roman" w:cs="Times New Roman" w:eastAsia="Times New Roman" w:hAnsi="Times New Roman"/>
          <w:sz w:val="18"/>
          <w:szCs w:val="18"/>
          <w:color w:val="auto"/>
        </w:rPr>
      </w:pPr>
    </w:p>
    <w:p>
      <w:pPr>
        <w:ind w:left="1320" w:right="519" w:hanging="434"/>
        <w:spacing w:after="0" w:line="255"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Cross-border trade. </w:t>
      </w:r>
      <w:r>
        <w:rPr>
          <w:rFonts w:ascii="Times New Roman" w:cs="Times New Roman" w:eastAsia="Times New Roman" w:hAnsi="Times New Roman"/>
          <w:sz w:val="18"/>
          <w:szCs w:val="18"/>
          <w:color w:val="auto"/>
        </w:rPr>
        <w:t>In 2021, the Southeast Asia countries signed the ASEAN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Opportunities of Web 3.0 E-Commerce in Southeast Asia and Globally</w:t>
      </w:r>
    </w:p>
    <w:p>
      <w:pPr>
        <w:spacing w:after="0" w:line="162" w:lineRule="exact"/>
        <w:rPr>
          <w:sz w:val="20"/>
          <w:szCs w:val="20"/>
          <w:color w:val="auto"/>
        </w:rPr>
      </w:pPr>
    </w:p>
    <w:p>
      <w:pPr>
        <w:jc w:val="both"/>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spacing w:after="0" w:line="100" w:lineRule="exact"/>
        <w:rPr>
          <w:sz w:val="20"/>
          <w:szCs w:val="20"/>
          <w:color w:val="auto"/>
        </w:rPr>
      </w:pPr>
    </w:p>
    <w:p>
      <w:pPr>
        <w:ind w:left="1320" w:right="579" w:hanging="434"/>
        <w:spacing w:after="0" w:line="258" w:lineRule="auto"/>
        <w:tabs>
          <w:tab w:leader="none" w:pos="131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Nominal GDP in Southeast Asia. </w:t>
      </w:r>
      <w:r>
        <w:rPr>
          <w:rFonts w:ascii="Times New Roman" w:cs="Times New Roman" w:eastAsia="Times New Roman" w:hAnsi="Times New Roman"/>
          <w:sz w:val="18"/>
          <w:szCs w:val="18"/>
          <w:color w:val="auto"/>
        </w:rPr>
        <w:t>According to The International Monetary Fund, the nominal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559" w:hanging="434"/>
        <w:spacing w:after="0" w:line="256" w:lineRule="auto"/>
        <w:tabs>
          <w:tab w:leader="none" w:pos="131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Number of Internet users in Southeast Asia. </w:t>
      </w:r>
      <w:r>
        <w:rPr>
          <w:rFonts w:ascii="Times New Roman" w:cs="Times New Roman" w:eastAsia="Times New Roman" w:hAnsi="Times New Roman"/>
          <w:sz w:val="18"/>
          <w:szCs w:val="18"/>
          <w:color w:val="auto"/>
        </w:rPr>
        <w:t>In 2022, the number of Internet users in Southeast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spacing w:after="0" w:line="115" w:lineRule="exact"/>
        <w:rPr>
          <w:rFonts w:ascii="Times New Roman" w:cs="Times New Roman" w:eastAsia="Times New Roman" w:hAnsi="Times New Roman"/>
          <w:sz w:val="18"/>
          <w:szCs w:val="18"/>
          <w:i w:val="1"/>
          <w:iCs w:val="1"/>
          <w:color w:val="auto"/>
        </w:rPr>
      </w:pPr>
    </w:p>
    <w:p>
      <w:pPr>
        <w:ind w:left="1320" w:right="459" w:hanging="434"/>
        <w:spacing w:after="0" w:line="253"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size of e-commerce in Southeast Asia. </w:t>
      </w:r>
      <w:r>
        <w:rPr>
          <w:rFonts w:ascii="Times New Roman" w:cs="Times New Roman" w:eastAsia="Times New Roman" w:hAnsi="Times New Roman"/>
          <w:sz w:val="18"/>
          <w:szCs w:val="18"/>
          <w:color w:val="auto"/>
        </w:rPr>
        <w:t>The e-commerce industry in the region has grown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92075</wp:posOffset>
            </wp:positionV>
            <wp:extent cx="4594860" cy="17741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948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60"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market size of Web 3.0-enabled e-commerce in Southeast Asia is expected to grow at a CAGR of 100.3% from 2023 to 2027, reaching US$47.0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71120</wp:posOffset>
            </wp:positionV>
            <wp:extent cx="4011930" cy="213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1193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size of global e-commerce. </w:t>
      </w:r>
      <w:r>
        <w:rPr>
          <w:rFonts w:ascii="Times New Roman" w:cs="Times New Roman" w:eastAsia="Times New Roman" w:hAnsi="Times New Roman"/>
          <w:sz w:val="18"/>
          <w:szCs w:val="18"/>
          <w:color w:val="auto"/>
        </w:rPr>
        <w:t>Rapid urbanization across the globe is one of the key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87630</wp:posOffset>
            </wp:positionV>
            <wp:extent cx="4509135" cy="16548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0913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46"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85090</wp:posOffset>
            </wp:positionV>
            <wp:extent cx="3789045" cy="19888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890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Our mission is to be the leader in Web 3.0 enablement, bridging business to a trusted and secure e-commerce platform with curated customer experience.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spacing w:after="0" w:line="10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320" w:right="479" w:hanging="434"/>
        <w:spacing w:after="0" w:line="259"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1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20"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81"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Leading digital transformation enabler in the SME segment of the e-commerce enablement and digital optimizing services market in Singapore</w:t>
      </w:r>
    </w:p>
    <w:p>
      <w:pPr>
        <w:spacing w:after="0" w:line="7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spacing w:after="0" w:line="8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spacing w:after="0" w:line="8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 Architecture</w:t>
      </w:r>
    </w:p>
    <w:p>
      <w:pPr>
        <w:spacing w:after="0" w:line="13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spacing w:after="0" w:line="93"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Unique Perspective and Efficient Operational Capabilities</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believe that these unique perspectives and the efficient operational capabilities can be applied to our developing Web 3.0 e-commerce platform which accelerates merchants and customers’ acquisition and increases their stickiness.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Seasoned and Visionary Management Team with International Perspective</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spacing w:after="0" w:line="12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Capitalize on a Generational Shift to Web 3.0</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operates Tridentity, a Web 3.0 e-commerce platform whereby customers and merchants can transact in a transparent and secure way, launched in the fourth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and Grow our Client Base</w:t>
      </w:r>
    </w:p>
    <w:p>
      <w:pPr>
        <w:spacing w:after="0" w:line="148"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We plan to grow our existing clients by adding product features and additional functionality to our solutions and continuing to drive digital adoption of our existing solutions.</w:t>
      </w:r>
    </w:p>
    <w:p>
      <w:pPr>
        <w:spacing w:after="0" w:line="94"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Broaden our Geographical Reach</w:t>
      </w:r>
    </w:p>
    <w:p>
      <w:pPr>
        <w:spacing w:after="0" w:line="14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Selectively Pursue Strategic Acquisitions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Business Consulting Solutions</w:t>
      </w:r>
    </w:p>
    <w:p>
      <w:pPr>
        <w:spacing w:after="0" w:line="16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Our approach, with an eye on execution, combines creative thinking and industry expertise to enable companies to achieve market-leading performance.</w:t>
      </w:r>
    </w:p>
    <w:p>
      <w:pPr>
        <w:spacing w:after="0" w:line="81" w:lineRule="exact"/>
        <w:rPr>
          <w:sz w:val="20"/>
          <w:szCs w:val="20"/>
          <w:color w:val="auto"/>
        </w:rPr>
      </w:pPr>
    </w:p>
    <w:p>
      <w:pPr>
        <w:jc w:val="both"/>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spacing w:after="0" w:line="108" w:lineRule="exact"/>
        <w:rPr>
          <w:sz w:val="20"/>
          <w:szCs w:val="20"/>
          <w:color w:val="auto"/>
        </w:rPr>
      </w:pPr>
    </w:p>
    <w:p>
      <w:pPr>
        <w:jc w:val="both"/>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provide market intelligence to our clients by identifying the objectives and audience, formulating customized digital marketing strategies in order to magnify their brand positioning and enhance operational efficiency.</w:t>
      </w:r>
    </w:p>
    <w:p>
      <w:pPr>
        <w:spacing w:after="0" w:line="95" w:lineRule="exact"/>
        <w:rPr>
          <w:sz w:val="20"/>
          <w:szCs w:val="20"/>
          <w:color w:val="auto"/>
        </w:rPr>
      </w:pPr>
    </w:p>
    <w:p>
      <w:pPr>
        <w:jc w:val="both"/>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data analysis</w:t>
      </w:r>
    </w:p>
    <w:p>
      <w:pPr>
        <w:spacing w:after="0" w:line="16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Visual identity elements design</w:t>
      </w:r>
    </w:p>
    <w:p>
      <w:pPr>
        <w:spacing w:after="0" w:line="146"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Strategic planning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spacing w:after="0" w:line="121"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146" w:lineRule="exact"/>
        <w:rPr>
          <w:sz w:val="20"/>
          <w:szCs w:val="20"/>
          <w:color w:val="auto"/>
        </w:rPr>
      </w:pPr>
    </w:p>
    <w:p>
      <w:pPr>
        <w:ind w:left="460" w:right="739" w:firstLine="432"/>
        <w:spacing w:after="0" w:line="274" w:lineRule="auto"/>
        <w:rPr>
          <w:sz w:val="20"/>
          <w:szCs w:val="20"/>
          <w:color w:val="auto"/>
        </w:rPr>
      </w:pPr>
      <w:r>
        <w:rPr>
          <w:rFonts w:ascii="Times New Roman" w:cs="Times New Roman" w:eastAsia="Times New Roman" w:hAnsi="Times New Roman"/>
          <w:sz w:val="17"/>
          <w:szCs w:val="17"/>
          <w:color w:val="auto"/>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spacing w:after="0" w:line="105"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IT Customization Services</w:t>
      </w:r>
    </w:p>
    <w:p>
      <w:pPr>
        <w:spacing w:after="0" w:line="162" w:lineRule="exact"/>
        <w:rPr>
          <w:sz w:val="20"/>
          <w:szCs w:val="20"/>
          <w:color w:val="auto"/>
        </w:rPr>
      </w:pPr>
    </w:p>
    <w:p>
      <w:pPr>
        <w:jc w:val="both"/>
        <w:ind w:left="460" w:right="619" w:firstLine="432"/>
        <w:spacing w:after="0" w:line="289" w:lineRule="auto"/>
        <w:rPr>
          <w:sz w:val="20"/>
          <w:szCs w:val="20"/>
          <w:color w:val="auto"/>
        </w:rPr>
      </w:pPr>
      <w:r>
        <w:rPr>
          <w:rFonts w:ascii="Times New Roman" w:cs="Times New Roman" w:eastAsia="Times New Roman" w:hAnsi="Times New Roman"/>
          <w:sz w:val="17"/>
          <w:szCs w:val="17"/>
          <w:color w:val="auto"/>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IT Consulting Services</w:t>
      </w:r>
    </w:p>
    <w:p>
      <w:pPr>
        <w:spacing w:after="0" w:line="148"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Our IT consulting services include a full range of consulting and technical services relating to the software solutions, from the early design and planning stages of an implementation to end-user training and after-implementation consulting services.</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spacing w:after="0" w:line="112" w:lineRule="exact"/>
        <w:rPr>
          <w:sz w:val="20"/>
          <w:szCs w:val="20"/>
          <w:color w:val="auto"/>
        </w:rPr>
      </w:pPr>
    </w:p>
    <w:p>
      <w:pPr>
        <w:ind w:left="1320" w:right="8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and evaluation of client’s business requirements, especially with regard to the size and complexity of the projects to be supported, as well as the client’s customized needs;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key problems and challenges of the current business operation and workflow;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proposed software solution based on client’s requirements;</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of the system features to fulfill our client’s business by revamping and integrating different information technology systems and operational systems;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project’s lifecycle by certified professionals;</w:t>
      </w:r>
    </w:p>
    <w:p>
      <w:pPr>
        <w:spacing w:after="0" w:line="144"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fine-tuned adjustment and customization of software solutions to meet the client’s business needs such as project plan or solution proposal, etc.;</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 implementation strategy that assesses operational impacts and improves ease of learning about the new computerized operations;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assistance with face-to-face or online professional training and reinforcement.</w:t>
      </w:r>
    </w:p>
    <w:p>
      <w:pPr>
        <w:spacing w:after="0" w:line="144"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 Software Solutions</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We offer a range of management software solutions to customers via annual subscriptions, including client relationship management solutions, inventory management solutions.</w:t>
      </w:r>
    </w:p>
    <w:p>
      <w:pPr>
        <w:spacing w:after="0" w:line="9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Web 3.0 E-Commerce Platform</w:t>
      </w:r>
    </w:p>
    <w:p>
      <w:pPr>
        <w:spacing w:after="0" w:line="148" w:lineRule="exact"/>
        <w:rPr>
          <w:sz w:val="20"/>
          <w:szCs w:val="20"/>
          <w:color w:val="auto"/>
        </w:rPr>
      </w:pPr>
    </w:p>
    <w:p>
      <w:pPr>
        <w:ind w:left="460" w:right="499" w:firstLine="432"/>
        <w:spacing w:after="0" w:line="277" w:lineRule="auto"/>
        <w:rPr>
          <w:sz w:val="20"/>
          <w:szCs w:val="20"/>
          <w:color w:val="auto"/>
        </w:rPr>
      </w:pPr>
      <w:r>
        <w:rPr>
          <w:rFonts w:ascii="Times New Roman" w:cs="Times New Roman" w:eastAsia="Times New Roman" w:hAnsi="Times New Roman"/>
          <w:sz w:val="17"/>
          <w:szCs w:val="17"/>
          <w:color w:val="auto"/>
        </w:rPr>
        <w:t>In the fourth quarter of 2023, we launched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0" w:lineRule="exact"/>
        <w:rPr>
          <w:sz w:val="20"/>
          <w:szCs w:val="20"/>
          <w:color w:val="auto"/>
        </w:rPr>
      </w:pPr>
    </w:p>
    <w:p>
      <w:pPr>
        <w:ind w:left="460" w:right="559" w:firstLine="432"/>
        <w:spacing w:after="0" w:line="281" w:lineRule="auto"/>
        <w:rPr>
          <w:sz w:val="20"/>
          <w:szCs w:val="20"/>
          <w:color w:val="auto"/>
        </w:rPr>
      </w:pPr>
      <w:r>
        <w:rPr>
          <w:rFonts w:ascii="Times New Roman" w:cs="Times New Roman" w:eastAsia="Times New Roman" w:hAnsi="Times New Roman"/>
          <w:sz w:val="17"/>
          <w:szCs w:val="17"/>
          <w:color w:val="auto"/>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spacing w:after="0" w:line="97"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spacing w:after="0" w:line="127" w:lineRule="exact"/>
        <w:rPr>
          <w:sz w:val="20"/>
          <w:szCs w:val="20"/>
          <w:color w:val="auto"/>
        </w:rPr>
      </w:pPr>
    </w:p>
    <w:p>
      <w:pPr>
        <w:jc w:val="both"/>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w:t>
      </w:r>
    </w:p>
    <w:p>
      <w:pPr>
        <w:spacing w:after="0" w:line="5" w:lineRule="exact"/>
        <w:rPr>
          <w:sz w:val="20"/>
          <w:szCs w:val="20"/>
          <w:color w:val="auto"/>
        </w:rPr>
      </w:pPr>
    </w:p>
    <w:p>
      <w:pPr>
        <w:ind w:left="460" w:right="559"/>
        <w:spacing w:after="0" w:line="253" w:lineRule="auto"/>
        <w:rPr>
          <w:sz w:val="20"/>
          <w:szCs w:val="20"/>
          <w:color w:val="auto"/>
        </w:rPr>
      </w:pPr>
      <w:r>
        <w:rPr>
          <w:rFonts w:ascii="Times New Roman" w:cs="Times New Roman" w:eastAsia="Times New Roman" w:hAnsi="Times New Roman"/>
          <w:sz w:val="18"/>
          <w:szCs w:val="18"/>
          <w:color w:val="auto"/>
        </w:rPr>
        <w:t>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spacing w:after="0" w:line="119"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spacing w:after="0" w:line="9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spacing w:after="0" w:line="120"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6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solutions are designed from the ground up for speed-to-market, scalability, security, durability, and reliability. The foundational technology that enables these benefits includes:</w:t>
      </w:r>
    </w:p>
    <w:p>
      <w:pPr>
        <w:spacing w:after="0" w:line="81" w:lineRule="exact"/>
        <w:rPr>
          <w:sz w:val="20"/>
          <w:szCs w:val="20"/>
          <w:color w:val="auto"/>
        </w:rPr>
      </w:pPr>
    </w:p>
    <w:p>
      <w:pPr>
        <w:ind w:left="1320" w:right="499" w:hanging="434"/>
        <w:spacing w:after="0" w:line="271" w:lineRule="auto"/>
        <w:tabs>
          <w:tab w:leader="none" w:pos="13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spacing w:after="0" w:line="78" w:lineRule="exact"/>
        <w:rPr>
          <w:rFonts w:ascii="Times New Roman" w:cs="Times New Roman" w:eastAsia="Times New Roman" w:hAnsi="Times New Roman"/>
          <w:sz w:val="17"/>
          <w:szCs w:val="17"/>
          <w:color w:val="auto"/>
        </w:rPr>
      </w:pPr>
    </w:p>
    <w:p>
      <w:pPr>
        <w:ind w:left="1320" w:right="459" w:hanging="434"/>
        <w:spacing w:after="0" w:line="258"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spacing w:after="0" w:line="88"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56"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92" w:lineRule="exact"/>
        <w:rPr>
          <w:rFonts w:ascii="Times New Roman" w:cs="Times New Roman" w:eastAsia="Times New Roman" w:hAnsi="Times New Roman"/>
          <w:sz w:val="18"/>
          <w:szCs w:val="18"/>
          <w:color w:val="auto"/>
        </w:rPr>
      </w:pPr>
    </w:p>
    <w:p>
      <w:pPr>
        <w:ind w:left="1320" w:right="599" w:hanging="434"/>
        <w:spacing w:after="0" w:line="254"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Maintenance and Support</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spacing w:after="0" w:line="99" w:lineRule="exact"/>
        <w:rPr>
          <w:sz w:val="20"/>
          <w:szCs w:val="20"/>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track record and reputation in the industry;</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customization;</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innovation, quality, functionality and design;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partnerships with upstream and downstream partners;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vertical domain experience;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commitment to security and privacy.</w:t>
      </w:r>
    </w:p>
    <w:p>
      <w:pPr>
        <w:spacing w:after="0" w:line="144" w:lineRule="exact"/>
        <w:rPr>
          <w:sz w:val="20"/>
          <w:szCs w:val="20"/>
          <w:color w:val="auto"/>
        </w:rPr>
      </w:pPr>
    </w:p>
    <w:p>
      <w:pPr>
        <w:ind w:left="460" w:right="519" w:firstLine="432"/>
        <w:spacing w:after="0" w:line="273" w:lineRule="auto"/>
        <w:rPr>
          <w:sz w:val="20"/>
          <w:szCs w:val="20"/>
          <w:color w:val="auto"/>
        </w:rPr>
      </w:pPr>
      <w:r>
        <w:rPr>
          <w:rFonts w:ascii="Times New Roman" w:cs="Times New Roman" w:eastAsia="Times New Roman" w:hAnsi="Times New Roman"/>
          <w:sz w:val="17"/>
          <w:szCs w:val="17"/>
          <w:color w:val="auto"/>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35"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We are headquartered in Singapore where we lease three corporate offices under leases of which two expire in 2024 and one expires in 2025.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spacing w:after="0" w:line="116"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spacing w:after="0" w:line="10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also registered and maintained the domain names “Qzonetech.com” and “Tridentity.me” for our</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business operations to ensure that we maintain the ability to engage with our clients, employees, and the public.</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June 30, 2023, we had a total of 33 full-time employees. We are highly dependent on our management, highly-skilled software engineers, sales and marketing personnel, and other professionals, and it is crucial that we continue to attract and retain valuable employees.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We provide work injury compensation insurance for our employees as required by applicable law and in line with general market practice.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6"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Regulations in Singapore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158" w:lineRule="exact"/>
        <w:rPr>
          <w:sz w:val="20"/>
          <w:szCs w:val="20"/>
          <w:color w:val="auto"/>
        </w:rPr>
      </w:pPr>
    </w:p>
    <w:p>
      <w:pPr>
        <w:ind w:left="460" w:right="499" w:firstLine="432"/>
        <w:spacing w:after="0" w:line="259" w:lineRule="auto"/>
        <w:rPr>
          <w:sz w:val="20"/>
          <w:szCs w:val="20"/>
          <w:color w:val="auto"/>
        </w:rPr>
      </w:pPr>
      <w:r>
        <w:rPr>
          <w:rFonts w:ascii="Times New Roman" w:cs="Times New Roman" w:eastAsia="Times New Roman" w:hAnsi="Times New Roman"/>
          <w:sz w:val="18"/>
          <w:szCs w:val="18"/>
          <w:color w:val="auto"/>
        </w:rPr>
        <w:t>The Personal Data Protection Act 2012 of Singapore (the “</w:t>
      </w:r>
      <w:r>
        <w:rPr>
          <w:rFonts w:ascii="Times New Roman" w:cs="Times New Roman" w:eastAsia="Times New Roman" w:hAnsi="Times New Roman"/>
          <w:sz w:val="18"/>
          <w:szCs w:val="18"/>
          <w:b w:val="1"/>
          <w:bCs w:val="1"/>
          <w:color w:val="auto"/>
        </w:rPr>
        <w:t>PDPA</w:t>
      </w:r>
      <w:r>
        <w:rPr>
          <w:rFonts w:ascii="Times New Roman" w:cs="Times New Roman" w:eastAsia="Times New Roman" w:hAnsi="Times New Roman"/>
          <w:sz w:val="18"/>
          <w:szCs w:val="18"/>
          <w:color w:val="auto"/>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spacing w:after="0" w:line="116"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An organization is required to comply with, amongst other things, the following obligations prescribed by the PDPA:</w:t>
      </w:r>
    </w:p>
    <w:p>
      <w:pPr>
        <w:spacing w:after="0" w:line="79" w:lineRule="exact"/>
        <w:rPr>
          <w:sz w:val="20"/>
          <w:szCs w:val="20"/>
          <w:color w:val="auto"/>
        </w:rPr>
      </w:pPr>
    </w:p>
    <w:p>
      <w:pPr>
        <w:jc w:val="both"/>
        <w:ind w:left="1320" w:right="639" w:hanging="434"/>
        <w:spacing w:after="0" w:line="267" w:lineRule="auto"/>
        <w:tabs>
          <w:tab w:leader="none" w:pos="12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 limitation obligation </w:t>
      </w:r>
      <w:r>
        <w:rPr>
          <w:rFonts w:ascii="Times New Roman" w:cs="Times New Roman" w:eastAsia="Times New Roman" w:hAnsi="Times New Roman"/>
          <w:sz w:val="18"/>
          <w:szCs w:val="18"/>
          <w:color w:val="auto"/>
        </w:rPr>
        <w:t>— personal data must be collected, used, disclosed and/or processed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for purposes that a reasonable person would consider appropriate in the circumstances, and if applicable, have been notified to the individual concerned;</w:t>
      </w:r>
    </w:p>
    <w:p>
      <w:pPr>
        <w:spacing w:after="0" w:line="105" w:lineRule="exact"/>
        <w:rPr>
          <w:rFonts w:ascii="Times New Roman" w:cs="Times New Roman" w:eastAsia="Times New Roman" w:hAnsi="Times New Roman"/>
          <w:sz w:val="18"/>
          <w:szCs w:val="18"/>
          <w:color w:val="auto"/>
        </w:rPr>
      </w:pPr>
    </w:p>
    <w:p>
      <w:pPr>
        <w:ind w:left="1320" w:right="679" w:hanging="434"/>
        <w:spacing w:after="0" w:line="267"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Notification obligation </w:t>
      </w:r>
      <w:r>
        <w:rPr>
          <w:rFonts w:ascii="Times New Roman" w:cs="Times New Roman" w:eastAsia="Times New Roman" w:hAnsi="Times New Roman"/>
          <w:sz w:val="18"/>
          <w:szCs w:val="18"/>
          <w:color w:val="auto"/>
        </w:rPr>
        <w:t>— individuals must be notified of the purposes for the collection,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and/or processing of their personal data, prior to such collection, use, disclosure and/or processing;</w:t>
      </w:r>
    </w:p>
    <w:p>
      <w:pPr>
        <w:spacing w:after="0" w:line="105" w:lineRule="exact"/>
        <w:rPr>
          <w:rFonts w:ascii="Times New Roman" w:cs="Times New Roman" w:eastAsia="Times New Roman" w:hAnsi="Times New Roman"/>
          <w:sz w:val="18"/>
          <w:szCs w:val="18"/>
          <w:color w:val="auto"/>
        </w:rPr>
      </w:pPr>
    </w:p>
    <w:p>
      <w:pPr>
        <w:ind w:left="1320" w:right="499" w:hanging="434"/>
        <w:spacing w:after="0" w:line="290" w:lineRule="auto"/>
        <w:tabs>
          <w:tab w:leader="none" w:pos="129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Consent obligation </w:t>
      </w:r>
      <w:r>
        <w:rPr>
          <w:rFonts w:ascii="Times New Roman" w:cs="Times New Roman" w:eastAsia="Times New Roman" w:hAnsi="Times New Roman"/>
          <w:sz w:val="17"/>
          <w:szCs w:val="17"/>
          <w:color w:val="auto"/>
        </w:rPr>
        <w:t>— the consent of individuals must be obtained for any collection, use,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processing of their personal data, unless exception(s) apply. Additionally, an organization must allow the withdrawal of consent which has been given or is deemed to have been given;</w:t>
      </w:r>
    </w:p>
    <w:p>
      <w:pPr>
        <w:spacing w:after="0" w:line="74" w:lineRule="exact"/>
        <w:rPr>
          <w:rFonts w:ascii="Times New Roman" w:cs="Times New Roman" w:eastAsia="Times New Roman" w:hAnsi="Times New Roman"/>
          <w:sz w:val="17"/>
          <w:szCs w:val="17"/>
          <w:color w:val="auto"/>
        </w:rPr>
      </w:pPr>
    </w:p>
    <w:p>
      <w:pPr>
        <w:ind w:left="1320" w:right="479" w:hanging="434"/>
        <w:spacing w:after="0" w:line="277" w:lineRule="auto"/>
        <w:tabs>
          <w:tab w:leader="none" w:pos="128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Access and correction obligations </w:t>
      </w:r>
      <w:r>
        <w:rPr>
          <w:rFonts w:ascii="Times New Roman" w:cs="Times New Roman" w:eastAsia="Times New Roman" w:hAnsi="Times New Roman"/>
          <w:sz w:val="17"/>
          <w:szCs w:val="17"/>
          <w:color w:val="auto"/>
        </w:rPr>
        <w:t>— when requested by an individual and unless exception(s) apply,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spacing w:after="0" w:line="100" w:lineRule="exact"/>
        <w:rPr>
          <w:rFonts w:ascii="Times New Roman" w:cs="Times New Roman" w:eastAsia="Times New Roman" w:hAnsi="Times New Roman"/>
          <w:sz w:val="17"/>
          <w:szCs w:val="17"/>
          <w:color w:val="auto"/>
        </w:rPr>
      </w:pPr>
    </w:p>
    <w:p>
      <w:pPr>
        <w:ind w:left="1320" w:right="519" w:hanging="434"/>
        <w:spacing w:after="0" w:line="261" w:lineRule="auto"/>
        <w:tabs>
          <w:tab w:leader="none" w:pos="12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Accuracy obligation </w:t>
      </w:r>
      <w:r>
        <w:rPr>
          <w:rFonts w:ascii="Times New Roman" w:cs="Times New Roman" w:eastAsia="Times New Roman" w:hAnsi="Times New Roman"/>
          <w:sz w:val="18"/>
          <w:szCs w:val="18"/>
          <w:color w:val="auto"/>
        </w:rPr>
        <w:t>— an organization must make reasonable efforts to ensure that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by or on its behalf is accurate and complete if such data is likely to be used by the organization to make a decision affecting the individual to whom the personal data relates or if such data is likely to be disclosed to another organization;</w:t>
      </w:r>
    </w:p>
    <w:p>
      <w:pPr>
        <w:spacing w:after="0" w:line="112"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Protection obligation </w:t>
      </w:r>
      <w:r>
        <w:rPr>
          <w:rFonts w:ascii="Times New Roman" w:cs="Times New Roman" w:eastAsia="Times New Roman" w:hAnsi="Times New Roman"/>
          <w:sz w:val="18"/>
          <w:szCs w:val="18"/>
          <w:color w:val="auto"/>
        </w:rPr>
        <w:t>— an organization must implement reasonable security arrangements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of personal data in its possession or under its control from (a) unauthorized access, collection, use, disclosure, copying, modification, disposal or similar risks, and (b) the loss of any storage medium or device on which personal data is stored;</w:t>
      </w:r>
    </w:p>
    <w:p>
      <w:pPr>
        <w:spacing w:after="0" w:line="98" w:lineRule="exact"/>
        <w:rPr>
          <w:rFonts w:ascii="Times New Roman" w:cs="Times New Roman" w:eastAsia="Times New Roman" w:hAnsi="Times New Roman"/>
          <w:sz w:val="18"/>
          <w:szCs w:val="18"/>
          <w:color w:val="auto"/>
        </w:rPr>
      </w:pPr>
    </w:p>
    <w:p>
      <w:pPr>
        <w:ind w:left="1320" w:right="659" w:hanging="434"/>
        <w:spacing w:after="0" w:line="315" w:lineRule="auto"/>
        <w:tabs>
          <w:tab w:leader="none" w:pos="128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Retention limitation obligation </w:t>
      </w:r>
      <w:r>
        <w:rPr>
          <w:rFonts w:ascii="Times New Roman" w:cs="Times New Roman" w:eastAsia="Times New Roman" w:hAnsi="Times New Roman"/>
          <w:sz w:val="17"/>
          <w:szCs w:val="17"/>
          <w:color w:val="auto"/>
        </w:rPr>
        <w:t>— an organization must not keep personal data for longer than it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fulfil (a) the purposes for which it was collected, or (b) a legal or business purpose;</w:t>
      </w:r>
    </w:p>
    <w:p>
      <w:pPr>
        <w:spacing w:after="0" w:line="67" w:lineRule="exact"/>
        <w:rPr>
          <w:rFonts w:ascii="Times New Roman" w:cs="Times New Roman" w:eastAsia="Times New Roman" w:hAnsi="Times New Roman"/>
          <w:sz w:val="17"/>
          <w:szCs w:val="17"/>
          <w:color w:val="auto"/>
        </w:rPr>
      </w:pPr>
    </w:p>
    <w:p>
      <w:pPr>
        <w:ind w:left="1320" w:right="719" w:hanging="434"/>
        <w:spacing w:after="0" w:line="284" w:lineRule="auto"/>
        <w:tabs>
          <w:tab w:leader="none" w:pos="1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limitation obligation </w:t>
      </w:r>
      <w:r>
        <w:rPr>
          <w:rFonts w:ascii="Times New Roman" w:cs="Times New Roman" w:eastAsia="Times New Roman" w:hAnsi="Times New Roman"/>
          <w:sz w:val="18"/>
          <w:szCs w:val="18"/>
          <w:color w:val="auto"/>
        </w:rPr>
        <w:t>— personal data must not be transferred out of Singapore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requirements prescribed under the PDPA;</w:t>
      </w:r>
    </w:p>
    <w:p>
      <w:pPr>
        <w:spacing w:after="0" w:line="90"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Accountability obligation </w:t>
      </w:r>
      <w:r>
        <w:rPr>
          <w:rFonts w:ascii="Times New Roman" w:cs="Times New Roman" w:eastAsia="Times New Roman" w:hAnsi="Times New Roman"/>
          <w:sz w:val="18"/>
          <w:szCs w:val="18"/>
          <w:color w:val="auto"/>
        </w:rPr>
        <w:t>— an organization must implement the necessary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order to meet the obligations under the PDPA, communicate and inform its staff about these policies and procedures, and shall make information about its policies and procedures available on request.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79"/>
        <w:spacing w:after="0" w:line="266" w:lineRule="auto"/>
        <w:rPr>
          <w:sz w:val="20"/>
          <w:szCs w:val="20"/>
          <w:color w:val="auto"/>
        </w:rPr>
      </w:pPr>
      <w:r>
        <w:rPr>
          <w:rFonts w:ascii="Times New Roman" w:cs="Times New Roman" w:eastAsia="Times New Roman" w:hAnsi="Times New Roman"/>
          <w:sz w:val="18"/>
          <w:szCs w:val="18"/>
          <w:color w:val="auto"/>
        </w:rPr>
        <w:t>In addition, an organization must develop a process to receive and respond to data-related complaints, and must designate at least one individual as the data protection officer to oversee the organization’s compliance with the PDPA;</w:t>
      </w:r>
    </w:p>
    <w:p>
      <w:pPr>
        <w:spacing w:after="0" w:line="106" w:lineRule="exact"/>
        <w:rPr>
          <w:sz w:val="20"/>
          <w:szCs w:val="20"/>
          <w:color w:val="auto"/>
        </w:rPr>
      </w:pPr>
    </w:p>
    <w:p>
      <w:pPr>
        <w:ind w:left="1320" w:right="519" w:hanging="434"/>
        <w:spacing w:after="0" w:line="256" w:lineRule="auto"/>
        <w:tabs>
          <w:tab w:leader="none" w:pos="12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breach notification obligation </w:t>
      </w:r>
      <w:r>
        <w:rPr>
          <w:rFonts w:ascii="Times New Roman" w:cs="Times New Roman" w:eastAsia="Times New Roman" w:hAnsi="Times New Roman"/>
          <w:sz w:val="18"/>
          <w:szCs w:val="18"/>
          <w:color w:val="auto"/>
        </w:rPr>
        <w:t>— an organization must notify the Singapore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Commission (“</w:t>
      </w:r>
      <w:r>
        <w:rPr>
          <w:rFonts w:ascii="Times New Roman" w:cs="Times New Roman" w:eastAsia="Times New Roman" w:hAnsi="Times New Roman"/>
          <w:sz w:val="18"/>
          <w:szCs w:val="18"/>
          <w:b w:val="1"/>
          <w:bCs w:val="1"/>
          <w:color w:val="auto"/>
        </w:rPr>
        <w:t>PDPC</w:t>
      </w:r>
      <w:r>
        <w:rPr>
          <w:rFonts w:ascii="Times New Roman" w:cs="Times New Roman" w:eastAsia="Times New Roman" w:hAnsi="Times New Roman"/>
          <w:sz w:val="18"/>
          <w:szCs w:val="18"/>
          <w:color w:val="auto"/>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spacing w:after="0" w:line="115" w:lineRule="exact"/>
        <w:rPr>
          <w:rFonts w:ascii="Times New Roman" w:cs="Times New Roman" w:eastAsia="Times New Roman" w:hAnsi="Times New Roman"/>
          <w:sz w:val="18"/>
          <w:szCs w:val="18"/>
          <w:color w:val="auto"/>
        </w:rPr>
      </w:pPr>
    </w:p>
    <w:p>
      <w:pPr>
        <w:ind w:left="1320" w:right="559" w:hanging="434"/>
        <w:spacing w:after="0" w:line="257" w:lineRule="auto"/>
        <w:tabs>
          <w:tab w:leader="none" w:pos="12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portability obligation </w:t>
      </w:r>
      <w:r>
        <w:rPr>
          <w:rFonts w:ascii="Times New Roman" w:cs="Times New Roman" w:eastAsia="Times New Roman" w:hAnsi="Times New Roman"/>
          <w:sz w:val="18"/>
          <w:szCs w:val="18"/>
          <w:color w:val="auto"/>
        </w:rPr>
        <w:t>— the data portability obligation (which is not yet in force as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spacing w:after="0" w:line="103"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to the general data protection obligations imposed under the PDPA, the PDPA also generally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prohibits organizations and individuals from sending direct marketing messages (in the form of voice calls, text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fax messages) to Singapore telephone numbers, including mobile, fixed-line, residential and 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numbers, registered with the Do Not Call Registry (the “</w:t>
      </w:r>
      <w:r>
        <w:rPr>
          <w:rFonts w:ascii="Times New Roman" w:cs="Times New Roman" w:eastAsia="Times New Roman" w:hAnsi="Times New Roman"/>
          <w:sz w:val="18"/>
          <w:szCs w:val="18"/>
          <w:b w:val="1"/>
          <w:bCs w:val="1"/>
          <w:color w:val="auto"/>
        </w:rPr>
        <w:t>DNC Registry</w:t>
      </w:r>
      <w:r>
        <w:rPr>
          <w:rFonts w:ascii="Times New Roman" w:cs="Times New Roman" w:eastAsia="Times New Roman" w:hAnsi="Times New Roman"/>
          <w:sz w:val="18"/>
          <w:szCs w:val="18"/>
          <w:color w:val="auto"/>
        </w:rPr>
        <w:t>”), as maintained by the PDPC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DNC Obligations</w:t>
      </w:r>
      <w:r>
        <w:rPr>
          <w:rFonts w:ascii="Times New Roman" w:cs="Times New Roman" w:eastAsia="Times New Roman" w:hAnsi="Times New Roman"/>
          <w:sz w:val="17"/>
          <w:szCs w:val="17"/>
          <w:color w:val="auto"/>
        </w:rPr>
        <w:t>”). The DNC Obligations only apply to the sending of “specified messages” as defined in the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PDPA, which are marketing messages that offer, promote or advertise goods or services.</w:t>
      </w:r>
    </w:p>
    <w:p>
      <w:pPr>
        <w:spacing w:after="0" w:line="13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w:t>
      </w:r>
    </w:p>
    <w:p>
      <w:pPr>
        <w:spacing w:after="0" w:line="14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The Employment Act 1968 of Singapore (the “</w:t>
      </w:r>
      <w:r>
        <w:rPr>
          <w:rFonts w:ascii="Times New Roman" w:cs="Times New Roman" w:eastAsia="Times New Roman" w:hAnsi="Times New Roman"/>
          <w:sz w:val="18"/>
          <w:szCs w:val="18"/>
          <w:b w:val="1"/>
          <w:bCs w:val="1"/>
          <w:color w:val="auto"/>
        </w:rPr>
        <w:t>Employment Act</w:t>
      </w:r>
      <w:r>
        <w:rPr>
          <w:rFonts w:ascii="Times New Roman" w:cs="Times New Roman" w:eastAsia="Times New Roman" w:hAnsi="Times New Roman"/>
          <w:sz w:val="18"/>
          <w:szCs w:val="18"/>
          <w:color w:val="auto"/>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spacing w:after="0" w:line="122"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COVID-19</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COVID-19 (Temporary Measures) Act 2020 (No. 14 of 2020) of Singapore (“</w:t>
      </w:r>
      <w:r>
        <w:rPr>
          <w:rFonts w:ascii="Times New Roman" w:cs="Times New Roman" w:eastAsia="Times New Roman" w:hAnsi="Times New Roman"/>
          <w:sz w:val="18"/>
          <w:szCs w:val="18"/>
          <w:b w:val="1"/>
          <w:bCs w:val="1"/>
          <w:color w:val="auto"/>
        </w:rPr>
        <w:t>COVID-19 Act</w:t>
      </w:r>
      <w:r>
        <w:rPr>
          <w:rFonts w:ascii="Times New Roman" w:cs="Times New Roman" w:eastAsia="Times New Roman" w:hAnsi="Times New Roman"/>
          <w:sz w:val="18"/>
          <w:szCs w:val="18"/>
          <w:color w:val="auto"/>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and Chief Executive Officer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Haiyan Huang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 and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Teck Lim*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Noi Keng Koh*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Chwee Koh Chua*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39" w:hanging="426"/>
        <w:spacing w:after="0" w:line="298" w:lineRule="auto"/>
        <w:tabs>
          <w:tab w:leader="none" w:pos="85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has accepted our appointment to be a director of our company, effective upon the SEC’s declaration of effectiveness of our registration statement on Form F-1, of which this prospectus is a part.</w:t>
      </w:r>
    </w:p>
    <w:p>
      <w:pPr>
        <w:spacing w:after="0" w:line="90" w:lineRule="exact"/>
        <w:rPr>
          <w:sz w:val="20"/>
          <w:szCs w:val="20"/>
          <w:color w:val="auto"/>
        </w:rPr>
      </w:pPr>
    </w:p>
    <w:p>
      <w:pPr>
        <w:ind w:left="460" w:right="539" w:firstLine="432"/>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Mr. Soon Huat Lim </w:t>
      </w:r>
      <w:r>
        <w:rPr>
          <w:rFonts w:ascii="Times New Roman" w:cs="Times New Roman" w:eastAsia="Times New Roman" w:hAnsi="Times New Roman"/>
          <w:sz w:val="17"/>
          <w:szCs w:val="17"/>
          <w:color w:val="auto"/>
        </w:rPr>
        <w:t>is our founder, and has served as the chairman of the board of directors and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spacing w:after="0" w:line="10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Ms. Haiyan Huang </w:t>
      </w:r>
      <w:r>
        <w:rPr>
          <w:rFonts w:ascii="Times New Roman" w:cs="Times New Roman" w:eastAsia="Times New Roman" w:hAnsi="Times New Roman"/>
          <w:sz w:val="18"/>
          <w:szCs w:val="18"/>
          <w:color w:val="auto"/>
        </w:rPr>
        <w:t>has served as our chief financial officer since the Company’s inception. Ms. Huang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spacing w:after="0" w:line="11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Poh Kiong Tan </w:t>
      </w:r>
      <w:r>
        <w:rPr>
          <w:rFonts w:ascii="Times New Roman" w:cs="Times New Roman" w:eastAsia="Times New Roman" w:hAnsi="Times New Roman"/>
          <w:sz w:val="18"/>
          <w:szCs w:val="18"/>
          <w:color w:val="auto"/>
        </w:rPr>
        <w:t>has served as our chief technology officer since the Company’s inception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spacing w:after="0" w:line="115"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How Teck Lim </w:t>
      </w:r>
      <w:r>
        <w:rPr>
          <w:rFonts w:ascii="Times New Roman" w:cs="Times New Roman" w:eastAsia="Times New Roman" w:hAnsi="Times New Roman"/>
          <w:sz w:val="18"/>
          <w:szCs w:val="18"/>
          <w:color w:val="auto"/>
        </w:rPr>
        <w:t>is an independent director nominee. Mr. Lim has extensive board,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2019),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w:t>
      </w:r>
    </w:p>
    <w:p>
      <w:pPr>
        <w:spacing w:after="0" w:line="110"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Dr. Noi Keng Koh </w:t>
      </w:r>
      <w:r>
        <w:rPr>
          <w:rFonts w:ascii="Times New Roman" w:cs="Times New Roman" w:eastAsia="Times New Roman" w:hAnsi="Times New Roman"/>
          <w:sz w:val="17"/>
          <w:szCs w:val="17"/>
          <w:color w:val="auto"/>
        </w:rPr>
        <w:t>is an independent director nominee. Dr. Koh has extensive experience in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spacing w:after="0" w:line="10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Chwee Koh Chua </w:t>
      </w:r>
      <w:r>
        <w:rPr>
          <w:rFonts w:ascii="Times New Roman" w:cs="Times New Roman" w:eastAsia="Times New Roman" w:hAnsi="Times New Roman"/>
          <w:sz w:val="18"/>
          <w:szCs w:val="18"/>
          <w:color w:val="auto"/>
        </w:rPr>
        <w:t>is an independent director nominee. Mr. Chua brings with him a wealth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spacing w:after="0" w:line="104"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will initially consist of three directors, namely How Teck Lim,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06" w:lineRule="exact"/>
        <w:rPr>
          <w:sz w:val="20"/>
          <w:szCs w:val="20"/>
          <w:color w:val="auto"/>
        </w:rPr>
      </w:pPr>
    </w:p>
    <w:p>
      <w:pPr>
        <w:ind w:left="1320" w:right="59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appointing the independent auditors and pre-approving all auditing and non-auditing services permitted to be performed by such independent auditors;</w:t>
      </w:r>
    </w:p>
    <w:p>
      <w:pPr>
        <w:spacing w:after="0" w:line="94"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our independent auditors;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w:t>
      </w:r>
    </w:p>
    <w:p>
      <w:pPr>
        <w:spacing w:after="0" w:line="157" w:lineRule="exact"/>
        <w:rPr>
          <w:rFonts w:ascii="Times New Roman" w:cs="Times New Roman" w:eastAsia="Times New Roman" w:hAnsi="Times New Roman"/>
          <w:sz w:val="18"/>
          <w:szCs w:val="18"/>
          <w:color w:val="auto"/>
        </w:rPr>
      </w:pPr>
    </w:p>
    <w:p>
      <w:pPr>
        <w:ind w:left="1320" w:right="95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80"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are specifically assigned to our audit committee by our board of directors from time to time.</w:t>
      </w:r>
    </w:p>
    <w:p>
      <w:pPr>
        <w:spacing w:after="0" w:line="90"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will initially consist of three members, namely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How Teck Lim and Chwee Koh Chua. Noi Keng Koh will be the chairwoman of our compensation committee. Each of those three directors satisfies the “independence” requirements of</w:t>
      </w:r>
    </w:p>
    <w:p>
      <w:pPr>
        <w:ind w:left="460" w:right="539"/>
        <w:spacing w:after="0" w:line="252" w:lineRule="auto"/>
        <w:rPr>
          <w:sz w:val="20"/>
          <w:szCs w:val="20"/>
          <w:color w:val="auto"/>
        </w:rPr>
      </w:pPr>
      <w:r>
        <w:rPr>
          <w:rFonts w:ascii="Times New Roman" w:cs="Times New Roman" w:eastAsia="Times New Roman" w:hAnsi="Times New Roman"/>
          <w:sz w:val="18"/>
          <w:szCs w:val="18"/>
          <w:color w:val="auto"/>
        </w:rPr>
        <w:t>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22" w:lineRule="exact"/>
        <w:rPr>
          <w:sz w:val="20"/>
          <w:szCs w:val="20"/>
          <w:color w:val="auto"/>
        </w:rPr>
      </w:pPr>
    </w:p>
    <w:p>
      <w:pPr>
        <w:ind w:left="1320" w:right="91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 the board with respect to the compensation for our chief executive officer and other executive officers;</w:t>
      </w:r>
    </w:p>
    <w:p>
      <w:pPr>
        <w:spacing w:after="0" w:line="80"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most senior executive officers;</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of our non-employee directors; and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 programs or arrangements of similar nature such as annual bonuses, employee pension and welfare benefit plans.</w:t>
      </w:r>
    </w:p>
    <w:p>
      <w:pPr>
        <w:spacing w:after="0" w:line="9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84" w:lineRule="exact"/>
        <w:rPr>
          <w:sz w:val="20"/>
          <w:szCs w:val="20"/>
          <w:color w:val="auto"/>
        </w:rPr>
      </w:pPr>
    </w:p>
    <w:p>
      <w:pPr>
        <w:ind w:left="1320" w:right="81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by the shareholders or appointment by the board of directors;</w:t>
      </w:r>
    </w:p>
    <w:p>
      <w:pPr>
        <w:spacing w:after="0" w:line="53"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of directors about its current composition with regards to characteristics such as independence, age, skills, experience, diversity and availability of service to us;</w:t>
      </w:r>
    </w:p>
    <w:p>
      <w:pPr>
        <w:spacing w:after="0" w:line="67"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the frequency and structure of board meetings and monitoring the functioning of the committees of the board; and</w:t>
      </w:r>
    </w:p>
    <w:p>
      <w:pPr>
        <w:spacing w:after="0" w:line="53"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spacing w:after="0" w:line="106"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320" w:right="99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and responsibilities of the officers;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320" w:right="83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Oversight of Cybersecurity Risks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w:t>
      </w:r>
    </w:p>
    <w:p>
      <w:pPr>
        <w:spacing w:after="0" w:line="2" w:lineRule="exact"/>
        <w:rPr>
          <w:sz w:val="20"/>
          <w:szCs w:val="20"/>
          <w:color w:val="auto"/>
        </w:rPr>
      </w:pPr>
    </w:p>
    <w:p>
      <w:pPr>
        <w:jc w:val="both"/>
        <w:ind w:left="460" w:right="639" w:hanging="6"/>
        <w:spacing w:after="0" w:line="255" w:lineRule="auto"/>
        <w:tabs>
          <w:tab w:leader="none" w:pos="7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our memorandum and articles of association, as amended and restated from time to time. Our officers are elected by and serve at the discretion of the board of directors.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77" w:lineRule="auto"/>
        <w:rPr>
          <w:sz w:val="20"/>
          <w:szCs w:val="20"/>
          <w:color w:val="auto"/>
        </w:rPr>
      </w:pPr>
      <w:r>
        <w:rPr>
          <w:rFonts w:ascii="Times New Roman" w:cs="Times New Roman" w:eastAsia="Times New Roman" w:hAnsi="Times New Roman"/>
          <w:sz w:val="17"/>
          <w:szCs w:val="17"/>
          <w:color w:val="auto"/>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spacing w:after="0" w:line="10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62" w:lineRule="exact"/>
        <w:rPr>
          <w:sz w:val="20"/>
          <w:szCs w:val="20"/>
          <w:color w:val="auto"/>
        </w:rPr>
      </w:pPr>
    </w:p>
    <w:p>
      <w:pPr>
        <w:ind w:left="460" w:right="479" w:firstLine="432"/>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148"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Awards under the Equity Incentive Plan</w:t>
      </w:r>
    </w:p>
    <w:p>
      <w:pPr>
        <w:spacing w:after="0" w:line="146"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Share options may be granted under the 2023 Equity Incentive Plan.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A restricted share award agreement will specify restrictions on the duration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spacing w:after="0" w:line="11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Awards of restricted share units may be granted by the administrator.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the administrator may provide for termination or acceleration of awards, purchase of awards from holders or replacement of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48"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Unless terminated earlier, the 2023 Equity Incentive Plan will continue in effect for a term of ten years from the date of its adoption.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62"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Subject to applicable shareholders’ approval and certain exceptions, the board of directors may at any time amend or terminate the 2023 Equity Incentive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4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the date of this prospectus by:</w:t>
      </w:r>
    </w:p>
    <w:p>
      <w:pPr>
        <w:spacing w:after="0" w:line="94" w:lineRule="exact"/>
        <w:rPr>
          <w:sz w:val="20"/>
          <w:szCs w:val="20"/>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ordinary shares.</w:t>
      </w:r>
    </w:p>
    <w:p>
      <w:pPr>
        <w:spacing w:after="0" w:line="8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501,964,286 ordinary shares issued and outstanding as of the date of this prospectus, and 50,000,000 Class A ordinary shares and 466,364,286 Class B ordinary shares issued and outstanding immediately after the completion of this offering. All of our issued and outstanding shares are fully paid.</w:t>
      </w:r>
    </w:p>
    <w:p>
      <w:pPr>
        <w:spacing w:after="0" w:line="11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An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An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Basis†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4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1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Directors and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Huat Lim</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201,444,999</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201,444,999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Poh Kiong Tan</w:t>
            </w:r>
            <w:r>
              <w:rPr>
                <w:rFonts w:ascii="Times New Roman" w:cs="Times New Roman" w:eastAsia="Times New Roman" w:hAnsi="Times New Roman"/>
                <w:sz w:val="21"/>
                <w:szCs w:val="21"/>
                <w:color w:val="auto"/>
                <w:vertAlign w:val="superscript"/>
              </w:rPr>
              <w:t>(2)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Haiyan Huang</w:t>
            </w:r>
            <w:r>
              <w:rPr>
                <w:rFonts w:ascii="Times New Roman" w:cs="Times New Roman" w:eastAsia="Times New Roman" w:hAnsi="Times New Roman"/>
                <w:sz w:val="21"/>
                <w:szCs w:val="21"/>
                <w:color w:val="auto"/>
                <w:vertAlign w:val="superscript"/>
              </w:rPr>
              <w:t>(3)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executive officers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 group</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216,444,999</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93.2</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216,444,999</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Trident Digital Tech</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1"/>
                <w:szCs w:val="21"/>
                <w:color w:val="auto"/>
                <w:vertAlign w:val="superscript"/>
              </w:rPr>
              <w:t>(4)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Trident Group</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Holdings Ltd</w:t>
            </w:r>
            <w:r>
              <w:rPr>
                <w:rFonts w:ascii="Times New Roman" w:cs="Times New Roman" w:eastAsia="Times New Roman" w:hAnsi="Times New Roman"/>
                <w:sz w:val="21"/>
                <w:szCs w:val="21"/>
                <w:color w:val="auto"/>
                <w:vertAlign w:val="superscript"/>
              </w:rPr>
              <w:t>(5)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101,811,428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101,811,428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 Wealth Ltd</w:t>
            </w:r>
            <w:r>
              <w:rPr>
                <w:rFonts w:ascii="Times New Roman" w:cs="Times New Roman" w:eastAsia="Times New Roman" w:hAnsi="Times New Roman"/>
                <w:sz w:val="21"/>
                <w:szCs w:val="21"/>
                <w:color w:val="auto"/>
                <w:vertAlign w:val="superscript"/>
              </w:rPr>
              <w:t>(6)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99,633,571</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99,633,571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Tai Lee</w:t>
            </w:r>
            <w:r>
              <w:rPr>
                <w:rFonts w:ascii="Times New Roman" w:cs="Times New Roman" w:eastAsia="Times New Roman" w:hAnsi="Times New Roman"/>
                <w:sz w:val="21"/>
                <w:szCs w:val="21"/>
                <w:color w:val="auto"/>
                <w:vertAlign w:val="superscript"/>
              </w:rPr>
              <w:t>(7)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8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Yat Hong Lo</w:t>
            </w:r>
            <w:r>
              <w:rPr>
                <w:rFonts w:ascii="Times New Roman" w:cs="Times New Roman" w:eastAsia="Times New Roman" w:hAnsi="Times New Roman"/>
                <w:sz w:val="21"/>
                <w:szCs w:val="21"/>
                <w:color w:val="auto"/>
                <w:vertAlign w:val="superscript"/>
              </w:rPr>
              <w:t>(8)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60" w:hanging="406"/>
        <w:spacing w:after="0"/>
        <w:tabs>
          <w:tab w:leader="none" w:pos="8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Suntec Tower 3,</w:t>
      </w:r>
    </w:p>
    <w:p>
      <w:pPr>
        <w:spacing w:after="0" w:line="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8 Temasek Boulevard Road, #24-03 Singapore, 038988.</w:t>
      </w:r>
    </w:p>
    <w:p>
      <w:pPr>
        <w:spacing w:after="0" w:line="19" w:lineRule="exact"/>
        <w:rPr>
          <w:sz w:val="20"/>
          <w:szCs w:val="20"/>
          <w:color w:val="auto"/>
        </w:rPr>
      </w:pPr>
    </w:p>
    <w:p>
      <w:pPr>
        <w:ind w:left="880" w:right="479" w:hanging="426"/>
        <w:spacing w:after="0" w:line="264" w:lineRule="auto"/>
        <w:tabs>
          <w:tab w:leader="none" w:pos="85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ind w:left="880" w:right="539" w:hanging="426"/>
        <w:spacing w:after="0" w:line="264" w:lineRule="auto"/>
        <w:tabs>
          <w:tab w:leader="none" w:pos="853"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spacing w:after="0" w:line="1" w:lineRule="exact"/>
        <w:rPr>
          <w:sz w:val="20"/>
          <w:szCs w:val="20"/>
          <w:color w:val="auto"/>
        </w:rPr>
      </w:pPr>
    </w:p>
    <w:p>
      <w:pPr>
        <w:ind w:left="880" w:right="799" w:hanging="426"/>
        <w:spacing w:after="0" w:line="270"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50,000,000 Class A ordinary shares held by Trident Digital Tech Ltd, a company limited by shares incorporated in British Virgin Islands which is wholly owned by Mr. Soon Huat Lim; (ii) 101,811,428 Class B ordinary shares held by Trident Group Holdings Ltd, a company limited by shares incorporated in British Virgin Islands which is wholly owned by Mr. Soon Huat Lim; and (iii) 99,633,571 Class B ordinary shares held by Tri Wealth Ltd, a company</w:t>
      </w:r>
    </w:p>
    <w:p>
      <w:pPr>
        <w:sectPr>
          <w:pgSz w:w="11900" w:h="16838" w:orient="portrait"/>
          <w:cols w:equalWidth="0" w:num="1">
            <w:col w:w="9019"/>
          </w:cols>
          <w:pgMar w:left="1440" w:top="270" w:right="1440" w:bottom="974"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74"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99"/>
        <w:spacing w:after="0" w:line="261" w:lineRule="auto"/>
        <w:rPr>
          <w:sz w:val="20"/>
          <w:szCs w:val="20"/>
          <w:color w:val="auto"/>
        </w:rPr>
      </w:pPr>
      <w:r>
        <w:rPr>
          <w:rFonts w:ascii="Times New Roman" w:cs="Times New Roman" w:eastAsia="Times New Roman" w:hAnsi="Times New Roman"/>
          <w:sz w:val="16"/>
          <w:szCs w:val="16"/>
          <w:color w:val="auto"/>
        </w:rPr>
        <w:t>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spacing w:after="0" w:line="1"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10,000,000 Class B ordinary shares directly held by Mr. Poh Kiong Tan.</w:t>
      </w:r>
    </w:p>
    <w:p>
      <w:pPr>
        <w:spacing w:after="0" w:line="18" w:lineRule="exact"/>
        <w:rPr>
          <w:rFonts w:ascii="Times New Roman" w:cs="Times New Roman" w:eastAsia="Times New Roman" w:hAnsi="Times New Roman"/>
          <w:sz w:val="16"/>
          <w:szCs w:val="16"/>
          <w:color w:val="auto"/>
        </w:rPr>
      </w:pPr>
    </w:p>
    <w:p>
      <w:pPr>
        <w:ind w:left="880" w:right="55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ind w:left="880" w:right="59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ind w:left="880" w:right="67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101,811,428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ind w:left="880" w:right="59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99,633,571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ind w:left="880" w:hanging="42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75,000,000 Class B ordinary shares directly held by Mr. Soon Tai Lee.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directly held by Mr. Yat Hong Lo.</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the date of this prospectus, none of our ordinary shares are held by record holders in the</w:t>
      </w:r>
    </w:p>
    <w:p>
      <w:pPr>
        <w:spacing w:after="0" w:line="27" w:lineRule="exact"/>
        <w:rPr>
          <w:sz w:val="20"/>
          <w:szCs w:val="20"/>
          <w:color w:val="auto"/>
        </w:rPr>
      </w:pPr>
    </w:p>
    <w:p>
      <w:pPr>
        <w:jc w:val="both"/>
        <w:ind w:left="460" w:right="599"/>
        <w:spacing w:after="0" w:line="255" w:lineRule="auto"/>
        <w:rPr>
          <w:sz w:val="20"/>
          <w:szCs w:val="20"/>
          <w:color w:val="auto"/>
        </w:rPr>
      </w:pPr>
      <w:r>
        <w:rPr>
          <w:rFonts w:ascii="Times New Roman" w:cs="Times New Roman" w:eastAsia="Times New Roman" w:hAnsi="Times New Roman"/>
          <w:sz w:val="18"/>
          <w:szCs w:val="18"/>
          <w:color w:val="auto"/>
        </w:rPr>
        <w:t>United States.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Equity Incentive Plan.”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from related parties</w:t>
      </w:r>
    </w:p>
    <w:p>
      <w:pPr>
        <w:spacing w:after="0" w:line="162" w:lineRule="exact"/>
        <w:rPr>
          <w:sz w:val="20"/>
          <w:szCs w:val="20"/>
          <w:color w:val="auto"/>
        </w:rPr>
      </w:pPr>
    </w:p>
    <w:p>
      <w:pPr>
        <w:jc w:val="both"/>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Trident Consultancy Pte. Ltd., a wholly-owned company of Mr. Soon Huat Lim, our founder, chairman of board of directors and chief executive officer, provided an interest-free loan in the amount of US$959,422 to us to support our operations. The loan was due on demand. The remaining balance of the loan was fully settled in June 2023.</w:t>
      </w:r>
    </w:p>
    <w:p>
      <w:pPr>
        <w:spacing w:after="0" w:line="112"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Lim has also historically provided short-term financing in the aggregate amount of US$1,451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spacing w:after="0" w:line="99"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Mr. Poh Kiong Tan, our chief technology officer, has historically provided short-term financing in the aggregate amount of US$188,026 for us to support our operation. The financing was provided in the form of interest-free short-term borrowings. The short-term borrowings did not have a fixed term and were repayable upon demand. The remaining balance of the short-term borrowings of US$40,197 as of June 30, 2023 was fully settled in July 2023.</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do not intend to receive any financing from related parties after completion of this offering.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to related parties</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As of June 30, 2023, Mr. Lim has received short-term loan in the aggregate amount of US$1,007,634 from us. The loan was provided in the form of interest-free short-term borrowing. The short-term borrowing did not have a fixed term and were repayable upon demand. The short-term borrowing was fully repaid in September 2023.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spacing w:after="0" w:line="112" w:lineRule="exact"/>
        <w:rPr>
          <w:sz w:val="20"/>
          <w:szCs w:val="20"/>
          <w:color w:val="auto"/>
        </w:rPr>
      </w:pPr>
    </w:p>
    <w:p>
      <w:pPr>
        <w:jc w:val="both"/>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As of the date of this prospectus, our authorized share capital is US$50,000 divided into 5,000,000,000 ordinary shares with a par value of US$0.00001 each, comprising (i) 1,000,000,000 Class A ordinary shares,</w:t>
      </w:r>
    </w:p>
    <w:p>
      <w:pPr>
        <w:spacing w:after="0" w:line="1" w:lineRule="exact"/>
        <w:rPr>
          <w:sz w:val="20"/>
          <w:szCs w:val="20"/>
          <w:color w:val="auto"/>
        </w:rPr>
      </w:pPr>
    </w:p>
    <w:p>
      <w:pPr>
        <w:ind w:left="460" w:right="739" w:hanging="6"/>
        <w:spacing w:after="0" w:line="260" w:lineRule="auto"/>
        <w:tabs>
          <w:tab w:leader="none" w:pos="7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4,000,000,000 Class B ordinary shares. As of the date of this prospectus, (i) 50,000,000 Class A ordinary shares, and (ii) 451,964,286 Class B ordinary shares are issued and outstanding.</w:t>
      </w:r>
    </w:p>
    <w:p>
      <w:pPr>
        <w:spacing w:after="0" w:line="114" w:lineRule="exact"/>
        <w:rPr>
          <w:sz w:val="20"/>
          <w:szCs w:val="20"/>
          <w:color w:val="auto"/>
        </w:rPr>
      </w:pPr>
    </w:p>
    <w:p>
      <w:pPr>
        <w:ind w:left="460" w:right="819" w:firstLine="432"/>
        <w:spacing w:after="0" w:line="276" w:lineRule="auto"/>
        <w:rPr>
          <w:sz w:val="20"/>
          <w:szCs w:val="20"/>
          <w:color w:val="auto"/>
        </w:rPr>
      </w:pPr>
      <w:r>
        <w:rPr>
          <w:rFonts w:ascii="Times New Roman" w:cs="Times New Roman" w:eastAsia="Times New Roman" w:hAnsi="Times New Roman"/>
          <w:sz w:val="17"/>
          <w:szCs w:val="17"/>
          <w:color w:val="auto"/>
        </w:rPr>
        <w:t>Immediately prior to the completion of this offering, our authorized share capital will be changed into US$50,000 divided into 5,000,000,000 ordinary shares with a par value of US$0.00001 each, comprising</w:t>
      </w:r>
    </w:p>
    <w:p>
      <w:pPr>
        <w:spacing w:after="0" w:line="1" w:lineRule="exact"/>
        <w:rPr>
          <w:sz w:val="20"/>
          <w:szCs w:val="20"/>
          <w:color w:val="auto"/>
        </w:rPr>
      </w:pPr>
    </w:p>
    <w:p>
      <w:pPr>
        <w:ind w:left="460" w:right="519" w:hanging="6"/>
        <w:spacing w:after="0" w:line="252" w:lineRule="auto"/>
        <w:tabs>
          <w:tab w:leader="none" w:pos="6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14,400,000 Class B ordinary shares represented by ADSs in this offering. All options, regardless of grant dates, will entitle holders to an equivalent number of ordinary shares once the vesting and exercising conditions are met.</w:t>
      </w:r>
    </w:p>
    <w:p>
      <w:pPr>
        <w:spacing w:after="0" w:line="107"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and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112"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Class A ordinary shares may be converted into the same number of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spacing w:after="0" w:line="10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Companies Act, our directors may declare dividends in any currency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2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also pay interim dividends, whenever our financial position, in the opinion of our directors, justifies such payment.</w:t>
      </w:r>
    </w:p>
    <w:p>
      <w:pPr>
        <w:spacing w:after="0" w:line="9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8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16" w:lineRule="exact"/>
        <w:rPr>
          <w:sz w:val="20"/>
          <w:szCs w:val="20"/>
          <w:color w:val="auto"/>
        </w:rPr>
      </w:pPr>
    </w:p>
    <w:p>
      <w:pPr>
        <w:ind w:left="460" w:right="679" w:firstLine="432"/>
        <w:spacing w:after="0" w:line="274" w:lineRule="auto"/>
        <w:rPr>
          <w:sz w:val="20"/>
          <w:szCs w:val="20"/>
          <w:color w:val="auto"/>
        </w:rPr>
      </w:pPr>
      <w:r>
        <w:rPr>
          <w:rFonts w:ascii="Times New Roman" w:cs="Times New Roman" w:eastAsia="Times New Roman" w:hAnsi="Times New Roman"/>
          <w:sz w:val="17"/>
          <w:szCs w:val="17"/>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10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95"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23"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On a show of hands each shareholder is entitled to one vote or, on a poll,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13"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present in person or by proxy.</w:t>
      </w:r>
    </w:p>
    <w:p>
      <w:pPr>
        <w:spacing w:after="0" w:line="8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any applicable restrictions set forth in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Capital Market or in another form that our directors may approve.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94" w:lineRule="exact"/>
        <w:rPr>
          <w:sz w:val="20"/>
          <w:szCs w:val="20"/>
          <w:color w:val="auto"/>
        </w:rPr>
      </w:pPr>
    </w:p>
    <w:p>
      <w:pPr>
        <w:ind w:left="1320" w:right="479" w:hanging="434"/>
        <w:spacing w:after="0" w:line="26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the Nasdaq Capital Market may determine to be payable or such lesser sum as our directors may from time to time require is paid to us in respect thereof.</w:t>
      </w:r>
    </w:p>
    <w:p>
      <w:pPr>
        <w:spacing w:after="0" w:line="90"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Subject to any future shares which are issued with specific rights, (1) if we are wound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2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04" w:lineRule="exact"/>
        <w:rPr>
          <w:sz w:val="20"/>
          <w:szCs w:val="20"/>
          <w:color w:val="auto"/>
        </w:rPr>
      </w:pPr>
    </w:p>
    <w:p>
      <w:pPr>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our memorandum and articles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subject to forfeiture.</w:t>
      </w:r>
    </w:p>
    <w:p>
      <w:pPr>
        <w:spacing w:after="0" w:line="15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are empowered by the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and our amended and restated articles of association to purchase our own shares, subject to certain restrictions.</w:t>
      </w:r>
    </w:p>
    <w:p>
      <w:pPr>
        <w:spacing w:after="0" w:line="10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spacing w:after="0" w:line="99" w:lineRule="exact"/>
        <w:rPr>
          <w:sz w:val="20"/>
          <w:szCs w:val="20"/>
          <w:color w:val="auto"/>
        </w:rPr>
      </w:pPr>
    </w:p>
    <w:p>
      <w:pPr>
        <w:ind w:left="460" w:right="539" w:firstLine="432"/>
        <w:spacing w:after="0" w:line="269" w:lineRule="auto"/>
        <w:rPr>
          <w:sz w:val="20"/>
          <w:szCs w:val="20"/>
          <w:color w:val="auto"/>
        </w:rPr>
      </w:pPr>
      <w:r>
        <w:rPr>
          <w:rFonts w:ascii="Times New Roman" w:cs="Times New Roman" w:eastAsia="Times New Roman" w:hAnsi="Times New Roman"/>
          <w:sz w:val="17"/>
          <w:szCs w:val="17"/>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w:t>
      </w:r>
    </w:p>
    <w:p>
      <w:pPr>
        <w:spacing w:after="0" w:line="3" w:lineRule="exact"/>
        <w:rPr>
          <w:sz w:val="20"/>
          <w:szCs w:val="20"/>
          <w:color w:val="auto"/>
        </w:rPr>
      </w:pPr>
    </w:p>
    <w:p>
      <w:pPr>
        <w:jc w:val="both"/>
        <w:ind w:left="460" w:right="679" w:hanging="6"/>
        <w:spacing w:after="0" w:line="255" w:lineRule="auto"/>
        <w:tabs>
          <w:tab w:leader="none" w:pos="7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or repurchase would result in there being no shares outstanding, or (3) if the company has commenced liquidation. In addition, our company may accept the surrender of any fully paid share for no consideration.</w:t>
      </w:r>
    </w:p>
    <w:p>
      <w:pPr>
        <w:spacing w:after="0" w:line="114"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91" w:lineRule="exact"/>
        <w:rPr>
          <w:sz w:val="20"/>
          <w:szCs w:val="20"/>
          <w:color w:val="auto"/>
        </w:rPr>
      </w:pPr>
    </w:p>
    <w:p>
      <w:pPr>
        <w:ind w:left="460" w:right="5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88" w:lineRule="exact"/>
        <w:rPr>
          <w:sz w:val="20"/>
          <w:szCs w:val="20"/>
          <w:color w:val="auto"/>
        </w:rPr>
      </w:pPr>
    </w:p>
    <w:p>
      <w:pPr>
        <w:ind w:left="460" w:right="5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post-offering amended and restated memorandum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80"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95" w:lineRule="exact"/>
        <w:rPr>
          <w:sz w:val="20"/>
          <w:szCs w:val="20"/>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31" w:lineRule="exact"/>
        <w:rPr>
          <w:sz w:val="20"/>
          <w:szCs w:val="20"/>
          <w:color w:val="auto"/>
        </w:rPr>
      </w:pPr>
    </w:p>
    <w:p>
      <w:pPr>
        <w:ind w:left="460" w:right="819" w:firstLine="432"/>
        <w:spacing w:after="0" w:line="312" w:lineRule="auto"/>
        <w:rPr>
          <w:sz w:val="20"/>
          <w:szCs w:val="20"/>
          <w:color w:val="auto"/>
        </w:rPr>
      </w:pPr>
      <w:r>
        <w:rPr>
          <w:rFonts w:ascii="Times New Roman" w:cs="Times New Roman" w:eastAsia="Times New Roman" w:hAnsi="Times New Roman"/>
          <w:sz w:val="17"/>
          <w:szCs w:val="17"/>
          <w:color w:val="auto"/>
        </w:rPr>
        <w:t>Our board of directors may issue preferred shares without action by our shareholders to the extent authorized but unissued. Issuance of these shares may dilute the voting power of holders of ordinary shares.</w:t>
      </w:r>
    </w:p>
    <w:p>
      <w:pPr>
        <w:spacing w:after="0" w:line="41"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post-offering amended and restated memorandum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articles of association may discourage, delay or prevent a change of control of our company or management that shareholders may consider favorable, including provisions that</w:t>
      </w:r>
    </w:p>
    <w:p>
      <w:pPr>
        <w:spacing w:after="0" w:line="107" w:lineRule="exact"/>
        <w:rPr>
          <w:sz w:val="20"/>
          <w:szCs w:val="20"/>
          <w:color w:val="auto"/>
        </w:rPr>
      </w:pPr>
    </w:p>
    <w:p>
      <w:pPr>
        <w:ind w:left="1320" w:right="599" w:hanging="434"/>
        <w:spacing w:after="0" w:line="266"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44" w:lineRule="exact"/>
        <w:rPr>
          <w:sz w:val="20"/>
          <w:szCs w:val="20"/>
          <w:color w:val="auto"/>
        </w:rPr>
      </w:pPr>
    </w:p>
    <w:p>
      <w:pPr>
        <w:jc w:val="both"/>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0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Unless we consent in writing to the selection of an alternative forum,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spacing w:after="0" w:line="97"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106"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spacing w:after="0" w:line="95"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In the event we fail to update our register of member, the depositary, as the aggrieved party, may apply for an order with the courts of the Cayman Islands for the rectification of the register.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08" w:lineRule="exact"/>
        <w:rPr>
          <w:sz w:val="20"/>
          <w:szCs w:val="20"/>
          <w:color w:val="auto"/>
        </w:rPr>
      </w:pPr>
    </w:p>
    <w:p>
      <w:pPr>
        <w:ind w:left="460" w:right="999" w:firstLine="432"/>
        <w:spacing w:after="0" w:line="261"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spacing w:after="0" w:line="95"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2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07" w:lineRule="exact"/>
        <w:rPr>
          <w:sz w:val="20"/>
          <w:szCs w:val="20"/>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8"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80"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95"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 xml:space="preserve">Foss v. Harbottle </w:t>
      </w:r>
      <w:r>
        <w:rPr>
          <w:rFonts w:ascii="Times New Roman" w:cs="Times New Roman" w:eastAsia="Times New Roman" w:hAnsi="Times New Roman"/>
          <w:sz w:val="18"/>
          <w:szCs w:val="18"/>
          <w:color w:val="auto"/>
        </w:rPr>
        <w:t>and the exceptions thereto) so that a non-controlling shareholder may be permitted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a class action against or derivative actions in the name of our company to challenge actions where:</w:t>
      </w:r>
    </w:p>
    <w:p>
      <w:pPr>
        <w:spacing w:after="0" w:line="119" w:lineRule="exact"/>
        <w:rPr>
          <w:sz w:val="20"/>
          <w:szCs w:val="20"/>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our company are perpetrating a “fraud on the minority.”</w:t>
      </w:r>
    </w:p>
    <w:p>
      <w:pPr>
        <w:spacing w:after="0" w:line="154"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39"/>
        <w:spacing w:after="0" w:line="277" w:lineRule="auto"/>
        <w:rPr>
          <w:sz w:val="20"/>
          <w:szCs w:val="20"/>
          <w:color w:val="auto"/>
        </w:rPr>
      </w:pPr>
      <w:r>
        <w:rPr>
          <w:rFonts w:ascii="Times New Roman" w:cs="Times New Roman" w:eastAsia="Times New Roman" w:hAnsi="Times New Roman"/>
          <w:sz w:val="17"/>
          <w:szCs w:val="17"/>
          <w:color w:val="auto"/>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0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0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102" w:lineRule="exact"/>
        <w:rPr>
          <w:sz w:val="20"/>
          <w:szCs w:val="20"/>
          <w:color w:val="auto"/>
        </w:rPr>
      </w:pPr>
    </w:p>
    <w:p>
      <w:pPr>
        <w:ind w:left="460" w:right="6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6"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12"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Cumulative Voting. </w:t>
      </w:r>
      <w:r>
        <w:rPr>
          <w:rFonts w:ascii="Times New Roman" w:cs="Times New Roman" w:eastAsia="Times New Roman" w:hAnsi="Times New Roman"/>
          <w:sz w:val="17"/>
          <w:szCs w:val="17"/>
          <w:color w:val="auto"/>
        </w:rPr>
        <w:t>Under the Delaware General Corporation Law, cumulative voting for elections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0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0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7"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0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15" w:lineRule="exact"/>
        <w:rPr>
          <w:sz w:val="20"/>
          <w:szCs w:val="20"/>
          <w:color w:val="auto"/>
        </w:rPr>
      </w:pPr>
    </w:p>
    <w:p>
      <w:pPr>
        <w:ind w:left="460" w:right="59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12"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History of Securities Issuance</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spacing w:after="0" w:line="11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On June 12, 2023, we issued an aggregate of 275,705,000 Class B ordinary shares, to Trident Group Holdings Ltd and Tri Wealth Ltd, entities owned by Mr. Lim, at par value of US$0.00001 each.</w:t>
      </w:r>
    </w:p>
    <w:p>
      <w:pPr>
        <w:spacing w:after="0" w:line="94"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10,000,000 Class B ordinary shares to our chief technology officer, Mr. Poh Kiong Tan, at par value.</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5,000,000 Class B ordinary shares to Trident Verse Ltd, an entity owned by our chief financial officer, Ms. Haiyan Huang, at par value.</w:t>
      </w:r>
    </w:p>
    <w:p>
      <w:pPr>
        <w:spacing w:after="0" w:line="9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spacing w:after="0" w:line="112"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On October 3, 2023, we issued an aggregate of 1,964,286 Class B ordinary shares in the aggregate consideration of US$1,100,000 to certain individual and institutional investors.</w:t>
      </w:r>
    </w:p>
    <w:p>
      <w:pPr>
        <w:spacing w:after="0" w:line="8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Times New Roman" w:cs="Times New Roman" w:eastAsia="Times New Roman" w:hAnsi="Times New Roman"/>
          <w:sz w:val="35"/>
          <w:szCs w:val="35"/>
          <w:color w:val="auto"/>
          <w:vertAlign w:val="superscript"/>
        </w:rPr>
        <w:t>.</w:t>
      </w:r>
    </w:p>
    <w:p>
      <w:pPr>
        <w:spacing w:after="0" w:line="1"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color w:val="auto"/>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Please refer to Registration Number 333-[•] when retrieving such copy.</w:t>
      </w:r>
    </w:p>
    <w:p>
      <w:pPr>
        <w:spacing w:after="0" w:line="106"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06"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(8)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2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04" w:lineRule="exact"/>
        <w:rPr>
          <w:sz w:val="20"/>
          <w:szCs w:val="20"/>
          <w:color w:val="auto"/>
        </w:rPr>
      </w:pPr>
    </w:p>
    <w:p>
      <w:pPr>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11"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and Distributions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Cash</w:t>
      </w:r>
    </w:p>
    <w:p>
      <w:pPr>
        <w:spacing w:after="0" w:line="13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99"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81" w:lineRule="exact"/>
        <w:rPr>
          <w:sz w:val="20"/>
          <w:szCs w:val="20"/>
          <w:color w:val="auto"/>
        </w:rPr>
      </w:pPr>
    </w:p>
    <w:p>
      <w:pPr>
        <w:ind w:left="460" w:right="659" w:firstLine="432"/>
        <w:spacing w:after="0" w:line="277" w:lineRule="auto"/>
        <w:rPr>
          <w:sz w:val="20"/>
          <w:szCs w:val="20"/>
          <w:color w:val="auto"/>
        </w:rPr>
      </w:pPr>
      <w:r>
        <w:rPr>
          <w:rFonts w:ascii="Times New Roman" w:cs="Times New Roman" w:eastAsia="Times New Roman" w:hAnsi="Times New Roman"/>
          <w:sz w:val="17"/>
          <w:szCs w:val="17"/>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Class B ordinary shares</w:t>
      </w:r>
    </w:p>
    <w:p>
      <w:pPr>
        <w:spacing w:after="0" w:line="14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 representing the Class B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21" w:lineRule="exact"/>
        <w:rPr>
          <w:sz w:val="20"/>
          <w:szCs w:val="20"/>
          <w:color w:val="auto"/>
        </w:rPr>
      </w:pPr>
    </w:p>
    <w:p>
      <w:pPr>
        <w:ind w:left="460" w:right="619" w:firstLine="432"/>
        <w:spacing w:after="0" w:line="281" w:lineRule="auto"/>
        <w:rPr>
          <w:sz w:val="20"/>
          <w:szCs w:val="20"/>
          <w:color w:val="auto"/>
        </w:rPr>
      </w:pPr>
      <w:r>
        <w:rPr>
          <w:rFonts w:ascii="Times New Roman" w:cs="Times New Roman" w:eastAsia="Times New Roman" w:hAnsi="Times New Roman"/>
          <w:sz w:val="17"/>
          <w:szCs w:val="17"/>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95"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Rights</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10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46" w:lineRule="exact"/>
        <w:rPr>
          <w:sz w:val="20"/>
          <w:szCs w:val="20"/>
          <w:color w:val="auto"/>
        </w:rPr>
      </w:pPr>
    </w:p>
    <w:p>
      <w:pPr>
        <w:ind w:left="1320" w:right="79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44"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Elective Distributions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1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Other Distributions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12"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77"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60" w:lineRule="exact"/>
        <w:rPr>
          <w:sz w:val="20"/>
          <w:szCs w:val="20"/>
          <w:color w:val="auto"/>
        </w:rPr>
      </w:pPr>
    </w:p>
    <w:p>
      <w:pPr>
        <w:ind w:left="1320" w:right="75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determines that all or a portion of the distribution to you is not reasonably practicable.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Redemption</w:t>
      </w:r>
    </w:p>
    <w:p>
      <w:pPr>
        <w:spacing w:after="0" w:line="14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bank may determine.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Changes Affecting Class B ordinary shares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9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ADSs upon Deposit of Class B ordinary shares</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completion of the offering, the Class B ordinary shares being offered pursuant to the prospectus will be deposited by us with the custodian. Upon receipt of confirmation of such deposit, the depositary bank will issue ADSs to the underwriter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 named in the prospectus.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2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95" w:lineRule="exact"/>
        <w:rPr>
          <w:sz w:val="20"/>
          <w:szCs w:val="20"/>
          <w:color w:val="auto"/>
        </w:rPr>
      </w:pPr>
    </w:p>
    <w:p>
      <w:pPr>
        <w:jc w:val="both"/>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B ordinary shares, you will be responsible for transferring good and valid title to the depositary bank. As such, you will be deemed to represent and warrant that:</w:t>
      </w:r>
    </w:p>
    <w:p>
      <w:pPr>
        <w:spacing w:after="0" w:line="94" w:lineRule="exact"/>
        <w:rPr>
          <w:sz w:val="20"/>
          <w:szCs w:val="20"/>
          <w:color w:val="auto"/>
        </w:rPr>
      </w:pPr>
    </w:p>
    <w:p>
      <w:pPr>
        <w:ind w:left="1320" w:right="91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are duly authorized, validly issued, fully paid, non-assessable and legally obtained.</w:t>
      </w:r>
    </w:p>
    <w:p>
      <w:pPr>
        <w:spacing w:after="0" w:line="9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B ordinary shares have been validly waived or exercised.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B ordinary shares.</w:t>
      </w:r>
    </w:p>
    <w:p>
      <w:pPr>
        <w:spacing w:after="0" w:line="157" w:lineRule="exact"/>
        <w:rPr>
          <w:rFonts w:ascii="Times New Roman" w:cs="Times New Roman" w:eastAsia="Times New Roman" w:hAnsi="Times New Roman"/>
          <w:sz w:val="18"/>
          <w:szCs w:val="18"/>
          <w:color w:val="auto"/>
        </w:rPr>
      </w:pPr>
    </w:p>
    <w:p>
      <w:pPr>
        <w:ind w:left="1320" w:right="599" w:hanging="434"/>
        <w:spacing w:after="0" w:line="266"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08" w:lineRule="exact"/>
        <w:rPr>
          <w:rFonts w:ascii="Times New Roman" w:cs="Times New Roman" w:eastAsia="Times New Roman" w:hAnsi="Times New Roman"/>
          <w:sz w:val="18"/>
          <w:szCs w:val="18"/>
          <w:color w:val="auto"/>
        </w:rPr>
      </w:pPr>
    </w:p>
    <w:p>
      <w:pPr>
        <w:ind w:left="1320" w:right="129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have not been stripped of any rights or entitlements.</w:t>
      </w:r>
    </w:p>
    <w:p>
      <w:pPr>
        <w:spacing w:after="0" w:line="81" w:lineRule="exact"/>
        <w:rPr>
          <w:sz w:val="20"/>
          <w:szCs w:val="20"/>
          <w:color w:val="auto"/>
        </w:rPr>
      </w:pPr>
    </w:p>
    <w:p>
      <w:pPr>
        <w:ind w:left="460" w:right="519" w:firstLine="432"/>
        <w:spacing w:after="0" w:line="312" w:lineRule="auto"/>
        <w:rPr>
          <w:sz w:val="20"/>
          <w:szCs w:val="20"/>
          <w:color w:val="auto"/>
        </w:rPr>
      </w:pPr>
      <w:r>
        <w:rPr>
          <w:rFonts w:ascii="Times New Roman" w:cs="Times New Roman" w:eastAsia="Times New Roman" w:hAnsi="Times New Roman"/>
          <w:sz w:val="17"/>
          <w:szCs w:val="17"/>
          <w:color w:val="auto"/>
        </w:rPr>
        <w:t>If any of the representations or warranties are incorrect in any way, we and the depositary bank may, at your cost and expense, take any and all actions necessary to correct the consequences of the misrepresentations.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Transfer, Combination and Split Up of ADRs</w:t>
      </w:r>
    </w:p>
    <w:p>
      <w:pPr>
        <w:spacing w:after="0" w:line="162" w:lineRule="exact"/>
        <w:rPr>
          <w:sz w:val="20"/>
          <w:szCs w:val="20"/>
          <w:color w:val="auto"/>
        </w:rPr>
      </w:pPr>
    </w:p>
    <w:p>
      <w:pPr>
        <w:jc w:val="both"/>
        <w:ind w:left="460" w:right="1139" w:firstLine="432"/>
        <w:spacing w:after="0" w:line="266"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08" w:lineRule="exact"/>
        <w:rPr>
          <w:sz w:val="20"/>
          <w:szCs w:val="20"/>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44" w:lineRule="exact"/>
        <w:rPr>
          <w:rFonts w:ascii="Times New Roman" w:cs="Times New Roman" w:eastAsia="Times New Roman" w:hAnsi="Times New Roman"/>
          <w:sz w:val="18"/>
          <w:szCs w:val="18"/>
          <w:color w:val="auto"/>
        </w:rPr>
      </w:pPr>
    </w:p>
    <w:p>
      <w:pPr>
        <w:ind w:left="1320" w:right="119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bank deems appropriate;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57"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81"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Withdrawal of Class B ordinary shares Upon Cancellation of ADSs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44" w:lineRule="exact"/>
        <w:rPr>
          <w:sz w:val="20"/>
          <w:szCs w:val="20"/>
          <w:color w:val="auto"/>
        </w:rPr>
      </w:pPr>
    </w:p>
    <w:p>
      <w:pPr>
        <w:ind w:left="1320" w:right="739" w:hanging="434"/>
        <w:spacing w:after="0" w:line="266"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8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Voting Rights</w:t>
      </w:r>
    </w:p>
    <w:p>
      <w:pPr>
        <w:spacing w:after="0" w:line="162"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10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9"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If the depositary bank timely receives voting instructions from a holder of ADSs, it will endeavor to vote the securities (in person or by proxy) represented by the holder’s ADSs in accordance with such voting instructions as follows:</w:t>
      </w:r>
    </w:p>
    <w:p>
      <w:pPr>
        <w:spacing w:after="0" w:line="106" w:lineRule="exact"/>
        <w:rPr>
          <w:sz w:val="20"/>
          <w:szCs w:val="20"/>
          <w:color w:val="auto"/>
        </w:rPr>
      </w:pPr>
    </w:p>
    <w:p>
      <w:pPr>
        <w:ind w:left="1320" w:right="699" w:hanging="434"/>
        <w:spacing w:after="0" w:line="267"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bank will vote (or cause the custodian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all Class B ordinary shares held on deposit at that time in accordance with the voting instructions received from a majority of holders of ADSs who provide timely voting instructions.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67" w:lineRule="auto"/>
        <w:tabs>
          <w:tab w:leader="none" w:pos="1315"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bank will vote (or cause the Custodian to vote)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ordinary shares held on deposit in accordance with the voting instructions received from the holders of ADSs.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Fees and Charges</w:t>
      </w:r>
    </w:p>
    <w:p>
      <w:pPr>
        <w:spacing w:after="0" w:line="162" w:lineRule="exact"/>
        <w:rPr>
          <w:sz w:val="20"/>
          <w:szCs w:val="20"/>
          <w:color w:val="auto"/>
        </w:rPr>
      </w:pPr>
    </w:p>
    <w:p>
      <w:pPr>
        <w:ind w:left="460" w:right="1259" w:firstLine="432"/>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384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Fees</w:t>
            </w:r>
          </w:p>
        </w:tc>
        <w:tc>
          <w:tcPr>
            <w:tcW w:w="0" w:type="dxa"/>
            <w:vAlign w:val="bottom"/>
          </w:tcPr>
          <w:p>
            <w:pPr>
              <w:spacing w:after="0"/>
              <w:rPr>
                <w:sz w:val="1"/>
                <w:szCs w:val="1"/>
                <w:color w:val="auto"/>
              </w:rPr>
            </w:pPr>
          </w:p>
        </w:tc>
      </w:tr>
      <w:tr>
        <w:trPr>
          <w:trHeight w:val="47"/>
        </w:trPr>
        <w:tc>
          <w:tcPr>
            <w:tcW w:w="4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Issuance of ADSs (e.g., an issuance of ADS upon a</w:t>
            </w:r>
          </w:p>
        </w:tc>
        <w:tc>
          <w:tcPr>
            <w:tcW w:w="100" w:type="dxa"/>
            <w:vAlign w:val="bottom"/>
            <w:vMerge w:val="continue"/>
          </w:tcPr>
          <w:p>
            <w:pPr>
              <w:spacing w:after="0"/>
              <w:rPr>
                <w:sz w:val="16"/>
                <w:szCs w:val="16"/>
                <w:color w:val="auto"/>
              </w:rPr>
            </w:pP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 5¢ per ADS issued</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deposit of Class B ordinary shares, upon a change in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ADS(s)-to-Class B ordinary share(s) ratio, or for</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other reason), excluding ADS issuances as a result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distributions of Class B ordinary shares)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80" w:right="1899" w:hanging="226"/>
        <w:spacing w:after="0" w:line="261" w:lineRule="auto"/>
        <w:tabs>
          <w:tab w:leader="none" w:pos="66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(e.g., a cancellation of ADSs for Up to U.S. 5¢ per ADS cancelled delivery of deposited property, upon a change in the</w:t>
      </w:r>
    </w:p>
    <w:p>
      <w:pPr>
        <w:ind w:left="680" w:right="4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ADS(s)-to-Class B ordinary share(s) ratio, or for any other reason)</w:t>
      </w:r>
    </w:p>
    <w:p>
      <w:pPr>
        <w:spacing w:after="0" w:line="154"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cash dividends or other cash</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distributions (e.g., upon a sale of rights and other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entitlements)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ADSs pursuant to (i) stock dividends</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 other free stock distributions, or (ii) exercise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rights to purchase additional ADSs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financial instruments, including, but</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limited to, securities other than ADSs or rights to</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purchase additional ADSs (e.g., spin-off shares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contingent value rights)</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ind w:left="660" w:hanging="206"/>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Services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680" w:hanging="226"/>
        <w:spacing w:after="0" w:line="261" w:lineRule="auto"/>
        <w:tabs>
          <w:tab w:leader="none" w:pos="6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of ADS transfers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p>
      <w:pPr>
        <w:spacing w:after="0" w:line="152" w:lineRule="exact"/>
        <w:rPr>
          <w:rFonts w:ascii="Times New Roman" w:cs="Times New Roman" w:eastAsia="Times New Roman" w:hAnsi="Times New Roman"/>
          <w:sz w:val="18"/>
          <w:szCs w:val="18"/>
          <w:color w:val="auto"/>
        </w:rPr>
      </w:pPr>
    </w:p>
    <w:p>
      <w:pPr>
        <w:ind w:left="680" w:right="20" w:hanging="226"/>
        <w:spacing w:after="0" w:line="254" w:lineRule="auto"/>
        <w:tabs>
          <w:tab w:leader="none" w:pos="6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99"/>
        <w:spacing w:after="0" w:line="282" w:lineRule="auto"/>
        <w:rPr>
          <w:sz w:val="20"/>
          <w:szCs w:val="20"/>
          <w:color w:val="auto"/>
        </w:rPr>
      </w:pPr>
      <w:r>
        <w:rPr>
          <w:rFonts w:ascii="Times New Roman" w:cs="Times New Roman" w:eastAsia="Times New Roman" w:hAnsi="Times New Roman"/>
          <w:sz w:val="18"/>
          <w:szCs w:val="18"/>
          <w:color w:val="auto"/>
        </w:rPr>
        <w:t>Up to U.S. 5¢ per ADS held on the applicable record date(s) established by the depositary bank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w:t>
      </w:r>
    </w:p>
    <w:p>
      <w:pPr>
        <w:spacing w:after="0" w:line="1511" w:lineRule="exact"/>
        <w:rPr>
          <w:sz w:val="20"/>
          <w:szCs w:val="20"/>
          <w:color w:val="auto"/>
        </w:rPr>
      </w:pPr>
    </w:p>
    <w:p>
      <w:pPr>
        <w:sectPr>
          <w:pgSz w:w="11900" w:h="16838" w:orient="portrait"/>
          <w:cols w:equalWidth="0" w:num="2">
            <w:col w:w="4600" w:space="120"/>
            <w:col w:w="4299"/>
          </w:cols>
          <w:pgMar w:left="1440" w:top="270" w:right="1440"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58" w:lineRule="exact"/>
        <w:rPr>
          <w:sz w:val="20"/>
          <w:szCs w:val="20"/>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57"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08" w:lineRule="exact"/>
        <w:rPr>
          <w:rFonts w:ascii="Times New Roman" w:cs="Times New Roman" w:eastAsia="Times New Roman" w:hAnsi="Times New Roman"/>
          <w:sz w:val="18"/>
          <w:szCs w:val="18"/>
          <w:color w:val="auto"/>
        </w:rPr>
      </w:pPr>
    </w:p>
    <w:p>
      <w:pPr>
        <w:jc w:val="both"/>
        <w:ind w:left="1320" w:right="51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 and</w:t>
      </w:r>
    </w:p>
    <w:p>
      <w:pPr>
        <w:spacing w:after="0" w:line="94"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08"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w:t>
      </w:r>
    </w:p>
    <w:p>
      <w:pPr>
        <w:spacing w:after="0" w:line="195" w:lineRule="exact"/>
        <w:rPr>
          <w:sz w:val="20"/>
          <w:szCs w:val="20"/>
          <w:color w:val="auto"/>
        </w:rPr>
      </w:pPr>
    </w:p>
    <w:p>
      <w:pPr>
        <w:ind w:left="460" w:right="479" w:hanging="6"/>
        <w:spacing w:after="0" w:line="260" w:lineRule="auto"/>
        <w:tabs>
          <w:tab w:leader="none" w:pos="72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ADSs of one series for ADSs of another series, the ADS conversion fee will be payable by the Holder whose ADSs are converted or by the person to whom the converted ADSs are delivered.</w:t>
      </w:r>
    </w:p>
    <w:p>
      <w:pPr>
        <w:spacing w:after="0" w:line="100"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and Termination</w:t>
      </w:r>
    </w:p>
    <w:p>
      <w:pPr>
        <w:spacing w:after="0" w:line="162" w:lineRule="exact"/>
        <w:rPr>
          <w:sz w:val="20"/>
          <w:szCs w:val="20"/>
          <w:color w:val="auto"/>
        </w:rPr>
      </w:pPr>
    </w:p>
    <w:p>
      <w:pPr>
        <w:ind w:left="460" w:right="919" w:firstLine="432"/>
        <w:spacing w:after="0" w:line="261" w:lineRule="auto"/>
        <w:rPr>
          <w:sz w:val="20"/>
          <w:szCs w:val="20"/>
          <w:color w:val="auto"/>
        </w:rPr>
      </w:pPr>
      <w:r>
        <w:rPr>
          <w:rFonts w:ascii="Times New Roman" w:cs="Times New Roman" w:eastAsia="Times New Roman" w:hAnsi="Times New Roman"/>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1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9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20"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Books of Depositary</w:t>
      </w:r>
    </w:p>
    <w:p>
      <w:pPr>
        <w:spacing w:after="0" w:line="162" w:lineRule="exact"/>
        <w:rPr>
          <w:sz w:val="20"/>
          <w:szCs w:val="20"/>
          <w:color w:val="auto"/>
        </w:rPr>
      </w:pPr>
    </w:p>
    <w:p>
      <w:pPr>
        <w:jc w:val="both"/>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9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Obligations and Liabilities</w:t>
      </w:r>
    </w:p>
    <w:p>
      <w:pPr>
        <w:spacing w:after="0" w:line="16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 bank’s obligations to you. Please note the following:</w:t>
      </w:r>
    </w:p>
    <w:p>
      <w:pPr>
        <w:spacing w:after="0" w:line="94" w:lineRule="exact"/>
        <w:rPr>
          <w:sz w:val="20"/>
          <w:szCs w:val="20"/>
          <w:color w:val="auto"/>
        </w:rPr>
      </w:pPr>
    </w:p>
    <w:p>
      <w:pPr>
        <w:ind w:left="1320" w:right="65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are obligated only to take the actions specifically stated in the deposit agreement without negligence or bad faith.</w:t>
      </w:r>
    </w:p>
    <w:p>
      <w:pPr>
        <w:spacing w:after="0" w:line="80"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55"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21"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will not be obligated to perform any act that is inconsistent with the terms of the deposit agreement.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39" w:hanging="434"/>
        <w:spacing w:after="0" w:line="255"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08" w:lineRule="exact"/>
        <w:rPr>
          <w:rFonts w:ascii="Times New Roman" w:cs="Times New Roman" w:eastAsia="Times New Roman" w:hAnsi="Times New Roman"/>
          <w:sz w:val="18"/>
          <w:szCs w:val="18"/>
          <w:color w:val="auto"/>
        </w:rPr>
      </w:pPr>
    </w:p>
    <w:p>
      <w:pPr>
        <w:ind w:left="1320" w:right="579" w:hanging="434"/>
        <w:spacing w:after="0" w:line="261"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8"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108"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may rely without any liability upon any written notice, request or other document believed to be genuine and to have been signed or presented by the proper parties.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any consequential or punitive damages for any breach of the terms of the deposit agreement.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5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w:t>
      </w:r>
    </w:p>
    <w:p>
      <w:pPr>
        <w:spacing w:after="0" w:line="94" w:lineRule="exact"/>
        <w:rPr>
          <w:rFonts w:ascii="Times New Roman" w:cs="Times New Roman" w:eastAsia="Times New Roman" w:hAnsi="Times New Roman"/>
          <w:sz w:val="18"/>
          <w:szCs w:val="18"/>
          <w:color w:val="auto"/>
        </w:rPr>
      </w:pPr>
    </w:p>
    <w:p>
      <w:pPr>
        <w:ind w:left="1320" w:right="519" w:hanging="434"/>
        <w:spacing w:after="0" w:line="258"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17"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Taxes</w:t>
      </w:r>
    </w:p>
    <w:p>
      <w:pPr>
        <w:spacing w:after="0" w:line="162"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02" w:lineRule="exact"/>
        <w:rPr>
          <w:sz w:val="20"/>
          <w:szCs w:val="20"/>
          <w:color w:val="auto"/>
        </w:rPr>
      </w:pPr>
    </w:p>
    <w:p>
      <w:pPr>
        <w:ind w:left="460" w:right="539" w:firstLine="432"/>
        <w:spacing w:after="0" w:line="289" w:lineRule="auto"/>
        <w:rPr>
          <w:sz w:val="20"/>
          <w:szCs w:val="20"/>
          <w:color w:val="auto"/>
        </w:rPr>
      </w:pPr>
      <w:r>
        <w:rPr>
          <w:rFonts w:ascii="Times New Roman" w:cs="Times New Roman" w:eastAsia="Times New Roman" w:hAnsi="Times New Roman"/>
          <w:sz w:val="17"/>
          <w:szCs w:val="17"/>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sectPr>
          <w:pgSz w:w="11900" w:h="16838" w:orient="portrait"/>
          <w:cols w:equalWidth="0" w:num="1">
            <w:col w:w="9019"/>
          </w:cols>
          <w:pgMar w:left="1440" w:top="270"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Conversion</w:t>
      </w:r>
    </w:p>
    <w:p>
      <w:pPr>
        <w:spacing w:after="0" w:line="162" w:lineRule="exact"/>
        <w:rPr>
          <w:sz w:val="20"/>
          <w:szCs w:val="20"/>
          <w:color w:val="auto"/>
        </w:rPr>
      </w:pPr>
    </w:p>
    <w:p>
      <w:pPr>
        <w:jc w:val="both"/>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7"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95" w:lineRule="exact"/>
        <w:rPr>
          <w:sz w:val="20"/>
          <w:szCs w:val="20"/>
          <w:color w:val="auto"/>
        </w:rPr>
      </w:pPr>
    </w:p>
    <w:p>
      <w:pPr>
        <w:ind w:left="1320" w:right="579" w:hanging="434"/>
        <w:spacing w:after="0" w:line="282"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Law/Waiver of Jury Trial</w:t>
      </w:r>
    </w:p>
    <w:p>
      <w:pPr>
        <w:spacing w:after="0" w:line="148"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0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10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Jurisdiction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1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69" w:lineRule="auto"/>
        <w:rPr>
          <w:sz w:val="20"/>
          <w:szCs w:val="20"/>
          <w:color w:val="auto"/>
        </w:rPr>
      </w:pPr>
      <w:r>
        <w:rPr>
          <w:rFonts w:ascii="Times New Roman" w:cs="Times New Roman" w:eastAsia="Times New Roman" w:hAnsi="Times New Roman"/>
          <w:sz w:val="17"/>
          <w:szCs w:val="17"/>
          <w:color w:val="auto"/>
        </w:rPr>
        <w:t>Upon completion of this offering of Public Offering ADSs, we will have 4,925,000 ADSs outstanding, including 3,125,000 Shareholder ADSs, representing 39,400,000 Class B ordinary shares, or approximately 7.6% of our outstanding ordinary shares. An aggregate of 3,125,000 Shareholder ADSs will be eligible for immediate sale by the Selling Shareholder upon the completion of this offering of Public Offering ADSs, subject to the leak-out agreement described below. All of the Public Offering ADSs and Shareholder ADSs (subject to the leak-out agreement described below)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3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spacing w:after="0" w:line="103"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our shareholders holding 5% or more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underwriter for a period of 180 days after the date of this prospectus, subject to certain exceptions and applicable notice requirements.</w:t>
      </w:r>
    </w:p>
    <w:p>
      <w:pPr>
        <w:spacing w:after="0" w:line="115"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are not aware of any plans by any significant shareholders, other than the Selling Shareholder, to dispose of significant numbers of our ordinary shares or the ADSs. We cannot predict what effect, if any, future sales of our ordinary shares or the ADSs, or the availability of ordinary shares or ADSs for future sale, will have on the trading price of the ADSs from time to time. Sales of substantial amounts of our ordinary shares or the ADSs in the public market, or the perception that these sales could occur, could adversely affect the trading price of the ADSs.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Leak-out Agreement</w:t>
      </w:r>
    </w:p>
    <w:p>
      <w:pPr>
        <w:spacing w:after="0" w:line="135"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The Selling Shareholder has agreed to enter into a leak-out agreement with the Company pursuant to which the Selling Shareholder would agree not to sell 1,925,000 ADSs of the Shareholder ADSs, or the Relevant Resale Shares, for a period of 60 days after the date this registration statement is declared effective, except as follows:</w:t>
      </w:r>
    </w:p>
    <w:p>
      <w:pPr>
        <w:spacing w:after="0" w:line="112" w:lineRule="exact"/>
        <w:rPr>
          <w:sz w:val="20"/>
          <w:szCs w:val="20"/>
          <w:color w:val="auto"/>
        </w:rPr>
      </w:pPr>
    </w:p>
    <w:p>
      <w:pPr>
        <w:ind w:left="1320" w:right="879" w:hanging="434"/>
        <w:spacing w:after="0" w:line="266" w:lineRule="auto"/>
        <w:tabs>
          <w:tab w:leader="none" w:pos="131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50% of the Relevant Resale Shares if (i) the Nasdaq official closing price of the ADSs of the Company as reported on nasdaq.com (“NOCP”) on any two consecutive trading</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79"/>
        <w:spacing w:after="0" w:line="261" w:lineRule="auto"/>
        <w:rPr>
          <w:sz w:val="20"/>
          <w:szCs w:val="20"/>
          <w:color w:val="auto"/>
        </w:rPr>
      </w:pPr>
      <w:r>
        <w:rPr>
          <w:rFonts w:ascii="Times New Roman" w:cs="Times New Roman" w:eastAsia="Times New Roman" w:hAnsi="Times New Roman"/>
          <w:sz w:val="18"/>
          <w:szCs w:val="18"/>
          <w:color w:val="auto"/>
        </w:rPr>
        <w:t>days equals or exceeds 130% of the offer price per share in the initial public offering; and (ii) the average daily trading volume (as reported as the NLS Volume on nasdaq.com) (“Trading Volume”) of the ADSs on Nasdaq over such two consecutive trading days equals or exceeds 20,000 ADSs; and</w:t>
      </w:r>
    </w:p>
    <w:p>
      <w:pPr>
        <w:spacing w:after="0" w:line="112" w:lineRule="exact"/>
        <w:rPr>
          <w:sz w:val="20"/>
          <w:szCs w:val="20"/>
          <w:color w:val="auto"/>
        </w:rPr>
      </w:pPr>
    </w:p>
    <w:p>
      <w:pPr>
        <w:ind w:left="1320" w:right="559" w:hanging="434"/>
        <w:spacing w:after="0" w:line="261" w:lineRule="auto"/>
        <w:tabs>
          <w:tab w:leader="none" w:pos="12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an additional 50% of the Relevant Resale Shares if (i) the NOCP on any two consecutive trading days equals or exceeds 160% of the offer price per share in the initial public offering; and (ii) the average daily Trading Volume of the ADSs on the Nasdaq over such two consecutive trading days equals or exceeds 20,000 ADSs.</w:t>
      </w:r>
    </w:p>
    <w:p>
      <w:pPr>
        <w:spacing w:after="0" w:line="112" w:lineRule="exact"/>
        <w:rPr>
          <w:sz w:val="20"/>
          <w:szCs w:val="20"/>
          <w:color w:val="auto"/>
        </w:rPr>
      </w:pPr>
    </w:p>
    <w:p>
      <w:pPr>
        <w:ind w:left="880" w:right="619"/>
        <w:spacing w:after="0" w:line="258" w:lineRule="auto"/>
        <w:rPr>
          <w:sz w:val="20"/>
          <w:szCs w:val="20"/>
          <w:color w:val="auto"/>
        </w:rPr>
      </w:pPr>
      <w:r>
        <w:rPr>
          <w:rFonts w:ascii="Times New Roman" w:cs="Times New Roman" w:eastAsia="Times New Roman" w:hAnsi="Times New Roman"/>
          <w:sz w:val="18"/>
          <w:szCs w:val="18"/>
          <w:color w:val="auto"/>
        </w:rPr>
        <w:t>The conditions in the above subparagraphs are mutually inclusive and one condition need not be met before the others take effect. For example, if the offer price in the initial public offering is US$5.00, the average NOCP of the ADSs is US$8.00 and the average Trading Volume of the ADSs on Nasdaq is 20,000 ADSs for any two consecutive days, then both of the above-mentioned conditions have been met and all of the Relevant Resale Shares can be sold collectively.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All of our ordinary shares that will be outstanding upon the completion of this offering, other than those Class B ordinary shares represented by ADSs sold in this offering of Public Offering ADSs and Shareholder ADSs,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24" w:lineRule="exact"/>
        <w:rPr>
          <w:sz w:val="20"/>
          <w:szCs w:val="20"/>
          <w:color w:val="auto"/>
        </w:rPr>
      </w:pPr>
    </w:p>
    <w:p>
      <w:pPr>
        <w:ind w:left="1320" w:right="83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in the form of ADSs or otherwise, which will equal approximately 5,163,642 ordinary shares immediately after this offering; or</w:t>
      </w:r>
    </w:p>
    <w:p>
      <w:pPr>
        <w:spacing w:after="0" w:line="80"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Capital Market, during the four calendar weeks preceding the date on which notice of the sale is filed with the SEC.</w:t>
      </w:r>
    </w:p>
    <w:p>
      <w:pPr>
        <w:spacing w:after="0" w:line="10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spacing w:after="0" w:line="108"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4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6"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48" w:lineRule="exact"/>
        <w:rPr>
          <w:sz w:val="20"/>
          <w:szCs w:val="20"/>
          <w:color w:val="auto"/>
        </w:rPr>
      </w:pPr>
    </w:p>
    <w:p>
      <w:pPr>
        <w:jc w:val="both"/>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Singapore Taxation Considerations</w:t>
      </w:r>
    </w:p>
    <w:p>
      <w:pPr>
        <w:spacing w:after="0" w:line="162"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summary is not intended to be or to be regarded as tax advice to any investors, and investors should consult their own professional tax advisors regarding the Singapore tax matters.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Corporate Income Tax</w:t>
      </w:r>
    </w:p>
    <w:p>
      <w:pPr>
        <w:spacing w:after="0" w:line="133"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Singapore tax resident corporate taxpayer is subject to Singapore income tax on:</w:t>
      </w:r>
    </w:p>
    <w:p>
      <w:pPr>
        <w:spacing w:after="0" w:line="144" w:lineRule="exact"/>
        <w:rPr>
          <w:sz w:val="20"/>
          <w:szCs w:val="20"/>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accruing in or derived from Singapore; or</w:t>
      </w:r>
    </w:p>
    <w:p>
      <w:pPr>
        <w:spacing w:after="0" w:line="130" w:lineRule="exact"/>
        <w:rPr>
          <w:rFonts w:ascii="Times New Roman" w:cs="Times New Roman" w:eastAsia="Times New Roman" w:hAnsi="Times New Roman"/>
          <w:sz w:val="18"/>
          <w:szCs w:val="18"/>
          <w:color w:val="auto"/>
        </w:rPr>
      </w:pPr>
    </w:p>
    <w:p>
      <w:pPr>
        <w:ind w:left="1320" w:right="519" w:hanging="434"/>
        <w:spacing w:after="0" w:line="266" w:lineRule="auto"/>
        <w:tabs>
          <w:tab w:leader="none" w:pos="12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outside Singapore (i.e. foreign-sourced income) which is received or deemed received in Singapore, unless otherwise exempted. A non-Singapore tax resident corporate taxpayer is liable to Singapore income tax on income accruing in or derived from Singapore.</w:t>
      </w:r>
    </w:p>
    <w:p>
      <w:pPr>
        <w:spacing w:after="0" w:line="81"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A non-Singapore tax resident corporate taxpayer is also liable to Singapore income tax on income derived from outside Singapore which is received or deemed to have been received in Singapore but generally only where such taxpayer is considered to be operating in or from Singapore.</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Foreign-sourced income is deemed to be received in Singapore when it is:</w:t>
      </w:r>
    </w:p>
    <w:p>
      <w:pPr>
        <w:spacing w:after="0" w:line="131" w:lineRule="exact"/>
        <w:rPr>
          <w:sz w:val="20"/>
          <w:szCs w:val="20"/>
          <w:color w:val="auto"/>
        </w:rPr>
      </w:pPr>
    </w:p>
    <w:p>
      <w:pPr>
        <w:ind w:left="1320" w:hanging="434"/>
        <w:spacing w:after="0"/>
        <w:tabs>
          <w:tab w:leader="none" w:pos="1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remitted to, transmitted or brought into Singapore;</w:t>
      </w:r>
    </w:p>
    <w:p>
      <w:pPr>
        <w:spacing w:after="0" w:line="130"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pay off any debt incurred in respect of a trade or business carried on in Singapore;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purchase any movable property brought into Singapore.</w:t>
      </w:r>
    </w:p>
    <w:p>
      <w:pPr>
        <w:spacing w:after="0" w:line="131"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spacing w:after="0" w:line="81" w:lineRule="exact"/>
        <w:rPr>
          <w:sz w:val="20"/>
          <w:szCs w:val="20"/>
          <w:color w:val="auto"/>
        </w:rPr>
      </w:pPr>
    </w:p>
    <w:p>
      <w:pPr>
        <w:ind w:left="1320" w:right="619" w:hanging="434"/>
        <w:spacing w:after="0" w:line="282" w:lineRule="auto"/>
        <w:tabs>
          <w:tab w:leader="none" w:pos="131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(by whatever name called) under the law of the territory from which such income is received;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61" w:lineRule="auto"/>
        <w:tabs>
          <w:tab w:leader="none" w:pos="12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12"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0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The prevailing corporate income tax rate in Singapore is 17.0% with the first S$200,000 of chargeable income of a company being partially exempt from tax as follows:</w:t>
      </w:r>
    </w:p>
    <w:p>
      <w:pPr>
        <w:spacing w:after="0" w:line="81" w:lineRule="exact"/>
        <w:rPr>
          <w:sz w:val="20"/>
          <w:szCs w:val="20"/>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S$190,000 of chargeable income.</w:t>
      </w:r>
    </w:p>
    <w:p>
      <w:pPr>
        <w:spacing w:after="0" w:line="158"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for each of the company’s first three (3) years of assessment as follows:</w:t>
      </w:r>
    </w:p>
    <w:p>
      <w:pPr>
        <w:spacing w:after="0" w:line="81" w:lineRule="exact"/>
        <w:rPr>
          <w:sz w:val="20"/>
          <w:szCs w:val="20"/>
          <w:color w:val="auto"/>
        </w:rPr>
      </w:pPr>
    </w:p>
    <w:p>
      <w:pPr>
        <w:ind w:left="1320" w:hanging="434"/>
        <w:spacing w:after="0"/>
        <w:tabs>
          <w:tab w:leader="none" w:pos="1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S$100,000 of chargeable income.</w:t>
      </w:r>
    </w:p>
    <w:p>
      <w:pPr>
        <w:spacing w:after="0" w:line="15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remaining chargeable income (after the tax exemption scheme for new companies or the partial tax exemption scheme for companies) will be fully taxable at the prevailing corporate tax rate. For the year of assessment 2024, companies will receive a 50% corporate income tax rebate capped at S$40,000. For companies which employed at least one local employee in 2023 will receive a cash payout of at least S$2,000. The maximum total benefits of the corporate income tax rebate and the cash payout that a company may receive is capped at S$40,000.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14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All Singapore-tax resident companies are currently under the one-tier corporate tax system, or one-tier system.</w:t>
      </w:r>
    </w:p>
    <w:p>
      <w:pPr>
        <w:spacing w:after="0" w:line="94"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12"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Accordingly, dividends received in respect of the ordinary shares of a Singapore-tax resident company by either a resident or non-resident of Singapore are not subject to Singapore income tax (whether by withholding or otherwise).</w:t>
      </w:r>
    </w:p>
    <w:p>
      <w:pPr>
        <w:spacing w:after="0" w:line="95"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Shares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w:cs="Times New Roman" w:eastAsia="Times New Roman" w:hAnsi="Times New Roman"/>
          <w:sz w:val="18"/>
          <w:szCs w:val="18"/>
          <w:b w:val="1"/>
          <w:bCs w:val="1"/>
          <w:color w:val="auto"/>
        </w:rPr>
        <w:t>IRAS</w:t>
      </w:r>
      <w:r>
        <w:rPr>
          <w:rFonts w:ascii="Times New Roman" w:cs="Times New Roman" w:eastAsia="Times New Roman" w:hAnsi="Times New Roman"/>
          <w:sz w:val="18"/>
          <w:szCs w:val="18"/>
          <w:color w:val="auto"/>
        </w:rPr>
        <w:t>”), are not taxable in Singapore.</w:t>
      </w:r>
    </w:p>
    <w:p>
      <w:pPr>
        <w:spacing w:after="0" w:line="12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Subject to specified exceptions, Section 13W of the Income Tax Act 1947 (“</w:t>
      </w:r>
      <w:r>
        <w:rPr>
          <w:rFonts w:ascii="Times New Roman" w:cs="Times New Roman" w:eastAsia="Times New Roman" w:hAnsi="Times New Roman"/>
          <w:sz w:val="18"/>
          <w:szCs w:val="18"/>
          <w:b w:val="1"/>
          <w:bCs w:val="1"/>
          <w:color w:val="auto"/>
        </w:rPr>
        <w:t>SITA</w:t>
      </w:r>
      <w:r>
        <w:rPr>
          <w:rFonts w:ascii="Times New Roman" w:cs="Times New Roman" w:eastAsia="Times New Roman" w:hAnsi="Times New Roman"/>
          <w:sz w:val="18"/>
          <w:szCs w:val="18"/>
          <w:color w:val="auto"/>
        </w:rPr>
        <w:t>”) provides for certainty on the non-taxability of gains derived by a corporate taxpayer from the disposal of ordinary shares during the period from June 1, 2012 to December 31, 2027 (both dates inclusive) where:</w:t>
      </w:r>
    </w:p>
    <w:p>
      <w:pPr>
        <w:spacing w:after="0" w:line="94" w:lineRule="exact"/>
        <w:rPr>
          <w:sz w:val="20"/>
          <w:szCs w:val="20"/>
          <w:color w:val="auto"/>
        </w:rPr>
      </w:pPr>
    </w:p>
    <w:p>
      <w:pPr>
        <w:ind w:left="1320" w:right="81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legally and beneficially held a minimum shareholding of 20% of the ordinary shares of the company whose shares are being disposed;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maintained the minimum 20% shareholding for a continuous period of at least 24 months immediately prior to the disposal.</w:t>
      </w:r>
    </w:p>
    <w:p>
      <w:pPr>
        <w:spacing w:after="0" w:line="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exemption prescribed under Section 13W of the SITA is not applicable under the following scenarios:</w:t>
      </w:r>
    </w:p>
    <w:p>
      <w:pPr>
        <w:spacing w:after="0" w:line="156" w:lineRule="exact"/>
        <w:rPr>
          <w:sz w:val="20"/>
          <w:szCs w:val="20"/>
          <w:color w:val="auto"/>
        </w:rPr>
      </w:pPr>
    </w:p>
    <w:p>
      <w:pPr>
        <w:ind w:left="1320" w:right="999" w:hanging="434"/>
        <w:spacing w:after="0" w:line="282" w:lineRule="auto"/>
        <w:tabs>
          <w:tab w:leader="none" w:pos="131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disposal(s) of shares the gains or profits of which are included as part of the income of an insurer company;</w:t>
      </w:r>
    </w:p>
    <w:p>
      <w:pPr>
        <w:spacing w:after="0" w:line="6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before 1 June 2022 in a company that is:</w:t>
      </w:r>
    </w:p>
    <w:p>
      <w:pPr>
        <w:spacing w:after="0" w:line="130"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business of trading Singapore immovable properties; or</w:t>
      </w:r>
    </w:p>
    <w:p>
      <w:pPr>
        <w:spacing w:after="0" w:line="144" w:lineRule="exact"/>
        <w:rPr>
          <w:rFonts w:ascii="Times New Roman" w:cs="Times New Roman" w:eastAsia="Times New Roman" w:hAnsi="Times New Roman"/>
          <w:sz w:val="18"/>
          <w:szCs w:val="18"/>
          <w:color w:val="auto"/>
        </w:rPr>
      </w:pPr>
    </w:p>
    <w:p>
      <w:pPr>
        <w:ind w:left="1760" w:right="759" w:hanging="442"/>
        <w:spacing w:after="0" w:line="266" w:lineRule="auto"/>
        <w:tabs>
          <w:tab w:leader="none" w:pos="172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carries on the activity of holding Singapore immovable properties, other than property development, where the shares are not listed on a stock exchange in Singapore or elsewhere;</w:t>
      </w:r>
    </w:p>
    <w:p>
      <w:pPr>
        <w:spacing w:after="0" w:line="81"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on or after 1 June 2022 not listed on a stock exchange in Singapore or elsewhere, being shares in a company that the Comptroller is satisfied:</w:t>
      </w:r>
    </w:p>
    <w:p>
      <w:pPr>
        <w:spacing w:after="0" w:line="6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business of trading immovable properties situated whether in Singapore or elsewhere;</w:t>
      </w:r>
    </w:p>
    <w:p>
      <w:pPr>
        <w:spacing w:after="0" w:line="144" w:lineRule="exact"/>
        <w:rPr>
          <w:rFonts w:ascii="Times New Roman" w:cs="Times New Roman" w:eastAsia="Times New Roman" w:hAnsi="Times New Roman"/>
          <w:sz w:val="18"/>
          <w:szCs w:val="18"/>
          <w:color w:val="auto"/>
        </w:rPr>
      </w:pPr>
    </w:p>
    <w:p>
      <w:pPr>
        <w:ind w:left="1760" w:right="1099" w:hanging="442"/>
        <w:spacing w:after="0" w:line="282" w:lineRule="auto"/>
        <w:tabs>
          <w:tab w:leader="none" w:pos="172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carries on the activity of holding immovable properties situated whether in Singapore or elsewhere; or</w:t>
      </w:r>
    </w:p>
    <w:p>
      <w:pPr>
        <w:spacing w:after="0" w:line="6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undertaken property development on Singapore or elsewhere, except where:</w:t>
      </w:r>
    </w:p>
    <w:p>
      <w:pPr>
        <w:spacing w:after="0" w:line="130" w:lineRule="exact"/>
        <w:rPr>
          <w:rFonts w:ascii="Times New Roman" w:cs="Times New Roman" w:eastAsia="Times New Roman" w:hAnsi="Times New Roman"/>
          <w:sz w:val="18"/>
          <w:szCs w:val="18"/>
          <w:color w:val="auto"/>
        </w:rPr>
      </w:pPr>
    </w:p>
    <w:p>
      <w:pPr>
        <w:ind w:left="2180" w:right="599" w:hanging="430"/>
        <w:spacing w:after="0" w:line="266" w:lineRule="auto"/>
        <w:tabs>
          <w:tab w:leader="none" w:pos="2173"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immovable property developed is used by the company to carry on its trade or business (including the business of letting immovable properties), not being a business mentioned in sub-paragraph (i); and</w:t>
      </w:r>
    </w:p>
    <w:p>
      <w:pPr>
        <w:spacing w:after="0" w:line="94" w:lineRule="exact"/>
        <w:rPr>
          <w:rFonts w:ascii="Times New Roman" w:cs="Times New Roman" w:eastAsia="Times New Roman" w:hAnsi="Times New Roman"/>
          <w:sz w:val="18"/>
          <w:szCs w:val="18"/>
          <w:color w:val="auto"/>
        </w:rPr>
      </w:pPr>
    </w:p>
    <w:p>
      <w:pPr>
        <w:ind w:left="2180" w:right="519" w:hanging="430"/>
        <w:spacing w:after="0" w:line="282" w:lineRule="auto"/>
        <w:tabs>
          <w:tab w:leader="none" w:pos="2163"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undertake any property development in Singapore or elsewhere for a period of at least 60 consecutive months before the disposal of shares; or</w:t>
      </w:r>
    </w:p>
    <w:p>
      <w:pPr>
        <w:spacing w:after="0" w:line="67"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2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disposal(s) of shares by a partnership, limited partnership and limited liability partnership one or more of the partners of which is a company or are companies.</w:t>
      </w:r>
    </w:p>
    <w:p>
      <w:pPr>
        <w:spacing w:after="0" w:line="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Shareholders who apply, or who are required to apply, the Singapore Financial Reporting Standard 39</w:t>
      </w:r>
    </w:p>
    <w:p>
      <w:pPr>
        <w:spacing w:after="0" w:line="27" w:lineRule="exact"/>
        <w:rPr>
          <w:sz w:val="20"/>
          <w:szCs w:val="20"/>
          <w:color w:val="auto"/>
        </w:rPr>
      </w:pPr>
    </w:p>
    <w:p>
      <w:pPr>
        <w:ind w:left="460" w:right="639"/>
        <w:spacing w:after="0" w:line="270" w:lineRule="auto"/>
        <w:rPr>
          <w:sz w:val="20"/>
          <w:szCs w:val="20"/>
          <w:color w:val="auto"/>
        </w:rPr>
      </w:pPr>
      <w:r>
        <w:rPr>
          <w:rFonts w:ascii="Times New Roman" w:cs="Times New Roman" w:eastAsia="Times New Roman" w:hAnsi="Times New Roman"/>
          <w:sz w:val="17"/>
          <w:szCs w:val="17"/>
          <w:color w:val="auto"/>
        </w:rPr>
        <w:t>—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spacing w:after="0" w:line="93"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48"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6" w:lineRule="auto"/>
        <w:rPr>
          <w:sz w:val="20"/>
          <w:szCs w:val="20"/>
          <w:color w:val="auto"/>
        </w:rPr>
      </w:pPr>
      <w:r>
        <w:rPr>
          <w:rFonts w:ascii="Times New Roman" w:cs="Times New Roman" w:eastAsia="Times New Roman" w:hAnsi="Times New Roman"/>
          <w:sz w:val="18"/>
          <w:szCs w:val="18"/>
          <w:color w:val="auto"/>
        </w:rPr>
        <w:t>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spacing w:after="0" w:line="12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85" w:lineRule="exact"/>
        <w:rPr>
          <w:sz w:val="20"/>
          <w:szCs w:val="20"/>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required to use a mark-to-market method of accounting;</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30" w:lineRule="exact"/>
        <w:rPr>
          <w:rFonts w:ascii="Times New Roman" w:cs="Times New Roman" w:eastAsia="Times New Roman" w:hAnsi="Times New Roman"/>
          <w:sz w:val="18"/>
          <w:szCs w:val="18"/>
          <w:color w:val="auto"/>
        </w:rPr>
      </w:pPr>
    </w:p>
    <w:p>
      <w:pPr>
        <w:ind w:left="1320" w:right="77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80"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through a bank, financial institution or other entity, or a branch thereof, located, organized or resident outside the United States;</w:t>
      </w:r>
    </w:p>
    <w:p>
      <w:pPr>
        <w:spacing w:after="0" w:line="6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power of all classes of our voting stock;</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 employee stock option or otherwise as compensation; or</w:t>
      </w:r>
    </w:p>
    <w:p>
      <w:pPr>
        <w:spacing w:after="0" w:line="80"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or ordinary shares through such entities.</w:t>
      </w:r>
    </w:p>
    <w:p>
      <w:pPr>
        <w:spacing w:after="0" w:line="67" w:lineRule="exact"/>
        <w:rPr>
          <w:sz w:val="20"/>
          <w:szCs w:val="20"/>
          <w:color w:val="auto"/>
        </w:rPr>
      </w:pPr>
    </w:p>
    <w:p>
      <w:pPr>
        <w:ind w:left="460" w:right="919" w:firstLine="432"/>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spacing w:after="0" w:line="11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our ADSs or ordinary shares that is, for United States federal income tax purposes:</w:t>
      </w:r>
    </w:p>
    <w:p>
      <w:pPr>
        <w:spacing w:after="0" w:line="67" w:lineRule="exact"/>
        <w:rPr>
          <w:sz w:val="20"/>
          <w:szCs w:val="20"/>
          <w:color w:val="auto"/>
        </w:rPr>
      </w:pPr>
    </w:p>
    <w:p>
      <w:pPr>
        <w:ind w:left="1320" w:hanging="434"/>
        <w:spacing w:after="0"/>
        <w:tabs>
          <w:tab w:leader="none" w:pos="1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94"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16"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is true and that the obligations in such agreements will be complied with in accordance with their terms.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111"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2" w:lineRule="auto"/>
        <w:rPr>
          <w:sz w:val="20"/>
          <w:szCs w:val="20"/>
          <w:color w:val="auto"/>
        </w:rPr>
      </w:pPr>
      <w:r>
        <w:rPr>
          <w:rFonts w:ascii="Times New Roman" w:cs="Times New Roman" w:eastAsia="Times New Roman" w:hAnsi="Times New Roman"/>
          <w:sz w:val="18"/>
          <w:szCs w:val="18"/>
          <w:color w:val="auto"/>
        </w:rPr>
        <w:t>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3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spacing w:after="0" w:line="12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w:t>
      </w:r>
    </w:p>
    <w:p>
      <w:pPr>
        <w:spacing w:after="0" w:line="3" w:lineRule="exact"/>
        <w:rPr>
          <w:sz w:val="20"/>
          <w:szCs w:val="20"/>
          <w:color w:val="auto"/>
        </w:rPr>
      </w:pPr>
    </w:p>
    <w:p>
      <w:pPr>
        <w:ind w:left="460" w:right="519" w:hanging="6"/>
        <w:spacing w:after="0" w:line="251" w:lineRule="auto"/>
        <w:tabs>
          <w:tab w:leader="none" w:pos="7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26"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4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w:t>
      </w:r>
    </w:p>
    <w:p>
      <w:pPr>
        <w:sectPr>
          <w:pgSz w:w="11900" w:h="16838" w:orient="portrait"/>
          <w:cols w:equalWidth="0" w:num="1">
            <w:col w:w="9019"/>
          </w:cols>
          <w:pgMar w:left="1440" w:top="270"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color w:val="auto"/>
        </w:rPr>
        <w:t>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121" w:lineRule="exact"/>
        <w:rPr>
          <w:sz w:val="20"/>
          <w:szCs w:val="20"/>
          <w:color w:val="auto"/>
        </w:rPr>
      </w:pPr>
    </w:p>
    <w:p>
      <w:pPr>
        <w:ind w:left="1320" w:right="47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80" w:lineRule="exact"/>
        <w:rPr>
          <w:rFonts w:ascii="Times New Roman" w:cs="Times New Roman" w:eastAsia="Times New Roman" w:hAnsi="Times New Roman"/>
          <w:sz w:val="18"/>
          <w:szCs w:val="18"/>
          <w:color w:val="auto"/>
        </w:rPr>
      </w:pPr>
    </w:p>
    <w:p>
      <w:pPr>
        <w:jc w:val="both"/>
        <w:ind w:left="1320" w:right="539" w:hanging="434"/>
        <w:spacing w:after="0" w:line="266"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08" w:lineRule="exact"/>
        <w:rPr>
          <w:rFonts w:ascii="Times New Roman" w:cs="Times New Roman" w:eastAsia="Times New Roman" w:hAnsi="Times New Roman"/>
          <w:sz w:val="18"/>
          <w:szCs w:val="18"/>
          <w:color w:val="auto"/>
        </w:rPr>
      </w:pPr>
    </w:p>
    <w:p>
      <w:pPr>
        <w:jc w:val="both"/>
        <w:ind w:left="1320" w:right="579" w:hanging="434"/>
        <w:spacing w:after="0" w:line="261"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1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15" w:lineRule="exact"/>
        <w:rPr>
          <w:sz w:val="20"/>
          <w:szCs w:val="20"/>
          <w:color w:val="auto"/>
        </w:rPr>
      </w:pPr>
    </w:p>
    <w:p>
      <w:pPr>
        <w:ind w:left="460" w:right="479" w:firstLine="432"/>
        <w:spacing w:after="0" w:line="277"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spacing w:after="0" w:line="10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08" w:lineRule="exact"/>
        <w:rPr>
          <w:sz w:val="20"/>
          <w:szCs w:val="20"/>
          <w:color w:val="auto"/>
        </w:rPr>
      </w:pPr>
    </w:p>
    <w:p>
      <w:pPr>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expect to enter into an underwriting agreement with Eddid Securities USA Inc., or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Underwriter has agreed to purchase, and we have agreed to sell to it, the number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ADSs at the initial public offering price, less the underwriting discounts and commissions, as set forth on the cover page of this prospectus and as indicated below:</w:t>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Underwriter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41275</wp:posOffset>
            </wp:positionV>
            <wp:extent cx="514350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720" w:space="720"/>
            <w:col w:w="15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Eddid Securities USA Inc.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Discounts and Expenses</w:t>
      </w:r>
    </w:p>
    <w:p>
      <w:pPr>
        <w:spacing w:after="0" w:line="162"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The underwriting discounts and commissions are equal to six percent (6%) of the gross proceeds of the securities being offered and sold to investors introduced by the Underwriter, and a gross discount equal to three percent (3%) of gross proceeds (or in cash in the equivalent amount) of the securities being offered and sold to investors introduced by the Company.</w:t>
      </w:r>
    </w:p>
    <w:p>
      <w:pPr>
        <w:spacing w:after="0" w:line="99"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ADS and total initial public offering price, underwriting discounts and commissions, and proceeds before expenses to 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2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6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shd w:val="clear" w:color="auto" w:fill="CCEEFF"/>
          </w:tcPr>
          <w:p>
            <w:pPr>
              <w:spacing w:after="0"/>
              <w:rPr>
                <w:sz w:val="21"/>
                <w:szCs w:val="21"/>
                <w:color w:val="auto"/>
              </w:rPr>
            </w:pPr>
          </w:p>
        </w:tc>
      </w:tr>
      <w:tr>
        <w:trPr>
          <w:trHeight w:val="40"/>
        </w:trPr>
        <w:tc>
          <w:tcPr>
            <w:tcW w:w="5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 the offering is successfully closed) up to a maximum of US$250,000 for out-of-pocket accountable expenses. In addition, we have agreed to pay to the Underwriter upon closing of this offering a non-accountable expense allowance equal to one percent (1%) of the gross proceeds derived from the sale of the ADSs in this offering.</w:t>
      </w:r>
    </w:p>
    <w:p>
      <w:pPr>
        <w:spacing w:after="0" w:line="121"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spacing w:after="0" w:line="1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the underwriting discounts</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and commissions and non-accountable expense allowance, will be approximately US$[</w:t>
            </w:r>
          </w:p>
        </w:tc>
        <w:tc>
          <w:tcPr>
            <w:tcW w:w="15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387"/>
        </w:trPr>
        <w:tc>
          <w:tcPr>
            <w:tcW w:w="654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119</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shareholders holding 5% or more of our ordinary shares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48" w:lineRule="exact"/>
        <w:rPr>
          <w:sz w:val="20"/>
          <w:szCs w:val="20"/>
          <w:color w:val="auto"/>
        </w:rPr>
      </w:pPr>
    </w:p>
    <w:p>
      <w:pPr>
        <w:ind w:left="460" w:right="839" w:firstLine="432"/>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Securities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The Underwriter can close out a covered short sale by purchasing shares in the open market.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spacing w:after="0" w:line="108" w:lineRule="exact"/>
        <w:rPr>
          <w:sz w:val="20"/>
          <w:szCs w:val="20"/>
          <w:color w:val="auto"/>
        </w:rPr>
      </w:pPr>
    </w:p>
    <w:p>
      <w:pPr>
        <w:jc w:val="both"/>
        <w:ind w:left="460" w:right="799" w:firstLine="432"/>
        <w:spacing w:after="0" w:line="266" w:lineRule="auto"/>
        <w:rPr>
          <w:sz w:val="20"/>
          <w:szCs w:val="20"/>
          <w:color w:val="auto"/>
        </w:rPr>
      </w:pPr>
      <w:r>
        <w:rPr>
          <w:rFonts w:ascii="Times New Roman" w:cs="Times New Roman" w:eastAsia="Times New Roman" w:hAnsi="Times New Roman"/>
          <w:sz w:val="18"/>
          <w:szCs w:val="18"/>
          <w:color w:val="auto"/>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Finally, the Underwriter may bid for, and purchase, our ADSs in market making transactions, including “passive” market making transactions as described below.</w:t>
      </w:r>
    </w:p>
    <w:p>
      <w:pPr>
        <w:spacing w:after="0" w:line="94" w:lineRule="exact"/>
        <w:rPr>
          <w:sz w:val="20"/>
          <w:szCs w:val="20"/>
          <w:color w:val="auto"/>
        </w:rPr>
      </w:pPr>
    </w:p>
    <w:p>
      <w:pPr>
        <w:jc w:val="both"/>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Capital Market, in the over-the-counter market,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Conflicts of Interest</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 may in the future perform a variety of such activities and services for us and for persons or entities with relationships with us for which they received or will receive customary fees, commissions and expenses.</w:t>
      </w:r>
    </w:p>
    <w:p>
      <w:pPr>
        <w:spacing w:after="0" w:line="120"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spacing w:after="0" w:line="99"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 outside the United States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6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6" w:lineRule="auto"/>
        <w:rPr>
          <w:sz w:val="20"/>
          <w:szCs w:val="20"/>
          <w:color w:val="auto"/>
        </w:rPr>
      </w:pPr>
      <w:r>
        <w:rPr>
          <w:rFonts w:ascii="Times New Roman" w:cs="Times New Roman" w:eastAsia="Times New Roman" w:hAnsi="Times New Roman"/>
          <w:sz w:val="18"/>
          <w:szCs w:val="18"/>
          <w:color w:val="auto"/>
        </w:rPr>
        <w:t>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spacing w:after="0" w:line="10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60"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6" w:lineRule="exact"/>
        <w:rPr>
          <w:sz w:val="20"/>
          <w:szCs w:val="20"/>
          <w:color w:val="auto"/>
        </w:rPr>
      </w:pPr>
    </w:p>
    <w:p>
      <w:pPr>
        <w:jc w:val="both"/>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1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6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06" w:lineRule="exact"/>
        <w:rPr>
          <w:sz w:val="20"/>
          <w:szCs w:val="20"/>
          <w:color w:val="auto"/>
        </w:rPr>
      </w:pPr>
    </w:p>
    <w:p>
      <w:pPr>
        <w:jc w:val="both"/>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Malaysia</w:t>
      </w:r>
    </w:p>
    <w:p>
      <w:pPr>
        <w:spacing w:after="0" w:line="16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99"/>
        <w:spacing w:after="0" w:line="266" w:lineRule="auto"/>
        <w:rPr>
          <w:sz w:val="20"/>
          <w:szCs w:val="20"/>
          <w:color w:val="auto"/>
        </w:rPr>
      </w:pPr>
      <w:r>
        <w:rPr>
          <w:rFonts w:ascii="Times New Roman" w:cs="Times New Roman" w:eastAsia="Times New Roman" w:hAnsi="Times New Roman"/>
          <w:sz w:val="18"/>
          <w:szCs w:val="18"/>
          <w:color w:val="auto"/>
        </w:rPr>
        <w:t>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6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44" w:lineRule="exact"/>
        <w:rPr>
          <w:sz w:val="20"/>
          <w:szCs w:val="20"/>
          <w:color w:val="auto"/>
        </w:rPr>
      </w:pPr>
    </w:p>
    <w:p>
      <w:pPr>
        <w:jc w:val="both"/>
        <w:ind w:left="1320" w:right="719" w:hanging="434"/>
        <w:spacing w:after="0" w:line="266"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ind w:left="460" w:right="67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9" w:lineRule="exact"/>
        <w:rPr>
          <w:sz w:val="20"/>
          <w:szCs w:val="20"/>
          <w:color w:val="auto"/>
        </w:rPr>
      </w:pPr>
    </w:p>
    <w:p>
      <w:pPr>
        <w:ind w:left="1320" w:right="659" w:hanging="434"/>
        <w:spacing w:after="0" w:line="266"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63" w:lineRule="exact"/>
        <w:rPr>
          <w:sz w:val="20"/>
          <w:szCs w:val="20"/>
          <w:color w:val="auto"/>
        </w:rPr>
      </w:pPr>
    </w:p>
    <w:p>
      <w:pPr>
        <w:ind w:left="46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SFA Product Classification: </w:t>
      </w:r>
      <w:r>
        <w:rPr>
          <w:rFonts w:ascii="Times New Roman" w:cs="Times New Roman" w:eastAsia="Times New Roman" w:hAnsi="Times New Roman"/>
          <w:sz w:val="18"/>
          <w:szCs w:val="18"/>
          <w:i w:val="1"/>
          <w:iCs w:val="1"/>
          <w:color w:val="auto"/>
        </w:rPr>
        <w:t>In accordance with Section 309B of the SFA,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determined, and hereby notifies all relevant persons (as defined under Section 309A(1) of the SFA), that the ADSs 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Purchasers are advised to seek legal advice prior to any resale of the securities.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People’s Republic of China</w:t>
      </w:r>
    </w:p>
    <w:p>
      <w:pPr>
        <w:spacing w:after="0" w:line="133"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33"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Taiwan</w:t>
      </w:r>
    </w:p>
    <w:p>
      <w:pPr>
        <w:spacing w:after="0" w:line="133"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Indonesia</w:t>
      </w:r>
    </w:p>
    <w:p>
      <w:pPr>
        <w:spacing w:after="0" w:line="146"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Vietnam</w:t>
      </w:r>
    </w:p>
    <w:p>
      <w:pPr>
        <w:spacing w:after="0" w:line="13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Thailand</w:t>
      </w:r>
    </w:p>
    <w:p>
      <w:pPr>
        <w:spacing w:after="0" w:line="119" w:lineRule="exact"/>
        <w:rPr>
          <w:sz w:val="20"/>
          <w:szCs w:val="20"/>
          <w:color w:val="auto"/>
        </w:rPr>
      </w:pPr>
    </w:p>
    <w:p>
      <w:pPr>
        <w:jc w:val="both"/>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Korea</w:t>
      </w:r>
    </w:p>
    <w:p>
      <w:pPr>
        <w:spacing w:after="0" w:line="11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New Zealand</w:t>
      </w:r>
    </w:p>
    <w:p>
      <w:pPr>
        <w:spacing w:after="0" w:line="14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spacing w:after="0" w:line="81" w:lineRule="exact"/>
        <w:rPr>
          <w:sz w:val="20"/>
          <w:szCs w:val="20"/>
          <w:color w:val="auto"/>
        </w:rPr>
      </w:pPr>
    </w:p>
    <w:p>
      <w:pPr>
        <w:ind w:left="1320" w:hanging="434"/>
        <w:spacing w:after="0"/>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FMCA; or</w:t>
      </w:r>
    </w:p>
    <w:p>
      <w:pPr>
        <w:spacing w:after="0" w:line="11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FMCA. The Securities are not being offered or sold to retail investors in New Zealand.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Cayman Islands</w:t>
      </w:r>
    </w:p>
    <w:p>
      <w:pPr>
        <w:spacing w:after="0" w:line="146"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148"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Application and Listing Fee</w:t>
            </w:r>
          </w:p>
        </w:tc>
        <w:tc>
          <w:tcPr>
            <w:tcW w:w="3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2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40" w:type="dxa"/>
            <w:vAlign w:val="bottom"/>
          </w:tcPr>
          <w:p>
            <w:pPr>
              <w:spacing w:after="0"/>
              <w:rPr>
                <w:sz w:val="21"/>
                <w:szCs w:val="21"/>
                <w:color w:val="auto"/>
              </w:rPr>
            </w:pPr>
          </w:p>
        </w:tc>
        <w:tc>
          <w:tcPr>
            <w:tcW w:w="5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2,320,380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240" w:type="dxa"/>
            <w:vAlign w:val="bottom"/>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126</w:t>
            </w: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 New York State law. Sichenzia Ross Ference Carmel LLP is representing the underwriter with respect to certain legal matters as to the United States federal and New York State law. The validity of the ordinary shares represented by the ADSs offered in this offering and certain other legal matters as to Cayman Islands law will be passed upon for us by Maples and Calder (Hong Kong) LLP.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spacing w:after="0" w:line="116" w:lineRule="exact"/>
        <w:rPr>
          <w:sz w:val="20"/>
          <w:szCs w:val="20"/>
          <w:color w:val="auto"/>
        </w:rPr>
      </w:pPr>
    </w:p>
    <w:p>
      <w:pPr>
        <w:ind w:left="460" w:right="1279" w:firstLine="432"/>
        <w:spacing w:after="0" w:line="282" w:lineRule="auto"/>
        <w:rPr>
          <w:sz w:val="20"/>
          <w:szCs w:val="20"/>
          <w:color w:val="auto"/>
        </w:rPr>
      </w:pPr>
      <w:r>
        <w:rPr>
          <w:rFonts w:ascii="Times New Roman" w:cs="Times New Roman" w:eastAsia="Times New Roman" w:hAnsi="Times New Roman"/>
          <w:sz w:val="18"/>
          <w:szCs w:val="18"/>
          <w:color w:val="auto"/>
        </w:rPr>
        <w:t>The office of Marcum Asia CPAs LLP is located at 7 Pennsylvania Plaza Suite 830, New York, NY 10001,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20"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40" w:type="dxa"/>
            <w:vAlign w:val="bottom"/>
            <w:gridSpan w:val="18"/>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TRIDENT DIGITAL TECH HOLDINGS LTD</w:t>
            </w:r>
          </w:p>
        </w:tc>
        <w:tc>
          <w:tcPr>
            <w:tcW w:w="8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40" w:type="dxa"/>
            <w:vAlign w:val="bottom"/>
            <w:gridSpan w:val="18"/>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4"/>
        </w:trPr>
        <w:tc>
          <w:tcPr>
            <w:tcW w:w="728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w:t>
            </w:r>
          </w:p>
        </w:tc>
        <w:tc>
          <w:tcPr>
            <w:tcW w:w="820" w:type="dxa"/>
            <w:vAlign w:val="bottom"/>
            <w:shd w:val="clear" w:color="auto" w:fill="CCEEFF"/>
          </w:tcPr>
          <w:p>
            <w:pPr>
              <w:spacing w:after="0"/>
              <w:rPr>
                <w:sz w:val="15"/>
                <w:szCs w:val="15"/>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2022 AND 2021</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6"/>
        </w:trPr>
        <w:tc>
          <w:tcPr>
            <w:tcW w:w="7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w:t>
            </w:r>
          </w:p>
        </w:tc>
        <w:tc>
          <w:tcPr>
            <w:tcW w:w="820" w:type="dxa"/>
            <w:vAlign w:val="bottom"/>
          </w:tcPr>
          <w:p>
            <w:pPr>
              <w:spacing w:after="0"/>
              <w:rPr>
                <w:sz w:val="15"/>
                <w:szCs w:val="15"/>
                <w:color w:val="auto"/>
              </w:rPr>
            </w:pPr>
          </w:p>
        </w:tc>
      </w:tr>
      <w:tr>
        <w:trPr>
          <w:trHeight w:val="196"/>
        </w:trPr>
        <w:tc>
          <w:tcPr>
            <w:tcW w:w="96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5395)</w:t>
            </w:r>
          </w:p>
        </w:tc>
        <w:tc>
          <w:tcPr>
            <w:tcW w:w="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F-2</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596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OPERATIONS AND COMPREHENSIVE</w:t>
            </w:r>
          </w:p>
        </w:tc>
        <w:tc>
          <w:tcPr>
            <w:tcW w:w="132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(LOSS)/INCOME FOR THE YEARS ENDED DECEMBER 31, 2022 AND 2021</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EQUITY/(DEFICIT) FOR THE YEARS</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6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2022 AND 2021</w:t>
            </w:r>
          </w:p>
        </w:tc>
        <w:tc>
          <w:tcPr>
            <w:tcW w:w="34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7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31, 2022 AND 2021</w:t>
            </w: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521"/>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6"/>
        </w:trPr>
        <w:tc>
          <w:tcPr>
            <w:tcW w:w="6920" w:type="dxa"/>
            <w:vAlign w:val="bottom"/>
            <w:tcBorders>
              <w:bottom w:val="single" w:sz="8" w:color="0000EE"/>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UNAUDITED CONDENSED CONSOLIDATED BALANCE SHEETS AS OF JUNE 30, 2023</w:t>
            </w:r>
          </w:p>
        </w:tc>
        <w:tc>
          <w:tcPr>
            <w:tcW w:w="36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DECEMBER 31, 2022</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64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8"/>
              </w:rPr>
              <w:t>UNAUDITED CONDENSED CONSOLIDATED STATEMENTS OF OPERATIONS AND</w:t>
            </w:r>
          </w:p>
        </w:tc>
        <w:tc>
          <w:tcPr>
            <w:tcW w:w="6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6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COMPREHENSIVE (LOSS)/INCOME FOR THE SIX MONTHS ENDED JUNE 30, 2023</w:t>
            </w:r>
          </w:p>
        </w:tc>
        <w:tc>
          <w:tcPr>
            <w:tcW w:w="48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2022</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w:t>
            </w:r>
          </w:p>
        </w:tc>
        <w:tc>
          <w:tcPr>
            <w:tcW w:w="820" w:type="dxa"/>
            <w:vAlign w:val="bottom"/>
            <w:shd w:val="clear" w:color="auto" w:fill="CCEEFF"/>
          </w:tcPr>
          <w:p>
            <w:pPr>
              <w:spacing w:after="0"/>
              <w:rPr>
                <w:sz w:val="15"/>
                <w:szCs w:val="15"/>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20" w:type="dxa"/>
            <w:vAlign w:val="bottom"/>
            <w:gridSpan w:val="5"/>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EQUITY/(DEFICIT) FOR THE SIX MONTHS ENDED JUNE 30, 2023 AND 2022</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JUNE 30, 2023 AND 2022</w:t>
            </w:r>
          </w:p>
        </w:tc>
        <w:tc>
          <w:tcPr>
            <w:tcW w:w="26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tcPr>
          <w:p>
            <w:pPr>
              <w:jc w:val="center"/>
              <w:ind w:right="2520"/>
              <w:spacing w:after="0"/>
              <w:rPr>
                <w:sz w:val="20"/>
                <w:szCs w:val="20"/>
                <w:color w:val="auto"/>
              </w:rPr>
            </w:pPr>
            <w:r>
              <w:rPr>
                <w:rFonts w:ascii="Times New Roman" w:cs="Times New Roman" w:eastAsia="Times New Roman" w:hAnsi="Times New Roman"/>
                <w:sz w:val="18"/>
                <w:szCs w:val="18"/>
                <w:color w:val="auto"/>
                <w:w w:val="95"/>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Trident Digital Tech Holdings Ltd</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July 7,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BALANCE SHEETS (In U.S. dollars, except for share and per share data, or otherwise noted)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141,851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422,242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1,494,082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1,600,800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506,451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135,360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218,225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654,063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526,263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a shareholder</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524,560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277,699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498,572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1,190,287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1,688,859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46,676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471,332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issued and outstanding as of December 31, 2022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respectively; 4,000,000,000 Class B ordinary shares authorized,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360,205,000 and 360,205,000 Class B ordinary shares issued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2022 and 2021,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(deficit)/earnings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(1,323,341)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(37,788)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506,451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26"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69"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657,092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(456,645)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(123,533)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(174,377)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136,576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156,220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155,475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(Loss)/Income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(1,124,696)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58,012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29,967</w:t>
            </w:r>
          </w:p>
        </w:tc>
        <w:tc>
          <w:tcPr>
            <w:tcW w:w="0" w:type="dxa"/>
            <w:vAlign w:val="bottom"/>
          </w:tcPr>
          <w:p>
            <w:pPr>
              <w:spacing w:after="0"/>
              <w:rPr>
                <w:sz w:val="1"/>
                <w:szCs w:val="1"/>
                <w:color w:val="auto"/>
              </w:rPr>
            </w:pPr>
          </w:p>
        </w:tc>
      </w:tr>
      <w:tr>
        <w:trPr>
          <w:trHeight w:val="270"/>
        </w:trPr>
        <w:tc>
          <w:tcPr>
            <w:tcW w:w="55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29,661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ordinary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6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0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680" w:type="dxa"/>
            <w:vAlign w:val="bottom"/>
            <w:gridSpan w:val="6"/>
            <w:vMerge w:val="continue"/>
          </w:tcPr>
          <w:p>
            <w:pPr>
              <w:spacing w:after="0"/>
              <w:rPr>
                <w:sz w:val="10"/>
                <w:szCs w:val="10"/>
                <w:color w:val="auto"/>
              </w:rPr>
            </w:pPr>
          </w:p>
        </w:tc>
        <w:tc>
          <w:tcPr>
            <w:tcW w:w="920" w:type="dxa"/>
            <w:vAlign w:val="bottom"/>
            <w:gridSpan w:val="3"/>
            <w:vMerge w:val="restart"/>
          </w:tcPr>
          <w:p>
            <w:pPr>
              <w:jc w:val="center"/>
              <w:ind w:right="40"/>
              <w:spacing w:after="0" w:line="145" w:lineRule="exact"/>
              <w:rPr>
                <w:sz w:val="20"/>
                <w:szCs w:val="20"/>
                <w:color w:val="auto"/>
              </w:rPr>
            </w:pPr>
            <w:r>
              <w:rPr>
                <w:rFonts w:ascii="Times New Roman" w:cs="Times New Roman" w:eastAsia="Times New Roman" w:hAnsi="Times New Roman"/>
                <w:sz w:val="16"/>
                <w:szCs w:val="16"/>
                <w:b w:val="1"/>
                <w:bCs w:val="1"/>
                <w:color w:val="auto"/>
              </w:rPr>
              <w:t>Subscription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vMerge w:val="restart"/>
          </w:tcPr>
          <w:p>
            <w:pPr>
              <w:jc w:val="right"/>
              <w:ind w:right="180"/>
              <w:spacing w:after="0" w:line="145"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center"/>
              <w:ind w:right="200"/>
              <w:spacing w:after="0" w:line="145"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960" w:type="dxa"/>
            <w:vAlign w:val="bottom"/>
            <w:gridSpan w:val="4"/>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Company’s</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receivable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capita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other loss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equity/(deficit)</w:t>
            </w:r>
          </w:p>
        </w:tc>
        <w:tc>
          <w:tcPr>
            <w:tcW w:w="0" w:type="dxa"/>
            <w:vAlign w:val="bottom"/>
          </w:tcPr>
          <w:p>
            <w:pPr>
              <w:spacing w:after="0"/>
              <w:rPr>
                <w:sz w:val="1"/>
                <w:szCs w:val="1"/>
                <w:color w:val="auto"/>
              </w:rPr>
            </w:pPr>
          </w:p>
        </w:tc>
      </w:tr>
      <w:tr>
        <w:trPr>
          <w:trHeight w:val="46"/>
        </w:trPr>
        <w:tc>
          <w:tcPr>
            <w:tcW w:w="15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410,205,000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(4,102)</w:t>
            </w:r>
          </w:p>
        </w:tc>
        <w:tc>
          <w:tcPr>
            <w:tcW w:w="40" w:type="dxa"/>
            <w:vAlign w:val="bottom"/>
            <w:shd w:val="clear" w:color="auto" w:fill="CCEEFF"/>
          </w:tcPr>
          <w:p>
            <w:pPr>
              <w:spacing w:after="0"/>
              <w:rPr>
                <w:sz w:val="23"/>
                <w:szCs w:val="23"/>
                <w:color w:val="auto"/>
              </w:rPr>
            </w:pPr>
          </w:p>
        </w:tc>
        <w:tc>
          <w:tcPr>
            <w:tcW w:w="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5,382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5,458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58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29,967</w:t>
            </w:r>
          </w:p>
        </w:tc>
        <w:tc>
          <w:tcPr>
            <w:tcW w:w="1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174"/>
        </w:trPr>
        <w:tc>
          <w:tcPr>
            <w:tcW w:w="15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410,205,000</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(4,102)</w:t>
            </w:r>
          </w:p>
        </w:tc>
        <w:tc>
          <w:tcPr>
            <w:tcW w:w="40" w:type="dxa"/>
            <w:vAlign w:val="bottom"/>
          </w:tcPr>
          <w:p>
            <w:pPr>
              <w:spacing w:after="0"/>
              <w:rPr>
                <w:sz w:val="24"/>
                <w:szCs w:val="24"/>
                <w:color w:val="auto"/>
              </w:rPr>
            </w:pP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35,349</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35,119</w:t>
            </w: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(1,129,489)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(1,129,489)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32,164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(229,201)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(229,201)</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410,205,000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4,102</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32,240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(1,323,341)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(37,788)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STATEMENTS OF CASH FLOWS (In U.S. dollars, except for share and per share data, or otherwise noted)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6"/>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(1,129,489)</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29,967</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in)/provided by</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Amortisation of right-of-use asset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benefit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(118,779)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cost assets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(29,870)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166,358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51,491</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461,128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192,935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(28,108)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27,869</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30,445</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(5,995)</w:t>
            </w:r>
          </w:p>
        </w:tc>
        <w:tc>
          <w:tcPr>
            <w:tcW w:w="0" w:type="dxa"/>
            <w:vAlign w:val="bottom"/>
          </w:tcPr>
          <w:p>
            <w:pPr>
              <w:spacing w:after="0"/>
              <w:rPr>
                <w:sz w:val="1"/>
                <w:szCs w:val="1"/>
                <w:color w:val="auto"/>
              </w:rPr>
            </w:pPr>
          </w:p>
        </w:tc>
      </w:tr>
      <w:tr>
        <w:trPr>
          <w:trHeight w:val="257"/>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249,052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54,678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(609,946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244,100</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(73,885)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(53,313)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(53,313</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fees advance from a shareholder</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524,560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distribution</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(229,201)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bank loans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652,789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48,370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(79,067)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748,533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44,650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(239,357)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(22,325)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1,378,257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66,030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671,672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255,956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17,637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273,593</w:t>
            </w:r>
          </w:p>
        </w:tc>
        <w:tc>
          <w:tcPr>
            <w:tcW w:w="0" w:type="dxa"/>
            <w:vAlign w:val="bottom"/>
          </w:tcPr>
          <w:p>
            <w:pPr>
              <w:spacing w:after="0"/>
              <w:rPr>
                <w:sz w:val="1"/>
                <w:szCs w:val="1"/>
                <w:color w:val="auto"/>
              </w:rPr>
            </w:pPr>
          </w:p>
        </w:tc>
      </w:tr>
      <w:tr>
        <w:trPr>
          <w:trHeight w:val="270"/>
        </w:trPr>
        <w:tc>
          <w:tcPr>
            <w:tcW w:w="55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SUPPLEMENTAL DISCLOSURE OF CASH FLOW INFORMATION:</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48,978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17,813</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1,561,203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42,510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shareholder (Note 11)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74"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0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Company was incorporated under the law of Cayman Islands as an exempted company with limited liability on June 12, 2023.</w:t>
      </w:r>
    </w:p>
    <w:p>
      <w:pPr>
        <w:spacing w:after="0" w:line="9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95"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(“Trident”) was incorporated on May 10, 2022 in Singapore. It has not started business as of December 31, 2022.</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Reorganization</w:t>
      </w:r>
    </w:p>
    <w:p>
      <w:pPr>
        <w:spacing w:after="0" w:line="158"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In anticipation of an initial public offering (“IPO”) of its equity securities, the Company undertook a reorganization (the “Reorganization”), which involved in following steps:</w:t>
      </w:r>
    </w:p>
    <w:p>
      <w:pPr>
        <w:spacing w:after="0" w:line="94" w:lineRule="exact"/>
        <w:rPr>
          <w:sz w:val="20"/>
          <w:szCs w:val="20"/>
          <w:color w:val="auto"/>
        </w:rPr>
      </w:pPr>
    </w:p>
    <w:p>
      <w:pPr>
        <w:ind w:left="880" w:right="479"/>
        <w:spacing w:after="0" w:line="439" w:lineRule="auto"/>
        <w:rPr>
          <w:sz w:val="20"/>
          <w:szCs w:val="20"/>
          <w:color w:val="auto"/>
        </w:rPr>
      </w:pPr>
      <w:r>
        <w:rPr>
          <w:rFonts w:ascii="Times New Roman" w:cs="Times New Roman" w:eastAsia="Times New Roman" w:hAnsi="Times New Roman"/>
          <w:sz w:val="17"/>
          <w:szCs w:val="17"/>
          <w:color w:val="auto"/>
        </w:rPr>
        <w:t>On July 3, 2023, the Company acquired 100% of the equity interests in QZT from its original shareholder; On July 4, 2023, QZT acquired 100% of the equity interests in Trident from its original shareholder;</w:t>
      </w: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Effective on July 4, 2023, the Company became the ultimate holding company of QZT and Trident, which were all controlled by the same shareholder before and after the Reorganization.</w:t>
      </w:r>
    </w:p>
    <w:p>
      <w:pPr>
        <w:spacing w:after="0" w:line="94"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9" w:lineRule="exact"/>
        <w:rPr>
          <w:sz w:val="20"/>
          <w:szCs w:val="20"/>
          <w:color w:val="auto"/>
        </w:rPr>
      </w:pPr>
    </w:p>
    <w:p>
      <w:pPr>
        <w:ind w:left="860" w:hanging="406"/>
        <w:spacing w:after="0"/>
        <w:tabs>
          <w:tab w:leader="none" w:pos="8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44" w:lineRule="exact"/>
        <w:rPr>
          <w:rFonts w:ascii="Times New Roman" w:cs="Times New Roman" w:eastAsia="Times New Roman" w:hAnsi="Times New Roman"/>
          <w:sz w:val="18"/>
          <w:szCs w:val="18"/>
          <w:b w:val="1"/>
          <w:bCs w:val="1"/>
          <w:color w:val="auto"/>
        </w:rPr>
      </w:pPr>
    </w:p>
    <w:p>
      <w:pPr>
        <w:ind w:left="1280" w:hanging="394"/>
        <w:spacing w:after="0"/>
        <w:tabs>
          <w:tab w:leader="none" w:pos="1280" w:val="left"/>
        </w:tabs>
        <w:numPr>
          <w:ilvl w:val="1"/>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spacing w:after="0" w:line="112"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320" w:hanging="434"/>
        <w:spacing w:after="0"/>
        <w:tabs>
          <w:tab w:leader="none" w:pos="132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Cash consist of cash in bank and cash on hand. The Group’s demand deposits are held at financial institutions, which have original maturities of less than three months and are unrestricted as to withdrawal and use.</w:t>
      </w:r>
    </w:p>
    <w:p>
      <w:pPr>
        <w:spacing w:after="0" w:line="91"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Accounts receivable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is stated at the original amount less an allowance for doubtful receivable.</w:t>
      </w:r>
    </w:p>
    <w:p>
      <w:pPr>
        <w:spacing w:after="0" w:line="15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provision of allowance for doubtful accounts as of December 31,2022 and 2021.</w:t>
      </w:r>
    </w:p>
    <w:p>
      <w:pPr>
        <w:spacing w:after="0" w:line="154" w:lineRule="exact"/>
        <w:rPr>
          <w:sz w:val="20"/>
          <w:szCs w:val="20"/>
          <w:color w:val="auto"/>
        </w:rPr>
      </w:pPr>
    </w:p>
    <w:p>
      <w:pPr>
        <w:ind w:left="1320" w:hanging="434"/>
        <w:spacing w:after="0"/>
        <w:tabs>
          <w:tab w:leader="none" w:pos="132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47"/>
        </w:trPr>
        <w:tc>
          <w:tcPr>
            <w:tcW w:w="4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4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1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49"/>
        </w:trPr>
        <w:tc>
          <w:tcPr>
            <w:tcW w:w="4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234"/>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49"/>
        </w:trPr>
        <w:tc>
          <w:tcPr>
            <w:tcW w:w="4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300" w:type="dxa"/>
            <w:vAlign w:val="bottom"/>
            <w:shd w:val="clear" w:color="auto" w:fill="CCEEFF"/>
          </w:tcPr>
          <w:p>
            <w:pPr>
              <w:spacing w:after="0"/>
              <w:rPr>
                <w:sz w:val="4"/>
                <w:szCs w:val="4"/>
                <w:color w:val="auto"/>
              </w:rPr>
            </w:pPr>
          </w:p>
        </w:tc>
      </w:tr>
    </w:tbl>
    <w:p>
      <w:pPr>
        <w:spacing w:after="0" w:line="157" w:lineRule="exact"/>
        <w:rPr>
          <w:sz w:val="20"/>
          <w:szCs w:val="20"/>
          <w:color w:val="auto"/>
        </w:rPr>
      </w:pPr>
    </w:p>
    <w:p>
      <w:pPr>
        <w:ind w:left="460" w:right="579" w:firstLine="432"/>
        <w:spacing w:after="0" w:line="281" w:lineRule="auto"/>
        <w:rPr>
          <w:sz w:val="20"/>
          <w:szCs w:val="20"/>
          <w:color w:val="auto"/>
        </w:rPr>
      </w:pPr>
      <w:r>
        <w:rPr>
          <w:rFonts w:ascii="Times New Roman" w:cs="Times New Roman" w:eastAsia="Times New Roman" w:hAnsi="Times New Roman"/>
          <w:sz w:val="17"/>
          <w:szCs w:val="17"/>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93" w:lineRule="exact"/>
        <w:rPr>
          <w:sz w:val="20"/>
          <w:szCs w:val="20"/>
          <w:color w:val="auto"/>
        </w:rPr>
      </w:pPr>
    </w:p>
    <w:p>
      <w:pPr>
        <w:ind w:left="1300" w:hanging="414"/>
        <w:spacing w:after="0"/>
        <w:tabs>
          <w:tab w:leader="none" w:pos="1300"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adopted ASC 842 on January 1, 2021.</w:t>
      </w:r>
    </w:p>
    <w:p>
      <w:pPr>
        <w:spacing w:after="0" w:line="14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121"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99"/>
        <w:spacing w:after="0" w:line="258" w:lineRule="auto"/>
        <w:rPr>
          <w:sz w:val="20"/>
          <w:szCs w:val="20"/>
          <w:color w:val="auto"/>
        </w:rPr>
      </w:pPr>
      <w:r>
        <w:rPr>
          <w:rFonts w:ascii="Times New Roman" w:cs="Times New Roman" w:eastAsia="Times New Roman" w:hAnsi="Times New Roman"/>
          <w:sz w:val="18"/>
          <w:szCs w:val="18"/>
          <w:color w:val="auto"/>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16"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spacing w:after="0" w:line="95"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 Group determines whether a contract is or contains a lease at inception of the contract and whether that lease meets the classification criteria of a finance or operating lease.</w:t>
      </w:r>
    </w:p>
    <w:p>
      <w:pPr>
        <w:spacing w:after="0" w:line="9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Group had no long-term leases that were classified as a financing lease, and the Group’s lease contracts only contain fixed lease payments and do not contain any residual value guarantee.</w:t>
      </w:r>
    </w:p>
    <w:p>
      <w:pPr>
        <w:spacing w:after="0" w:line="10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Group’s lease agreements do not contain any material residual value guarantees or material restrictive covenants.</w:t>
      </w:r>
    </w:p>
    <w:p>
      <w:pPr>
        <w:spacing w:after="0" w:line="77"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Impairment of long-lived assets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121" w:lineRule="exact"/>
        <w:rPr>
          <w:sz w:val="20"/>
          <w:szCs w:val="20"/>
          <w:color w:val="auto"/>
        </w:rPr>
      </w:pPr>
    </w:p>
    <w:p>
      <w:pPr>
        <w:ind w:left="880" w:right="799"/>
        <w:spacing w:after="0" w:line="414" w:lineRule="auto"/>
        <w:rPr>
          <w:sz w:val="20"/>
          <w:szCs w:val="20"/>
          <w:color w:val="auto"/>
        </w:rPr>
      </w:pPr>
      <w:r>
        <w:rPr>
          <w:rFonts w:ascii="Times New Roman" w:cs="Times New Roman" w:eastAsia="Times New Roman" w:hAnsi="Times New Roman"/>
          <w:sz w:val="18"/>
          <w:szCs w:val="18"/>
          <w:color w:val="auto"/>
        </w:rPr>
        <w:t xml:space="preserve">No impairment of long-lived assets was recognized for the years ended December 31, 2022 and 2021. </w:t>
      </w:r>
      <w:r>
        <w:rPr>
          <w:rFonts w:ascii="Times New Roman" w:cs="Times New Roman" w:eastAsia="Times New Roman" w:hAnsi="Times New Roman"/>
          <w:sz w:val="18"/>
          <w:szCs w:val="18"/>
          <w:b w:val="1"/>
          <w:bCs w:val="1"/>
          <w:i w:val="1"/>
          <w:iCs w:val="1"/>
          <w:color w:val="auto"/>
        </w:rPr>
        <w:t>(h) Fair value measurement</w:t>
      </w:r>
    </w:p>
    <w:p>
      <w:pPr>
        <w:spacing w:after="0" w:line="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6" w:lineRule="exact"/>
        <w:rPr>
          <w:sz w:val="20"/>
          <w:szCs w:val="20"/>
          <w:color w:val="auto"/>
        </w:rPr>
      </w:pPr>
    </w:p>
    <w:p>
      <w:pPr>
        <w:ind w:left="1320" w:right="499" w:hanging="434"/>
        <w:spacing w:after="0" w:line="282"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80" w:lineRule="exact"/>
        <w:rPr>
          <w:rFonts w:ascii="Times New Roman" w:cs="Times New Roman" w:eastAsia="Times New Roman" w:hAnsi="Times New Roman"/>
          <w:sz w:val="18"/>
          <w:szCs w:val="18"/>
          <w:color w:val="auto"/>
        </w:rPr>
      </w:pPr>
    </w:p>
    <w:p>
      <w:pPr>
        <w:ind w:left="1320" w:right="659" w:hanging="434"/>
        <w:spacing w:after="0" w:line="261"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5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firstLine="432"/>
        <w:spacing w:after="0" w:line="277" w:lineRule="auto"/>
        <w:rPr>
          <w:sz w:val="20"/>
          <w:szCs w:val="20"/>
          <w:color w:val="auto"/>
        </w:rPr>
      </w:pPr>
      <w:r>
        <w:rPr>
          <w:rFonts w:ascii="Times New Roman" w:cs="Times New Roman" w:eastAsia="Times New Roman" w:hAnsi="Times New Roman"/>
          <w:sz w:val="17"/>
          <w:szCs w:val="17"/>
          <w:color w:val="auto"/>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spacing w:after="0" w:line="96" w:lineRule="exact"/>
        <w:rPr>
          <w:sz w:val="20"/>
          <w:szCs w:val="20"/>
          <w:color w:val="auto"/>
        </w:rPr>
      </w:pPr>
    </w:p>
    <w:p>
      <w:pPr>
        <w:ind w:left="1280" w:hanging="394"/>
        <w:spacing w:after="0"/>
        <w:tabs>
          <w:tab w:leader="none" w:pos="1280"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2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0"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consulting</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 customization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16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revenue is recognized at a point in time when the customized software solution is successfully completed, delivered and accepted by customers.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16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08"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108"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Revenue by categories</w:t>
      </w:r>
    </w:p>
    <w:p>
      <w:pPr>
        <w:spacing w:after="0" w:line="158" w:lineRule="exact"/>
        <w:rPr>
          <w:sz w:val="20"/>
          <w:szCs w:val="20"/>
          <w:color w:val="auto"/>
        </w:rPr>
      </w:pPr>
    </w:p>
    <w:p>
      <w:pPr>
        <w:jc w:val="both"/>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Group’s revenue categories for the years ended December 31, 2022 and 2021:</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260,455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396,637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522,013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396,637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111,452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657,092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 balances</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9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 The Group’s contract assets were $268,509, nil and nil as of December 31, 2022, 2021 and January 1, 2021, respectively.</w:t>
      </w:r>
    </w:p>
    <w:p>
      <w:pPr>
        <w:spacing w:after="0" w:line="12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22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99"/>
        <w:spacing w:after="0" w:line="258" w:lineRule="auto"/>
        <w:rPr>
          <w:sz w:val="20"/>
          <w:szCs w:val="20"/>
          <w:color w:val="auto"/>
        </w:rPr>
      </w:pPr>
      <w:r>
        <w:rPr>
          <w:rFonts w:ascii="Times New Roman" w:cs="Times New Roman" w:eastAsia="Times New Roman" w:hAnsi="Times New Roman"/>
          <w:sz w:val="18"/>
          <w:szCs w:val="18"/>
          <w:color w:val="auto"/>
        </w:rPr>
        <w:t>end of each reporting period. The Group’s deferred revenue was $192,935 and nil as of January 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spacing w:after="0" w:line="116"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Other than accounts receivable and deferred revenue, the Group had no other material contract assets or contract liabilities recorded on its consolidated balance sheets as of December 31, 2022 and 2021.</w:t>
      </w:r>
    </w:p>
    <w:p>
      <w:pPr>
        <w:spacing w:after="0" w:line="77" w:lineRule="exact"/>
        <w:rPr>
          <w:sz w:val="20"/>
          <w:szCs w:val="20"/>
          <w:color w:val="auto"/>
        </w:rPr>
      </w:pPr>
    </w:p>
    <w:p>
      <w:pPr>
        <w:ind w:left="1280" w:hanging="394"/>
        <w:spacing w:after="0"/>
        <w:tabs>
          <w:tab w:leader="none" w:pos="1280"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Costs of revenue</w:t>
      </w:r>
    </w:p>
    <w:p>
      <w:pPr>
        <w:spacing w:after="0" w:line="162"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Cost of revenue mainly comprised of direct labor costs, service fee paid to service suppliers, commission cost and generic cost.</w:t>
      </w:r>
    </w:p>
    <w:p>
      <w:pPr>
        <w:spacing w:after="0" w:line="90"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(k)</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11"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16" w:lineRule="exact"/>
        <w:rPr>
          <w:sz w:val="20"/>
          <w:szCs w:val="20"/>
          <w:color w:val="auto"/>
        </w:rPr>
      </w:pPr>
    </w:p>
    <w:p>
      <w:pPr>
        <w:ind w:left="460" w:right="519" w:firstLine="432"/>
        <w:spacing w:after="0" w:line="277" w:lineRule="auto"/>
        <w:rPr>
          <w:sz w:val="20"/>
          <w:szCs w:val="20"/>
          <w:color w:val="auto"/>
        </w:rPr>
      </w:pPr>
      <w:r>
        <w:rPr>
          <w:rFonts w:ascii="Times New Roman" w:cs="Times New Roman" w:eastAsia="Times New Roman" w:hAnsi="Times New Roman"/>
          <w:sz w:val="17"/>
          <w:szCs w:val="17"/>
          <w:color w:val="auto"/>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100"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280" w:hanging="394"/>
        <w:spacing w:after="0"/>
        <w:tabs>
          <w:tab w:leader="none" w:pos="128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Goods and services taxes</w:t>
      </w:r>
    </w:p>
    <w:p>
      <w:pPr>
        <w:spacing w:after="0" w:line="162"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(m)  Employee benefits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spacing w:after="0" w:line="96"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(n)</w:t>
        <w:tab/>
        <w:t>Foreign currency transactions and translations</w:t>
      </w:r>
    </w:p>
    <w:p>
      <w:pPr>
        <w:spacing w:after="0" w:line="14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16" w:lineRule="exact"/>
        <w:rPr>
          <w:sz w:val="20"/>
          <w:szCs w:val="20"/>
          <w:color w:val="auto"/>
        </w:rPr>
      </w:pPr>
    </w:p>
    <w:p>
      <w:pPr>
        <w:jc w:val="both"/>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9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111"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Translation of foreign currencies into US$1 have been made at the following exchange rates for the respective periods: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r>
      <w:tr>
        <w:trPr>
          <w:trHeight w:val="362"/>
        </w:trPr>
        <w:tc>
          <w:tcPr>
            <w:tcW w:w="56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r>
      <w:tr>
        <w:trPr>
          <w:trHeight w:val="391"/>
        </w:trPr>
        <w:tc>
          <w:tcPr>
            <w:tcW w:w="560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(o)</w:t>
      </w:r>
      <w:r>
        <w:rPr>
          <w:sz w:val="20"/>
          <w:szCs w:val="20"/>
          <w:color w:val="auto"/>
        </w:rPr>
        <w:tab/>
      </w:r>
      <w:r>
        <w:rPr>
          <w:rFonts w:ascii="Times New Roman" w:cs="Times New Roman" w:eastAsia="Times New Roman" w:hAnsi="Times New Roman"/>
          <w:sz w:val="17"/>
          <w:szCs w:val="17"/>
          <w:b w:val="1"/>
          <w:bCs w:val="1"/>
          <w:i w:val="1"/>
          <w:iCs w:val="1"/>
          <w:color w:val="auto"/>
        </w:rPr>
        <w:t>Comprehensive income</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spacing w:after="0" w:line="9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Loss/income per share</w:t>
      </w:r>
    </w:p>
    <w:p>
      <w:pPr>
        <w:spacing w:after="0" w:line="162"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2022 and 2021.</w:t>
      </w:r>
    </w:p>
    <w:p>
      <w:pPr>
        <w:spacing w:after="0" w:line="102"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Segment reporting</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spacing w:after="0" w:line="117" w:lineRule="exact"/>
        <w:rPr>
          <w:sz w:val="20"/>
          <w:szCs w:val="20"/>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48"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16" w:lineRule="exact"/>
        <w:rPr>
          <w:sz w:val="20"/>
          <w:szCs w:val="20"/>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06"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799"/>
        <w:spacing w:after="0" w:line="276" w:lineRule="auto"/>
        <w:rPr>
          <w:sz w:val="20"/>
          <w:szCs w:val="20"/>
          <w:color w:val="auto"/>
        </w:rPr>
      </w:pPr>
      <w:r>
        <w:rPr>
          <w:rFonts w:ascii="Times New Roman" w:cs="Times New Roman" w:eastAsia="Times New Roman" w:hAnsi="Times New Roman"/>
          <w:sz w:val="17"/>
          <w:szCs w:val="17"/>
          <w:color w:val="auto"/>
        </w:rPr>
        <w:t>FASB issued ASU No. 2018-19, Codification Improvements to Topic 326, to clarify that receivables arising from operating leases are within the scope of lease accounting standards. Further, the FASB issued ASU</w:t>
      </w:r>
    </w:p>
    <w:p>
      <w:pPr>
        <w:spacing w:after="0" w:line="1" w:lineRule="exact"/>
        <w:rPr>
          <w:sz w:val="20"/>
          <w:szCs w:val="20"/>
          <w:color w:val="auto"/>
        </w:rPr>
      </w:pPr>
    </w:p>
    <w:p>
      <w:pPr>
        <w:ind w:left="460" w:right="499"/>
        <w:spacing w:after="0" w:line="253" w:lineRule="auto"/>
        <w:rPr>
          <w:sz w:val="20"/>
          <w:szCs w:val="20"/>
          <w:color w:val="auto"/>
        </w:rPr>
      </w:pPr>
      <w:r>
        <w:rPr>
          <w:rFonts w:ascii="Times New Roman" w:cs="Times New Roman" w:eastAsia="Times New Roman" w:hAnsi="Times New Roman"/>
          <w:sz w:val="18"/>
          <w:szCs w:val="18"/>
          <w:color w:val="auto"/>
        </w:rPr>
        <w:t>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spacing w:after="0" w:line="119"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spacing w:after="0" w:line="176" w:lineRule="exact"/>
        <w:rPr>
          <w:sz w:val="20"/>
          <w:szCs w:val="20"/>
          <w:color w:val="auto"/>
        </w:rPr>
      </w:pPr>
    </w:p>
    <w:p>
      <w:pPr>
        <w:ind w:left="860" w:hanging="406"/>
        <w:spacing w:after="0"/>
        <w:tabs>
          <w:tab w:leader="none" w:pos="8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118,779</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47,547</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recorded nil bad debt expense for the years ended December 31, 2022 and 2021.</w:t>
      </w:r>
    </w:p>
    <w:p>
      <w:pPr>
        <w:spacing w:after="0" w:line="221" w:lineRule="exact"/>
        <w:rPr>
          <w:sz w:val="20"/>
          <w:szCs w:val="20"/>
          <w:color w:val="auto"/>
        </w:rPr>
      </w:pPr>
    </w:p>
    <w:p>
      <w:pPr>
        <w:ind w:left="880" w:right="3499" w:hanging="426"/>
        <w:spacing w:after="0" w:line="458" w:lineRule="auto"/>
        <w:tabs>
          <w:tab w:leader="none" w:pos="85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160" w:type="dxa"/>
            <w:vAlign w:val="bottom"/>
            <w:tcBorders>
              <w:bottom w:val="single" w:sz="8" w:color="CCEEFF"/>
            </w:tcBorders>
          </w:tcPr>
          <w:p>
            <w:pPr>
              <w:spacing w:after="0"/>
              <w:rPr>
                <w:sz w:val="4"/>
                <w:szCs w:val="4"/>
                <w:color w:val="auto"/>
              </w:rPr>
            </w:pPr>
          </w:p>
        </w:tc>
        <w:tc>
          <w:tcPr>
            <w:tcW w:w="54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prepayment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32,538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6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42,594</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141,851</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0" w:type="dxa"/>
            <w:vAlign w:val="bottom"/>
            <w:vMerge w:val="continue"/>
          </w:tcPr>
          <w:p>
            <w:pPr>
              <w:spacing w:after="0"/>
              <w:rPr>
                <w:sz w:val="24"/>
                <w:szCs w:val="24"/>
                <w:color w:val="auto"/>
              </w:rPr>
            </w:pPr>
          </w:p>
        </w:tc>
        <w:tc>
          <w:tcPr>
            <w:tcW w:w="5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47,531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59,822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129,444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22,726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106,718</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107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were $16,867 and $5,363 for the years ended December 31, 2022 and 2021, respectively.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Group did not record any impairment charge for the years ended December 31, 2022 and 2021.</w:t>
      </w:r>
    </w:p>
    <w:p>
      <w:pPr>
        <w:spacing w:after="0" w:line="221" w:lineRule="exact"/>
        <w:rPr>
          <w:sz w:val="20"/>
          <w:szCs w:val="20"/>
          <w:color w:val="auto"/>
        </w:rPr>
      </w:pPr>
    </w:p>
    <w:p>
      <w:pPr>
        <w:ind w:left="880" w:right="2879" w:hanging="426"/>
        <w:spacing w:after="0" w:line="483" w:lineRule="auto"/>
        <w:tabs>
          <w:tab w:leader="none" w:pos="853"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120,185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160,159</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303,730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consisted of reimbursement payable to employees and miscellaneous fees payable to third parties.</w:t>
      </w:r>
    </w:p>
    <w:p>
      <w:pPr>
        <w:spacing w:after="0" w:line="226" w:lineRule="exact"/>
        <w:rPr>
          <w:sz w:val="20"/>
          <w:szCs w:val="20"/>
          <w:color w:val="auto"/>
        </w:rPr>
      </w:pPr>
    </w:p>
    <w:p>
      <w:pPr>
        <w:ind w:left="860" w:hanging="406"/>
        <w:spacing w:after="0"/>
        <w:tabs>
          <w:tab w:leader="none" w:pos="8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FEES ADVANCE FROM A SHAREHOLDER</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spacing w:after="0" w:line="183" w:lineRule="exact"/>
        <w:rPr>
          <w:sz w:val="20"/>
          <w:szCs w:val="20"/>
          <w:color w:val="auto"/>
        </w:rPr>
      </w:pPr>
    </w:p>
    <w:p>
      <w:pPr>
        <w:ind w:left="860" w:hanging="406"/>
        <w:spacing w:after="0"/>
        <w:tabs>
          <w:tab w:leader="none" w:pos="8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and combined statements of operations and comprehensive loss is as follows:</w:t>
      </w:r>
    </w:p>
    <w:p>
      <w:pPr>
        <w:spacing w:after="0" w:line="1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153,565</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weighted average remaining lease term was 4.53 years and 1.50 years, respectively, and the weighted average discount rate was 5.0% and 2.5% for the Group’s operating leases,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tc>
        <w:tc>
          <w:tcPr>
            <w:tcW w:w="16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345,255</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358,818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1,649,507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181,521</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1,467,986</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277,699</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1,190,287</w:t>
            </w:r>
          </w:p>
        </w:tc>
      </w:tr>
    </w:tbl>
    <w:p>
      <w:pPr>
        <w:spacing w:after="0" w:line="23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9.</w:t>
        <w:tab/>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p>
      <w:pPr>
        <w:spacing w:after="0" w:line="20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336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2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r>
      <w:tr>
        <w:trPr>
          <w:trHeight w:val="25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 expenses</w:t>
            </w:r>
          </w:p>
        </w:tc>
        <w:tc>
          <w:tcPr>
            <w:tcW w:w="2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29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4,793</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F-17</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58,012</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31,163</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Singapore tax rebate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
        </w:trPr>
        <w:tc>
          <w:tcPr>
            <w:tcW w:w="5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significant components of the deferred tax assets are summarized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164,313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249,558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6,214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32,798</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525,062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39,012</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(238,081)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(30,974)</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8,038</w:t>
            </w:r>
          </w:p>
        </w:tc>
      </w:tr>
      <w:tr>
        <w:trPr>
          <w:trHeight w:val="284"/>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(253,994)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(6,214)</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(1,824)</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(8,038</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(liability)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40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year</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201,092</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31,163</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vMerge w:val="continue"/>
          </w:tcPr>
          <w:p>
            <w:pPr>
              <w:spacing w:after="0"/>
              <w:rPr>
                <w:sz w:val="21"/>
                <w:szCs w:val="21"/>
                <w:color w:val="auto"/>
              </w:rPr>
            </w:pPr>
          </w:p>
        </w:tc>
        <w:tc>
          <w:tcPr>
            <w:tcW w:w="2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238,081</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30,974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44"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spacing w:after="0" w:line="15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2022 and 2021, summary of the borrowings is as following:</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1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w:t>
            </w:r>
          </w:p>
        </w:tc>
        <w:tc>
          <w:tcPr>
            <w:tcW w:w="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Bank and other financial institution</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78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Long-  (current  Long-</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90"/>
        </w:trPr>
        <w:tc>
          <w:tcPr>
            <w:tcW w:w="2300" w:type="dxa"/>
            <w:vAlign w:val="bottom"/>
            <w:gridSpan w:val="2"/>
            <w:vMerge w:val="continue"/>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USD</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USD</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OCBC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March 2021</w:t>
            </w:r>
          </w:p>
        </w:tc>
        <w:tc>
          <w:tcPr>
            <w:tcW w:w="11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March 2026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22,189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4,449 14,372</w:t>
            </w: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OCBC Bank</w:t>
            </w:r>
          </w:p>
        </w:tc>
        <w:tc>
          <w:tcPr>
            <w:tcW w:w="278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4.25% September 2021 September 2026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25,888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5,046 19,968</w:t>
            </w:r>
          </w:p>
        </w:tc>
        <w:tc>
          <w:tcPr>
            <w:tcW w:w="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4,796</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UOB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May 2022</w:t>
            </w: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May 2027</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373,023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70,622</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Maybank Singapore Limited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Pr>
          <w:p>
            <w:pPr>
              <w:spacing w:after="0"/>
              <w:rPr>
                <w:sz w:val="21"/>
                <w:szCs w:val="21"/>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July 2022</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July 2027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298,418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216,573</w:t>
            </w: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55,243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719,518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498,572</w:t>
            </w:r>
          </w:p>
        </w:tc>
        <w:tc>
          <w:tcPr>
            <w:tcW w:w="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135,360 34,340</w:t>
            </w: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Interest expenses were $17,813 and $745 for the years ended December 31, 2022 and 2021, respectively.</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borrowings above are guaranteed by the Group’s shareholder, Poh Kiong Tan.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December 31, 2022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7"/>
        </w:trPr>
        <w:tc>
          <w:tcPr>
            <w:tcW w:w="2420" w:type="dxa"/>
            <w:vAlign w:val="bottom"/>
            <w:tcBorders>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4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141,403</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147,713</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148,901</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 – 5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46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4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2756"/>
              <w:spacing w:after="0"/>
              <w:rPr>
                <w:sz w:val="20"/>
                <w:szCs w:val="20"/>
                <w:color w:val="auto"/>
              </w:rPr>
            </w:pPr>
            <w:r>
              <w:rPr>
                <w:rFonts w:ascii="Times New Roman" w:cs="Times New Roman" w:eastAsia="Times New Roman" w:hAnsi="Times New Roman"/>
                <w:sz w:val="18"/>
                <w:szCs w:val="18"/>
                <w:color w:val="auto"/>
              </w:rPr>
              <w:t>F-19</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w:t>
        <w:tab/>
        <w:t>OTHER INCOME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Other income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73,888</w:t>
            </w: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Non-refundable service fee from terminated consulting projects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50,047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Referral commission</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4,243</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6,915</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136,576</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619" w:hanging="426"/>
        <w:spacing w:after="0" w:line="267"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spacing w:after="0" w:line="1" w:lineRule="exact"/>
        <w:rPr>
          <w:rFonts w:ascii="Times New Roman" w:cs="Times New Roman" w:eastAsia="Times New Roman" w:hAnsi="Times New Roman"/>
          <w:sz w:val="16"/>
          <w:szCs w:val="16"/>
          <w:color w:val="auto"/>
        </w:rPr>
      </w:pPr>
    </w:p>
    <w:p>
      <w:pPr>
        <w:ind w:left="880" w:right="779" w:hanging="426"/>
        <w:spacing w:after="0" w:line="288"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record referral fees as other income when other consulting services providers successfully engaged by customer and paid the Group referral fee.</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0"/>
                <w:szCs w:val="20"/>
                <w:color w:val="auto"/>
              </w:rPr>
            </w:pPr>
          </w:p>
        </w:tc>
        <w:tc>
          <w:tcPr>
            <w:tcW w:w="3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330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4420" w:type="dxa"/>
            <w:vAlign w:val="bottom"/>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0" w:type="dxa"/>
            <w:vAlign w:val="bottom"/>
          </w:tcPr>
          <w:p>
            <w:pPr>
              <w:spacing w:after="0"/>
              <w:rPr>
                <w:sz w:val="1"/>
                <w:szCs w:val="1"/>
                <w:color w:val="auto"/>
              </w:rPr>
            </w:pPr>
          </w:p>
        </w:tc>
      </w:tr>
      <w:tr>
        <w:trPr>
          <w:trHeight w:val="47"/>
        </w:trPr>
        <w:tc>
          <w:tcPr>
            <w:tcW w:w="3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vMerge w:val="continue"/>
          </w:tcPr>
          <w:p>
            <w:pPr>
              <w:spacing w:after="0"/>
              <w:rPr>
                <w:sz w:val="19"/>
                <w:szCs w:val="19"/>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442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9"/>
              </w:rPr>
              <w:t>Founder, Chairman, Chief Executive Officer</w:t>
            </w:r>
          </w:p>
        </w:tc>
        <w:tc>
          <w:tcPr>
            <w:tcW w:w="0" w:type="dxa"/>
            <w:vAlign w:val="bottom"/>
          </w:tcPr>
          <w:p>
            <w:pPr>
              <w:spacing w:after="0"/>
              <w:rPr>
                <w:sz w:val="1"/>
                <w:szCs w:val="1"/>
                <w:color w:val="auto"/>
              </w:rPr>
            </w:pPr>
          </w:p>
        </w:tc>
      </w:tr>
      <w:tr>
        <w:trPr>
          <w:trHeight w:val="252"/>
        </w:trPr>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442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Chief Technology Officer</w:t>
            </w:r>
          </w:p>
        </w:tc>
        <w:tc>
          <w:tcPr>
            <w:tcW w:w="0" w:type="dxa"/>
            <w:vAlign w:val="bottom"/>
          </w:tcPr>
          <w:p>
            <w:pPr>
              <w:spacing w:after="0"/>
              <w:rPr>
                <w:sz w:val="1"/>
                <w:szCs w:val="1"/>
                <w:color w:val="auto"/>
              </w:rPr>
            </w:pPr>
          </w:p>
        </w:tc>
      </w:tr>
      <w:tr>
        <w:trPr>
          <w:trHeight w:val="283"/>
        </w:trPr>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442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100% equity interests owned by Soon Huat Lim</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63,753</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r>
              <w:rPr>
                <w:rFonts w:ascii="Times New Roman" w:cs="Times New Roman" w:eastAsia="Times New Roman" w:hAnsi="Times New Roman"/>
                <w:sz w:val="20"/>
                <w:szCs w:val="20"/>
                <w:color w:val="auto"/>
                <w:vertAlign w:val="superscript"/>
              </w:rPr>
              <w:t>(3)</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513,280</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526,263</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559" w:hanging="426"/>
        <w:spacing w:after="0" w:line="269" w:lineRule="auto"/>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 for the Group’s daily operation with no fixed term of repayment and interest, and expense paid on behalf of the Group.</w:t>
      </w:r>
    </w:p>
    <w:p>
      <w:pPr>
        <w:ind w:left="880" w:hanging="426"/>
        <w:spacing w:after="0"/>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w:t>
      </w:r>
    </w:p>
    <w:p>
      <w:pPr>
        <w:spacing w:after="0" w:line="18" w:lineRule="exact"/>
        <w:rPr>
          <w:rFonts w:ascii="Times New Roman" w:cs="Times New Roman" w:eastAsia="Times New Roman" w:hAnsi="Times New Roman"/>
          <w:sz w:val="16"/>
          <w:szCs w:val="16"/>
          <w:color w:val="auto"/>
        </w:rPr>
      </w:pPr>
    </w:p>
    <w:p>
      <w:pPr>
        <w:ind w:left="880" w:right="679" w:hanging="426"/>
        <w:spacing w:after="0" w:line="288" w:lineRule="auto"/>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interest-free loan from this related party for the Group’s daily operation at maturity within three months, offset by loan to this related party.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3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color w:val="auto"/>
        </w:rPr>
        <w:t>(cont.)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Related party transactions</w:t>
            </w:r>
          </w:p>
        </w:tc>
        <w:tc>
          <w:tcPr>
            <w:tcW w:w="260" w:type="dxa"/>
            <w:vAlign w:val="bottom"/>
          </w:tcPr>
          <w:p>
            <w:pPr>
              <w:spacing w:after="0"/>
              <w:rPr>
                <w:sz w:val="17"/>
                <w:szCs w:val="17"/>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Nature</w:t>
            </w: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87,039</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87,039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paid on behalf of the Group</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26,897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36,266</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229,201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Consultancy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152,318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660,043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from loan to a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21,760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959" w:hanging="426"/>
        <w:spacing w:after="0" w:line="269" w:lineRule="auto"/>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QZT received contribution from Poh Kiong Tan. The contribution was implemented to reduce the outstanding balance due to Poh Kiong Tan by $36,266.</w:t>
      </w:r>
    </w:p>
    <w:p>
      <w:pPr>
        <w:ind w:left="880" w:hanging="426"/>
        <w:spacing w:after="0"/>
        <w:tabs>
          <w:tab w:leader="none" w:pos="8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QZT declared dividend to Soon Huat Lim.</w:t>
      </w:r>
    </w:p>
    <w:p>
      <w:pPr>
        <w:spacing w:after="0" w:line="21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ORDINARY SHARES</w:t>
      </w:r>
    </w:p>
    <w:p>
      <w:pPr>
        <w:spacing w:after="0" w:line="162"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spacing w:after="0" w:line="10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121" w:lineRule="exact"/>
        <w:rPr>
          <w:sz w:val="20"/>
          <w:szCs w:val="20"/>
          <w:color w:val="auto"/>
        </w:rPr>
      </w:pPr>
    </w:p>
    <w:p>
      <w:pPr>
        <w:ind w:left="460" w:right="659" w:firstLine="432"/>
        <w:spacing w:after="0" w:line="312" w:lineRule="auto"/>
        <w:rPr>
          <w:sz w:val="20"/>
          <w:szCs w:val="20"/>
          <w:color w:val="auto"/>
        </w:rPr>
      </w:pPr>
      <w:r>
        <w:rPr>
          <w:rFonts w:ascii="Times New Roman" w:cs="Times New Roman" w:eastAsia="Times New Roman" w:hAnsi="Times New Roman"/>
          <w:sz w:val="17"/>
          <w:szCs w:val="17"/>
          <w:color w:val="auto"/>
        </w:rPr>
        <w:t>As of December 31, 2022 and 2021, subscription receivable on the consolidated balance sheets represented the unrecovered consideration of the nil and 410,205,000 ordinary shares issued by the Company.</w:t>
      </w:r>
    </w:p>
    <w:p>
      <w:pPr>
        <w:spacing w:after="0" w:line="95"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CONCENTRATION OF CREDIT RISK</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3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 xml:space="preserve">CONCENTRATION OF CREDIT RISK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17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47625</wp:posOffset>
            </wp:positionV>
            <wp:extent cx="15944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460" w:type="dxa"/>
            <w:vAlign w:val="bottom"/>
            <w:gridSpan w:val="2"/>
          </w:tcPr>
          <w:p>
            <w:pPr>
              <w:ind w:left="59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41"/>
        </w:trPr>
        <w:tc>
          <w:tcPr>
            <w:tcW w:w="5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20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47625</wp:posOffset>
            </wp:positionV>
            <wp:extent cx="16033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60" w:type="dxa"/>
            <w:vAlign w:val="bottom"/>
            <w:gridSpan w:val="2"/>
          </w:tcPr>
          <w:p>
            <w:pPr>
              <w:ind w:left="59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35"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spacing w:after="0" w:line="94" w:lineRule="exact"/>
        <w:rPr>
          <w:sz w:val="20"/>
          <w:szCs w:val="20"/>
          <w:color w:val="auto"/>
        </w:rPr>
      </w:pPr>
    </w:p>
    <w:p>
      <w:pPr>
        <w:ind w:left="460" w:right="619" w:firstLine="432"/>
        <w:spacing w:after="0" w:line="274" w:lineRule="auto"/>
        <w:rPr>
          <w:sz w:val="20"/>
          <w:szCs w:val="20"/>
          <w:color w:val="auto"/>
        </w:rPr>
      </w:pPr>
      <w:r>
        <w:rPr>
          <w:rFonts w:ascii="Times New Roman" w:cs="Times New Roman" w:eastAsia="Times New Roman" w:hAnsi="Times New Roman"/>
          <w:sz w:val="17"/>
          <w:szCs w:val="17"/>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spacing w:after="0" w:line="92"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22"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CONDENSED CONSOLIDATED BALANCE SHEETS (In U.S. dollars, except for share and per share data, or otherwise noted)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7"/>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3,965,607</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74,554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540,496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995,563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437,299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166,436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6,179,955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165,264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1,521,638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1,494,082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1,686,902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1,600,800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137,130</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137,416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218,225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1,010,684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40,197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526,263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shareholders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7,590,421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230,694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303,730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378,056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9,524,598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424,868</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498,572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1,143,582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1,568,450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1,688,859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11,093,048</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issued and outstanding as of June 30, 2023 and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 respectively; 4,000,000,000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360,205,000 and 360,205,000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June 30, 2023 and December 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respectively.)*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4,102</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32,240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(3,259,598)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(1,323,341)</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(3,226,191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69"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475,123</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(378,896)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96,227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(71,530)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(170,817)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(80,883)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income/(expenses), net</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71,019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44,900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70,300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(1,861,412)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(156,703)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34,853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(153,220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ordinary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5"/>
                <w:szCs w:val="5"/>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capita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equity/(deficit)</w:t>
            </w:r>
          </w:p>
        </w:tc>
        <w:tc>
          <w:tcPr>
            <w:tcW w:w="0" w:type="dxa"/>
            <w:vAlign w:val="bottom"/>
          </w:tcPr>
          <w:p>
            <w:pPr>
              <w:spacing w:after="0"/>
              <w:rPr>
                <w:sz w:val="1"/>
                <w:szCs w:val="1"/>
                <w:color w:val="auto"/>
              </w:rPr>
            </w:pPr>
          </w:p>
        </w:tc>
      </w:tr>
      <w:tr>
        <w:trPr>
          <w:trHeight w:val="23"/>
        </w:trPr>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(4,102</w:t>
            </w: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35,349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(306</w:t>
            </w: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35,119</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(229,201)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(229,201)</w:t>
            </w:r>
          </w:p>
        </w:tc>
        <w:tc>
          <w:tcPr>
            <w:tcW w:w="0" w:type="dxa"/>
            <w:vAlign w:val="bottom"/>
          </w:tcPr>
          <w:p>
            <w:pPr>
              <w:spacing w:after="0"/>
              <w:rPr>
                <w:sz w:val="1"/>
                <w:szCs w:val="1"/>
                <w:color w:val="auto"/>
              </w:rPr>
            </w:pPr>
          </w:p>
        </w:tc>
      </w:tr>
      <w:tr>
        <w:trPr>
          <w:trHeight w:val="47"/>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0" w:type="dxa"/>
            <w:vAlign w:val="bottom"/>
          </w:tcPr>
          <w:p>
            <w:pPr>
              <w:spacing w:after="0"/>
              <w:rPr>
                <w:sz w:val="24"/>
                <w:szCs w:val="24"/>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(350,555)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3,177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(311,036)</w:t>
            </w:r>
          </w:p>
        </w:tc>
        <w:tc>
          <w:tcPr>
            <w:tcW w:w="0" w:type="dxa"/>
            <w:vAlign w:val="bottom"/>
          </w:tcPr>
          <w:p>
            <w:pPr>
              <w:spacing w:after="0"/>
              <w:rPr>
                <w:sz w:val="1"/>
                <w:szCs w:val="1"/>
                <w:color w:val="auto"/>
              </w:rPr>
            </w:pPr>
          </w:p>
        </w:tc>
      </w:tr>
      <w:tr>
        <w:trPr>
          <w:trHeight w:val="271"/>
        </w:trPr>
        <w:tc>
          <w:tcPr>
            <w:tcW w:w="1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0" w:type="dxa"/>
            <w:vAlign w:val="bottom"/>
          </w:tcPr>
          <w:p>
            <w:pPr>
              <w:spacing w:after="0"/>
              <w:rPr>
                <w:sz w:val="24"/>
                <w:szCs w:val="24"/>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(1,323,341</w:t>
            </w:r>
            <w:r>
              <w:rPr>
                <w:rFonts w:ascii="Times New Roman" w:cs="Times New Roman" w:eastAsia="Times New Roman" w:hAnsi="Times New Roman"/>
                <w:sz w:val="16"/>
                <w:szCs w:val="16"/>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(37,788</w:t>
            </w: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(1,324,787)</w:t>
            </w:r>
          </w:p>
        </w:tc>
        <w:tc>
          <w:tcPr>
            <w:tcW w:w="0" w:type="dxa"/>
            <w:vAlign w:val="bottom"/>
          </w:tcPr>
          <w:p>
            <w:pPr>
              <w:spacing w:after="0"/>
              <w:rPr>
                <w:sz w:val="1"/>
                <w:szCs w:val="1"/>
                <w:color w:val="auto"/>
              </w:rPr>
            </w:pPr>
          </w:p>
        </w:tc>
      </w:tr>
      <w:tr>
        <w:trPr>
          <w:trHeight w:val="223"/>
        </w:trPr>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(1,861,412)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(1,861,412)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(74,845)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(74,845)</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vMerge w:val="continue"/>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(3,259,598</w:t>
            </w:r>
            <w:r>
              <w:rPr>
                <w:rFonts w:ascii="Times New Roman" w:cs="Times New Roman" w:eastAsia="Times New Roman" w:hAnsi="Times New Roman"/>
                <w:sz w:val="16"/>
                <w:szCs w:val="16"/>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(2,935</w:t>
            </w: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(3,226,191</w:t>
            </w: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-1701165</wp:posOffset>
            </wp:positionV>
            <wp:extent cx="285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-1710055</wp:posOffset>
            </wp:positionV>
            <wp:extent cx="285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-398145</wp:posOffset>
            </wp:positionV>
            <wp:extent cx="285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-407035</wp:posOffset>
            </wp:positionV>
            <wp:extent cx="285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7" w:lineRule="exact"/>
        <w:rPr>
          <w:sz w:val="20"/>
          <w:szCs w:val="20"/>
          <w:color w:val="auto"/>
        </w:rPr>
      </w:pPr>
    </w:p>
    <w:p>
      <w:pPr>
        <w:ind w:left="860" w:hanging="406"/>
        <w:spacing w:after="0"/>
        <w:tabs>
          <w:tab w:leader="none" w:pos="8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UNAUDITED CONDENSED CONSOLIDATED STATEMENTS OF CASH FLOWS (In U.S. dollars, except for share and per share data, or otherwise noted)</w:t>
      </w: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(2,380,926)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(79,043</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shareholders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7,065,861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(13,572)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355,716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(845,200)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to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(1,007,634)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distribution</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(74,845)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(106,219)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5,426,739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32,401</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3,020,342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(113,439)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273,593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3,965,607</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160,154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215,369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 (Note 12)</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72" w:lineRule="exact"/>
        <w:rPr>
          <w:sz w:val="20"/>
          <w:szCs w:val="20"/>
          <w:color w:val="auto"/>
        </w:rPr>
      </w:pPr>
    </w:p>
    <w:p>
      <w:pPr>
        <w:ind w:left="860" w:hanging="406"/>
        <w:spacing w:after="0"/>
        <w:tabs>
          <w:tab w:leader="none" w:pos="8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7" w:lineRule="exact"/>
        <w:rPr>
          <w:rFonts w:ascii="Times New Roman" w:cs="Times New Roman" w:eastAsia="Times New Roman" w:hAnsi="Times New Roman"/>
          <w:sz w:val="18"/>
          <w:szCs w:val="18"/>
          <w:b w:val="1"/>
          <w:bCs w:val="1"/>
          <w:color w:val="auto"/>
        </w:rPr>
      </w:pPr>
    </w:p>
    <w:p>
      <w:pPr>
        <w:ind w:left="1280" w:hanging="394"/>
        <w:spacing w:after="0"/>
        <w:tabs>
          <w:tab w:leader="none" w:pos="1280" w:val="left"/>
        </w:tabs>
        <w:numPr>
          <w:ilvl w:val="1"/>
          <w:numId w:val="1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registration statements for the fiscal years ended December 31, 2022 and 2021.</w:t>
      </w:r>
    </w:p>
    <w:p>
      <w:pPr>
        <w:spacing w:after="0" w:line="107"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2022. The results of operations for the six months ended June 30, 2023 are not necessarily indicative of the results for the full year.</w:t>
      </w:r>
    </w:p>
    <w:p>
      <w:pPr>
        <w:spacing w:after="0" w:line="117"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Accounts receivable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70" w:lineRule="auto"/>
        <w:rPr>
          <w:sz w:val="20"/>
          <w:szCs w:val="20"/>
          <w:color w:val="auto"/>
        </w:rPr>
      </w:pPr>
      <w:r>
        <w:rPr>
          <w:rFonts w:ascii="Times New Roman" w:cs="Times New Roman" w:eastAsia="Times New Roman" w:hAnsi="Times New Roman"/>
          <w:sz w:val="17"/>
          <w:szCs w:val="17"/>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w:t>
      </w:r>
    </w:p>
    <w:p>
      <w:pPr>
        <w:spacing w:after="0" w:line="3" w:lineRule="exact"/>
        <w:rPr>
          <w:sz w:val="20"/>
          <w:szCs w:val="20"/>
          <w:color w:val="auto"/>
        </w:rPr>
      </w:pPr>
    </w:p>
    <w:p>
      <w:pPr>
        <w:ind w:left="460" w:right="559"/>
        <w:spacing w:after="0" w:line="252" w:lineRule="auto"/>
        <w:rPr>
          <w:sz w:val="20"/>
          <w:szCs w:val="20"/>
          <w:color w:val="auto"/>
        </w:rPr>
      </w:pPr>
      <w:r>
        <w:rPr>
          <w:rFonts w:ascii="Times New Roman" w:cs="Times New Roman" w:eastAsia="Times New Roman" w:hAnsi="Times New Roman"/>
          <w:sz w:val="18"/>
          <w:szCs w:val="18"/>
          <w:color w:val="auto"/>
        </w:rPr>
        <w:t>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2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20" w:lineRule="exact"/>
        <w:rPr>
          <w:sz w:val="20"/>
          <w:szCs w:val="20"/>
          <w:color w:val="auto"/>
        </w:rPr>
      </w:pPr>
    </w:p>
    <w:p>
      <w:pPr>
        <w:jc w:val="center"/>
        <w:ind w:left="2160" w:right="160"/>
        <w:spacing w:after="0" w:line="485" w:lineRule="auto"/>
        <w:rPr>
          <w:sz w:val="20"/>
          <w:szCs w:val="20"/>
          <w:color w:val="auto"/>
        </w:rPr>
      </w:pPr>
      <w:r>
        <w:rPr>
          <w:rFonts w:ascii="Times New Roman" w:cs="Times New Roman" w:eastAsia="Times New Roman" w:hAnsi="Times New Roman"/>
          <w:sz w:val="18"/>
          <w:szCs w:val="18"/>
          <w:color w:val="auto"/>
        </w:rPr>
        <w:t>There was no provision of allowance for doubtful accounts as of June 30, 2023 and December 31, 2022.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320" w:hanging="434"/>
        <w:spacing w:after="0"/>
        <w:tabs>
          <w:tab w:leader="none" w:pos="1320" w:val="left"/>
        </w:tabs>
        <w:numPr>
          <w:ilvl w:val="0"/>
          <w:numId w:val="1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06"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0"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consulting</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 customization</w:t>
      </w:r>
    </w:p>
    <w:p>
      <w:pPr>
        <w:spacing w:after="0" w:line="16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146"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94"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revenue is recognized at a point in time when the customized software solution is successfully completed, delivered and accepted by customers.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146"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and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21"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108"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Revenue by categories</w:t>
      </w:r>
    </w:p>
    <w:p>
      <w:pPr>
        <w:spacing w:after="0" w:line="144" w:lineRule="exact"/>
        <w:rPr>
          <w:sz w:val="20"/>
          <w:szCs w:val="20"/>
          <w:color w:val="auto"/>
        </w:rPr>
      </w:pPr>
    </w:p>
    <w:p>
      <w:pPr>
        <w:jc w:val="both"/>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Group’s revenue categories for the six months ended June 30, 2023 and 2022:</w:t>
      </w: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192,513</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367,401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282,610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130,289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272,874</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237,112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481,165</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475,123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 balances</w:t>
      </w:r>
    </w:p>
    <w:p>
      <w:pPr>
        <w:spacing w:after="0" w:line="14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10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$540,496 and $268,509 as of June 30, 2023 and December 31, 2022, respectively.</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$1,010,684 and $654,063 as of June 30, 2023 and December 31, 2022, respectively. The revenue recognized for the six months ended June 30, 2023 and for the year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539"/>
        <w:spacing w:after="0" w:line="266" w:lineRule="auto"/>
        <w:rPr>
          <w:sz w:val="20"/>
          <w:szCs w:val="20"/>
          <w:color w:val="auto"/>
        </w:rPr>
      </w:pPr>
      <w:r>
        <w:rPr>
          <w:rFonts w:ascii="Times New Roman" w:cs="Times New Roman" w:eastAsia="Times New Roman" w:hAnsi="Times New Roman"/>
          <w:sz w:val="18"/>
          <w:szCs w:val="18"/>
          <w:color w:val="auto"/>
        </w:rPr>
        <w:t>ended December 31, 2022 that was included in the contract liability balance at the beginning of the period were $292,778 and $173,852, respectively. All unsatisfied performance obligation will be performed within the next twelve months and no significant financing component is involved.</w:t>
      </w:r>
    </w:p>
    <w:p>
      <w:pPr>
        <w:spacing w:after="0" w:line="108" w:lineRule="exact"/>
        <w:rPr>
          <w:sz w:val="20"/>
          <w:szCs w:val="20"/>
          <w:color w:val="auto"/>
        </w:rPr>
      </w:pPr>
    </w:p>
    <w:p>
      <w:pPr>
        <w:ind w:left="460" w:right="679" w:firstLine="432"/>
        <w:spacing w:after="0" w:line="312" w:lineRule="auto"/>
        <w:rPr>
          <w:sz w:val="20"/>
          <w:szCs w:val="20"/>
          <w:color w:val="auto"/>
        </w:rPr>
      </w:pPr>
      <w:r>
        <w:rPr>
          <w:rFonts w:ascii="Times New Roman" w:cs="Times New Roman" w:eastAsia="Times New Roman" w:hAnsi="Times New Roman"/>
          <w:sz w:val="17"/>
          <w:szCs w:val="17"/>
          <w:color w:val="auto"/>
        </w:rPr>
        <w:t>Other than accounts receivable and deferred revenue, the Group had no other material contract assets or contract liabilities recorded on its consolidated balance sheets as of June 30, 2023 and December 31, 2022.</w:t>
      </w:r>
    </w:p>
    <w:p>
      <w:pPr>
        <w:spacing w:after="0" w:line="5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Foreign currency transactions and translations</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16" w:lineRule="exact"/>
        <w:rPr>
          <w:sz w:val="20"/>
          <w:szCs w:val="20"/>
          <w:color w:val="auto"/>
        </w:rPr>
      </w:pPr>
    </w:p>
    <w:p>
      <w:pPr>
        <w:jc w:val="both"/>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7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124"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Translation of foreign currencies into US$1 have been made at the following exchange rates for the respective periods: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2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252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62"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300" w:hanging="414"/>
        <w:spacing w:after="0"/>
        <w:tabs>
          <w:tab w:leader="none" w:pos="1300" w:val="left"/>
        </w:tabs>
        <w:numPr>
          <w:ilvl w:val="0"/>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Deferred offering costs consist of legal, consulting, underwriting fees and other costs incurred through the balance sheet date that are directly related to the proposed public offering and certain private equity financing transaction.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w:t>
      </w:r>
    </w:p>
    <w:p>
      <w:pPr>
        <w:spacing w:after="0" w:line="102"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Recent accounting pronouncements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1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Group does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ind w:left="860" w:hanging="406"/>
        <w:spacing w:after="0"/>
        <w:tabs>
          <w:tab w:leader="none" w:pos="8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74,554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recorded nil bad debt expense for the six months ended June 30, 2023 and 2022.</w:t>
      </w:r>
    </w:p>
    <w:p>
      <w:pPr>
        <w:spacing w:after="0" w:line="221" w:lineRule="exact"/>
        <w:rPr>
          <w:sz w:val="20"/>
          <w:szCs w:val="20"/>
          <w:color w:val="auto"/>
        </w:rPr>
      </w:pPr>
    </w:p>
    <w:p>
      <w:pPr>
        <w:ind w:left="880" w:right="3499" w:hanging="426"/>
        <w:spacing w:after="0" w:line="458" w:lineRule="auto"/>
        <w:tabs>
          <w:tab w:leader="none" w:pos="853"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w:t>
            </w: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prepayment</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32,538</w:t>
            </w: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vMerge w:val="continue"/>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166,436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141,851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F-31</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121,869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165,264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07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were $18,837 and $5,663 for the six months ended June 30, 2023 and 2022, respectively.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Group did not record any impairment charge for the six months ended June 30, 2023 and 2022.</w:t>
      </w:r>
    </w:p>
    <w:p>
      <w:pPr>
        <w:spacing w:after="0" w:line="221" w:lineRule="exact"/>
        <w:rPr>
          <w:sz w:val="20"/>
          <w:szCs w:val="20"/>
          <w:color w:val="auto"/>
        </w:rPr>
      </w:pPr>
    </w:p>
    <w:p>
      <w:pPr>
        <w:ind w:left="880" w:right="2879" w:hanging="426"/>
        <w:spacing w:after="0" w:line="483" w:lineRule="auto"/>
        <w:tabs>
          <w:tab w:leader="none" w:pos="853" w:val="left"/>
        </w:tabs>
        <w:numPr>
          <w:ilvl w:val="0"/>
          <w:numId w:val="1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230,694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consisted of reimbursement payable to employees and miscellaneous fees payable to third parties.</w:t>
      </w:r>
    </w:p>
    <w:p>
      <w:pPr>
        <w:spacing w:after="0" w:line="226" w:lineRule="exact"/>
        <w:rPr>
          <w:sz w:val="20"/>
          <w:szCs w:val="20"/>
          <w:color w:val="auto"/>
        </w:rPr>
      </w:pPr>
    </w:p>
    <w:p>
      <w:pPr>
        <w:ind w:left="860" w:hanging="406"/>
        <w:spacing w:after="0"/>
        <w:tabs>
          <w:tab w:leader="none" w:pos="8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FEES ADVANCE FROM A SHAREHOLDER</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recognized the received $499,990 (reflected as $519,943 at period end due to exchange rate) from Stone Wealth in advance as equity when the Group complete its reorganization and by issuing 24,795,000 Class B Ordinary Shares on July 4, 2023.</w:t>
      </w:r>
    </w:p>
    <w:p>
      <w:pPr>
        <w:spacing w:after="0" w:line="120"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The Group recognized the received $3,000,000 (reflected as $3,135,167 at period end due to exchange rate) subscription fees advance from a shareholder as equity when the Group complete its reorganization and by issuing 45,000,000 Class B Ordinary Shares on July 4, 2023.</w:t>
      </w:r>
    </w:p>
    <w:p>
      <w:pPr>
        <w:spacing w:after="0" w:line="108" w:lineRule="exact"/>
        <w:rPr>
          <w:sz w:val="20"/>
          <w:szCs w:val="20"/>
          <w:color w:val="auto"/>
        </w:rPr>
      </w:pPr>
    </w:p>
    <w:p>
      <w:pPr>
        <w:ind w:left="460" w:right="639" w:firstLine="432"/>
        <w:spacing w:after="0" w:line="255" w:lineRule="auto"/>
        <w:rPr>
          <w:sz w:val="20"/>
          <w:szCs w:val="20"/>
          <w:color w:val="auto"/>
        </w:rPr>
      </w:pPr>
      <w:r>
        <w:rPr>
          <w:rFonts w:ascii="Times New Roman" w:cs="Times New Roman" w:eastAsia="Times New Roman" w:hAnsi="Times New Roman"/>
          <w:sz w:val="18"/>
          <w:szCs w:val="18"/>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The Group recognized received $4,000,000 (reflected as $3,935,311 at period end due to exchange rate) subscription fees advance from a shareholder as equity when the Group complete its reorganization and by issuing 20,000,000 Class B Ordinary Shares on July 4,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and combined statements of operations and comprehensive loss is as follows:</w:t>
      </w: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200,292</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As of June 30, 2023 and December 31, 2022, the weighted average remaining lease term was 3.92 years and 4.53 years, respectively, and the weighted average discount rate was 5.0% and 5.0% for the Group’s operating leases, respectively.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June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212"/>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215,285</w:t>
            </w:r>
          </w:p>
        </w:tc>
        <w:tc>
          <w:tcPr>
            <w:tcW w:w="20" w:type="dxa"/>
            <w:vAlign w:val="bottom"/>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445,552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427,228</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364,534</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225,793</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1,678,392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156,754</w:t>
            </w:r>
          </w:p>
        </w:tc>
        <w:tc>
          <w:tcPr>
            <w:tcW w:w="20" w:type="dxa"/>
            <w:vAlign w:val="bottom"/>
          </w:tcPr>
          <w:p>
            <w:pPr>
              <w:spacing w:after="0"/>
              <w:rPr>
                <w:sz w:val="24"/>
                <w:szCs w:val="24"/>
                <w:color w:val="auto"/>
              </w:rPr>
            </w:pPr>
          </w:p>
        </w:tc>
      </w:tr>
      <w:tr>
        <w:trPr>
          <w:trHeight w:val="232"/>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1,521,638</w:t>
            </w:r>
          </w:p>
        </w:tc>
        <w:tc>
          <w:tcPr>
            <w:tcW w:w="20" w:type="dxa"/>
            <w:vAlign w:val="bottom"/>
          </w:tcPr>
          <w:p>
            <w:pPr>
              <w:spacing w:after="0"/>
              <w:rPr>
                <w:sz w:val="20"/>
                <w:szCs w:val="20"/>
                <w:color w:val="auto"/>
              </w:rPr>
            </w:pPr>
          </w:p>
        </w:tc>
      </w:tr>
      <w:tr>
        <w:trPr>
          <w:trHeight w:val="32"/>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378,056</w:t>
            </w:r>
          </w:p>
        </w:tc>
        <w:tc>
          <w:tcPr>
            <w:tcW w:w="20" w:type="dxa"/>
            <w:vAlign w:val="bottom"/>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1,143,582</w:t>
            </w:r>
          </w:p>
        </w:tc>
        <w:tc>
          <w:tcPr>
            <w:tcW w:w="20" w:type="dxa"/>
            <w:vAlign w:val="bottom"/>
            <w:tcBorders>
              <w:bottom w:val="single" w:sz="8" w:color="auto"/>
            </w:tcBorders>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9.</w:t>
        <w:tab/>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48"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p>
      <w:pPr>
        <w:spacing w:after="0" w:line="18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expenses</w:t>
            </w:r>
          </w:p>
        </w:tc>
        <w:tc>
          <w:tcPr>
            <w:tcW w:w="86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12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(156,703)</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391,848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26,772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As of June 30, 2023 and December 31, 2022, the significant components of the deferred tax assets are summarized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4"/>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w w:val="91"/>
              </w:rPr>
              <w:t>As of</w:t>
            </w: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52"/>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562,071</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164,313</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261,815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249,558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111,191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997,785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525,062</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(238,081)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367,090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286,981</w:t>
            </w:r>
          </w:p>
        </w:tc>
      </w:tr>
      <w:tr>
        <w:trPr>
          <w:trHeight w:val="41"/>
        </w:trPr>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Contract cost assets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3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Net Deferred tax assets (liability)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2180"/>
        <w:spacing w:after="0"/>
        <w:tabs>
          <w:tab w:leader="none" w:pos="3500" w:val="left"/>
        </w:tabs>
        <w:rPr>
          <w:sz w:val="20"/>
          <w:szCs w:val="20"/>
          <w:color w:val="auto"/>
        </w:rPr>
      </w:pPr>
      <w:r>
        <w:rPr>
          <w:rFonts w:ascii="Times New Roman" w:cs="Times New Roman" w:eastAsia="Times New Roman" w:hAnsi="Times New Roman"/>
          <w:sz w:val="18"/>
          <w:szCs w:val="18"/>
          <w:color w:val="auto"/>
        </w:rPr>
        <w:t>(92,998)</w:t>
      </w:r>
      <w:r>
        <w:rPr>
          <w:sz w:val="20"/>
          <w:szCs w:val="20"/>
          <w:color w:val="auto"/>
        </w:rPr>
        <w:tab/>
      </w:r>
      <w:r>
        <w:rPr>
          <w:rFonts w:ascii="Times New Roman" w:cs="Times New Roman" w:eastAsia="Times New Roman" w:hAnsi="Times New Roman"/>
          <w:sz w:val="18"/>
          <w:szCs w:val="18"/>
          <w:color w:val="auto"/>
        </w:rPr>
        <w:t>(22,686)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43180</wp:posOffset>
            </wp:positionV>
            <wp:extent cx="5143500"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jc w:val="both"/>
        <w:ind w:left="2080"/>
        <w:spacing w:after="0"/>
        <w:tabs>
          <w:tab w:leader="none" w:pos="3400" w:val="left"/>
        </w:tabs>
        <w:rPr>
          <w:sz w:val="20"/>
          <w:szCs w:val="20"/>
          <w:color w:val="auto"/>
        </w:rPr>
      </w:pPr>
      <w:r>
        <w:rPr>
          <w:rFonts w:ascii="Times New Roman" w:cs="Times New Roman" w:eastAsia="Times New Roman" w:hAnsi="Times New Roman"/>
          <w:sz w:val="18"/>
          <w:szCs w:val="18"/>
          <w:color w:val="auto"/>
        </w:rPr>
        <w:t>(261,815)</w:t>
      </w:r>
      <w:r>
        <w:rPr>
          <w:sz w:val="20"/>
          <w:szCs w:val="20"/>
          <w:color w:val="auto"/>
        </w:rPr>
        <w:tab/>
      </w:r>
      <w:r>
        <w:rPr>
          <w:rFonts w:ascii="Times New Roman" w:cs="Times New Roman" w:eastAsia="Times New Roman" w:hAnsi="Times New Roman"/>
          <w:sz w:val="18"/>
          <w:szCs w:val="18"/>
          <w:color w:val="auto"/>
        </w:rPr>
        <w:t>(253,994)</w:t>
      </w:r>
    </w:p>
    <w:p>
      <w:pPr>
        <w:spacing w:after="0" w:line="77" w:lineRule="exact"/>
        <w:rPr>
          <w:sz w:val="20"/>
          <w:szCs w:val="20"/>
          <w:color w:val="auto"/>
        </w:rPr>
      </w:pPr>
    </w:p>
    <w:p>
      <w:pPr>
        <w:jc w:val="right"/>
        <w:ind w:right="559"/>
        <w:spacing w:after="0"/>
        <w:tabs>
          <w:tab w:leader="none" w:pos="580" w:val="left"/>
        </w:tabs>
        <w:rPr>
          <w:sz w:val="20"/>
          <w:szCs w:val="20"/>
          <w:color w:val="auto"/>
        </w:rPr>
      </w:pPr>
      <w:r>
        <w:rPr>
          <w:rFonts w:ascii="Times New Roman" w:cs="Times New Roman" w:eastAsia="Times New Roman" w:hAnsi="Times New Roman"/>
          <w:sz w:val="18"/>
          <w:szCs w:val="18"/>
          <w:color w:val="auto"/>
        </w:rPr>
        <w:t>(12,277)</w:t>
      </w:r>
      <w:r>
        <w:rPr>
          <w:sz w:val="20"/>
          <w:szCs w:val="20"/>
          <w:color w:val="auto"/>
        </w:rPr>
        <w:tab/>
      </w:r>
      <w:r>
        <w:rPr>
          <w:rFonts w:ascii="Times New Roman" w:cs="Times New Roman" w:eastAsia="Times New Roman" w:hAnsi="Times New Roman"/>
          <w:sz w:val="17"/>
          <w:szCs w:val="17"/>
          <w:color w:val="auto"/>
        </w:rPr>
        <w:t>(10,301)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43180</wp:posOffset>
            </wp:positionV>
            <wp:extent cx="5143500"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jc w:val="both"/>
        <w:ind w:left="1740"/>
        <w:spacing w:after="0"/>
        <w:tabs>
          <w:tab w:leader="none" w:pos="2060" w:val="left"/>
          <w:tab w:leader="none" w:pos="2940" w:val="left"/>
          <w:tab w:leader="none" w:pos="3400" w:val="left"/>
        </w:tabs>
        <w:rPr>
          <w:sz w:val="20"/>
          <w:szCs w:val="20"/>
          <w:color w:val="auto"/>
        </w:rPr>
      </w:pPr>
      <w:r>
        <w:rPr>
          <w:rFonts w:ascii="Times New Roman" w:cs="Times New Roman" w:eastAsia="Times New Roman" w:hAnsi="Times New Roman"/>
          <w:sz w:val="18"/>
          <w:szCs w:val="18"/>
          <w:b w:val="1"/>
          <w:bCs w:val="1"/>
          <w:color w:val="auto"/>
        </w:rPr>
        <w:t>$</w:t>
        <w:tab/>
        <w:t>(367,090)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(286,981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242570</wp:posOffset>
            </wp:positionV>
            <wp:extent cx="514350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53975</wp:posOffset>
            </wp:positionV>
            <wp:extent cx="14827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81" w:lineRule="exact"/>
        <w:rPr>
          <w:sz w:val="20"/>
          <w:szCs w:val="20"/>
          <w:color w:val="auto"/>
        </w:rPr>
      </w:pPr>
    </w:p>
    <w:p>
      <w:pPr>
        <w:ind w:left="1740"/>
        <w:spacing w:after="0"/>
        <w:tabs>
          <w:tab w:leader="none" w:pos="2520" w:val="left"/>
          <w:tab w:leader="none" w:pos="2940" w:val="left"/>
          <w:tab w:leader="none" w:pos="38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tab/>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45720</wp:posOffset>
            </wp:positionV>
            <wp:extent cx="1482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3620" w:space="720"/>
            <w:col w:w="4679"/>
          </w:cols>
          <w:pgMar w:left="1440" w:top="270" w:right="1440" w:bottom="1440" w:gutter="0" w:footer="0" w:header="0"/>
          <w:type w:val="continuous"/>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firstLine="432"/>
        <w:spacing w:after="0" w:line="281" w:lineRule="auto"/>
        <w:rPr>
          <w:sz w:val="20"/>
          <w:szCs w:val="20"/>
          <w:color w:val="auto"/>
        </w:rPr>
      </w:pPr>
      <w:r>
        <w:rPr>
          <w:rFonts w:ascii="Times New Roman" w:cs="Times New Roman" w:eastAsia="Times New Roman" w:hAnsi="Times New Roman"/>
          <w:sz w:val="17"/>
          <w:szCs w:val="17"/>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and December 31,2022. Thus, management decided to record all of the valuation allowance.</w:t>
      </w:r>
    </w:p>
    <w:p>
      <w:pPr>
        <w:spacing w:after="0" w:line="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391,848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630,695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5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June 30, 2023 and December 31, 2022, the Group did not have any significant unrecognized uncertain tax positions. The Group did not incur interest and penalties tax for the six months ended June 30, 2023 and 2022. As of June 30, 2023, the tax years ended December 31, 2018 to 2022 for the Group’s Singapore subsidiaries remain open for statutory examination by any applicable tax authorities.</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2023 and December 31, 2022, summary of the borrowings is as following:</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72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Long-term</w:t>
            </w:r>
          </w:p>
        </w:tc>
        <w:tc>
          <w:tcPr>
            <w:tcW w:w="1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Long-term</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Bank</w:t>
            </w: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00" w:type="dxa"/>
            <w:vAlign w:val="bottom"/>
            <w:gridSpan w:val="3"/>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90"/>
        </w:trPr>
        <w:tc>
          <w:tcPr>
            <w:tcW w:w="1340" w:type="dxa"/>
            <w:vAlign w:val="bottom"/>
            <w:gridSpan w:val="2"/>
            <w:vMerge w:val="continue"/>
          </w:tcPr>
          <w:p>
            <w:pPr>
              <w:spacing w:after="0"/>
              <w:rPr>
                <w:sz w:val="16"/>
                <w:szCs w:val="16"/>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1000" w:type="dxa"/>
            <w:vAlign w:val="bottom"/>
            <w:gridSpan w:val="3"/>
            <w:vMerge w:val="continue"/>
          </w:tcPr>
          <w:p>
            <w:pPr>
              <w:spacing w:after="0"/>
              <w:rPr>
                <w:sz w:val="16"/>
                <w:szCs w:val="16"/>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gridSpan w:val="3"/>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OCBC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March 2021</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March 2026</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22,189</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7,705</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4,469</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OCBC Bank</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tcPr>
          <w:p>
            <w:pPr>
              <w:spacing w:after="0"/>
              <w:rPr>
                <w:sz w:val="22"/>
                <w:szCs w:val="22"/>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September 2021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September 2026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25,888</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12,379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5,108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15,095</w:t>
            </w:r>
          </w:p>
        </w:tc>
        <w:tc>
          <w:tcPr>
            <w:tcW w:w="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5,046</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UOB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May 2022</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2027</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373,023</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218,538</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71,413</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Maybank Singapore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Limited</w:t>
            </w:r>
          </w:p>
        </w:tc>
        <w:tc>
          <w:tcPr>
            <w:tcW w:w="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July 2022</w:t>
            </w:r>
          </w:p>
        </w:tc>
        <w:tc>
          <w:tcPr>
            <w:tcW w:w="10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July 2027</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298,418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186,246</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56,140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216,572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719,518</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424,868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137,130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498,572</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Interest expenses were $13,394 and $3,143 for the six months ended June 30, 2023 and 2022, respectively.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borrowings above are guaranteed by the Group’s shareholder, Poh Kiong Tan.</w:t>
      </w:r>
    </w:p>
    <w:p>
      <w:pPr>
        <w:spacing w:after="0" w:line="18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BORROWINGS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June 30, 2023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77,352</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561,998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INCOME</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58,598</w:t>
            </w: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Referral commission</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7,642</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21,158</w:t>
            </w:r>
          </w:p>
        </w:tc>
        <w:tc>
          <w:tcPr>
            <w:tcW w:w="320" w:type="dxa"/>
            <w:vAlign w:val="bottom"/>
            <w:gridSpan w:val="3"/>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619" w:hanging="426"/>
        <w:spacing w:after="0" w:line="298" w:lineRule="auto"/>
        <w:tabs>
          <w:tab w:leader="none" w:pos="8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recorded referral fees as other income when other consulting services providers successfully engaged by customer and paid the Group referral fee.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7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80" w:type="dxa"/>
            <w:vAlign w:val="bottom"/>
          </w:tcPr>
          <w:p>
            <w:pPr>
              <w:spacing w:after="0"/>
              <w:rPr>
                <w:sz w:val="24"/>
                <w:szCs w:val="24"/>
                <w:color w:val="auto"/>
              </w:rPr>
            </w:pPr>
          </w:p>
        </w:tc>
        <w:tc>
          <w:tcPr>
            <w:tcW w:w="486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0" w:type="dxa"/>
            <w:vAlign w:val="bottom"/>
          </w:tcPr>
          <w:p>
            <w:pPr>
              <w:spacing w:after="0"/>
              <w:rPr>
                <w:sz w:val="1"/>
                <w:szCs w:val="1"/>
                <w:color w:val="auto"/>
              </w:rPr>
            </w:pPr>
          </w:p>
        </w:tc>
      </w:tr>
      <w:tr>
        <w:trPr>
          <w:trHeight w:val="47"/>
        </w:trPr>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80" w:type="dxa"/>
            <w:vAlign w:val="bottom"/>
            <w:vMerge w:val="continue"/>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Chief Executive Officer</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1"/>
                <w:szCs w:val="21"/>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Poh Kiong Tan</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Technology Officer</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Trident Foodtech Pte. Ltd.</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from related parties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from related parties consisted of the following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5"/>
                <w:szCs w:val="15"/>
                <w:color w:val="auto"/>
              </w:rPr>
            </w:pPr>
          </w:p>
        </w:tc>
        <w:tc>
          <w:tcPr>
            <w:tcW w:w="1140" w:type="dxa"/>
            <w:vAlign w:val="bottom"/>
          </w:tcPr>
          <w:p>
            <w:pPr>
              <w:jc w:val="center"/>
              <w:ind w:right="75"/>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995,563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995,563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to this related party with no fixed term of repayment and interest. The Group has</w:t>
      </w:r>
    </w:p>
    <w:p>
      <w:pPr>
        <w:spacing w:after="0" w:line="26"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received the $995,563 in September</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2023.</w:t>
            </w:r>
          </w:p>
        </w:tc>
      </w:tr>
    </w:tbl>
    <w:p>
      <w:pPr>
        <w:spacing w:after="0" w:line="155"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r>
              <w:rPr>
                <w:rFonts w:ascii="Times New Roman" w:cs="Times New Roman" w:eastAsia="Times New Roman" w:hAnsi="Times New Roman"/>
                <w:sz w:val="20"/>
                <w:szCs w:val="20"/>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r>
              <w:rPr>
                <w:rFonts w:ascii="Times New Roman" w:cs="Times New Roman" w:eastAsia="Times New Roman" w:hAnsi="Times New Roman"/>
                <w:sz w:val="20"/>
                <w:szCs w:val="20"/>
                <w:color w:val="auto"/>
                <w:vertAlign w:val="superscript"/>
              </w:rPr>
              <w:t>(3)</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40,197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526,263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59" w:hanging="426"/>
        <w:spacing w:after="0" w:line="269" w:lineRule="auto"/>
        <w:tabs>
          <w:tab w:leader="none" w:pos="8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 for the Group’s daily operation with no fixed term of repayment and interest, and expense paid on behalf of the Group.</w:t>
      </w:r>
    </w:p>
    <w:p>
      <w:pPr>
        <w:ind w:left="880" w:hanging="426"/>
        <w:spacing w:after="0"/>
        <w:tabs>
          <w:tab w:leader="none" w:pos="8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w:t>
      </w:r>
    </w:p>
    <w:p>
      <w:pPr>
        <w:spacing w:after="0" w:line="18" w:lineRule="exact"/>
        <w:rPr>
          <w:rFonts w:ascii="Times New Roman" w:cs="Times New Roman" w:eastAsia="Times New Roman" w:hAnsi="Times New Roman"/>
          <w:sz w:val="16"/>
          <w:szCs w:val="16"/>
          <w:color w:val="auto"/>
        </w:rPr>
      </w:pPr>
    </w:p>
    <w:p>
      <w:pPr>
        <w:ind w:left="880" w:right="679" w:hanging="426"/>
        <w:spacing w:after="0" w:line="288" w:lineRule="auto"/>
        <w:tabs>
          <w:tab w:leader="none" w:pos="8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interest-free loan from this related party for the Group’s daily operation at maturity within three months, offset by loan to this related party.</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center"/>
              <w:ind w:left="5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r>
      <w:tr>
        <w:trPr>
          <w:trHeight w:val="47"/>
        </w:trPr>
        <w:tc>
          <w:tcPr>
            <w:tcW w:w="560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Nature</w:t>
            </w:r>
          </w:p>
        </w:tc>
        <w:tc>
          <w:tcPr>
            <w:tcW w:w="22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56,337</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20,411</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paid on behalf of the Group</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1,464</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21,756</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36,266</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from related parties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1,007,634</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dividend</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74,845</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229,201</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Consultancy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823,292</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299,379</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from loan to a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15,717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Foodtech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expense to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4,491</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899" w:hanging="426"/>
        <w:spacing w:after="0" w:line="298" w:lineRule="auto"/>
        <w:tabs>
          <w:tab w:leader="none" w:pos="88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June 30, 2022, QZT received contribution from Poh Kiong Tan. The contribution was implemented to reduce the outstanding balance due to Poh Kiong Tan by $36,266.</w:t>
      </w:r>
    </w:p>
    <w:p>
      <w:pPr>
        <w:spacing w:after="0" w:line="15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CONCENTRATION OF CREDIT RISK</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CONCENTRATION OF CREDIT RISK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124"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60" w:type="dxa"/>
            <w:vAlign w:val="bottom"/>
            <w:gridSpan w:val="2"/>
          </w:tcPr>
          <w:p>
            <w:pPr>
              <w:ind w:left="59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2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6"/>
              </w:rPr>
              <w:t>15%</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6"/>
              </w:rPr>
              <w:t>14%</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29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right"/>
              <w:ind w:right="101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46"/>
        </w:trPr>
        <w:tc>
          <w:tcPr>
            <w:tcW w:w="556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r>
      <w:tr>
        <w:trPr>
          <w:trHeight w:val="180"/>
        </w:trPr>
        <w:tc>
          <w:tcPr>
            <w:tcW w:w="5560" w:type="dxa"/>
            <w:vAlign w:val="bottom"/>
          </w:tcPr>
          <w:p>
            <w:pPr>
              <w:spacing w:after="0"/>
              <w:rPr>
                <w:sz w:val="15"/>
                <w:szCs w:val="15"/>
                <w:color w:val="auto"/>
              </w:rPr>
            </w:pPr>
          </w:p>
        </w:tc>
        <w:tc>
          <w:tcPr>
            <w:tcW w:w="1260" w:type="dxa"/>
            <w:vAlign w:val="bottom"/>
            <w:gridSpan w:val="3"/>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6"/>
              </w:rPr>
              <w:t>45%</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G</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6"/>
              </w:rPr>
              <w:t>30%</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48"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and did not identify any subsequent events with material financial impact on the Group’s consolidated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Representing 14,400,000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102870</wp:posOffset>
            </wp:positionV>
            <wp:extent cx="1320165" cy="3683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2016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 w:right="53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861060</wp:posOffset>
            </wp:positionV>
            <wp:extent cx="514350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903605</wp:posOffset>
            </wp:positionV>
            <wp:extent cx="514350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1186815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D2232A"/>
        </w:rPr>
        <w:t>Dated March 18, 2024.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150495</wp:posOffset>
            </wp:positionV>
            <wp:extent cx="3943350" cy="8401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1440" w:gutter="0" w:footer="0" w:header="0"/>
        </w:sectPr>
      </w:pP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25,000,000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200" w:lineRule="exact"/>
        <w:rPr>
          <w:sz w:val="20"/>
          <w:szCs w:val="20"/>
          <w:color w:val="auto"/>
        </w:rPr>
      </w:pPr>
    </w:p>
    <w:p>
      <w:pPr>
        <w:sectPr>
          <w:pgSz w:w="11900" w:h="16838" w:orient="portrait"/>
          <w:cols w:equalWidth="0" w:num="3">
            <w:col w:w="3260" w:space="720"/>
            <w:col w:w="1360" w:space="720"/>
            <w:col w:w="2959"/>
          </w:cols>
          <w:pgMar w:left="1440" w:top="270" w:right="1440" w:bottom="1440" w:gutter="0" w:footer="0" w:header="0"/>
          <w:type w:val="continuous"/>
        </w:sectPr>
      </w:pP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1440" w:gutter="0" w:footer="0" w:header="0"/>
          <w:type w:val="continuous"/>
        </w:sectPr>
      </w:pPr>
    </w:p>
    <w:p>
      <w:pPr>
        <w:spacing w:after="0" w:line="156"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This prospectus (the “Resale Prospectus”) relates to the resale of 3,125,000 American Depositary Shares (“ADSs”) representing 25,000,000 Class B ordinary shares (the “Shareholder ADSs”) by Infinite Partner International Limited (the “Selling Shareholder”). Of the 3,125,000 ADSs covered by this Resale Prospectus, 1,925,000 ADSs are subject to a leak-out agreement between the Selling Shareholder and the Company. Concurrently, we, Trident Digital Tech Holdings Ltd, is offering 1,800,000 ADSs representing 14,400,000 Class B ordinary shares (the “Public Offering ADSs”) on a firm commitment basis pursuant to a separate public offering prospectus (the “Public Offering Prospectus”) which forms a part of the registration statement of which this prospectus also forms a part.</w:t>
      </w:r>
    </w:p>
    <w:p>
      <w:pPr>
        <w:spacing w:after="0" w:line="12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We will not receive any of the proceeds from the sale of the Shareholder ADSs by the Selling Shareholder.</w:t>
      </w:r>
    </w:p>
    <w:p>
      <w:pPr>
        <w:spacing w:after="0" w:line="121" w:lineRule="exact"/>
        <w:rPr>
          <w:sz w:val="20"/>
          <w:szCs w:val="20"/>
          <w:color w:val="auto"/>
        </w:rPr>
      </w:pPr>
    </w:p>
    <w:p>
      <w:pPr>
        <w:ind w:left="460" w:right="759" w:firstLine="432"/>
        <w:spacing w:after="0" w:line="312" w:lineRule="auto"/>
        <w:rPr>
          <w:sz w:val="20"/>
          <w:szCs w:val="20"/>
          <w:color w:val="auto"/>
        </w:rPr>
      </w:pPr>
      <w:r>
        <w:rPr>
          <w:rFonts w:ascii="Times New Roman" w:cs="Times New Roman" w:eastAsia="Times New Roman" w:hAnsi="Times New Roman"/>
          <w:sz w:val="17"/>
          <w:szCs w:val="17"/>
          <w:color w:val="auto"/>
        </w:rPr>
        <w:t>We have submitted an application to list the ADSs on the Nasdaq Capital Market under the symbol “TDTH.” We cannot guarantee that we will be successful in listing our ADSs on the Nasdaq Capital Market.</w:t>
      </w:r>
    </w:p>
    <w:p>
      <w:pPr>
        <w:spacing w:after="0" w:line="59"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Following the completion of this offering of the Shareholder ADSs by the Selling Shareholder and the offering of the Public Offering ADSs, our issued and outstanding share capital will consist of 50,000,000 Class A ordinary shares and 466,364,286 Class B ordinary shares. Mr. Soon Huat Lim will beneficially own all of our issued Class A ordinary shares and will be able to exercise 92.4% of the total voting power of our issued and outstanding share capital immediately following the completion of this offering.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257175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55" w:lineRule="auto"/>
        <w:rPr>
          <w:sz w:val="20"/>
          <w:szCs w:val="20"/>
          <w:color w:val="auto"/>
        </w:rPr>
      </w:pPr>
      <w:r>
        <w:rPr>
          <w:rFonts w:ascii="Times New Roman" w:cs="Times New Roman" w:eastAsia="Times New Roman" w:hAnsi="Times New Roman"/>
          <w:sz w:val="18"/>
          <w:szCs w:val="18"/>
          <w:color w:val="auto"/>
        </w:rPr>
        <w:t>See “Description of Share Capital” of the Public Offering Prospectus. Immediately following the completion of this offering of the Shareholder ADSs by the Selling Shareholder and the offering of the Public Offering ADSs,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 of the Public Offering Prospectus.</w:t>
      </w:r>
    </w:p>
    <w:p>
      <w:pPr>
        <w:spacing w:after="0" w:line="121"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90" w:lineRule="exact"/>
        <w:rPr>
          <w:sz w:val="20"/>
          <w:szCs w:val="20"/>
          <w:color w:val="auto"/>
        </w:rPr>
      </w:pPr>
    </w:p>
    <w:p>
      <w:pPr>
        <w:jc w:val="both"/>
        <w:ind w:left="460" w:right="5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Prospectus dated</w:t>
            </w:r>
          </w:p>
        </w:tc>
        <w:tc>
          <w:tcPr>
            <w:tcW w:w="36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 2024</w:t>
            </w:r>
          </w:p>
        </w:tc>
      </w:tr>
      <w:tr>
        <w:trPr>
          <w:trHeight w:val="405"/>
        </w:trPr>
        <w:tc>
          <w:tcPr>
            <w:tcW w:w="4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2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Neither we nor the Selling Shareholder have authorized anyone to provide you with any information or to make any representations other than as contained in this prospectus or in any related free writing prospectuses. Neither we nor the Selling Shareholder take any responsibility for, and provide no assurance about the reliability of, any information that others may give you. This prospectus is an offer to sell only the securities offered hereby, but only under circumstances and in jurisdictions where it is lawful to do so. The information contained in this prospectus is accurate only as of the date of this prospectus, regardless of the time of delivery of this prospectus or any sale of the securities. Our business, financial condition, results of operations and prospects may have changed since that date.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No action is being taken in any jurisdiction outside the U.S. to permit a public offering of our securities or possession or distribution of this prospectus in any such jurisdiction. Persons who come into possession of this prospectus in jurisdictions outside the U.S. are required to inform themselves about and to observe any restrictions about this offering and the distribution of this prospectus applicable to those jurisdictions.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41960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7310" cy="419608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ADSs offered by the Selling Shareholder</w:t>
      </w:r>
    </w:p>
    <w:p>
      <w:pPr>
        <w:spacing w:after="0" w:line="200" w:lineRule="exact"/>
        <w:rPr>
          <w:sz w:val="20"/>
          <w:szCs w:val="20"/>
          <w:color w:val="auto"/>
        </w:rPr>
      </w:pPr>
    </w:p>
    <w:p>
      <w:pPr>
        <w:spacing w:after="0" w:line="201" w:lineRule="exact"/>
        <w:rPr>
          <w:sz w:val="20"/>
          <w:szCs w:val="20"/>
          <w:color w:val="auto"/>
        </w:rPr>
      </w:pPr>
    </w:p>
    <w:p>
      <w:pPr>
        <w:ind w:left="720" w:right="6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Ordinary Shares outstanding before the offering</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76" w:lineRule="exact"/>
        <w:rPr>
          <w:sz w:val="20"/>
          <w:szCs w:val="20"/>
          <w:color w:val="auto"/>
        </w:rPr>
      </w:pPr>
    </w:p>
    <w:p>
      <w:pPr>
        <w:ind w:left="720" w:right="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Ordinary Shares to be outstanding after our offering of the Public Offering ADSs:</w:t>
      </w:r>
    </w:p>
    <w:p>
      <w:pPr>
        <w:spacing w:after="0" w:line="144" w:lineRule="exact"/>
        <w:rPr>
          <w:sz w:val="20"/>
          <w:szCs w:val="20"/>
          <w:color w:val="auto"/>
        </w:rPr>
      </w:pPr>
    </w:p>
    <w:p>
      <w:pPr>
        <w:ind w:left="72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ADSs outstanding immediately after this offering</w:t>
      </w:r>
      <w:r>
        <w:rPr>
          <w:rFonts w:ascii="Times New Roman" w:cs="Times New Roman" w:eastAsia="Times New Roman" w:hAnsi="Times New Roman"/>
          <w:sz w:val="20"/>
          <w:szCs w:val="20"/>
          <w:b w:val="1"/>
          <w:bCs w:val="1"/>
          <w:color w:val="auto"/>
          <w:vertAlign w:val="superscript"/>
        </w:rPr>
        <w:t>(2)</w:t>
      </w:r>
    </w:p>
    <w:p>
      <w:pPr>
        <w:spacing w:after="0" w:line="276" w:lineRule="exact"/>
        <w:rPr>
          <w:sz w:val="20"/>
          <w:szCs w:val="20"/>
          <w:color w:val="auto"/>
        </w:rPr>
      </w:pPr>
    </w:p>
    <w:p>
      <w:pPr>
        <w:ind w:left="720" w:right="60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Ordinary shares outstanding immediately after this offering</w:t>
      </w:r>
    </w:p>
    <w:p>
      <w:pPr>
        <w:spacing w:after="0" w:line="3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3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999"/>
        <w:spacing w:after="0" w:line="282" w:lineRule="auto"/>
        <w:rPr>
          <w:sz w:val="20"/>
          <w:szCs w:val="20"/>
          <w:color w:val="auto"/>
        </w:rPr>
      </w:pPr>
      <w:r>
        <w:rPr>
          <w:rFonts w:ascii="Times New Roman" w:cs="Times New Roman" w:eastAsia="Times New Roman" w:hAnsi="Times New Roman"/>
          <w:sz w:val="18"/>
          <w:szCs w:val="18"/>
          <w:color w:val="auto"/>
        </w:rPr>
        <w:t>3,125,000 ADSs representing 25,000,000 Class B ordinary shares.</w:t>
      </w:r>
    </w:p>
    <w:p>
      <w:pPr>
        <w:spacing w:after="0" w:line="337"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451,964,286 Class B ordinary shares.</w:t>
      </w:r>
    </w:p>
    <w:p>
      <w:pPr>
        <w:spacing w:after="0" w:line="351"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w:t>
      </w:r>
    </w:p>
    <w:p>
      <w:pPr>
        <w:spacing w:after="0" w:line="351" w:lineRule="exact"/>
        <w:rPr>
          <w:sz w:val="20"/>
          <w:szCs w:val="20"/>
          <w:color w:val="auto"/>
        </w:rPr>
      </w:pPr>
    </w:p>
    <w:p>
      <w:pPr>
        <w:ind w:right="999"/>
        <w:spacing w:after="0" w:line="282" w:lineRule="auto"/>
        <w:rPr>
          <w:sz w:val="20"/>
          <w:szCs w:val="20"/>
          <w:color w:val="auto"/>
        </w:rPr>
      </w:pPr>
      <w:r>
        <w:rPr>
          <w:rFonts w:ascii="Times New Roman" w:cs="Times New Roman" w:eastAsia="Times New Roman" w:hAnsi="Times New Roman"/>
          <w:sz w:val="18"/>
          <w:szCs w:val="18"/>
          <w:color w:val="auto"/>
        </w:rPr>
        <w:t>4,925,000 ADSs representing 39,400,000 Class B ordinary shares.</w:t>
      </w:r>
    </w:p>
    <w:p>
      <w:pPr>
        <w:spacing w:after="0" w:line="351"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w:t>
      </w:r>
    </w:p>
    <w:p>
      <w:pPr>
        <w:spacing w:after="0" w:line="135" w:lineRule="exact"/>
        <w:rPr>
          <w:sz w:val="20"/>
          <w:szCs w:val="20"/>
          <w:color w:val="auto"/>
        </w:rPr>
      </w:pPr>
    </w:p>
    <w:p>
      <w:pPr>
        <w:jc w:val="both"/>
        <w:ind w:right="939"/>
        <w:spacing w:after="0" w:line="312"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ADSs by the Selling Shareholder named in this prospectus.</w:t>
      </w:r>
    </w:p>
    <w:p>
      <w:pPr>
        <w:spacing w:after="0" w:line="320" w:lineRule="exact"/>
        <w:rPr>
          <w:sz w:val="20"/>
          <w:szCs w:val="20"/>
          <w:color w:val="auto"/>
        </w:rPr>
      </w:pPr>
    </w:p>
    <w:p>
      <w:pPr>
        <w:sectPr>
          <w:pgSz w:w="11900" w:h="16838" w:orient="portrait"/>
          <w:cols w:equalWidth="0" w:num="2">
            <w:col w:w="3660" w:space="120"/>
            <w:col w:w="5239"/>
          </w:cols>
          <w:pgMar w:left="1440" w:top="270" w:right="1440" w:bottom="1440" w:gutter="0" w:footer="0" w:header="0"/>
          <w:type w:val="continuous"/>
        </w:sectPr>
      </w:pPr>
    </w:p>
    <w:p>
      <w:pPr>
        <w:ind w:left="980" w:right="1019" w:hanging="436"/>
        <w:spacing w:after="0" w:line="269" w:lineRule="auto"/>
        <w:tabs>
          <w:tab w:leader="none" w:pos="9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ordinary shares to be outstanding immediately prior to this offering does not include up to an aggregate of 14,400,000 Class B ordinary shares to be offered by us under the Public Offering Prospectus.</w:t>
      </w:r>
    </w:p>
    <w:p>
      <w:pPr>
        <w:ind w:left="980" w:right="719" w:hanging="436"/>
        <w:spacing w:after="0" w:line="288" w:lineRule="auto"/>
        <w:tabs>
          <w:tab w:leader="none" w:pos="98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up to an aggregate of 1,800,000 ADSs to be sold by Trident Digital Tech Holdings Ltd, pursuant to the Public Offering Prospectus.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 Shareholder. In addition, the underwriter will not receive any compensation from the sale of the ADSs by the Selling Shareholder. The Selling Shareholder will receive all of the net proceeds from the sales of Shareholder ADSs under this prospectus. However, we will incur expenses in connection with the registration of the ADSs offered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the Selling Shareholder, namely,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the Selling Shareholder.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27"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 of the Selling Shareholder, the number of Class B ordinary shares owned by the Selling Shareholder immediately prior to the date of this prospectus and the number of ADSs to be offered by the Selling Shareholder pursuant to the Resale Prospectus. The table also provides information regarding the beneficial ownership of our Class B ordinary shares by the Selling Shareholder as adjusted to reflect the assumed sale of all of the ADSs offered under the Public Offering Prospectus and the Resale Prospectus.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has not had any position, office or other material relationship within past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three years with the Company. The Selling Shareholder is not a broker-dealer or an affiliate of a broker-dealer.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ADSs to be offered by the Selling Shareholder, they do not have an agreement or understanding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distribute any of the ADSs being registered. The Selling Shareholder may offer for sale from time to time any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ADSs. The table below assumes that the Selling Shareholder will sell all of the ADSs offered for sale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the Resale Prospectus.</w:t>
      </w:r>
    </w:p>
    <w:p>
      <w:pPr>
        <w:spacing w:after="0" w:line="139"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requires that such person have voting or investment power with respect to securities. In computing the number of Class B ordinary shares beneficially owned by a person listed below and the percentage ownership of such person, Class B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spacing w:after="0" w:line="120" w:lineRule="exact"/>
        <w:rPr>
          <w:sz w:val="20"/>
          <w:szCs w:val="20"/>
          <w:color w:val="auto"/>
        </w:rPr>
      </w:pPr>
    </w:p>
    <w:p>
      <w:pPr>
        <w:jc w:val="both"/>
        <w:ind w:left="460" w:right="1119" w:firstLine="432"/>
        <w:spacing w:after="0" w:line="261" w:lineRule="auto"/>
        <w:rPr>
          <w:sz w:val="20"/>
          <w:szCs w:val="20"/>
          <w:color w:val="auto"/>
        </w:rPr>
      </w:pPr>
      <w:r>
        <w:rPr>
          <w:rFonts w:ascii="Times New Roman" w:cs="Times New Roman" w:eastAsia="Times New Roman" w:hAnsi="Times New Roman"/>
          <w:sz w:val="18"/>
          <w:szCs w:val="18"/>
          <w:color w:val="auto"/>
        </w:rPr>
        <w:t>The Company may require the Selling Shareholder to suspend the sales of ADSs offered by this prospectus upon the occurrence of any event that makes any statement in this prospectus or the related registration statement untrue in any material respect or that requires the changing of statements in these documents in order to make statements in those documents not misleading.</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02"/>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ADSs to</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 After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w:t>
            </w:r>
          </w:p>
        </w:tc>
      </w:tr>
      <w:tr>
        <w:trPr>
          <w:trHeight w:val="255"/>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Selling Shareholder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 Sold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r>
      <w:tr>
        <w:trPr>
          <w:trHeight w:val="195"/>
        </w:trPr>
        <w:tc>
          <w:tcPr>
            <w:tcW w:w="21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INFINITE PARTNER</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75"/>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0"/>
                <w:szCs w:val="20"/>
                <w:color w:val="auto"/>
                <w:vertAlign w:val="superscript"/>
              </w:rPr>
              <w:t>(2)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3,125,000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80" w:right="699" w:hanging="426"/>
        <w:spacing w:after="0" w:line="264" w:lineRule="auto"/>
        <w:tabs>
          <w:tab w:leader="none" w:pos="8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computed with reference to 501,964,286 ordinary shares outstanding as of the date of this prospectus and assumes for the Selling Shareholder the sale of all shares offered by the Selling Shareholder under this prospectus.</w:t>
      </w:r>
    </w:p>
    <w:p>
      <w:pPr>
        <w:jc w:val="both"/>
        <w:ind w:left="880" w:right="559" w:hanging="426"/>
        <w:spacing w:after="0" w:line="276" w:lineRule="auto"/>
        <w:tabs>
          <w:tab w:leader="none" w:pos="8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held by Infinite Partner International Limited, a company limited by shares incorporated in British Virgin Islands and wholly owned by Sai Ho Cheung. The registered address of Infinite Partner International Limited is OMC Chambers, Wickhams Cay 1, Road Town, Tortola, British Virgin Islands.</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The ADSs representing the Class B ordinary shares listed in the table appearing under “Selling Shareholder”, or the Shareholder ADSs, are being registered to permit the resale of Shareholder ADSs by the Selling Shareholder and its pledgees, donees, assignees and successors-in-interest from time to time after the date of this prospectus.</w:t>
      </w:r>
    </w:p>
    <w:p>
      <w:pPr>
        <w:spacing w:after="0" w:line="11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in any manner permitted by the Securities Act, including any one or more of the manners described below. We will not receive any of the proceeds from the sale of the Shareholder ADSs.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may use any one or more of the following methods when disposing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 ADSs:</w:t>
      </w:r>
    </w:p>
    <w:p>
      <w:pPr>
        <w:spacing w:after="0" w:line="126" w:lineRule="exact"/>
        <w:rPr>
          <w:sz w:val="20"/>
          <w:szCs w:val="20"/>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ADSs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resales by the broker-dealer for its account;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short sales made after the date that the registration statement of which this prospectus is a part is declared effective by the SEC;</w:t>
      </w:r>
    </w:p>
    <w:p>
      <w:pPr>
        <w:spacing w:after="0" w:line="80"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 to sell a specified number of such ADSs at a stipulated price per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these methods of sale;</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effecting sales, brokers-dealers engaged by the Selling Shareholder may arrange for other brokers-dealers to participate. If the Selling Shareholder effects such transactions by selling the Shareholder ADSs to or through broker-dealers or agents, such broker-dealers or agents may receive commissions in the form of discounts, concessions or commissions from the Selling Shareholder or commissions from purchasers of the Shareholder ADSs for whom they may act as agent or to whom they may sell as principal. If sales of ADSs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Selling Shareholder and any brokers, dealers or agents that participate in such distribution may be deemed to be “underwriters” within the meaning of the Securities Act, and any discounts, commissions or concessions received by any brokers, dealers or agents might be deemed to be underwriting discounts and commissions under the Securities Act. Any broker-dealers or agents that are deemed to be underwriters may not sell ADSs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 The Selling Shareholder if deemed to be an “underwriter” within the meaning of the Securities Act will be subject to the prospectus delivery requirements of the Securities Act and the provisions of the Exchange Act and the rules thereunder relating to stock manipulation.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the Shareholder ADSs sold in those jurisdictions may only be sold through registered or licensed brokers or dealers. In addition, in some states, the Shareholder ADSs may not be sold unless the Shareholder ADSs have been registered or qualified for sale in that state or an exemption from registration or qualification is available and is complied with.</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any of the ADSs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the Selling Shareholder will sell all or any portion of the shares offered under this prospectus.</w:t>
      </w:r>
    </w:p>
    <w:p>
      <w:pPr>
        <w:spacing w:after="0" w:line="11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have agreed to pay expenses we incur incident to the registration of the ADSs being offered under this prospectus. However, the Selling Shareholder and any purchaser are responsible for paying any discounts, commissions, and similar selling expenses they might incur.</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Selling Shareholder may also sell securities in offshore transactions or in open market transactions under Rule 144 or any other exemption from registration under the Securities Act, if available, rather than under this prospectus, provided that it meets the criteria and conforms to the requirements of those provisions.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Leak-out Agreement</w:t>
      </w:r>
    </w:p>
    <w:p>
      <w:pPr>
        <w:spacing w:after="0" w:line="162"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The Selling Shareholder has agreed to enter into a leak-out agreement with the Company pursuant to which the Selling Shareholder would agree not to sell 1,925,000 ADSs of the Shareholder ADSs, or the Relevant Resale Shares, for a period of 60 days after the date this registration statement is declared effective, except as follows:</w:t>
      </w:r>
    </w:p>
    <w:p>
      <w:pPr>
        <w:spacing w:after="0" w:line="112" w:lineRule="exact"/>
        <w:rPr>
          <w:sz w:val="20"/>
          <w:szCs w:val="20"/>
          <w:color w:val="auto"/>
        </w:rPr>
      </w:pPr>
    </w:p>
    <w:p>
      <w:pPr>
        <w:ind w:left="1320" w:right="559" w:hanging="434"/>
        <w:spacing w:after="0" w:line="256" w:lineRule="auto"/>
        <w:tabs>
          <w:tab w:leader="none" w:pos="131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50% of the Relevant Resale Shares if (i) the Nasdaq official closing price of the ADSs of the Company as reported on nasdaq.com (“NOCP”) on any two consecutive trading days equals or exceeds 130% of the offer price per share in the initial public offering; and (ii) the average daily trading volume (as reported as the NLS Volume on nasdaq.com) (“Trading Volume”) of the ADSs on Nasdaq over such two consecutive trading days equals or exceeds 20,000 ADSs; and</w:t>
      </w:r>
    </w:p>
    <w:p>
      <w:pPr>
        <w:spacing w:after="0" w:line="106"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an additional 50% of the Relevant Resale Shares if (i) the NOCP on any two consecutive trading days equals or exceeds 160% of the offer price per share in the initial public offering; and (ii) the average daily Trading Volume of the ADSs on the Nasdaq over such two consecutive trading days equals or exceeds 20,000 ADSs.</w:t>
      </w:r>
    </w:p>
    <w:p>
      <w:pPr>
        <w:spacing w:after="0" w:line="11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conditions in the above subparagraphs are mutually inclusive and one condition need not be met before the others take effect. For example, if the offer price in the initial public offering is US$5.00, the average NOCP of the ADSs is US$8.00 and the average Trading Volume of the ADSs on Nasdaq is 20,000 ADSs for any two consecutive days, then both of the above-mentioned conditions have been met and all of the Relevant Resale Shares can be sold collectively.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State law. The validity of the ordinary shares represented by the ADSs offered in this offering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other legal matters as to Cayman Islands law will be passed upon for us by Maples and Calder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(Hong Kong) LLP. Resource Law LLC (in alliance with Reed Smith) will pass upon certain legal matters as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law for us. Hogan Lovells may rely upon Maples and Calder (Hong Kong) LLP with respect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matters governed by Cayman Islands law and Resource Law LLC (in alliance with Reed Smith) with respect to</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matters governed by the Singapore law.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Representing 25,000,000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right="65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869315</wp:posOffset>
            </wp:positionV>
            <wp:extent cx="514350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912495</wp:posOffset>
            </wp:positionV>
            <wp:extent cx="514350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1186815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2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10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form of underwriting agreement to be filed as Exhibit 1.1 to this registration statement will also provide indemnification for us and our officers and directors for certain liabilities.</w:t>
      </w:r>
    </w:p>
    <w:p>
      <w:pPr>
        <w:spacing w:after="0" w:line="81"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Securities/Purchaser</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4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Sertus Nominees (Cayman) Limited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Digital Tech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49,999,999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499.99999</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Group Holdings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 Wealth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125,705,000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Tai Lee</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Yat Hong Lo</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Stone Wealth Compound Fund SPC</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24,795,000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 Plus Investment Consulting Company Pte.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24,500,000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Shisong Mai</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Verse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Choon How Liew</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446,429</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Vijai Dharamdas Parwani</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 Yeun Ching@Kelly Tan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267,857</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 Fund Management Limited</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892,857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1"/>
        </w:trPr>
        <w:tc>
          <w:tcPr>
            <w:tcW w:w="4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48" w:lineRule="exact"/>
        <w:rPr>
          <w:sz w:val="20"/>
          <w:szCs w:val="20"/>
          <w:color w:val="auto"/>
        </w:rPr>
      </w:pPr>
    </w:p>
    <w:p>
      <w:pPr>
        <w:ind w:left="1320" w:hanging="434"/>
        <w:spacing w:after="0"/>
        <w:tabs>
          <w:tab w:leader="none" w:pos="13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Exhibit Index beginning on page II-5 of this registration statement.</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11" w:lineRule="exact"/>
        <w:rPr>
          <w:sz w:val="20"/>
          <w:szCs w:val="20"/>
          <w:color w:val="auto"/>
        </w:rPr>
      </w:pPr>
    </w:p>
    <w:p>
      <w:pPr>
        <w:ind w:left="460" w:right="739" w:firstLine="432"/>
        <w:spacing w:after="0" w:line="289" w:lineRule="auto"/>
        <w:rPr>
          <w:sz w:val="20"/>
          <w:szCs w:val="20"/>
          <w:color w:val="auto"/>
        </w:rPr>
      </w:pPr>
      <w:r>
        <w:rPr>
          <w:rFonts w:ascii="Times New Roman" w:cs="Times New Roman" w:eastAsia="Times New Roman" w:hAnsi="Times New Roman"/>
          <w:sz w:val="17"/>
          <w:szCs w:val="17"/>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90"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5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and the related notes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48" w:lineRule="exact"/>
        <w:rPr>
          <w:sz w:val="20"/>
          <w:szCs w:val="20"/>
          <w:color w:val="auto"/>
        </w:rPr>
      </w:pPr>
    </w:p>
    <w:p>
      <w:pPr>
        <w:ind w:left="1320" w:hanging="434"/>
        <w:spacing w:after="0"/>
        <w:tabs>
          <w:tab w:leader="none" w:pos="13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760" w:right="519" w:hanging="442"/>
        <w:spacing w:after="0" w:line="282" w:lineRule="auto"/>
        <w:tabs>
          <w:tab w:leader="none" w:pos="171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40" w:hanging="390"/>
        <w:spacing w:after="0"/>
        <w:tabs>
          <w:tab w:leader="none" w:pos="2140"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ind w:left="2180" w:right="679" w:hanging="430"/>
        <w:spacing w:after="0" w:line="261" w:lineRule="auto"/>
        <w:tabs>
          <w:tab w:leader="none" w:pos="2143"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that, individually or in the aggregate, represent a fundamental change in the information in the registration statement.</w:t>
      </w:r>
    </w:p>
    <w:p>
      <w:pPr>
        <w:spacing w:after="0" w:line="112" w:lineRule="exact"/>
        <w:rPr>
          <w:sz w:val="20"/>
          <w:szCs w:val="20"/>
          <w:color w:val="auto"/>
        </w:rPr>
      </w:pPr>
    </w:p>
    <w:p>
      <w:pPr>
        <w:ind w:left="2180" w:right="459"/>
        <w:spacing w:after="0" w:line="255"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1" w:lineRule="exact"/>
        <w:rPr>
          <w:sz w:val="20"/>
          <w:szCs w:val="20"/>
          <w:color w:val="auto"/>
        </w:rPr>
      </w:pPr>
    </w:p>
    <w:p>
      <w:pPr>
        <w:ind w:left="2180" w:right="1059" w:hanging="430"/>
        <w:spacing w:after="0" w:line="266" w:lineRule="auto"/>
        <w:tabs>
          <w:tab w:leader="none" w:pos="215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Times New Roman" w:cs="Times New Roman" w:eastAsia="Times New Roman" w:hAnsi="Times New Roman"/>
          <w:sz w:val="18"/>
          <w:szCs w:val="18"/>
          <w:color w:val="auto"/>
        </w:rPr>
      </w:pPr>
    </w:p>
    <w:p>
      <w:pPr>
        <w:ind w:left="1760" w:right="499" w:hanging="442"/>
        <w:spacing w:after="0" w:line="261" w:lineRule="auto"/>
        <w:tabs>
          <w:tab w:leader="none" w:pos="171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760" w:right="839" w:hanging="442"/>
        <w:spacing w:after="0" w:line="282" w:lineRule="auto"/>
        <w:tabs>
          <w:tab w:leader="none" w:pos="171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that remain unsold at the termination of the offering.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right="479" w:hanging="442"/>
        <w:spacing w:after="0" w:line="253" w:lineRule="auto"/>
        <w:tabs>
          <w:tab w:leader="none" w:pos="171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if such financial statements and information are contained in periodic reports filed with or furnished to the SEC by the registrant pursuant to Section 13 or Section 15(d) of the Exchange Act that are incorporated by reference in the Form F-3.</w:t>
      </w:r>
    </w:p>
    <w:p>
      <w:pPr>
        <w:spacing w:after="0" w:line="122"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7" w:lineRule="exact"/>
        <w:rPr>
          <w:rFonts w:ascii="Times New Roman" w:cs="Times New Roman" w:eastAsia="Times New Roman" w:hAnsi="Times New Roman"/>
          <w:sz w:val="18"/>
          <w:szCs w:val="18"/>
          <w:color w:val="auto"/>
        </w:rPr>
      </w:pPr>
    </w:p>
    <w:p>
      <w:pPr>
        <w:ind w:left="2140" w:hanging="390"/>
        <w:spacing w:after="0"/>
        <w:tabs>
          <w:tab w:leader="none" w:pos="214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44" w:lineRule="exact"/>
        <w:rPr>
          <w:rFonts w:ascii="Times New Roman" w:cs="Times New Roman" w:eastAsia="Times New Roman" w:hAnsi="Times New Roman"/>
          <w:sz w:val="18"/>
          <w:szCs w:val="18"/>
          <w:color w:val="auto"/>
        </w:rPr>
      </w:pPr>
    </w:p>
    <w:p>
      <w:pPr>
        <w:ind w:left="2620" w:right="479" w:hanging="438"/>
        <w:spacing w:after="0" w:line="266" w:lineRule="auto"/>
        <w:tabs>
          <w:tab w:leader="none" w:pos="2613"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620" w:right="559" w:hanging="438"/>
        <w:spacing w:after="0" w:line="267" w:lineRule="auto"/>
        <w:tabs>
          <w:tab w:leader="none" w:pos="2603" w:val="left"/>
        </w:tabs>
        <w:numPr>
          <w:ilvl w:val="2"/>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20" w:lineRule="exact"/>
        <w:rPr>
          <w:rFonts w:ascii="Times New Roman" w:cs="Times New Roman" w:eastAsia="Times New Roman" w:hAnsi="Times New Roman"/>
          <w:sz w:val="17"/>
          <w:szCs w:val="17"/>
          <w:color w:val="auto"/>
        </w:rPr>
      </w:pPr>
    </w:p>
    <w:p>
      <w:pPr>
        <w:ind w:left="2180" w:right="479" w:hanging="430"/>
        <w:spacing w:after="0" w:line="269" w:lineRule="auto"/>
        <w:tabs>
          <w:tab w:leader="none" w:pos="2143"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right="499" w:hanging="442"/>
        <w:spacing w:after="0" w:line="255" w:lineRule="auto"/>
        <w:tabs>
          <w:tab w:leader="none" w:pos="171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180" w:right="699" w:hanging="430"/>
        <w:spacing w:after="0" w:line="282" w:lineRule="auto"/>
        <w:tabs>
          <w:tab w:leader="none" w:pos="2147"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919" w:hanging="430"/>
        <w:spacing w:after="0" w:line="282" w:lineRule="auto"/>
        <w:tabs>
          <w:tab w:leader="none" w:pos="2143"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ind w:left="2180" w:right="539" w:hanging="430"/>
        <w:spacing w:after="0" w:line="266" w:lineRule="auto"/>
        <w:tabs>
          <w:tab w:leader="none" w:pos="2153"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979" w:hanging="430"/>
        <w:spacing w:after="0" w:line="282" w:lineRule="auto"/>
        <w:tabs>
          <w:tab w:leader="none" w:pos="2143"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2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ind w:left="1760" w:right="539" w:hanging="442"/>
        <w:spacing w:after="0" w:line="258" w:lineRule="auto"/>
        <w:tabs>
          <w:tab w:leader="none" w:pos="171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ind w:left="1760" w:right="679" w:hanging="442"/>
        <w:spacing w:after="0" w:line="261" w:lineRule="auto"/>
        <w:tabs>
          <w:tab w:leader="none" w:pos="171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0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 of Documents</w:t>
      </w:r>
    </w:p>
    <w:p>
      <w:pPr>
        <w:sectPr>
          <w:pgSz w:w="11900" w:h="16838" w:orient="portrait"/>
          <w:cols w:equalWidth="0" w:num="1">
            <w:col w:w="9019"/>
          </w:cols>
          <w:pgMar w:left="1440" w:top="270" w:right="1440" w:bottom="1440"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-136525</wp:posOffset>
            </wp:positionV>
            <wp:extent cx="514350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56">
        <w:r>
          <w:rPr>
            <w:rFonts w:ascii="Times New Roman" w:cs="Times New Roman" w:eastAsia="Times New Roman" w:hAnsi="Times New Roman"/>
            <w:sz w:val="18"/>
            <w:szCs w:val="18"/>
            <w:u w:val="single" w:color="auto"/>
            <w:color w:val="0000EE"/>
          </w:rPr>
          <w:t>Memorandum and Articles of Association of the Registrant, as currently in effect</w:t>
        </w:r>
      </w:hyperlink>
    </w:p>
    <w:p>
      <w:pPr>
        <w:spacing w:after="0" w:line="50" w:lineRule="exact"/>
        <w:rPr>
          <w:sz w:val="20"/>
          <w:szCs w:val="20"/>
          <w:color w:val="auto"/>
        </w:rPr>
      </w:pPr>
    </w:p>
    <w:p>
      <w:pPr>
        <w:ind w:right="799"/>
        <w:spacing w:after="0" w:line="273" w:lineRule="auto"/>
        <w:rPr>
          <w:rFonts w:ascii="Times New Roman" w:cs="Times New Roman" w:eastAsia="Times New Roman" w:hAnsi="Times New Roman"/>
          <w:sz w:val="18"/>
          <w:szCs w:val="18"/>
          <w:u w:val="single" w:color="auto"/>
          <w:color w:val="0000EE"/>
        </w:rPr>
      </w:pPr>
      <w:hyperlink r:id="rId257">
        <w:r>
          <w:rPr>
            <w:rFonts w:ascii="Times New Roman" w:cs="Times New Roman" w:eastAsia="Times New Roman" w:hAnsi="Times New Roman"/>
            <w:sz w:val="18"/>
            <w:szCs w:val="18"/>
            <w:u w:val="single" w:color="auto"/>
            <w:color w:val="0000EE"/>
          </w:rPr>
          <w:t>Form of Amended and Restated Memorandum and Articles of Association of the Registrant, as</w:t>
        </w:r>
      </w:hyperlink>
      <w:r>
        <w:rPr>
          <w:rFonts w:ascii="Times New Roman" w:cs="Times New Roman" w:eastAsia="Times New Roman" w:hAnsi="Times New Roman"/>
          <w:sz w:val="18"/>
          <w:szCs w:val="18"/>
          <w:u w:val="single" w:color="auto"/>
          <w:color w:val="0000EE"/>
        </w:rPr>
        <w:t xml:space="preserve"> </w:t>
      </w:r>
      <w:hyperlink r:id="rId257">
        <w:r>
          <w:rPr>
            <w:rFonts w:ascii="Times New Roman" w:cs="Times New Roman" w:eastAsia="Times New Roman" w:hAnsi="Times New Roman"/>
            <w:sz w:val="18"/>
            <w:szCs w:val="18"/>
            <w:u w:val="single" w:color="auto"/>
            <w:color w:val="0000EE"/>
          </w:rPr>
          <w:t>effective immediately prior to the completion of this offering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4.3**</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5.1**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8.1**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59">
        <w:r>
          <w:rPr>
            <w:rFonts w:ascii="Times New Roman" w:cs="Times New Roman" w:eastAsia="Times New Roman" w:hAnsi="Times New Roman"/>
            <w:sz w:val="18"/>
            <w:szCs w:val="18"/>
            <w:u w:val="single" w:color="auto"/>
            <w:color w:val="0000EE"/>
          </w:rPr>
          <w:t>Form of Registrant’s Specimen American Depositary Receipt (included in Exhibit 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61">
        <w:r>
          <w:rPr>
            <w:rFonts w:ascii="Times New Roman" w:cs="Times New Roman" w:eastAsia="Times New Roman" w:hAnsi="Times New Roman"/>
            <w:sz w:val="18"/>
            <w:szCs w:val="18"/>
            <w:u w:val="single" w:color="auto"/>
            <w:color w:val="0000EE"/>
          </w:rPr>
          <w:t>Registrant’s Specimen Certificate for Class B ordinary shares</w:t>
        </w:r>
      </w:hyperlink>
    </w:p>
    <w:p>
      <w:pPr>
        <w:spacing w:after="0" w:line="50" w:lineRule="exact"/>
        <w:rPr>
          <w:sz w:val="20"/>
          <w:szCs w:val="20"/>
          <w:color w:val="auto"/>
        </w:rPr>
      </w:pPr>
    </w:p>
    <w:p>
      <w:pPr>
        <w:ind w:right="719"/>
        <w:spacing w:after="0" w:line="273" w:lineRule="auto"/>
        <w:rPr>
          <w:rFonts w:ascii="Times New Roman" w:cs="Times New Roman" w:eastAsia="Times New Roman" w:hAnsi="Times New Roman"/>
          <w:sz w:val="18"/>
          <w:szCs w:val="18"/>
          <w:u w:val="single" w:color="auto"/>
          <w:color w:val="0000EE"/>
        </w:rPr>
      </w:pPr>
      <w:hyperlink r:id="rId259">
        <w:r>
          <w:rPr>
            <w:rFonts w:ascii="Times New Roman" w:cs="Times New Roman" w:eastAsia="Times New Roman" w:hAnsi="Times New Roman"/>
            <w:sz w:val="18"/>
            <w:szCs w:val="18"/>
            <w:u w:val="single" w:color="auto"/>
            <w:color w:val="0000EE"/>
          </w:rPr>
          <w:t>Form of Deposit Agreement between the Registrant, the depositary and holders of the American</w:t>
        </w:r>
      </w:hyperlink>
      <w:r>
        <w:rPr>
          <w:rFonts w:ascii="Times New Roman" w:cs="Times New Roman" w:eastAsia="Times New Roman" w:hAnsi="Times New Roman"/>
          <w:sz w:val="18"/>
          <w:szCs w:val="18"/>
          <w:u w:val="single" w:color="auto"/>
          <w:color w:val="0000EE"/>
        </w:rPr>
        <w:t xml:space="preserve"> </w:t>
      </w:r>
      <w:hyperlink r:id="rId259">
        <w:r>
          <w:rPr>
            <w:rFonts w:ascii="Times New Roman" w:cs="Times New Roman" w:eastAsia="Times New Roman" w:hAnsi="Times New Roman"/>
            <w:sz w:val="18"/>
            <w:szCs w:val="18"/>
            <w:u w:val="single" w:color="auto"/>
            <w:color w:val="0000EE"/>
          </w:rPr>
          <w:t>Depositary Receipts</w:t>
        </w:r>
      </w:hyperlink>
    </w:p>
    <w:p>
      <w:pPr>
        <w:spacing w:after="0" w:line="2" w:lineRule="exact"/>
        <w:rPr>
          <w:sz w:val="20"/>
          <w:szCs w:val="20"/>
          <w:color w:val="auto"/>
        </w:rPr>
      </w:pPr>
    </w:p>
    <w:p>
      <w:pPr>
        <w:ind w:right="779"/>
        <w:spacing w:after="0" w:line="273" w:lineRule="auto"/>
        <w:rPr>
          <w:rFonts w:ascii="Times New Roman" w:cs="Times New Roman" w:eastAsia="Times New Roman" w:hAnsi="Times New Roman"/>
          <w:sz w:val="18"/>
          <w:szCs w:val="18"/>
          <w:u w:val="single" w:color="auto"/>
          <w:color w:val="0000EE"/>
        </w:rPr>
      </w:pPr>
      <w:hyperlink r:id="rId262">
        <w:r>
          <w:rPr>
            <w:rFonts w:ascii="Times New Roman" w:cs="Times New Roman" w:eastAsia="Times New Roman" w:hAnsi="Times New Roman"/>
            <w:sz w:val="18"/>
            <w:szCs w:val="18"/>
            <w:u w:val="single" w:color="auto"/>
            <w:color w:val="0000EE"/>
          </w:rPr>
          <w:t>Opinion of Maples and Calder (Hong Kong) LLP regarding the validity of the Class B ordinary</w:t>
        </w:r>
      </w:hyperlink>
      <w:r>
        <w:rPr>
          <w:rFonts w:ascii="Times New Roman" w:cs="Times New Roman" w:eastAsia="Times New Roman" w:hAnsi="Times New Roman"/>
          <w:sz w:val="18"/>
          <w:szCs w:val="18"/>
          <w:u w:val="single" w:color="auto"/>
          <w:color w:val="0000EE"/>
        </w:rPr>
        <w:t xml:space="preserve"> </w:t>
      </w:r>
      <w:hyperlink r:id="rId262">
        <w:r>
          <w:rPr>
            <w:rFonts w:ascii="Times New Roman" w:cs="Times New Roman" w:eastAsia="Times New Roman" w:hAnsi="Times New Roman"/>
            <w:sz w:val="18"/>
            <w:szCs w:val="18"/>
            <w:u w:val="single" w:color="auto"/>
            <w:color w:val="0000EE"/>
          </w:rPr>
          <w:t>shares being registered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839"/>
        <w:spacing w:after="0" w:line="273" w:lineRule="auto"/>
        <w:rPr>
          <w:rFonts w:ascii="Times New Roman" w:cs="Times New Roman" w:eastAsia="Times New Roman" w:hAnsi="Times New Roman"/>
          <w:sz w:val="18"/>
          <w:szCs w:val="18"/>
          <w:u w:val="single" w:color="auto"/>
          <w:color w:val="0000EE"/>
        </w:rPr>
      </w:pPr>
      <w:hyperlink r:id="rId262">
        <w:r>
          <w:rPr>
            <w:rFonts w:ascii="Times New Roman" w:cs="Times New Roman" w:eastAsia="Times New Roman" w:hAnsi="Times New Roman"/>
            <w:sz w:val="18"/>
            <w:szCs w:val="18"/>
            <w:u w:val="single" w:color="auto"/>
            <w:color w:val="0000EE"/>
          </w:rPr>
          <w:t>Opinion of Maples and Calder (Hong Kong) LLP regarding certain Cayman Island tax matters</w:t>
        </w:r>
      </w:hyperlink>
      <w:r>
        <w:rPr>
          <w:rFonts w:ascii="Times New Roman" w:cs="Times New Roman" w:eastAsia="Times New Roman" w:hAnsi="Times New Roman"/>
          <w:sz w:val="18"/>
          <w:szCs w:val="18"/>
          <w:u w:val="single" w:color="auto"/>
          <w:color w:val="0000EE"/>
        </w:rPr>
        <w:t xml:space="preserve"> </w:t>
      </w:r>
      <w:hyperlink r:id="rId262">
        <w:r>
          <w:rPr>
            <w:rFonts w:ascii="Times New Roman" w:cs="Times New Roman" w:eastAsia="Times New Roman" w:hAnsi="Times New Roman"/>
            <w:sz w:val="18"/>
            <w:szCs w:val="18"/>
            <w:u w:val="single" w:color="auto"/>
            <w:color w:val="0000EE"/>
          </w:rPr>
          <w:t>(included in Exhibit 5.1)</w:t>
        </w:r>
      </w:hyperlink>
    </w:p>
    <w:p>
      <w:pPr>
        <w:spacing w:after="0" w:line="2" w:lineRule="exact"/>
        <w:rPr>
          <w:sz w:val="20"/>
          <w:szCs w:val="20"/>
          <w:color w:val="auto"/>
        </w:rPr>
      </w:pPr>
    </w:p>
    <w:p>
      <w:pPr>
        <w:ind w:right="919"/>
        <w:spacing w:after="0" w:line="273" w:lineRule="auto"/>
        <w:rPr>
          <w:rFonts w:ascii="Times New Roman" w:cs="Times New Roman" w:eastAsia="Times New Roman" w:hAnsi="Times New Roman"/>
          <w:sz w:val="18"/>
          <w:szCs w:val="18"/>
          <w:u w:val="single" w:color="auto"/>
          <w:color w:val="0000EE"/>
        </w:rPr>
      </w:pPr>
      <w:hyperlink r:id="rId264">
        <w:r>
          <w:rPr>
            <w:rFonts w:ascii="Times New Roman" w:cs="Times New Roman" w:eastAsia="Times New Roman" w:hAnsi="Times New Roman"/>
            <w:sz w:val="18"/>
            <w:szCs w:val="18"/>
            <w:u w:val="single" w:color="auto"/>
            <w:color w:val="0000EE"/>
          </w:rPr>
          <w:t>Opinion of Resource Law LLC (in alliance with Reed Smith) regarding certain Singapore tax</w:t>
        </w:r>
      </w:hyperlink>
      <w:r>
        <w:rPr>
          <w:rFonts w:ascii="Times New Roman" w:cs="Times New Roman" w:eastAsia="Times New Roman" w:hAnsi="Times New Roman"/>
          <w:sz w:val="18"/>
          <w:szCs w:val="18"/>
          <w:u w:val="single" w:color="auto"/>
          <w:color w:val="0000EE"/>
        </w:rPr>
        <w:t xml:space="preserve"> </w:t>
      </w:r>
      <w:hyperlink r:id="rId264">
        <w:r>
          <w:rPr>
            <w:rFonts w:ascii="Times New Roman" w:cs="Times New Roman" w:eastAsia="Times New Roman" w:hAnsi="Times New Roman"/>
            <w:sz w:val="18"/>
            <w:szCs w:val="18"/>
            <w:u w:val="single" w:color="auto"/>
            <w:color w:val="0000EE"/>
          </w:rPr>
          <w:t>matters (included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10.1**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10.4**</w:t>
      </w:r>
    </w:p>
    <w:p>
      <w:pPr>
        <w:spacing w:after="0" w:line="2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99"/>
        <w:spacing w:after="0" w:line="318" w:lineRule="auto"/>
        <w:rPr>
          <w:rFonts w:ascii="Times New Roman" w:cs="Times New Roman" w:eastAsia="Times New Roman" w:hAnsi="Times New Roman"/>
          <w:sz w:val="18"/>
          <w:szCs w:val="18"/>
          <w:u w:val="single" w:color="auto"/>
          <w:color w:val="0000EE"/>
        </w:rPr>
      </w:pPr>
      <w:hyperlink r:id="rId266">
        <w:r>
          <w:rPr>
            <w:rFonts w:ascii="Times New Roman" w:cs="Times New Roman" w:eastAsia="Times New Roman" w:hAnsi="Times New Roman"/>
            <w:sz w:val="18"/>
            <w:szCs w:val="18"/>
            <w:u w:val="single" w:color="auto"/>
            <w:color w:val="0000EE"/>
          </w:rPr>
          <w:t>Form of Indemnification Agreement between the Registrant and its directors and executive officers</w:t>
        </w:r>
      </w:hyperlink>
      <w:r>
        <w:rPr>
          <w:rFonts w:ascii="Times New Roman" w:cs="Times New Roman" w:eastAsia="Times New Roman" w:hAnsi="Times New Roman"/>
          <w:sz w:val="18"/>
          <w:szCs w:val="18"/>
          <w:u w:val="single" w:color="auto"/>
          <w:color w:val="0000EE"/>
        </w:rPr>
        <w:t xml:space="preserve"> </w:t>
      </w:r>
      <w:hyperlink r:id="rId267">
        <w:r>
          <w:rPr>
            <w:rFonts w:ascii="Times New Roman" w:cs="Times New Roman" w:eastAsia="Times New Roman" w:hAnsi="Times New Roman"/>
            <w:sz w:val="18"/>
            <w:szCs w:val="18"/>
            <w:u w:val="single" w:color="auto"/>
            <w:color w:val="0000EE"/>
          </w:rPr>
          <w:t>Form of Employment Agreement, between the Registrant and its executive officers</w:t>
        </w:r>
      </w:hyperlink>
      <w:r>
        <w:rPr>
          <w:rFonts w:ascii="Times New Roman" w:cs="Times New Roman" w:eastAsia="Times New Roman" w:hAnsi="Times New Roman"/>
          <w:sz w:val="18"/>
          <w:szCs w:val="18"/>
          <w:u w:val="single" w:color="auto"/>
          <w:color w:val="0000EE"/>
        </w:rPr>
        <w:t xml:space="preserve"> </w:t>
      </w:r>
      <w:hyperlink r:id="rId268">
        <w:r>
          <w:rPr>
            <w:rFonts w:ascii="Times New Roman" w:cs="Times New Roman" w:eastAsia="Times New Roman" w:hAnsi="Times New Roman"/>
            <w:sz w:val="18"/>
            <w:szCs w:val="18"/>
            <w:u w:val="single" w:color="auto"/>
            <w:color w:val="0000EE"/>
          </w:rPr>
          <w:t>2023 Equity Incentive Plan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-587375</wp:posOffset>
            </wp:positionH>
            <wp:positionV relativeFrom="paragraph">
              <wp:posOffset>-347345</wp:posOffset>
            </wp:positionV>
            <wp:extent cx="514350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right="939"/>
        <w:spacing w:after="0" w:line="282" w:lineRule="auto"/>
        <w:rPr>
          <w:rFonts w:ascii="Times New Roman" w:cs="Times New Roman" w:eastAsia="Times New Roman" w:hAnsi="Times New Roman"/>
          <w:sz w:val="18"/>
          <w:szCs w:val="18"/>
          <w:u w:val="single" w:color="auto"/>
          <w:color w:val="0000EE"/>
        </w:rPr>
      </w:pPr>
      <w:hyperlink r:id="rId270">
        <w:r>
          <w:rPr>
            <w:rFonts w:ascii="Times New Roman" w:cs="Times New Roman" w:eastAsia="Times New Roman" w:hAnsi="Times New Roman"/>
            <w:sz w:val="18"/>
            <w:szCs w:val="18"/>
            <w:u w:val="single" w:color="auto"/>
            <w:color w:val="0000EE"/>
          </w:rPr>
          <w:t>Form of Leak-out Agreement by and between the Company and Infinite Partner International</w:t>
        </w:r>
      </w:hyperlink>
      <w:r>
        <w:rPr>
          <w:rFonts w:ascii="Times New Roman" w:cs="Times New Roman" w:eastAsia="Times New Roman" w:hAnsi="Times New Roman"/>
          <w:sz w:val="18"/>
          <w:szCs w:val="18"/>
          <w:u w:val="single" w:color="auto"/>
          <w:color w:val="0000EE"/>
        </w:rPr>
        <w:t xml:space="preserve"> </w:t>
      </w:r>
      <w:hyperlink r:id="rId270">
        <w:r>
          <w:rPr>
            <w:rFonts w:ascii="Times New Roman" w:cs="Times New Roman" w:eastAsia="Times New Roman" w:hAnsi="Times New Roman"/>
            <w:sz w:val="18"/>
            <w:szCs w:val="18"/>
            <w:u w:val="single" w:color="auto"/>
            <w:color w:val="0000EE"/>
          </w:rPr>
          <w:t>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-296545</wp:posOffset>
            </wp:positionV>
            <wp:extent cx="5143500" cy="3003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272">
        <w:r>
          <w:rPr>
            <w:rFonts w:ascii="Times New Roman" w:cs="Times New Roman" w:eastAsia="Times New Roman" w:hAnsi="Times New Roman"/>
            <w:sz w:val="18"/>
            <w:szCs w:val="18"/>
            <w:u w:val="single" w:color="auto"/>
            <w:color w:val="0000EE"/>
          </w:rPr>
          <w:t>Principal Subsidiaries of the Registrant</w:t>
        </w:r>
      </w:hyperlink>
    </w:p>
    <w:p>
      <w:pPr>
        <w:spacing w:after="0" w:line="50" w:lineRule="exact"/>
        <w:rPr>
          <w:sz w:val="20"/>
          <w:szCs w:val="20"/>
          <w:color w:val="auto"/>
        </w:rPr>
      </w:pPr>
    </w:p>
    <w:p>
      <w:pPr>
        <w:sectPr>
          <w:pgSz w:w="11900" w:h="16838" w:orient="portrait"/>
          <w:cols w:equalWidth="0" w:num="2">
            <w:col w:w="940" w:space="440"/>
            <w:col w:w="7639"/>
          </w:cols>
          <w:pgMar w:left="1440" w:top="270" w:right="1440" w:bottom="1440" w:gutter="0" w:footer="0" w:header="0"/>
          <w:type w:val="continuous"/>
        </w:sectPr>
      </w:pPr>
    </w:p>
    <w:p>
      <w:pPr>
        <w:ind w:left="460"/>
        <w:spacing w:after="0"/>
        <w:tabs>
          <w:tab w:leader="none" w:pos="13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Marcum Asia CPAs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23.2**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23.3**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99.2**</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99.4**</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99.5**</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99.6**</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99.7**</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99.8**</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99.9**</w:t>
      </w:r>
    </w:p>
    <w:p>
      <w:pPr>
        <w:spacing w:after="0" w:line="27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62">
        <w:r>
          <w:rPr>
            <w:rFonts w:ascii="Times New Roman" w:cs="Times New Roman" w:eastAsia="Times New Roman" w:hAnsi="Times New Roman"/>
            <w:sz w:val="18"/>
            <w:szCs w:val="18"/>
            <w:u w:val="single" w:color="auto"/>
            <w:color w:val="0000EE"/>
          </w:rPr>
          <w:t>Consent of Maples and Calder (Hong Kong) LLP (included in Exhibit 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64">
        <w:r>
          <w:rPr>
            <w:rFonts w:ascii="Times New Roman" w:cs="Times New Roman" w:eastAsia="Times New Roman" w:hAnsi="Times New Roman"/>
            <w:sz w:val="18"/>
            <w:szCs w:val="18"/>
            <w:u w:val="single" w:color="auto"/>
            <w:color w:val="0000EE"/>
          </w:rPr>
          <w:t>Consent of Resource Law LLC (in alliance with Reed Smith)(included in Exhibit 99.2)</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75">
        <w:r>
          <w:rPr>
            <w:rFonts w:ascii="Times New Roman" w:cs="Times New Roman" w:eastAsia="Times New Roman" w:hAnsi="Times New Roman"/>
            <w:sz w:val="18"/>
            <w:szCs w:val="18"/>
            <w:u w:val="single" w:color="auto"/>
            <w:color w:val="0000EE"/>
          </w:rPr>
          <w:t>Powers of Attorney (included on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80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77">
        <w:r>
          <w:rPr>
            <w:rFonts w:ascii="Times New Roman" w:cs="Times New Roman" w:eastAsia="Times New Roman" w:hAnsi="Times New Roman"/>
            <w:sz w:val="18"/>
            <w:szCs w:val="18"/>
            <w:u w:val="single" w:color="auto"/>
            <w:color w:val="0000EE"/>
          </w:rPr>
          <w:t>Code of Business Conduct and Ethics of the Registrant</w:t>
        </w:r>
      </w:hyperlink>
    </w:p>
    <w:p>
      <w:pPr>
        <w:spacing w:after="0" w:line="50" w:lineRule="exact"/>
        <w:rPr>
          <w:sz w:val="20"/>
          <w:szCs w:val="20"/>
          <w:color w:val="auto"/>
        </w:rPr>
      </w:pPr>
    </w:p>
    <w:p>
      <w:pPr>
        <w:ind w:right="879"/>
        <w:spacing w:after="0" w:line="282" w:lineRule="auto"/>
        <w:rPr>
          <w:rFonts w:ascii="Times New Roman" w:cs="Times New Roman" w:eastAsia="Times New Roman" w:hAnsi="Times New Roman"/>
          <w:sz w:val="18"/>
          <w:szCs w:val="18"/>
          <w:u w:val="single" w:color="auto"/>
          <w:color w:val="0000EE"/>
        </w:rPr>
      </w:pPr>
      <w:hyperlink r:id="rId264">
        <w:r>
          <w:rPr>
            <w:rFonts w:ascii="Times New Roman" w:cs="Times New Roman" w:eastAsia="Times New Roman" w:hAnsi="Times New Roman"/>
            <w:sz w:val="18"/>
            <w:szCs w:val="18"/>
            <w:u w:val="single" w:color="auto"/>
            <w:color w:val="0000EE"/>
          </w:rPr>
          <w:t>Opinion of Resource Law LLC (in alliance with Reed Smith) regarding certain Singapore law</w:t>
        </w:r>
      </w:hyperlink>
      <w:r>
        <w:rPr>
          <w:rFonts w:ascii="Times New Roman" w:cs="Times New Roman" w:eastAsia="Times New Roman" w:hAnsi="Times New Roman"/>
          <w:sz w:val="18"/>
          <w:szCs w:val="18"/>
          <w:u w:val="single" w:color="auto"/>
          <w:color w:val="0000EE"/>
        </w:rPr>
        <w:t xml:space="preserve"> </w:t>
      </w:r>
      <w:hyperlink r:id="rId264">
        <w:r>
          <w:rPr>
            <w:rFonts w:ascii="Times New Roman" w:cs="Times New Roman" w:eastAsia="Times New Roman" w:hAnsi="Times New Roman"/>
            <w:sz w:val="18"/>
            <w:szCs w:val="18"/>
            <w:u w:val="single" w:color="auto"/>
            <w:color w:val="0000EE"/>
          </w:rPr>
          <w:t>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2540</wp:posOffset>
            </wp:positionV>
            <wp:extent cx="5143500" cy="1803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279">
        <w:r>
          <w:rPr>
            <w:rFonts w:ascii="Times New Roman" w:cs="Times New Roman" w:eastAsia="Times New Roman" w:hAnsi="Times New Roman"/>
            <w:sz w:val="18"/>
            <w:szCs w:val="18"/>
            <w:u w:val="single" w:color="auto"/>
            <w:color w:val="0000EE"/>
          </w:rPr>
          <w:t>Consent of Frost &amp; Sullivan</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0">
        <w:r>
          <w:rPr>
            <w:rFonts w:ascii="Times New Roman" w:cs="Times New Roman" w:eastAsia="Times New Roman" w:hAnsi="Times New Roman"/>
            <w:sz w:val="18"/>
            <w:szCs w:val="18"/>
            <w:u w:val="single" w:color="auto"/>
            <w:color w:val="0000EE"/>
          </w:rPr>
          <w:t>Consent of Poh Kiong Tan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80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2">
        <w:r>
          <w:rPr>
            <w:rFonts w:ascii="Times New Roman" w:cs="Times New Roman" w:eastAsia="Times New Roman" w:hAnsi="Times New Roman"/>
            <w:sz w:val="18"/>
            <w:szCs w:val="18"/>
            <w:u w:val="single" w:color="auto"/>
            <w:color w:val="0000EE"/>
          </w:rPr>
          <w:t>Consent of How Teck Lim</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3">
        <w:r>
          <w:rPr>
            <w:rFonts w:ascii="Times New Roman" w:cs="Times New Roman" w:eastAsia="Times New Roman" w:hAnsi="Times New Roman"/>
            <w:sz w:val="18"/>
            <w:szCs w:val="18"/>
            <w:u w:val="single" w:color="auto"/>
            <w:color w:val="0000EE"/>
          </w:rPr>
          <w:t>Consent of Noi Keng Koh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5">
        <w:r>
          <w:rPr>
            <w:rFonts w:ascii="Times New Roman" w:cs="Times New Roman" w:eastAsia="Times New Roman" w:hAnsi="Times New Roman"/>
            <w:sz w:val="18"/>
            <w:szCs w:val="18"/>
            <w:u w:val="single" w:color="auto"/>
            <w:color w:val="0000EE"/>
          </w:rPr>
          <w:t>Consent of Chwee Koh Chua</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86">
        <w:r>
          <w:rPr>
            <w:rFonts w:ascii="Times New Roman" w:cs="Times New Roman" w:eastAsia="Times New Roman" w:hAnsi="Times New Roman"/>
            <w:sz w:val="18"/>
            <w:szCs w:val="18"/>
            <w:u w:val="single" w:color="auto"/>
            <w:color w:val="0000EE"/>
          </w:rPr>
          <w:t>Representation Under Item 8.A.4 of Form 20-F</w:t>
        </w:r>
      </w:hyperlink>
    </w:p>
    <w:p>
      <w:pPr>
        <w:spacing w:after="0" w:line="50" w:lineRule="exact"/>
        <w:rPr>
          <w:sz w:val="20"/>
          <w:szCs w:val="20"/>
          <w:color w:val="auto"/>
        </w:rPr>
      </w:pPr>
    </w:p>
    <w:p>
      <w:pPr>
        <w:ind w:right="819"/>
        <w:spacing w:after="0" w:line="282" w:lineRule="auto"/>
        <w:rPr>
          <w:rFonts w:ascii="Times New Roman" w:cs="Times New Roman" w:eastAsia="Times New Roman" w:hAnsi="Times New Roman"/>
          <w:sz w:val="18"/>
          <w:szCs w:val="18"/>
          <w:u w:val="single" w:color="auto"/>
          <w:color w:val="0000EE"/>
        </w:rPr>
      </w:pPr>
      <w:hyperlink r:id="rId287">
        <w:r>
          <w:rPr>
            <w:rFonts w:ascii="Times New Roman" w:cs="Times New Roman" w:eastAsia="Times New Roman" w:hAnsi="Times New Roman"/>
            <w:sz w:val="18"/>
            <w:szCs w:val="18"/>
            <w:u w:val="single" w:color="auto"/>
            <w:color w:val="0000EE"/>
          </w:rPr>
          <w:t>Share Purchase Agreement dated January 22, 2024 by and between Tri Wealth Ltd and Infinite</w:t>
        </w:r>
      </w:hyperlink>
      <w:r>
        <w:rPr>
          <w:rFonts w:ascii="Times New Roman" w:cs="Times New Roman" w:eastAsia="Times New Roman" w:hAnsi="Times New Roman"/>
          <w:sz w:val="18"/>
          <w:szCs w:val="18"/>
          <w:u w:val="single" w:color="auto"/>
          <w:color w:val="0000EE"/>
        </w:rPr>
        <w:t xml:space="preserve"> </w:t>
      </w:r>
      <w:hyperlink r:id="rId287">
        <w:r>
          <w:rPr>
            <w:rFonts w:ascii="Times New Roman" w:cs="Times New Roman" w:eastAsia="Times New Roman" w:hAnsi="Times New Roman"/>
            <w:sz w:val="18"/>
            <w:szCs w:val="18"/>
            <w:u w:val="single" w:color="auto"/>
            <w:color w:val="0000EE"/>
          </w:rPr>
          <w:t>Partner International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-296545</wp:posOffset>
            </wp:positionV>
            <wp:extent cx="5143500" cy="2997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289">
        <w:r>
          <w:rPr>
            <w:rFonts w:ascii="Times New Roman" w:cs="Times New Roman" w:eastAsia="Times New Roman" w:hAnsi="Times New Roman"/>
            <w:sz w:val="18"/>
            <w:szCs w:val="18"/>
            <w:u w:val="single" w:color="auto"/>
            <w:color w:val="0000EE"/>
          </w:rPr>
          <w:t>Filing Fee Table</w:t>
        </w:r>
      </w:hyperlink>
    </w:p>
    <w:p>
      <w:pPr>
        <w:spacing w:after="0" w:line="108" w:lineRule="exact"/>
        <w:rPr>
          <w:sz w:val="20"/>
          <w:szCs w:val="20"/>
          <w:color w:val="auto"/>
        </w:rPr>
      </w:pPr>
    </w:p>
    <w:p>
      <w:pPr>
        <w:sectPr>
          <w:pgSz w:w="11900" w:h="16838" w:orient="portrait"/>
          <w:cols w:equalWidth="0" w:num="2">
            <w:col w:w="940" w:space="44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March 18, 2024.</w:t>
      </w:r>
    </w:p>
    <w:p>
      <w:pPr>
        <w:spacing w:after="0" w:line="28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51435</wp:posOffset>
            </wp:positionV>
            <wp:extent cx="22459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25"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6"/>
        </w:trPr>
        <w:tc>
          <w:tcPr>
            <w:tcW w:w="5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100" w:type="dxa"/>
            <w:vAlign w:val="bottom"/>
            <w:vMerge w:val="continue"/>
          </w:tcPr>
          <w:p>
            <w:pPr>
              <w:spacing w:after="0"/>
              <w:rPr>
                <w:sz w:val="19"/>
                <w:szCs w:val="19"/>
                <w:color w:val="auto"/>
              </w:rPr>
            </w:pPr>
          </w:p>
        </w:tc>
        <w:tc>
          <w:tcPr>
            <w:tcW w:w="36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c>
          <w:tcPr>
            <w:tcW w:w="0" w:type="dxa"/>
            <w:vAlign w:val="bottom"/>
          </w:tcPr>
          <w:p>
            <w:pPr>
              <w:spacing w:after="0"/>
              <w:rPr>
                <w:sz w:val="1"/>
                <w:szCs w:val="1"/>
                <w:color w:val="auto"/>
              </w:rPr>
            </w:pPr>
          </w:p>
        </w:tc>
      </w:tr>
      <w:tr>
        <w:trPr>
          <w:trHeight w:val="41"/>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60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Name: Haiyan Huang</w:t>
            </w:r>
          </w:p>
        </w:tc>
        <w:tc>
          <w:tcPr>
            <w:tcW w:w="100" w:type="dxa"/>
            <w:vAlign w:val="bottom"/>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Soon Huat Lim</w:t>
            </w: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Attorney-in-fact</w:t>
            </w:r>
          </w:p>
        </w:tc>
        <w:tc>
          <w:tcPr>
            <w:tcW w:w="1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II-6</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Trident Digital Tech Holdings Ltd, has signed this registration statement or amendment thereto in New York, United States on March 18, 2024.</w:t>
      </w:r>
    </w:p>
    <w:p>
      <w:pPr>
        <w:spacing w:after="0" w:line="2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51435</wp:posOffset>
            </wp:positionV>
            <wp:extent cx="16198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7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5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for and on behalf of Cogency</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Global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TRIDENT DIGITAL TECH HOLDINGS LTD</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EDDID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Eddid Securities USA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Broadway, Suite 801,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NY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undersigned, Trident Digital Tech Holdings Ltd, an exempted company incorporated in the Cayman Islands with limited liability (collectively with its subsidiaries and affiliates, including, without limitation, all entities disclosed or described in the Registration Statement (as hereinafter defined) as being subsidiaries or affiliates of Trident Digital Tech Holdings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confirms its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Eddid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Securities USA Inc. </w:t>
      </w: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(including its correlatives) or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83" w:lineRule="exact"/>
        <w:rPr>
          <w:sz w:val="20"/>
          <w:szCs w:val="20"/>
          <w:color w:val="auto"/>
        </w:rPr>
      </w:pPr>
    </w:p>
    <w:p>
      <w:pPr>
        <w:ind w:left="660" w:right="8580" w:hanging="652"/>
        <w:spacing w:after="0" w:line="500" w:lineRule="auto"/>
        <w:tabs>
          <w:tab w:leader="none" w:pos="19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Firm Shares</w:t>
      </w:r>
      <w:r>
        <w:rPr>
          <w:rFonts w:ascii="Times New Roman" w:cs="Times New Roman" w:eastAsia="Times New Roman" w:hAnsi="Times New Roman"/>
          <w:sz w:val="18"/>
          <w:szCs w:val="18"/>
          <w:color w:val="auto"/>
        </w:rPr>
        <w:t xml:space="preserve">. 1.1 </w:t>
      </w: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i w:val="1"/>
          <w:iCs w:val="1"/>
          <w:color w:val="auto"/>
        </w:rPr>
        <w: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Nature and Purchase of Firm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0" w:firstLine="1952"/>
        <w:spacing w:after="0" w:line="266" w:lineRule="auto"/>
        <w:tabs>
          <w:tab w:leader="none" w:pos="215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and warranties herein contained, but subject to the terms and conditions herein set forth, the Company agrees to issue and sell to the Underwriter, an aggregate of [●] shares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of the Company’s American depositary shares, each representing eight Class B ordinary shares of the Company, par value US$0.00001 per share (the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952"/>
        <w:spacing w:after="0" w:line="258" w:lineRule="auto"/>
        <w:tabs>
          <w:tab w:leader="none" w:pos="220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 agrees to purchase from the Company the number of Firm Shares set forth opposite its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and made a part hereof at a purchase price of US$[●] per Firm Share being offered and sold to investors introduced by the Underwriter (94% of the per Firm Share offering price), or a purchase price of US$[●] per Firm Share being offered and sold to investors introduced by the Company (97% of the per Firm Share offering price) and with such pricing information set forth in </w:t>
      </w:r>
      <w:r>
        <w:rPr>
          <w:rFonts w:ascii="Times New Roman" w:cs="Times New Roman" w:eastAsia="Times New Roman" w:hAnsi="Times New Roman"/>
          <w:sz w:val="18"/>
          <w:szCs w:val="18"/>
          <w:u w:val="single" w:color="auto"/>
          <w:color w:val="auto"/>
        </w:rPr>
        <w:t>Schedule 2-A</w:t>
      </w:r>
      <w:r>
        <w:rPr>
          <w:rFonts w:ascii="Times New Roman" w:cs="Times New Roman" w:eastAsia="Times New Roman" w:hAnsi="Times New Roman"/>
          <w:sz w:val="18"/>
          <w:szCs w:val="18"/>
          <w:color w:val="auto"/>
        </w:rPr>
        <w:t xml:space="preserve"> hereof. The Firm Shares are to be offered initially to the public at the offering price set forth on the cover page of the Prospectus (as defined in Section 2.1.1 hereof).</w:t>
      </w:r>
    </w:p>
    <w:p>
      <w:pPr>
        <w:spacing w:after="0" w:line="183" w:lineRule="exact"/>
        <w:rPr>
          <w:rFonts w:ascii="Times New Roman" w:cs="Times New Roman" w:eastAsia="Times New Roman" w:hAnsi="Times New Roman"/>
          <w:sz w:val="18"/>
          <w:szCs w:val="18"/>
          <w:color w:val="auto"/>
        </w:rPr>
      </w:pPr>
    </w:p>
    <w:p>
      <w:pPr>
        <w:ind w:right="40" w:firstLine="1952"/>
        <w:spacing w:after="0" w:line="258" w:lineRule="auto"/>
        <w:tabs>
          <w:tab w:leader="none" w:pos="225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engage the Underwriter for the period beginning on January 9, 2024 and ending eighteen (12) months thereafter or upon the final closing of the Offering (as defined below), whichever is sooner (the “</w:t>
      </w:r>
      <w:r>
        <w:rPr>
          <w:rFonts w:ascii="Times New Roman" w:cs="Times New Roman" w:eastAsia="Times New Roman" w:hAnsi="Times New Roman"/>
          <w:sz w:val="18"/>
          <w:szCs w:val="18"/>
          <w:b w:val="1"/>
          <w:bCs w:val="1"/>
          <w:color w:val="auto"/>
        </w:rPr>
        <w:t>Engagement Period</w:t>
      </w:r>
      <w:r>
        <w:rPr>
          <w:rFonts w:ascii="Times New Roman" w:cs="Times New Roman" w:eastAsia="Times New Roman" w:hAnsi="Times New Roman"/>
          <w:sz w:val="18"/>
          <w:szCs w:val="18"/>
          <w:color w:val="auto"/>
        </w:rPr>
        <w:t>”), to act as the Company’s (except as the Underwriter and the Company may otherwise agree in writing) underwriter and investment banker in connection with the Offering. The Firm Shares are hereinafter referred to together as the “</w:t>
      </w:r>
      <w:r>
        <w:rPr>
          <w:rFonts w:ascii="Times New Roman" w:cs="Times New Roman" w:eastAsia="Times New Roman" w:hAnsi="Times New Roman"/>
          <w:sz w:val="18"/>
          <w:szCs w:val="18"/>
          <w:b w:val="1"/>
          <w:bCs w:val="1"/>
          <w:color w:val="auto"/>
        </w:rPr>
        <w:t>Public Securities</w:t>
      </w:r>
      <w:r>
        <w:rPr>
          <w:rFonts w:ascii="Times New Roman" w:cs="Times New Roman" w:eastAsia="Times New Roman" w:hAnsi="Times New Roman"/>
          <w:sz w:val="18"/>
          <w:szCs w:val="18"/>
          <w:color w:val="auto"/>
        </w:rPr>
        <w:t>.” The offering and sale of the Public Securities is hereinafter referred to as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Delivery and payment for the Firm Shares shall be made at 10:00 a.m., Eastern time, on the second (2nd)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(as defined below) following the effective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Registration Statement (as defined in Section 2.1.1 below)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(3rd) Business Day following the Effective Date if the Registration Statement is declared effective after 4:01 p.m., Eastern time) or at such earlier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as shall be agreed upon by the Parties, at the offices of Sichenzia Ross Ference Carmel LLP, 1185 Avenue of the Americas Street, 31st Floor,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New York 10036, Underwriter’s Counsel (“</w:t>
      </w:r>
      <w:r>
        <w:rPr>
          <w:rFonts w:ascii="Times New Roman" w:cs="Times New Roman" w:eastAsia="Times New Roman" w:hAnsi="Times New Roman"/>
          <w:sz w:val="18"/>
          <w:szCs w:val="18"/>
          <w:b w:val="1"/>
          <w:bCs w:val="1"/>
          <w:color w:val="auto"/>
        </w:rPr>
        <w:t>Underwriter’s Counsel</w:t>
      </w:r>
      <w:r>
        <w:rPr>
          <w:rFonts w:ascii="Times New Roman" w:cs="Times New Roman" w:eastAsia="Times New Roman" w:hAnsi="Times New Roman"/>
          <w:sz w:val="18"/>
          <w:szCs w:val="18"/>
          <w:color w:val="auto"/>
        </w:rPr>
        <w:t>”), or at such other place (or remotely by facsimile or other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 as shall be agreed upon by the Parties. The hour and date of delivery and payment for the Firm Shares is hereinafter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Payment for the Firm Shares shall be made on the Closing Date by wire transfer in federal (same day) funds (“</w:t>
      </w:r>
      <w:r>
        <w:rPr>
          <w:rFonts w:ascii="Times New Roman" w:cs="Times New Roman" w:eastAsia="Times New Roman" w:hAnsi="Times New Roman"/>
          <w:sz w:val="18"/>
          <w:szCs w:val="18"/>
          <w:b w:val="1"/>
          <w:bCs w:val="1"/>
          <w:color w:val="auto"/>
        </w:rPr>
        <w:t>Federal Funds</w:t>
      </w:r>
      <w:r>
        <w:rPr>
          <w:rFonts w:ascii="Times New Roman" w:cs="Times New Roman" w:eastAsia="Times New Roman" w:hAnsi="Times New Roman"/>
          <w:sz w:val="18"/>
          <w:szCs w:val="18"/>
          <w:color w:val="auto"/>
        </w:rPr>
        <w:t>”),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order of the Company upon delivery to the Underwriter of certificates (in form and substance satisfactory to the Underwriter) representing the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(or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account of the Underwriter. The Firm Shares shall be registered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or names and in such authorized denominations as the Underwriter may request in writing at least two (2) full Business Days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Company will permit the Underwriter to examine and package the Firm Shares for delivery, at least one (1) full Business Day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The Company shall not be obligated to sell or deliver the Firm Shares except upon tender of payment by the Underwriter for all of the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 legal holiday or any other day on which commercial banks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City of New York are authorized or required by law to remain closed,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clarification, commercial banks shall not be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authorized or required by law to remain closed due to “stay at home,” “shelter-in-place,” “non-essential employee” or any other similar orders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or the closure of any physical branch locations at the direction of any governmental authority so long as the electronic funds transfer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for wire transfers) of commercial banks in the City of New York are generally are open for use by customers on such day.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0" w:name="page191"/>
    <w:bookmarkEnd w:id="190"/>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firstLine="8"/>
        <w:spacing w:after="0" w:line="282" w:lineRule="auto"/>
        <w:tabs>
          <w:tab w:leader="none" w:pos="1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Underwriter as of the Applicable Time (as defined below), as of the Closing Date,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Filing of Registration Statement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Pursuant to the Securities Act</w:t>
      </w:r>
      <w:r>
        <w:rPr>
          <w:rFonts w:ascii="Times New Roman" w:cs="Times New Roman" w:eastAsia="Times New Roman" w:hAnsi="Times New Roman"/>
          <w:sz w:val="18"/>
          <w:szCs w:val="18"/>
          <w:color w:val="auto"/>
        </w:rPr>
        <w:t>. The Company has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and any amendment or amendments thereto, on Form F-1 (File No. 333-[●]), including any related prospectus or prospectuses, for the registration of the Public Securities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which registration statement and amendment or amendments have been prepared by the Company in conformity with the requirements of the Securities Act and the rules and regulations of the Commission under the Securities Act (the “</w:t>
      </w:r>
      <w:r>
        <w:rPr>
          <w:rFonts w:ascii="Times New Roman" w:cs="Times New Roman" w:eastAsia="Times New Roman" w:hAnsi="Times New Roman"/>
          <w:sz w:val="18"/>
          <w:szCs w:val="18"/>
          <w:b w:val="1"/>
          <w:bCs w:val="1"/>
          <w:color w:val="auto"/>
        </w:rPr>
        <w:t>Securities Act Regulations</w:t>
      </w:r>
      <w:r>
        <w:rPr>
          <w:rFonts w:ascii="Times New Roman" w:cs="Times New Roman" w:eastAsia="Times New Roman" w:hAnsi="Times New Roman"/>
          <w:sz w:val="18"/>
          <w:szCs w:val="18"/>
          <w:color w:val="auto"/>
        </w:rPr>
        <w:t>”). The conditions for use of Form F-1 as set forth in the General Instructions to such Form F-1, to register Public Securities under the Securities Act, have been satisfied. Except as the context may otherwise require, such registration statement, as amended, on file with the Commission at the time the registration statement became effective (including the Preliminary Prospectus (as defined below) included in the registration statement, financial statements, schedules, exhibits and all other documents filed as a part thereof or incorporated therein and all information deemed to be a part thereof as of the Effective Date pursuant to Rule 430A of the Securities Act Regulations (the “</w:t>
      </w:r>
      <w:r>
        <w:rPr>
          <w:rFonts w:ascii="Times New Roman" w:cs="Times New Roman" w:eastAsia="Times New Roman" w:hAnsi="Times New Roman"/>
          <w:sz w:val="18"/>
          <w:szCs w:val="18"/>
          <w:b w:val="1"/>
          <w:bCs w:val="1"/>
          <w:color w:val="auto"/>
        </w:rPr>
        <w:t>Rule 430A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If the Company files any registration statement pursuant to Rule 462(b) of the Securities Act Regulations, then after such filing, the term “Registration Statement” shall include such registration statement filed pursuant to Rule 462(b). The Registration Statement has been declared effective by the Commission on the date hereof.</w:t>
      </w:r>
    </w:p>
    <w:p>
      <w:pPr>
        <w:spacing w:after="0" w:line="1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The Preliminary Prospectus, subject to completion, dated [DATE], 2024, that was included in the Registration Statement immediately prior to the Applicable Time is hereinafter called the “</w:t>
      </w:r>
      <w:r>
        <w:rPr>
          <w:rFonts w:ascii="Times New Roman" w:cs="Times New Roman" w:eastAsia="Times New Roman" w:hAnsi="Times New Roman"/>
          <w:sz w:val="18"/>
          <w:szCs w:val="18"/>
          <w:b w:val="1"/>
          <w:bCs w:val="1"/>
          <w:color w:val="auto"/>
        </w:rPr>
        <w:t>Pricing Prospectus</w:t>
      </w:r>
      <w:r>
        <w:rPr>
          <w:rFonts w:ascii="Times New Roman" w:cs="Times New Roman" w:eastAsia="Times New Roman" w:hAnsi="Times New Roman"/>
          <w:sz w:val="18"/>
          <w:szCs w:val="18"/>
          <w:color w:val="auto"/>
        </w:rPr>
        <w:t>.” The final prospectus in the form first furnished to the Underwriter for use in the Offering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Any reference to the “most recent Preliminary Prospectus” shall be deemed to refer to the latest Preliminary Prospectus included in the Registration Statement.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[TIME] [a.m.]/[p.m.], Eastern time, on the date of this Agreement.</w:t>
      </w:r>
    </w:p>
    <w:p>
      <w:pPr>
        <w:spacing w:after="0" w:line="225"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Securities Act Regulations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including, without limitation, any “free writing prospectus” (as defined in Rule 405 of the Securities Act Regulations) relating to the Public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Public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2" w:lineRule="exact"/>
        <w:rPr>
          <w:sz w:val="20"/>
          <w:szCs w:val="20"/>
          <w:color w:val="auto"/>
        </w:rPr>
      </w:pPr>
    </w:p>
    <w:p>
      <w:pPr>
        <w:jc w:val="both"/>
        <w:ind w:right="2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433(h)(5) under the Securities Act (the “</w:t>
      </w:r>
      <w:r>
        <w:rPr>
          <w:rFonts w:ascii="Times New Roman" w:cs="Times New Roman" w:eastAsia="Times New Roman" w:hAnsi="Times New Roman"/>
          <w:sz w:val="18"/>
          <w:szCs w:val="18"/>
          <w:b w:val="1"/>
          <w:bCs w:val="1"/>
          <w:color w:val="auto"/>
        </w:rPr>
        <w:t>Bona Fide 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as evidenced by its being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171" w:lineRule="exact"/>
        <w:rPr>
          <w:sz w:val="20"/>
          <w:szCs w:val="20"/>
          <w:color w:val="auto"/>
        </w:rPr>
      </w:pPr>
    </w:p>
    <w:p>
      <w:pPr>
        <w:ind w:right="5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55" w:lineRule="exact"/>
        <w:rPr>
          <w:sz w:val="20"/>
          <w:szCs w:val="20"/>
          <w:color w:val="auto"/>
        </w:rPr>
      </w:pPr>
    </w:p>
    <w:p>
      <w:pPr>
        <w:ind w:right="3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xml:space="preserve">” means any Issuer General Use Free Writing Prospectus issued at or prior to the Applicable Time, the Pricing Prospectus and the information included on </w:t>
      </w:r>
      <w:r>
        <w:rPr>
          <w:rFonts w:ascii="Times New Roman" w:cs="Times New Roman" w:eastAsia="Times New Roman" w:hAnsi="Times New Roman"/>
          <w:sz w:val="18"/>
          <w:szCs w:val="18"/>
          <w:u w:val="single" w:color="auto"/>
          <w:color w:val="auto"/>
        </w:rPr>
        <w:t>Schedule 2-A</w:t>
      </w:r>
      <w:r>
        <w:rPr>
          <w:rFonts w:ascii="Times New Roman" w:cs="Times New Roman" w:eastAsia="Times New Roman" w:hAnsi="Times New Roman"/>
          <w:sz w:val="18"/>
          <w:szCs w:val="18"/>
          <w:color w:val="auto"/>
        </w:rPr>
        <w:t xml:space="preserve"> hereto, all considered together.</w:t>
      </w:r>
    </w:p>
    <w:p>
      <w:pPr>
        <w:spacing w:after="0" w:line="159"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Pursuant to the Exchange Act</w:t>
      </w:r>
      <w:r>
        <w:rPr>
          <w:rFonts w:ascii="Times New Roman" w:cs="Times New Roman" w:eastAsia="Times New Roman" w:hAnsi="Times New Roman"/>
          <w:sz w:val="18"/>
          <w:szCs w:val="18"/>
          <w:color w:val="auto"/>
        </w:rPr>
        <w:t>. The Company has filed with the Commission a Form 8-A (File No. [NUMBER]) providing for the registration pursuant to Section 12(b)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the Public Securities. The registration of the Public Securities under the Exchange Act has been declared effective by the Commission on or prior to the date hereof. The Company has taken no action designed to, or likely to have the effect of, terminating the registration of the Public Securities under the Exchange Act, nor has the Company received any notification that the Commission is contemplating terminating such registration.</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Public Securities have been approved for listing on the Nasdaq Capital Market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subject only to official notice of issuance, and the Company has taken no action designed to, or likely to have the effect of, delisting the Public Securities from the Exchange, nor has the Company received any notification that the Exchange is contemplating terminating such listing except as described in the Registration Statement, the Pricing Disclosure Package and the Prospectus.</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Stop Orders, etc</w:t>
      </w:r>
      <w:r>
        <w:rPr>
          <w:rFonts w:ascii="Times New Roman" w:cs="Times New Roman" w:eastAsia="Times New Roman" w:hAnsi="Times New Roman"/>
          <w:sz w:val="18"/>
          <w:szCs w:val="18"/>
          <w:color w:val="auto"/>
        </w:rPr>
        <w:t>. Neither the Commission nor any state regulatory authority has issued any order preventing or suspending the use of the Registration Statement, any Preliminary Prospectus or the Prospectus or has instituted or threatened to institute, any proceedings with respect to such an order. The Company has complied with each request (if any) from the Commission for additional information.</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Disclosures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Compliance with Securities Act and 10b-5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53" w:lineRule="auto"/>
        <w:tabs>
          <w:tab w:leader="none" w:pos="214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effectiveness of the Registration Statement (or at the time of any post-effective amendment to the Registration Statement) and at all times subsequent thereto up to the Closing Date, the Registration Statement, the Preliminary Prospectus and the Prospectus do and will contain all material statements that are required to be stated therein in accordance with the Securities Act and the Securities Act Regulations, and did or will, in all material respects, conform to the requirements of the Securities Act and the Securities Act Regulations. 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 for use in connection with this Offering and the Prospectus was or will be identical to the electronically transmitted copies thereof filed with the Commission pursuant to the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except to the extent permitted by Regulation S-T promulgated under the Securities Act (“</w:t>
      </w:r>
      <w:r>
        <w:rPr>
          <w:rFonts w:ascii="Times New Roman" w:cs="Times New Roman" w:eastAsia="Times New Roman" w:hAnsi="Times New Roman"/>
          <w:sz w:val="18"/>
          <w:szCs w:val="18"/>
          <w:b w:val="1"/>
          <w:bCs w:val="1"/>
          <w:color w:val="auto"/>
        </w:rPr>
        <w:t>Regulation S-T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140" w:firstLine="1952"/>
        <w:spacing w:after="0" w:line="266" w:lineRule="auto"/>
        <w:tabs>
          <w:tab w:leader="none" w:pos="220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Registration Statement nor any amendment thereto, at its effective time, as of the Applicable Time, at the Closing Date, contained, contains or will contain an untrue statement of a material fact or omitted, omits or will omit to state a material fact required to be stated therein or necessary to make the statements therein, in the light of the circumstances under which they were made, not misleading.</w:t>
      </w:r>
    </w:p>
    <w:p>
      <w:pPr>
        <w:spacing w:after="0" w:line="175" w:lineRule="exact"/>
        <w:rPr>
          <w:rFonts w:ascii="Times New Roman" w:cs="Times New Roman" w:eastAsia="Times New Roman" w:hAnsi="Times New Roman"/>
          <w:sz w:val="18"/>
          <w:szCs w:val="18"/>
          <w:color w:val="auto"/>
        </w:rPr>
      </w:pPr>
    </w:p>
    <w:p>
      <w:pPr>
        <w:ind w:right="20" w:firstLine="1952"/>
        <w:spacing w:after="0" w:line="253" w:lineRule="auto"/>
        <w:tabs>
          <w:tab w:leader="none" w:pos="225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Disclosure Package, as of the Applicable Time, at the Closing Date,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in any material respect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statements made or statements omitted in reliance upon and in conformity with written information furnished to the Company with respect to the Underwriter by the Underwriter expressly for use in the Registration Statement, the Pricing Prospectus or the Prospectus or any amendment thereof or supplement thereto. The Parties acknowledge and agree that such information provided by or on behalf of the Underwriter consists solely of the following: the names of the Underwriter, the information with respect to stabilizing transactions contained in the section “Underwriting - Price Stabilization, Short Positions, and Penalty Bids”, the section “Discounts and Expenses,” the distribution information under “Electronic Offer, Sale and Distribution of Securities”, the number of Firm Shares to be purchased by the Underwriter. (the “</w:t>
      </w:r>
      <w:r>
        <w:rPr>
          <w:rFonts w:ascii="Times New Roman" w:cs="Times New Roman" w:eastAsia="Times New Roman" w:hAnsi="Times New Roman"/>
          <w:sz w:val="18"/>
          <w:szCs w:val="18"/>
          <w:b w:val="1"/>
          <w:bCs w:val="1"/>
          <w:color w:val="auto"/>
        </w:rPr>
        <w:t>Underwriter’s Information</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ind w:right="40" w:firstLine="1952"/>
        <w:spacing w:after="0" w:line="261" w:lineRule="auto"/>
        <w:tabs>
          <w:tab w:leader="none" w:pos="224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Prospectus nor any amendment or supplement thereto, as of its issue date, at the time of any filing with the Commission pursuant to Rule 424(b), at the Closing Date,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the Underwriter’s Information.</w:t>
      </w:r>
    </w:p>
    <w:p>
      <w:pPr>
        <w:spacing w:after="0" w:line="18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Disclosure of Agreements</w:t>
      </w:r>
      <w:r>
        <w:rPr>
          <w:rFonts w:ascii="Times New Roman" w:cs="Times New Roman" w:eastAsia="Times New Roman" w:hAnsi="Times New Roman"/>
          <w:sz w:val="18"/>
          <w:szCs w:val="18"/>
          <w:color w:val="auto"/>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or any of its properties is or may be bound or affected and that is (i) referred to in the Registration Statement, the Pricing Disclosure Package and the Prospectus, or (ii) material to the Company’s business, has been duly authorized and validly executed by the Company, is in full force and effect in all material respects and constitutes the legal, valid and binding obligation of the Company, enforceable against the Company and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any other party is in default thereunder and no event has occurred that, with the lapse of time or the giving of notice, or both, would constitute a default thereunder except for such defaults that would not reasonably be expected to result in a Material Adverse Change (as defined in Section 2.5.1 below). Performance by the Company of the material provisions of such agreements or instruments will not result in a violation of any existing applicable law, rule, regulation, judgment, order or decree of any Governmental Entity, including, without limitation, those relating to environmental laws and regulations.</w:t>
      </w:r>
    </w:p>
    <w:p>
      <w:pPr>
        <w:spacing w:after="0" w:line="19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Prior Securities Transactions</w:t>
      </w:r>
      <w:r>
        <w:rPr>
          <w:rFonts w:ascii="Times New Roman" w:cs="Times New Roman" w:eastAsia="Times New Roman" w:hAnsi="Times New Roman"/>
          <w:sz w:val="18"/>
          <w:szCs w:val="18"/>
          <w:color w:val="auto"/>
        </w:rPr>
        <w:t>.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spacing w:after="0" w:line="176" w:lineRule="exact"/>
        <w:rPr>
          <w:sz w:val="20"/>
          <w:szCs w:val="20"/>
          <w:color w:val="auto"/>
        </w:rPr>
      </w:pPr>
    </w:p>
    <w:p>
      <w:pPr>
        <w:jc w:val="both"/>
        <w:ind w:right="4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disclosures in the Registration Statement, the Pricing Disclosure Package and the Prospectus concerning the effects of applicable federal, state, local and any applicable foreign laws, rules and regulations relating to the Offering and the Company’s business as currently conducted are correct and complete in all material respects.</w:t>
      </w:r>
    </w:p>
    <w:p>
      <w:pPr>
        <w:spacing w:after="0" w:line="176"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u w:val="single" w:color="auto"/>
          <w:color w:val="auto"/>
        </w:rPr>
        <w:t>No Other Distribution of Offering Materials</w:t>
      </w:r>
      <w:r>
        <w:rPr>
          <w:rFonts w:ascii="Times New Roman" w:cs="Times New Roman" w:eastAsia="Times New Roman" w:hAnsi="Times New Roman"/>
          <w:sz w:val="18"/>
          <w:szCs w:val="18"/>
          <w:color w:val="auto"/>
        </w:rPr>
        <w:t>. The Company has not, directly or indirectly, distributed and will not distribute any offering material in connection with the Offering other than any Preliminary Prospectus, any Issuer Free Writing Prospectus, the Prospectus and other materials, if any, permitted under the Securities Act and consistent with Section 3.2 below.</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4" w:name="page195"/>
    <w:bookmarkEnd w:id="194"/>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Changes After Dates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respective dates as of which information is given in the Registration Statement, the Pricing Disclosure Package and the Prospectus, except as otherwise specifically stated therein: (i) there has been no material adverse change in the condition, financial or otherwise, results of operations, business, assets or prospects of the Company and its subsidiaries (“Subsidiaries,” and each, “Subsidiary”) taken as a whole, nor any change or development that, individually or in the aggregate, would have a material adverse effect on the condition (financial or otherwise), results of operations, business, assets or prospects of the Company and its Subsidiaries taken as a whole (“Material Adverse Change”); (ii) there have been no material transactions entered into by the Company or its Subsidiaries, other than as contemplated pursuant to this Agreement; and (iii) no executive officer or director of the Company has resigned from any position with the Company.</w:t>
      </w:r>
    </w:p>
    <w:p>
      <w:pPr>
        <w:spacing w:after="0" w:line="189" w:lineRule="exact"/>
        <w:rPr>
          <w:sz w:val="20"/>
          <w:szCs w:val="20"/>
          <w:color w:val="auto"/>
        </w:rPr>
      </w:pPr>
    </w:p>
    <w:p>
      <w:pPr>
        <w:ind w:right="4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Recent Securities Transactions, etc</w:t>
      </w:r>
      <w:r>
        <w:rPr>
          <w:rFonts w:ascii="Times New Roman" w:cs="Times New Roman" w:eastAsia="Times New Roman" w:hAnsi="Times New Roman"/>
          <w:sz w:val="18"/>
          <w:szCs w:val="18"/>
          <w:color w:val="auto"/>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Disclosures in Commission Filings</w:t>
      </w:r>
      <w:r>
        <w:rPr>
          <w:rFonts w:ascii="Times New Roman" w:cs="Times New Roman" w:eastAsia="Times New Roman" w:hAnsi="Times New Roman"/>
          <w:sz w:val="18"/>
          <w:szCs w:val="18"/>
          <w:color w:val="auto"/>
        </w:rPr>
        <w:t>. None of the Company’s filings with, or other documents furnished to, the Commission contained any untrue statement of a material fact or omitted to state any material fact necessary in order to make the statements therein, in the light of the circumstances under which they were made, not misleading; provided, however, that this representation and warranty shall not apply to the Underwriter’s Information. The Company has made all filings with the Commission required under the Exchange Act and the rules and regulations of the Commission promulgated thereunder (the “</w:t>
      </w:r>
      <w:r>
        <w:rPr>
          <w:rFonts w:ascii="Times New Roman" w:cs="Times New Roman" w:eastAsia="Times New Roman" w:hAnsi="Times New Roman"/>
          <w:sz w:val="18"/>
          <w:szCs w:val="18"/>
          <w:b w:val="1"/>
          <w:bCs w:val="1"/>
          <w:color w:val="auto"/>
        </w:rPr>
        <w:t>Exchange Act Regulations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Marcum Asia CPAs LLP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 including the rules and regulations promulgated by such entity. The Auditor is currently registered and in good standing with the PCAOB. The Auditor has not, during the periods covered by the financial statements included in the Registration Statement, the Pricing Disclosure Package and the Prospectus, provided to the Company any non-audit services, within the meaning of such term in Section 10A(g) of the Exchange Act.</w:t>
      </w:r>
    </w:p>
    <w:p>
      <w:pPr>
        <w:spacing w:after="0" w:line="18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Financial Statements, etc</w:t>
      </w:r>
      <w:r>
        <w:rPr>
          <w:rFonts w:ascii="Times New Roman" w:cs="Times New Roman" w:eastAsia="Times New Roman" w:hAnsi="Times New Roman"/>
          <w:sz w:val="18"/>
          <w:szCs w:val="18"/>
          <w:color w:val="auto"/>
        </w:rPr>
        <w:t>. The financial statements, including the notes thereto and supporting schedules (if any) included in the Registration Statement, the Pricing Disclosure Package and the Prospectus, fairly present the financial condition, the results of operations and the cash flows of the Company at the dates and for the periods to which they apply; and such financial statements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if any, included in the Registration Statement present fairly the information required to be stated therein. Except as included therein, no other historical or pro forma financial statements or supporting schedules are required to be included in the Registration Statement, the Pricing Disclosure Package or the Prospectus under the Securities Act or the Securities Act Regulations. The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in the judgment of the Company,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materially comply with Regulation G of the Exchange Act and Item 10(e) of Regulation S-K of the Securities Act, to the extent applicable. the Registration Statement, the Pricing Disclosure Package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results of operations, liquidity, capital expenditures, capital resources, or significant components of revenues or expenses. Except as disclosed in the Registration Statement, the Pricing Disclosure Package and the Prospectus, (a) since the date of the last balance sheet included in the Registration Statement, the Pricing Disclosure Package and the Prospectus, neither the Company nor any of its direct or indirect subsidiaries, including each entity disclosed or described in the Registration Statement, the Pricing Disclosure Package and the Prospectus as being a Subsidiary,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or, other than in the ordinary course of business, any grants under any stock compensation plan, and (d) there has not been any Material Adverse Change in the Company’s long-term or short-term debt. The Company represents that it has no direct or indirect Subsidiaries other than those listed in the Registration Statement.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Authorized Capital; Options, etc</w:t>
      </w:r>
      <w:r>
        <w:rPr>
          <w:rFonts w:ascii="Times New Roman" w:cs="Times New Roman" w:eastAsia="Times New Roman" w:hAnsi="Times New Roman"/>
          <w:sz w:val="18"/>
          <w:szCs w:val="18"/>
          <w:color w:val="auto"/>
        </w:rPr>
        <w:t>. 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as the case may be, the adjusted capitalization set forth therein. Except as set forth in, or contemplated by, the Registration Statement, the Pricing Disclosure Package and the Prospectus, on the Effective Date, as of the Applicable Time and on the Closing Date, there will be no stock options, warrants, or other rights to purchase or otherwise acquire any authorized, but unissued shares of capital stock of the Company or any security convertible into any class of capital stock of the Company, or any contracts or commitments to issue or sell any class of capital stock or any such options, warrants, rights or convertible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Valid Issuance of Securities, etc.</w:t>
      </w:r>
    </w:p>
    <w:p>
      <w:pPr>
        <w:spacing w:after="0" w:line="225"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2.10.1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 All issued and outstanding securities of the Company issued prior to the transactions contemplated by this Agreement have been duly authorized and validly issued and are fully paid and non-assessable; except as disclosed in the Registration Statement, the Pricing Disclosure Package and the Prospectus, the holders thereof have no contractual rights of rescission or the ability to require the Company to repurchase such securities, and are not subject to personal liability by reason of being such holders; and none of such securities were issued in violation of the preemptive rights, rights of first refusal or rights of participation of any holders of any security of the Company or similar contractual rights granted by the Company. The authorized shares of the Company’s capital stock conform in all material respects to all statements relating thereto contained in the Registration Statement, the Pricing Disclosure Package and the Prospectus. Prior to the date hereof, all offers and sales of the outstanding shares of capital stock, options, warrants and other rights to purchase or exchange such securities for shares of capital stock were at all relevant times either registered under the Securities Act and the applicable state securities or “blue sky” laws or based in part on the representations and warranties of the purchasers of such capital stock, exempt from such registration requirements. The description of the Company’s stock option, stock bonus and other stock plans or arrangements, and the options or other rights granted thereunder, as described in the Registration Statement, the Pricing Disclosure Package and the Prospectus, accurately and fairly present, in all material respects, the information required to be shown with respect to such plans, arrangements, options and rights.</w:t>
      </w:r>
    </w:p>
    <w:p>
      <w:pPr>
        <w:spacing w:after="0" w:line="187"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2.10.2 </w:t>
      </w:r>
      <w:r>
        <w:rPr>
          <w:rFonts w:ascii="Times New Roman" w:cs="Times New Roman" w:eastAsia="Times New Roman" w:hAnsi="Times New Roman"/>
          <w:sz w:val="18"/>
          <w:szCs w:val="18"/>
          <w:u w:val="single" w:color="auto"/>
          <w:color w:val="auto"/>
        </w:rPr>
        <w:t>Securities Sold Pursuant to this Agreement</w:t>
      </w:r>
      <w:r>
        <w:rPr>
          <w:rFonts w:ascii="Times New Roman" w:cs="Times New Roman" w:eastAsia="Times New Roman" w:hAnsi="Times New Roman"/>
          <w:sz w:val="18"/>
          <w:szCs w:val="18"/>
          <w:color w:val="auto"/>
        </w:rPr>
        <w:t>. The Public Securities have been duly authorized for issuance and sale and, when issued and paid for, will be validly issued, fully paid and non-assessable. The holders of the Public Securities will not be subject to personal liability by reason of being such holders.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 The Public Securities conform in all material respects to all statements with respect thereto contained in the Registration Statement, the Pricing Disclosure Package and the Prospectus.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Rights of Third Parties</w:t>
      </w:r>
      <w:r>
        <w:rPr>
          <w:rFonts w:ascii="Times New Roman" w:cs="Times New Roman" w:eastAsia="Times New Roman" w:hAnsi="Times New Roman"/>
          <w:sz w:val="18"/>
          <w:szCs w:val="18"/>
          <w:color w:val="auto"/>
        </w:rPr>
        <w:t>. Except as set forth in the Registration Statement, the Pricing Disclosure Package and the Prospectus, no holders of any securities of the Company or any options, warrants, rights or other securities exercisable for or convertible or exchangeable into securities of the Company have the right to require the Company to register any such securities of the Company under the Securities Act or to include any such securities in the Registration Statement or any other registration statement to be filed by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Validity and Binding Effect of Agreements</w:t>
      </w:r>
      <w:r>
        <w:rPr>
          <w:rFonts w:ascii="Times New Roman" w:cs="Times New Roman" w:eastAsia="Times New Roman" w:hAnsi="Times New Roman"/>
          <w:sz w:val="18"/>
          <w:szCs w:val="18"/>
          <w:color w:val="auto"/>
        </w:rPr>
        <w:t>. This Agreement has been duly and validly authorized by the Company, and, when executed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by the Company, will constitute, a legal, valid and binding agreement of the Company, enforceable against the Company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terms, except in each case: (i) as such enforceability may be limited by bankruptcy, insolvency, reorganization or similar laws affecting creditors’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(ii) as enforceability of any indemnification or contribution provision may be limited under the federal and state securities laws; and (iii)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 of specific performance and injunctive and other forms of equitable relief may be subject to the equitable defenses and to the discretion of the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which any proceeding therefor may be brought.</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No Conflicts, etc</w:t>
      </w:r>
      <w:r>
        <w:rPr>
          <w:rFonts w:ascii="Times New Roman" w:cs="Times New Roman" w:eastAsia="Times New Roman" w:hAnsi="Times New Roman"/>
          <w:sz w:val="18"/>
          <w:szCs w:val="18"/>
          <w:color w:val="auto"/>
        </w:rPr>
        <w:t>. The execution, delivery and performance by the Company of this Agreement and all other documents ancillary hereto, the consummation by the Company of the transactions herein and therein contemplated and the compliance by the Company with the terms hereof and thereof do not and will not, with or without the giving of notice or the lapse of time or both: (i) result in any violation of the provisions of the Memorandum of Association (as amended or restated from time to time,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or the Articles of Association of the Company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(ii)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indenture, mortgage, deed of trust, loan agreement or any other agreement or instrument to which the Company is a party or as to which any property of the Company is subject; or (iii) violate any applicable law, rule, regulation, judgment, order or decree of any governmental or regulatory agency, authority, body, entity or court, domestic or foreign, having jurisdiction over the Company or any of its assets or businesses (each, a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as of the date hereof, except, in the case of clauses (ii) or (iii) of this Section 2.13, for those breaches, violations or conflicts which (individually or in the aggregate) would not have or reasonably be expected to result in a Material Adverse Change.</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No Defaults; Violations</w:t>
      </w:r>
      <w:r>
        <w:rPr>
          <w:rFonts w:ascii="Times New Roman" w:cs="Times New Roman" w:eastAsia="Times New Roman" w:hAnsi="Times New Roman"/>
          <w:sz w:val="18"/>
          <w:szCs w:val="18"/>
          <w:color w:val="auto"/>
        </w:rPr>
        <w:t>. Except as set forth in the Registration Statement, the Pricing Disclosure Package and the Prospectus, no default exists in the due performance and observance of any term, covenant or condition of any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except, in each case, for those defaults which (individually or in the aggregate) would not have or reasonably be expected to result in a Material Adverse Change. The Company is not in violation of any franchise, license, permit, applicable law, rule, regulation, judgment, order or decree of any Governmental Entity, except, in each case, for those violations which (individually and in the aggregate) would not have or reasonably be expected to result in a Material Adverse Change.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Corporate Power; Licenses;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2.15.1 Conduct of Business</w:t>
      </w:r>
      <w:r>
        <w:rPr>
          <w:rFonts w:ascii="Times New Roman" w:cs="Times New Roman" w:eastAsia="Times New Roman" w:hAnsi="Times New Roman"/>
          <w:sz w:val="18"/>
          <w:szCs w:val="18"/>
          <w:color w:val="auto"/>
        </w:rPr>
        <w:t>. Except as described in the Registration Statement, the Pricing Disclosure Package and the Prospectus, the Company has all requisite corporate power and authority, and has all necessary consents, authorizations, approvals, licenses, certificates, clearances, permits and orders and supplements and amendments thereto (collectively,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of and from all Governmental Entities required as of the date hereof for the Company to conduct its business as described in the Registration Statement, the Pricing Disclosure Package and the Prospectus, except, in each case, where the failure to have such Authorizations (individually or in the aggregate) would not have or reasonably be expected to result in a Material Adverse Change.</w:t>
      </w:r>
    </w:p>
    <w:p>
      <w:pPr>
        <w:spacing w:after="0" w:line="187"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2.15.2 </w:t>
      </w:r>
      <w:r>
        <w:rPr>
          <w:rFonts w:ascii="Times New Roman" w:cs="Times New Roman" w:eastAsia="Times New Roman" w:hAnsi="Times New Roman"/>
          <w:sz w:val="18"/>
          <w:szCs w:val="18"/>
          <w:u w:val="single" w:color="auto"/>
          <w:color w:val="auto"/>
        </w:rPr>
        <w:t>Transactions Contemplated Herein</w:t>
      </w:r>
      <w:r>
        <w:rPr>
          <w:rFonts w:ascii="Times New Roman" w:cs="Times New Roman" w:eastAsia="Times New Roman" w:hAnsi="Times New Roman"/>
          <w:sz w:val="18"/>
          <w:szCs w:val="18"/>
          <w:color w:val="auto"/>
        </w:rPr>
        <w:t>. The Company has all corporate power and authority to enter into this Agreement and to carry out the provisions and conditions hereof, and all Authorizations required in connection therewith have been obtained. No Authorization of, and no filing with, any Governmental Entity, the Exchange or another body is required for the valid issuance, sale and delivery of the Public Securities and the consummation of the transactions and agreements contemplated by this Agreement and as contemplated by the Registration Statement, the Pricing Disclosure Package and the Prospectus, except with respect to applicable federal and state securities or blue-sky laws, the rules of The Nasdaq Stock Market, LLC and the rules and regulations of the Exchange and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Questionnaires</w:t>
      </w:r>
      <w:r>
        <w:rPr>
          <w:rFonts w:ascii="Times New Roman" w:cs="Times New Roman" w:eastAsia="Times New Roman" w:hAnsi="Times New Roman"/>
          <w:sz w:val="18"/>
          <w:szCs w:val="18"/>
          <w:color w:val="auto"/>
        </w:rPr>
        <w:t>. All information contained in the questionnaires (the “</w:t>
      </w:r>
      <w:r>
        <w:rPr>
          <w:rFonts w:ascii="Times New Roman" w:cs="Times New Roman" w:eastAsia="Times New Roman" w:hAnsi="Times New Roman"/>
          <w:sz w:val="18"/>
          <w:szCs w:val="18"/>
          <w:b w:val="1"/>
          <w:bCs w:val="1"/>
          <w:color w:val="auto"/>
        </w:rPr>
        <w:t>Questionnaires</w:t>
      </w:r>
      <w:r>
        <w:rPr>
          <w:rFonts w:ascii="Times New Roman" w:cs="Times New Roman" w:eastAsia="Times New Roman" w:hAnsi="Times New Roman"/>
          <w:sz w:val="18"/>
          <w:szCs w:val="18"/>
          <w:color w:val="auto"/>
        </w:rPr>
        <w:t>”) completed by each of the Company’s directors and officers named in the section “Management” in the Prospectus and parties set forth in as supplemented by all information concerning the Company’s directors, officers and holders of 10% or more of the Company’s capital stock set forth in the Registration Statement, the Pricing Disclosure Package and the Prospectus provided to the Underwriter and its counsel, is true, correct and complete and the Company has not become aware of any information which would cause the information disclosed in the Questionnaires to become inaccurate, incorrect or incomplete.</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There is no action, suit, proceeding, inquiry, arbitration, investigation, litigation or governmental proceeding pending or, threatened, against, or involving the Company or any executive officer or director which has not been disclosed in the Registration Statement, the Pricing Disclosure Package and the Prospectus, or in connection with the Company’s listing application for the listing of the Public Securities on the Exchange, and is required to be disclosed therein.</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Company has been duly incorporated and is validly existing as an exempt company with limited liability and is in good standing under the laws of the Cayman Islands as of the date hereof, and is duly qualified to do business and is in good standing in each other jurisdiction in which its ownership or lease of property or the conduct of business requires such qualification, except where the failure to be so qualified or in good standing, singularly or in the aggregate, would not have or reasonably be expected to result in a Material Adverse Change.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On the Closing Date, the Company will carry or will be entitled to the benefits of insurance (including, without limitation, directors’ and officers’ insurance), with reputable insurers, in such amounts and covering such risks which the Company believes are adequate, and all such insurance is in full force and effect, except where the failure to maintain such insurance would not have or reasonably be expected to result in Material Adverse Change.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8" w:name="page199"/>
    <w:bookmarkEnd w:id="198"/>
    <w:p>
      <w:pPr>
        <w:ind w:left="66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Transactions Affecting Disclosure to FINRA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2.20.1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Except as described in the Registration Statement, the Pricing Disclosure Package and the Prospectus, there are no claims, payments, arrangements, agreements or understandings relating to the payment of a finder’s, consulting or origination fee by the Company with respect to the sale of the Public Securities hereunder or any other arrangements, agreements or understandings of the Company or any of its stockholders that may affect the Underwriter’s compensation, as determined by FINRA.</w:t>
      </w:r>
    </w:p>
    <w:p>
      <w:pPr>
        <w:spacing w:after="0" w:line="180"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2.20.2 </w:t>
      </w:r>
      <w:r>
        <w:rPr>
          <w:rFonts w:ascii="Times New Roman" w:cs="Times New Roman" w:eastAsia="Times New Roman" w:hAnsi="Times New Roman"/>
          <w:sz w:val="18"/>
          <w:szCs w:val="18"/>
          <w:u w:val="single" w:color="auto"/>
          <w:color w:val="auto"/>
        </w:rPr>
        <w:t>Payments Within Twelve (12) Months</w:t>
      </w:r>
      <w:r>
        <w:rPr>
          <w:rFonts w:ascii="Times New Roman" w:cs="Times New Roman" w:eastAsia="Times New Roman" w:hAnsi="Times New Roman"/>
          <w:sz w:val="18"/>
          <w:szCs w:val="18"/>
          <w:color w:val="auto"/>
        </w:rPr>
        <w:t>. Except as disclosed in writing to the Underwriter or as described in the Registration Statement, the Pricing Disclosure Package and the Prospectus, the Company has not made any direct or indirect payments in connection with the Offering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other than the payment to the Underwriter as provided hereunder in connection with the Offering.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2.20.3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None of the net proceeds of the Offering will be paid by the Company to any participating FINRA member or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207"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2.20.4 </w:t>
      </w:r>
      <w:r>
        <w:rPr>
          <w:rFonts w:ascii="Times New Roman" w:cs="Times New Roman" w:eastAsia="Times New Roman" w:hAnsi="Times New Roman"/>
          <w:sz w:val="18"/>
          <w:szCs w:val="18"/>
          <w:u w:val="single" w:color="auto"/>
          <w:color w:val="auto"/>
        </w:rPr>
        <w:t>FINRA Affiliation</w:t>
      </w:r>
      <w:r>
        <w:rPr>
          <w:rFonts w:ascii="Times New Roman" w:cs="Times New Roman" w:eastAsia="Times New Roman" w:hAnsi="Times New Roman"/>
          <w:sz w:val="18"/>
          <w:szCs w:val="18"/>
          <w:color w:val="auto"/>
        </w:rPr>
        <w:t>. There is no (i) officer or director of the Company, (ii) beneficial owner of 10% or more of any class of the Company’s securities or (iii) beneficial owner of the Company’s unregistered equity securities, who acquired any equity securities of the Company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8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2.20.5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All information provided by the Company in its FINRA questionnaire to Underwriter’s Counsel specifically for use by Underwriter’s Counsel in connection with its Public Offering System filings (and related disclosure) with FINRA is true, correct and complete in all material respects.</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Foreign Corrupt Practices Act</w:t>
      </w:r>
      <w:r>
        <w:rPr>
          <w:rFonts w:ascii="Times New Roman" w:cs="Times New Roman" w:eastAsia="Times New Roman" w:hAnsi="Times New Roman"/>
          <w:sz w:val="17"/>
          <w:szCs w:val="17"/>
          <w:color w:val="auto"/>
        </w:rPr>
        <w:t>. None of the Company and its Subsidiaries or any director, officer, agent, employee or affiliate of the Company or any of its Subsidiaries or any other person acting on behalf of the Company or any of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Entity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w:t>
      </w:r>
    </w:p>
    <w:p>
      <w:pPr>
        <w:spacing w:after="0" w:line="5" w:lineRule="exact"/>
        <w:rPr>
          <w:sz w:val="20"/>
          <w:szCs w:val="20"/>
          <w:color w:val="auto"/>
        </w:rPr>
      </w:pPr>
    </w:p>
    <w:p>
      <w:pPr>
        <w:jc w:val="both"/>
        <w:ind w:right="320" w:firstLine="8"/>
        <w:spacing w:after="0" w:line="255" w:lineRule="auto"/>
        <w:tabs>
          <w:tab w:leader="none" w:pos="26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spacing w:after="0" w:line="18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 None of the Company and its Subsidiaries or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material compliance in all material respects with applicable financial recordkeeping and reporting requirements of the Currency and Foreign Transactions Reporting Act of 1970, as amended, including the money laundering Control Act of 1986, as amended, the rules and regulations thereunder and any related or similar money laundering statutes, rules, regulations or guidelines, issued, administered or enforced by any Governmental Entity (collectively,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No action, suit or proceeding by or before any Governmental Entity involving the Company with respect to Money Laundering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pending or threatened, to the best knowledge of the Company.</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the Underwriter or to Underwriter’s Counsel on the Closing Date shall be deemed a representation and warranty by the Company to the Underwriter as to the matters covered thereby.</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contains a complete and accurate list of the Company’s executive officers, directors and holders of 5% or more of the Company’s outstanding Common Stock(or securities convertible, exchangeable or exercisable into shares of Common Stock) (collectively, the “</w:t>
      </w:r>
      <w:r>
        <w:rPr>
          <w:rFonts w:ascii="Times New Roman" w:cs="Times New Roman" w:eastAsia="Times New Roman" w:hAnsi="Times New Roman"/>
          <w:sz w:val="18"/>
          <w:szCs w:val="18"/>
          <w:b w:val="1"/>
          <w:bCs w:val="1"/>
          <w:color w:val="auto"/>
        </w:rPr>
        <w:t>Lock-Up Parties</w:t>
      </w:r>
      <w:r>
        <w:rPr>
          <w:rFonts w:ascii="Times New Roman" w:cs="Times New Roman" w:eastAsia="Times New Roman" w:hAnsi="Times New Roman"/>
          <w:sz w:val="18"/>
          <w:szCs w:val="18"/>
          <w:color w:val="auto"/>
        </w:rPr>
        <w:t xml:space="preserve">”). The Company has caused each of the Lock-Up Parties to deliver to the Underwriter an executed Lock-Up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prior to the execution of this Agreement.</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direct and indirect Subsidiaries is duly organized or incorporated as applicable and in good standing under the laws of its jurisdiction of organization or incorporation, and each such Subsidiary is in good standing in each jurisdiction in which its ownership or lease of property or the conduct of business requires such qualification, except where the failure to qualify would not have a Material Adverse Change on the assets, business or operations of the Company and its Subsidiaries taken as a whole. The Company’s ownership and control of each Subsidiary is as described in the Registration Statement, the Pricing Disclosure Package and the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2.27.1 </w:t>
      </w:r>
      <w:r>
        <w:rPr>
          <w:rFonts w:ascii="Times New Roman" w:cs="Times New Roman" w:eastAsia="Times New Roman" w:hAnsi="Times New Roman"/>
          <w:sz w:val="18"/>
          <w:szCs w:val="18"/>
          <w:u w:val="single" w:color="auto"/>
          <w:color w:val="auto"/>
        </w:rPr>
        <w:t>Business Relationships</w:t>
      </w:r>
      <w:r>
        <w:rPr>
          <w:rFonts w:ascii="Times New Roman" w:cs="Times New Roman" w:eastAsia="Times New Roman" w:hAnsi="Times New Roman"/>
          <w:sz w:val="18"/>
          <w:szCs w:val="18"/>
          <w:color w:val="auto"/>
        </w:rPr>
        <w:t>. There are no business relationships or related party transactions involving the Company or any other person required to be described in the Registration Statement, the Pricing Disclosure Package and the Prospectus that have not been described as required.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of Directors of the Company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comprised of the persons set forth under the heading of the Pricing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and the Prospectus captioned “Management.” The qualifications of the persons serving as Board members and the overall composition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comply with the Exchange Act, the Exchange Act Regulations, the Sarbanes-Oxley Act of 2002 and the rules promulgated thereunder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applicable to the Company and the listing rules of the Exchange. At least one member of the Audit Committee of the Board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qualifies as an “audit committee financial expert,” as such term is defined under Regulation S-K and the listing rules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In addition, at least a majority of the persons serving on the Board qualify as “independent,” as defined under the listing rules of the Exchange.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Sarbanes-Oxley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2.29.1 </w:t>
      </w: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has developed disclosure controls and procedures that will comply in all material respects with Rule 13a-15 or 15d-15 under the Exchange Act Regulations, and such controls and procedures will be effective to ensure that all material information concerning the Company will be made known on a timely basis to the individuals responsible for the preparation of the Company’s Exchange Act filings and other public disclosure documents.</w:t>
      </w:r>
    </w:p>
    <w:p>
      <w:pPr>
        <w:spacing w:after="0" w:line="180"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2.29.2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is, and, at the Applicable Time and on the Closing Date, will be in material compliance with the provisions of the Sarbanes-Oxley Act applicable to it, and has implemented or will implement such programs and has taken reasonable steps to ensure the Company’s future compliance (not later than the relevant statutory and regulatory deadlines therefor) with all of the material provisions of the Sarbanes-Oxley Act.</w:t>
      </w:r>
    </w:p>
    <w:p>
      <w:pPr>
        <w:spacing w:after="0" w:line="18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and its Subsidiaries are in the process of establishing systems of “internal control over financial reporting” (as defined under Rules 13a-15 and 15d-15 under the Exchange Act Regulations) that will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Company’s auditors and the Audit Committee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Company’s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No Investment Company Status</w:t>
      </w:r>
      <w:r>
        <w:rPr>
          <w:rFonts w:ascii="Times New Roman" w:cs="Times New Roman" w:eastAsia="Times New Roman" w:hAnsi="Times New Roman"/>
          <w:sz w:val="18"/>
          <w:szCs w:val="18"/>
          <w:color w:val="auto"/>
        </w:rPr>
        <w:t>. The Company is not and, after giving effect to the Offering and the application of the net proceeds thereof as described in the Registration Statement, the Pricing Disclosure Package and the Prospectus, will not be, required to register as an “investment company,” as defined in the Investment Company Act of 1940, as amended.</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No labor dispute with the employees of the Company or any of its Subsidiaries exists or, to the best knowledge of the Company, is threatened. The Company is not aware that any key employee or significant group of employees of the Company plans to terminate employment with the Company.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1" w:name="page202"/>
    <w:bookmarkEnd w:id="201"/>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each of its Subsidiaries owns or possesses or has valid rights to use all material patents, patent applications, trademarks, service marks, trade names, trademark registrations, service mark registrations, copyrights, licenses, inventions, trade secrets and similar rights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described in the Registration Statement, the Pricing Disclosure Package and the Prospectus and necessary for the conduct of the business of the Company and each of its Subsidiaries as currently carried on and as described in the Registration Statement, the Pricing Disclosure Package and the Prospectus. Except as may be disclosed in the Registration Statement, the Pricing Disclosure Package and the Prospectus,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Except as may be disclosed in the Registration Statement, the Pricing Disclosure Package and the Prospectus,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(i) there is no infringement, misappropriation or violation by third parties of any of the Intellectual Property Rights owned by the Company; (ii) there is no pending or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(iii) the Intellectual Property Rights owned by the Company and the Intellectual Property Rights licensed to the Company have not been adjudged by a court of competent jurisdiction invalid or unenforceable, in whole or in part, and there is no pending or threatened action, suit, proceeding or claim by other parties challenging the validity or scope of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(iv) there is no pending or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referred to in this Section 2.33, reasonably be expected to result in a Material Adverse Change; and (v) no employee of the Company is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(as defined below),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None of the technology employed by the Company has been obtained or is knowingly being used by the Company in violation of any contractual obligation binding on the Company or any of its officers, directors or employees, or otherwise in violation of the rights of any persons.</w:t>
      </w:r>
    </w:p>
    <w:p>
      <w:pPr>
        <w:spacing w:after="0" w:line="1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the actual knowledge of the Company’s executive officers and members of the Company’s Board of Directors, and the knowledge that each such person would have reasonably obtained in the performance of each such person's duties as thereto.</w:t>
      </w:r>
    </w:p>
    <w:p>
      <w:pPr>
        <w:spacing w:after="0" w:line="15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Change, each of the Company and its Subsidiaries has: (i) filed all returns (as defined below) required to be filed with taxing authorities prior to the date hereof or has duly obtained extensions of time for the filing thereof; and (ii) paid all taxes shown as due on such returns that were filed and has paid all taxes imposed on or assessed against the Company or any of its Subsidiaries.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 (i) no issues have been raised (and are currently pending) by any tax authority in connection with any of the returns or taxes asserted as due from the Company or its Subsidiaries, and (ii) no waivers of statutes of limitation with respect to the returns or collection of taxes have been given by or requested from the Company or its Subsidiaries. There are no tax liens against the assets, properties or business of the Company or its Subsidiaries other than liens for taxes not yet delinquent or being contested in good faith by appropriate proceedings and for which reserves in accordance with GAAP have been established in the Company’s books and records. The term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 w:cs="Times New Roman" w:eastAsia="Times New Roman" w:hAnsi="Times New Roman"/>
          <w:sz w:val="18"/>
          <w:szCs w:val="18"/>
          <w:b w:val="1"/>
          <w:bCs w:val="1"/>
          <w:color w:val="auto"/>
        </w:rPr>
        <w:t>returns</w:t>
      </w:r>
      <w:r>
        <w:rPr>
          <w:rFonts w:ascii="Times New Roman" w:cs="Times New Roman" w:eastAsia="Times New Roman" w:hAnsi="Times New Roman"/>
          <w:sz w:val="18"/>
          <w:szCs w:val="18"/>
          <w:color w:val="auto"/>
        </w:rPr>
        <w:t>” means all returns, declarations, reports, statements and other documents required to be filed in respect to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as may be disclosed in the Registration Statement, the Pricing Disclosure Package and the Prospectus, each of the Company and each Subsidiary: (i) is and at all times has been in compliance with all statutes, rules, or regulations applicable to the business of the Company as currently conducted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except as could not, individually or in the aggregate, reasonably be expected to have a Material Adverse Change; (ii) has not received any warning letter or other correspondence or notice from any governmental Entity alleging or asserting noncompliance with any Applicable Laws or any Authorizations i; (iii) possesses all material Authorizations and to Company’s the Knowledge,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Entity or third party alleging that any activity conducted by the Company is in violation of any Applicable Laws or Authorizations and no such Governmental Entity or third party is considering any such claim, litigation, arbitration, action, suit, investigation or proceeding; (v) has not received notice that any Governmental Entity has taken, is taking or intends to take action to limit, suspend, modify or revoke any Authorizations and no such Governmental Entity is considering such action; and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From the time of the initial submission of the Registration Statement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 The Company has not (i) alone engaged in any Testing-the-Waters Communications, other than Testing-the-Waters Communications with the written consent of the Underwriter and with entities that are qualified institutional buyers within the meaning of Rule 144A under the Securities Act or institutions that are accredited investors within the meaning of Rule 501 under the Securities Act and (ii) authorized anyone other than the Underwriter to engage in Testing-the-Waters Communications. The Company confirms that the Underwriter has been authorized to act on its behalf in undertaking Testing-the-Waters Communications.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2.37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is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except where the failure to comply would not, singularly or in the aggregate, result in a Material Adverse Change. There has been no storage, generation, transportation, handling, treatment, disposal, discharge, emission, or other release of any kind of toxic or other wastes or other hazardous substances by, due to, or caused by the Company (or any other entity for whose acts or omissions the Company is or may otherwise be liable) upon any of the property now or previously owned or leased by the Company,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would not have, singularly or in the aggregate with all such violations and liabilities, a Material Adverse Change; and there has been no disposal, discharge, emission or other release of any kind onto such property or into the environment surrounding such property of any toxic or other wastes or other hazardous substances, except for any such disposal, discharge, emission, or other release of any kind which would not have, singularly or in the aggregate with all such discharges and other releases, a Material Adverse Change.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2.38 </w:t>
      </w: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Except as set forth in the Registration Statement, the Pricing Disclosure Package and the Prospectus, the Company and its Subsidiaries have good and marketable title in fee simple to, or have valid rights to lease or otherwise use, all items of real or personal property which are material to the business of the Company and its Subsidiaries taken as a whole, in each case free and clear of all liens, encumbrances, security interests, claims and defects that do not, singly or in the aggregate, materially affect the value of such property in any material respect and do not materially interfere with the use made and proposed to be made of such property by the Company or its Subsidiaries; and all of the leases and subleases material to the business of the Company and its Subsidiaries, considered as one enterprise, and under which the Company or any of its Subsidiaries holds properties described in the Registration Statement, the Pricing Disclosure Package and the Prospectus, are in full force and effect, and neither the Company nor any Subsidiary has received any notice of any material claim of any sort that has been asserted by anyone adverse to the rights of the Company or any Subsidiary under any of the leases or subleases mentioned above, or affecting or questioning the rights of the Company or any Subsidiary to the continued possession of the leased or subleased premises under any such lease or sublease, which would, singularly or in the aggregate, result in a Material Adverse Change.</w:t>
      </w:r>
    </w:p>
    <w:p>
      <w:pPr>
        <w:spacing w:after="0" w:line="1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2.39 </w:t>
      </w:r>
      <w:r>
        <w:rPr>
          <w:rFonts w:ascii="Times New Roman" w:cs="Times New Roman" w:eastAsia="Times New Roman" w:hAnsi="Times New Roman"/>
          <w:sz w:val="18"/>
          <w:szCs w:val="18"/>
          <w:u w:val="single" w:color="auto"/>
          <w:color w:val="auto"/>
        </w:rPr>
        <w:t>Contracts Affecting Capital</w:t>
      </w:r>
      <w:r>
        <w:rPr>
          <w:rFonts w:ascii="Times New Roman" w:cs="Times New Roman" w:eastAsia="Times New Roman" w:hAnsi="Times New Roman"/>
          <w:sz w:val="18"/>
          <w:szCs w:val="18"/>
          <w:color w:val="auto"/>
        </w:rPr>
        <w:t>. There are no transactions, arrangements or other relationships between and/or among the Company, any of its affiliates (as such term is defined in Rule 405 under the Securities Act)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to be described or incorporated by reference in the Registration Statement, the Pricing Disclosure Package and the Prospectus which have not been described or incorporated by reference as required.</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2.40. </w:t>
      </w:r>
      <w:r>
        <w:rPr>
          <w:rFonts w:ascii="Times New Roman" w:cs="Times New Roman" w:eastAsia="Times New Roman" w:hAnsi="Times New Roman"/>
          <w:sz w:val="18"/>
          <w:szCs w:val="18"/>
          <w:u w:val="single" w:color="auto"/>
          <w:color w:val="auto"/>
        </w:rPr>
        <w:t>Loans to Directors or Officers</w:t>
      </w:r>
      <w:r>
        <w:rPr>
          <w:rFonts w:ascii="Times New Roman" w:cs="Times New Roman" w:eastAsia="Times New Roman" w:hAnsi="Times New Roman"/>
          <w:sz w:val="18"/>
          <w:szCs w:val="18"/>
          <w:color w:val="auto"/>
        </w:rPr>
        <w:t>. There are no outstanding loans, advances (except normal advances for business expenses in the ordinary course 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Ineligible Issuer</w:t>
      </w:r>
      <w:r>
        <w:rPr>
          <w:rFonts w:ascii="Times New Roman" w:cs="Times New Roman" w:eastAsia="Times New Roman" w:hAnsi="Times New Roman"/>
          <w:sz w:val="18"/>
          <w:szCs w:val="18"/>
          <w:color w:val="auto"/>
        </w:rPr>
        <w:t xml:space="preserve">. At the time of filing the Registration Statement and any post-effective amendment thereto, at the Effective Date and at the time of any amendment thereto, at the earliest time thereafter that the Company or the Underwriter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Public Securities and at the Effective Date, the Company was not and is not an “ineligible issuer,” as defined in Rule 405 under the Securities Act, without taking account of any determination by the Commission pursuant to Rule 405 that it is not necessary that the Company be considered an ineligible issuer.</w:t>
      </w:r>
    </w:p>
    <w:p>
      <w:pPr>
        <w:spacing w:after="0" w:line="18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Smaller Reporting Company</w:t>
      </w:r>
      <w:r>
        <w:rPr>
          <w:rFonts w:ascii="Times New Roman" w:cs="Times New Roman" w:eastAsia="Times New Roman" w:hAnsi="Times New Roman"/>
          <w:sz w:val="18"/>
          <w:szCs w:val="18"/>
          <w:color w:val="auto"/>
        </w:rPr>
        <w:t>. As of the time of filing of the Registration Statement, the Company was a “smaller reporting company,” as defined in Rule 12b-2 of the Exchange Act Regulations.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Industry Data</w:t>
      </w:r>
      <w:r>
        <w:rPr>
          <w:rFonts w:ascii="Times New Roman" w:cs="Times New Roman" w:eastAsia="Times New Roman" w:hAnsi="Times New Roman"/>
          <w:sz w:val="18"/>
          <w:szCs w:val="18"/>
          <w:color w:val="auto"/>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Electronic Road Show</w:t>
      </w:r>
      <w:r>
        <w:rPr>
          <w:rFonts w:ascii="Times New Roman" w:cs="Times New Roman" w:eastAsia="Times New Roman" w:hAnsi="Times New Roman"/>
          <w:sz w:val="18"/>
          <w:szCs w:val="18"/>
          <w:color w:val="auto"/>
        </w:rPr>
        <w:t>. The Company has made available a Bona Fide Electronic Road Show in compliance with Rule 433(d)(8)(ii) of the Securities Act Regulations such that no filing of any “road show” (as defined in Rule 433(h) of the Securities Act Regulations) is required in connection with the Offering.</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u w:val="single" w:color="auto"/>
          <w:color w:val="auto"/>
        </w:rPr>
        <w:t>Margin Securities</w:t>
      </w:r>
      <w:r>
        <w:rPr>
          <w:rFonts w:ascii="Times New Roman" w:cs="Times New Roman" w:eastAsia="Times New Roman" w:hAnsi="Times New Roman"/>
          <w:sz w:val="18"/>
          <w:szCs w:val="18"/>
          <w:color w:val="auto"/>
        </w:rPr>
        <w:t>. The Company owns no “margin securities” as such term is defined in Regulation U of the Board of Governors of the Federal Reserve System (the “</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shares of Common Stock to be considered a “purpose credit” within the meanings of Regulation T, U or X of the Federal Reserve Board.</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Except as disclosed in the Pricing Disclosure Package, Registration Statement and the Prospectus, no Subsidiary of the Company is currently prohibited or restricted,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2.47.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2.48.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spacing w:after="0" w:line="176"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2.49. </w:t>
      </w:r>
      <w:r>
        <w:rPr>
          <w:rFonts w:ascii="Times New Roman" w:cs="Times New Roman" w:eastAsia="Times New Roman" w:hAnsi="Times New Roman"/>
          <w:sz w:val="18"/>
          <w:szCs w:val="18"/>
          <w:u w:val="single" w:color="auto"/>
          <w:color w:val="auto"/>
        </w:rPr>
        <w:t>Confidentiality and Non-Competition</w:t>
      </w:r>
      <w:r>
        <w:rPr>
          <w:rFonts w:ascii="Times New Roman" w:cs="Times New Roman" w:eastAsia="Times New Roman" w:hAnsi="Times New Roman"/>
          <w:sz w:val="18"/>
          <w:szCs w:val="18"/>
          <w:color w:val="auto"/>
        </w:rPr>
        <w:t>. To the Company’s Knowledge, no director or executive officer of the Company or any Subsidiary is subject to any confidentiality, non-disclosure, non-competition agreement or non-solicitation agreement with any employer (other than the Company or its Subsidiary, as applicable) or prior employer that could materially affect his or her ability to be and act in his or her respective capacity of the Company or such Subsidiary or reasonably be expected to result in a Material Adverse Change.</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2.50.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minute books of the Company have been made available to the Underwriter and Underwriter’s Counsel and such books (i) contain minutes of all material meetings and actions of the Board and stockholders of the Company, and (ii) reflect all material transactions referred to in such minutes.</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Diligence Materials</w:t>
      </w:r>
      <w:r>
        <w:rPr>
          <w:rFonts w:ascii="Times New Roman" w:cs="Times New Roman" w:eastAsia="Times New Roman" w:hAnsi="Times New Roman"/>
          <w:sz w:val="18"/>
          <w:szCs w:val="18"/>
          <w:color w:val="auto"/>
        </w:rPr>
        <w:t>. The Company has provided to the Underwriter and Underwriter’s Counsel all materials reasonably required or necessary to respond in all material respects to the diligence request submitted to the Company or Underwriter’s Counsel.</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5" w:name="page206"/>
    <w:bookmarkEnd w:id="205"/>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Neither the Company nor any of its employees, directors or stockholders (without the consent of the Underwriter) has taken,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spacing w:after="0" w:line="176" w:lineRule="exact"/>
        <w:rPr>
          <w:sz w:val="20"/>
          <w:szCs w:val="20"/>
          <w:color w:val="auto"/>
        </w:rPr>
      </w:pPr>
    </w:p>
    <w:p>
      <w:pPr>
        <w:ind w:left="400" w:hanging="392"/>
        <w:spacing w:after="0"/>
        <w:tabs>
          <w:tab w:leader="none" w:pos="4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as follows: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Amendments to Registration Statement</w:t>
      </w:r>
      <w:r>
        <w:rPr>
          <w:rFonts w:ascii="Times New Roman" w:cs="Times New Roman" w:eastAsia="Times New Roman" w:hAnsi="Times New Roman"/>
          <w:sz w:val="18"/>
          <w:szCs w:val="18"/>
          <w:color w:val="auto"/>
        </w:rPr>
        <w:t>. The Company shall deliver to the Underwriter, prior to filing, any amendment or supplement to the Registration Statement or Prospectus proposed to be filed after the Effective Date and not file any such amendment or supplement to which the Underwriter shall reasonably object in writing.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18"/>
          <w:szCs w:val="18"/>
          <w:color w:val="auto"/>
        </w:rPr>
        <w:t xml:space="preserve">3.2.1. (a)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financial statements of the Company included in the Registration Statement, the Pricing Disclosure Package and the Prospectus comply in all material respects with applicable accounting requirements and the rules and regulations of the Commission with respect thereto as in effect at the time of filing. Such financial statements have been prepared in accordance with United States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Pricing Disclosure Package and the Prospectus, conform in all material aspects to the descriptions thereof contained therein and there are no agreements or other documents required by the Securities Act and the rules and regulations thereunder to be described in the Registration Statement, the Pricing Disclosure Package, the Prospectus or to be filed with the Commission as exhibits to the Registration Statement, that have not been so described or filed. Each agreement or other instrument (however characterized or described) to which the Company or a Subsidiary is a party or by which it or such Subsidiary is or may be bound or affected and (i) that is referred to in the Registration Statement, the Pricing Disclosure Package, the Prospectus or (ii) is material to the Company’s business, has been duly authorized and validly executed by the Company or a Subsidiary, respectively, is in full force and effect in all material respects and is enforceable against the Company or such Subsidiary,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Except as described in the Registration Statement, none of such agreements or instruments has been assigned by the Company or a Subsidiary, and neither the Company nor a Subsidiary or to the best knowledge of the Company or such Subsidiary as applicable any other party is in default thereunder and no event has occurred that, with the lapse of time or the giving of notice, or both, would constitute a default thereunder, except, in each case, for those defaults which (individually or in the aggregate) would not have or reasonably be expected to result in a Material Adverse Change. Performance by the Company or a Subsidiary of the material provisions of such agreements or instruments will not result in a violation of any existing applicable law, rule, regulation, judgment, order, or decree of any governmental agency or court, domestic or foreign, having jurisdiction over the Company, a Subsidiary, or any of their assets or businesses, including, without limitation, those relating to Environmental Laws and regulations, except, in each case, for those violations which (individually or in the aggregate) would not have or reasonably be expected to result in a Material Adverse Change.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ind w:right="40" w:firstLine="1304"/>
        <w:spacing w:after="0" w:line="269" w:lineRule="auto"/>
        <w:tabs>
          <w:tab w:leader="none" w:pos="1551"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The Company, subject to Section 3.2.2, shall comply in all material respects with the requirements of Rule 430A of the Securities Act Regulations, and will notify the Underwriter on the same calendar day, and confirm the notice in writing, (i) when any post-effective amendment to the Registration Statement shall become effective or any amendment or supplement to the Prospectus shall have been filed; (ii) of its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Public Securities for offering or sale in any jurisdiction, or of the initiation or threat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Public Securities. The Company shall effect all filings required under Rule 424(b) of the Securities Act Regulations, in the manner and within the time period required by Rule 424(b), and shall take such steps as it deems necessary to ascertain promptly whether the form of prospectus transmitted for filing under Rule 424(b) was received for filing by the Commission and, in the event that it was not, it will promptly file such prospectus. The Company shall prevent the issuance of any stop order, prevention or suspension and, if any such order is issued, to obtain the lifting thereof at the earliest possible moment.</w:t>
      </w:r>
    </w:p>
    <w:p>
      <w:pPr>
        <w:spacing w:after="0" w:line="176"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Continued Compliance</w:t>
      </w:r>
      <w:r>
        <w:rPr>
          <w:rFonts w:ascii="Times New Roman" w:cs="Times New Roman" w:eastAsia="Times New Roman" w:hAnsi="Times New Roman"/>
          <w:sz w:val="18"/>
          <w:szCs w:val="18"/>
          <w:color w:val="auto"/>
        </w:rPr>
        <w:t>. The Company shall comply in all material respects with the Securities Act, the Securities Act Regulations, the Exchange Act and the Exchange Act Regulations so as to permit the completion of the distribution of the Public Securities as contemplated in this Agreement and in the Registration Statement, the Pricing Disclosure Package and the Prospectus. If at any time when a prospectus relating to the Public Securities is (or, but for the exception afforded by Rule 172 of the Securities Act Regulations (“</w:t>
      </w:r>
      <w:r>
        <w:rPr>
          <w:rFonts w:ascii="Times New Roman" w:cs="Times New Roman" w:eastAsia="Times New Roman" w:hAnsi="Times New Roman"/>
          <w:sz w:val="18"/>
          <w:szCs w:val="18"/>
          <w:b w:val="1"/>
          <w:bCs w:val="1"/>
          <w:color w:val="auto"/>
        </w:rPr>
        <w:t>Rule 172</w:t>
      </w:r>
      <w:r>
        <w:rPr>
          <w:rFonts w:ascii="Times New Roman" w:cs="Times New Roman" w:eastAsia="Times New Roman" w:hAnsi="Times New Roman"/>
          <w:sz w:val="18"/>
          <w:szCs w:val="18"/>
          <w:color w:val="auto"/>
        </w:rPr>
        <w:t>”), would be) required by the Securities Act to be delivered in connection with sales of the Public Securities, any event shall occur or condition shall exist as a result of which it is necessary, in the opinion of counsel to the Company or Underwriter’s Counsel, to (i) amend the Registration Statement in order that the Registration Statement will not include an untrue statement of a material fact or omit to state a material fact required to be stated therein or necessary to make the statements therein not misleading;</w:t>
      </w:r>
    </w:p>
    <w:p>
      <w:pPr>
        <w:spacing w:after="0" w:line="3" w:lineRule="exact"/>
        <w:rPr>
          <w:sz w:val="20"/>
          <w:szCs w:val="20"/>
          <w:color w:val="auto"/>
        </w:rPr>
      </w:pPr>
    </w:p>
    <w:p>
      <w:pPr>
        <w:ind w:right="80" w:firstLine="8"/>
        <w:spacing w:after="0" w:line="265" w:lineRule="auto"/>
        <w:tabs>
          <w:tab w:leader="none" w:pos="26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within the same calendar day, (i) give the Underwriter notice of such event; (ii) prepare any amendment or supplement as may be necessary to correct such statement or omission or to make the Registration Statement, the Pricing Disclosure Package or the Prospectus comply with the requirements of the Securities Act, the Securities Act Regulations, the Exchange Act and the Exchange Act Regulations and, within at least three</w:t>
      </w:r>
    </w:p>
    <w:p>
      <w:pPr>
        <w:spacing w:after="0" w:line="1"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(3) Business Days prior to any proposed filing or use, furnish the Underwriter with copies of any such amendment or supplement and (iii) file with the Commission any such amendment or supplement;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not file or use any such amendment or supplement to which the Underwriter or Underwriter’s Counsel shall object. The Company will furnish to the Underwriter such number of copies of such amendment or supplement as the Underwriter may request. The Company will give the Underwriter notice of any filings made pursuant to the Exchange Act or the Exchange Act Regulations within at least three (3) Business Days prior to the Applicable Time. The Company shall give the Underwriter notice of its intention to make any such filing from the Applicable Time until the Closing Date and will furnish the Underwriter with copies of the related document(s) within at least three (3) Business Days prior to such proposed filing, as the case may be, and will not file or use any such document to which the Underwriter or Underwriter’s Counsel shall object.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7" w:name="page208"/>
    <w:bookmarkEnd w:id="207"/>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The Company shall maintain the registration of the Public Securities under the Exchange Act (except in connection with a going-private transaction) for a period of three years from the Effective Date, or until the Company is liquidated or is acquired, if earlier. For a period of three years from the Effective Date, the Company shall not deregister any of the Public Securities under the Exchange Act without prior notice to the Underwriter.</w:t>
      </w:r>
    </w:p>
    <w:p>
      <w:pPr>
        <w:spacing w:after="0" w:line="18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xml:space="preserve">. The Company agrees that, unless it obtains the prior written consent of the Underwriter, it shall not make any offer relating to the Public Securities that would constitute an Issuer Free Writing Prospectus or that would otherwise constitute a “free writing prospectus,” or a portion thereof, required to be filed by the Company with the Commission or retained by the Company under Rule 433;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Underwriter shall be deemed to have consented to each Issuer General Use Free Writing Prospectus set forth in </w:t>
      </w:r>
      <w:r>
        <w:rPr>
          <w:rFonts w:ascii="Times New Roman" w:cs="Times New Roman" w:eastAsia="Times New Roman" w:hAnsi="Times New Roman"/>
          <w:sz w:val="18"/>
          <w:szCs w:val="18"/>
          <w:u w:val="single" w:color="auto"/>
          <w:color w:val="auto"/>
        </w:rPr>
        <w:t>Schedule 2-B</w:t>
      </w:r>
      <w:r>
        <w:rPr>
          <w:rFonts w:ascii="Times New Roman" w:cs="Times New Roman" w:eastAsia="Times New Roman" w:hAnsi="Times New Roman"/>
          <w:sz w:val="18"/>
          <w:szCs w:val="18"/>
          <w:color w:val="auto"/>
        </w:rPr>
        <w:t>. The Company represents that it has treated or agrees that it will treat each such free writing prospectus consented to, or deemed consented to, by the Underwriter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 and will promptly amend or supplement, at its own expense, such Issuer Free Writing Prospectus to eliminate or correct such conflict, untrue statement or omission.</w:t>
      </w:r>
    </w:p>
    <w:p>
      <w:pPr>
        <w:spacing w:after="0" w:line="190" w:lineRule="exact"/>
        <w:rPr>
          <w:sz w:val="20"/>
          <w:szCs w:val="20"/>
          <w:color w:val="auto"/>
        </w:rPr>
      </w:pPr>
    </w:p>
    <w:p>
      <w:pPr>
        <w:ind w:right="2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Testing-the-Waters Communications</w:t>
      </w:r>
      <w:r>
        <w:rPr>
          <w:rFonts w:ascii="Times New Roman" w:cs="Times New Roman" w:eastAsia="Times New Roman" w:hAnsi="Times New Roman"/>
          <w:sz w:val="18"/>
          <w:szCs w:val="18"/>
          <w:color w:val="auto"/>
        </w:rPr>
        <w:t>. If at any time following the distribution of any Testing-the-Waters Communication that is a written communication within the meaning of Rule 405 of the Securities Act Regulations (a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Underwriter and shall promptly amend or supplement, at its own expense, such Written Testing-the-Waters Communication to eliminate or correct such untrue statement or omission.</w:t>
      </w:r>
    </w:p>
    <w:p>
      <w:pPr>
        <w:spacing w:after="0" w:line="18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Delivery to the Underwriter of Registration Statements</w:t>
      </w:r>
      <w:r>
        <w:rPr>
          <w:rFonts w:ascii="Times New Roman" w:cs="Times New Roman" w:eastAsia="Times New Roman" w:hAnsi="Times New Roman"/>
          <w:sz w:val="18"/>
          <w:szCs w:val="18"/>
          <w:color w:val="auto"/>
        </w:rPr>
        <w:t>. The Company has delivered or made available or shall deliver or make available to the Underwriter and Underwriter’s Counsel, without charge, signed copies of the Registration Statement as originally filed and each amendment thereto (including exhibits filed therewith) and signed copies of all consents and certificates of experts, and will also deliver to the Underwriter and/or Underwriter’s Counsel, without charge, a conformed copy of the Registration Statement as originally filed and each amendment thereto (without exhibits) upon receipt of a written request therefor from Underwriter and/or Underwriter’s Counsel (as applicable). The copies of the Registration Statement and each amendment thereto furnished to the Underwriter and/or Underwriter’s Counsel will be identical to the electronically transmitted copies thereof filed with the Commission pursuant to EDGAR, except to the extent permitted by Regulation S-T.</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Delivery to the Underwriter of Prospectuses</w:t>
      </w:r>
      <w:r>
        <w:rPr>
          <w:rFonts w:ascii="Times New Roman" w:cs="Times New Roman" w:eastAsia="Times New Roman" w:hAnsi="Times New Roman"/>
          <w:sz w:val="18"/>
          <w:szCs w:val="18"/>
          <w:color w:val="auto"/>
        </w:rPr>
        <w:t>. The Company has delivered or made available or will deliver or make available to the Underwriter, without charge, as many copies of each Preliminary Prospectus as the Underwriter reasonably requested, and the Company hereby consents to the use of such copies for purposes permitted by the Securities Act. The Company will furnish to the Underwriter and/or Underwriter’s Counsel, without charge, during the period when a prospectus relating to the Public Securities is (or, but for the exception afforded by Rule 172 of the Securities Act Regulations, would be) required to be delivered under the Securities Act, such number of copies of the Prospectus (as amended or supplemented) as the Underwriter and/or Underwriter’s Counsel (as applicable) may reasonably request. The Prospectus and any amendments or supplements thereto furnished to the Underwriter and/or Underwriter’s Counsel will be identical to the electronically transmitted copies thereof filed with the Commission pursuant to EDGAR, except to the extent permitted by Regulation S-T.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Effectiveness and Events Requiring Notice to the Underwriter</w:t>
      </w:r>
      <w:r>
        <w:rPr>
          <w:rFonts w:ascii="Times New Roman" w:cs="Times New Roman" w:eastAsia="Times New Roman" w:hAnsi="Times New Roman"/>
          <w:sz w:val="18"/>
          <w:szCs w:val="18"/>
          <w:color w:val="auto"/>
        </w:rPr>
        <w:t>. The Company shall use its commercially reasonable efforts to cause the Registration Statement to remain effective with a current prospectus for at least nine (9) months after the Applicable Time, and shall notify the Underwriter promptly and confirm the notice in writing of: (i) the effectiveness of the Registration Statement and any amendment thereto; (ii) the issuance by the Commission of any stop order or of the initiation, or the threatening, of any proceeding for that purpose; (iii) the issuance by any state securities commission of any proceedings for the suspension of the qualification of the Public Securities for offering or sale in any jurisdiction or of the initiation, or the threatening, of any proceeding for that purpose; (iv) the mailing and delivery to the Commission for filing of any amendment or supplement to the Registration Statement or Prospectus; (v) the receipt of any comments or request for any additional information from the Commission; and (vi) the occurrence of any event during the period described in this Section 3.5 that, in the reasonable judgment of the Company, makes any statement of a material fact made in the Registration Statement, the Pricing Disclosure Package or the Prospectus untrue or that requires the making of any changes in (a) the Registration Statement in order to make the statements therein not misleading, or (b) in the Pricing Disclosure Package or the Prospectus in order to make the statements therein, in the light of the circumstances under which they were made, not misleading. If the Commission or any state securities commission shall enter a stop order or suspend such qualification at any time, the Company shall promptly obtain the lifting of such order.</w:t>
      </w:r>
    </w:p>
    <w:p>
      <w:pPr>
        <w:spacing w:after="0" w:line="19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Consideration; Payment of Expenses.</w:t>
      </w:r>
      <w:r>
        <w:rPr>
          <w:rFonts w:ascii="Times New Roman" w:cs="Times New Roman" w:eastAsia="Times New Roman" w:hAnsi="Times New Roman"/>
          <w:sz w:val="18"/>
          <w:szCs w:val="18"/>
          <w:color w:val="auto"/>
        </w:rPr>
        <w:t xml:space="preserve"> In consideration of the services provided by the Underwriter pursuant to in this Agreement, the Company shall afford to the Underwriter or its respective designees, if any,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Firm Shares purchased in this Offering) of their compensation as follows: (a) an underwriting discount equal to six percent (6%) of the gross proceeds of the securities being offered and sold to investors introduced by the Underwriter, and a gross discount equal to 3% of gross proceeds (or in cash in the equivalent amount) of the securities being offered and sold to investors introduced by the Company (each, an “</w:t>
      </w:r>
      <w:r>
        <w:rPr>
          <w:rFonts w:ascii="Times New Roman" w:cs="Times New Roman" w:eastAsia="Times New Roman" w:hAnsi="Times New Roman"/>
          <w:sz w:val="18"/>
          <w:szCs w:val="18"/>
          <w:b w:val="1"/>
          <w:bCs w:val="1"/>
          <w:color w:val="auto"/>
        </w:rPr>
        <w:t>Underwriting Discount</w:t>
      </w:r>
      <w:r>
        <w:rPr>
          <w:rFonts w:ascii="Times New Roman" w:cs="Times New Roman" w:eastAsia="Times New Roman" w:hAnsi="Times New Roman"/>
          <w:sz w:val="18"/>
          <w:szCs w:val="18"/>
          <w:color w:val="auto"/>
        </w:rPr>
        <w:t>”); (b) a non-accountable expense allowance of one percent (1%) of the gross proceeds of the Offering (the “</w:t>
      </w:r>
      <w:r>
        <w:rPr>
          <w:rFonts w:ascii="Times New Roman" w:cs="Times New Roman" w:eastAsia="Times New Roman" w:hAnsi="Times New Roman"/>
          <w:sz w:val="18"/>
          <w:szCs w:val="18"/>
          <w:b w:val="1"/>
          <w:bCs w:val="1"/>
          <w:color w:val="auto"/>
        </w:rPr>
        <w:t>Non-Accountable Expense Allowance</w:t>
      </w:r>
      <w:r>
        <w:rPr>
          <w:rFonts w:ascii="Times New Roman" w:cs="Times New Roman" w:eastAsia="Times New Roman" w:hAnsi="Times New Roman"/>
          <w:sz w:val="18"/>
          <w:szCs w:val="18"/>
          <w:color w:val="auto"/>
        </w:rPr>
        <w:t>”); (c) an accountable expense allowance of up to US$250,000, including but not limited to reasonable and documented travel, legal fees, due diligence fees, and other expenses and disbursements, incurred in connection with the Underwriter’s services for the purpose of the Offering, regardless of whether the Offering is successfully closed or not; (d) the Underwriter reserves the right to reduce any item of compensation or adjust the terms thereof as specified herein in the event that a determination shall be made by FINRA to the effect that the Underwriter’s aggregate compensation is in excess of FINRA rules or that the terms thereof require adjustment; (e) whether or not the transactions contemplated by this Agreement, the Registration Statement and the Prospectus are consummated or this Agreement is terminated, the Company hereby agrees to pay the Underwriter the following reasonable, necessary and accountable out-of-pocket expenses: (i) the costs of preparing, printing and filing the registration statement with the Commission, amendments and supplements thereto, and post-effective amendments, filing with FINRA and payment of all necessary fees in connection therewith and the printing of a sufficient quantity of preliminary and final prospectuses as the Underwriter may reasonably request; (ii) the costs of preparing, printing and delivering exhibits to the documents set forth in clause (i) of this Section 3.6, in such quantities as the Underwriter may reasonably request; (iii) all fees, expenses and disbursements relating to the registration, qualification or exemption of the Public Securities under the securities laws of foreign jurisdictions designated by the Underwriter; (iv) fees of counsel and accountants for the Company, including fees associated with any blue sky filings where applicable; (v) fees associated with the Company’s transfer agent; and (vi) fees, if necessary, associated with translation services. The Underwriter may, upon presentation of relevant supporting documents (e.g. invoices and receipts), deduct from the net proceeds of the Offering payable to the Company on the Closing Date the expenses set forth in this Section 3.6 to be paid by the Company to the Underwriter.</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9" w:name="page210"/>
    <w:bookmarkEnd w:id="209"/>
    <w:p>
      <w:pPr>
        <w:ind w:right="440" w:firstLine="648"/>
        <w:spacing w:after="0" w:line="312"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Application of Net Proceeds</w:t>
      </w:r>
      <w:r>
        <w:rPr>
          <w:rFonts w:ascii="Times New Roman" w:cs="Times New Roman" w:eastAsia="Times New Roman" w:hAnsi="Times New Roman"/>
          <w:sz w:val="17"/>
          <w:szCs w:val="17"/>
          <w:color w:val="auto"/>
        </w:rPr>
        <w:t>. The Company shall apply the net proceeds from the Offering received by it in a manner consistent with the application thereof described under the caption “Use of Proceeds” in the Registration Statement, the Pricing Disclosure Package and the Prospectus.</w:t>
      </w:r>
    </w:p>
    <w:p>
      <w:pPr>
        <w:spacing w:after="0" w:line="14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Delivery of Earnings Statements to Security Holder</w:t>
      </w:r>
      <w:r>
        <w:rPr>
          <w:rFonts w:ascii="Times New Roman" w:cs="Times New Roman" w:eastAsia="Times New Roman" w:hAnsi="Times New Roman"/>
          <w:sz w:val="18"/>
          <w:szCs w:val="18"/>
          <w:color w:val="auto"/>
        </w:rPr>
        <w:t>s. The Company shall make generally available to its security holders as soon as practicable an earnings statement (which need not be certified by an independent registered public accounting firm unless required by the Securities Act or the Securities Act Regulations, but which shall satisfy the provisions of Rule 158(a) under Section 11(a) of the Securities Act) covering a period of at least twelve (12) consecutive months beginning after the date of this Agreement.</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Stabilizatio</w:t>
      </w:r>
      <w:r>
        <w:rPr>
          <w:rFonts w:ascii="Times New Roman" w:cs="Times New Roman" w:eastAsia="Times New Roman" w:hAnsi="Times New Roman"/>
          <w:sz w:val="18"/>
          <w:szCs w:val="18"/>
          <w:color w:val="auto"/>
        </w:rPr>
        <w:t>n. Neither the Company nor any of its employees, directors or stockholders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Internal Control</w:t>
      </w:r>
      <w:r>
        <w:rPr>
          <w:rFonts w:ascii="Times New Roman" w:cs="Times New Roman" w:eastAsia="Times New Roman" w:hAnsi="Times New Roman"/>
          <w:sz w:val="18"/>
          <w:szCs w:val="18"/>
          <w:color w:val="auto"/>
        </w:rPr>
        <w:t>s. The Company shall maintain a system of internal accounting controls sufficient to provide reasonable assurances that: (i) the Company’s transactions are executed in accordance with management’s general or specific authorization; (ii) the Company’s transactions are recorded as necessary in order to permit preparation of financial statements in accordance with GAAP and to maintain accountability for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For a period of 60 days from the later of the Closing Date, the Company shall advise the Underwriter (who shall make an appropriate filing with FINRA) if it is or becomes aware that (i) any officer or director of the Company, (ii) any beneficial owner of 10%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w:t>
      </w:r>
    </w:p>
    <w:p>
      <w:pPr>
        <w:spacing w:after="0" w:line="18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No Fiduciary Duties</w:t>
      </w:r>
      <w:r>
        <w:rPr>
          <w:rFonts w:ascii="Times New Roman" w:cs="Times New Roman" w:eastAsia="Times New Roman" w:hAnsi="Times New Roman"/>
          <w:sz w:val="18"/>
          <w:szCs w:val="18"/>
          <w:color w:val="auto"/>
        </w:rPr>
        <w:t>. The Company acknowledges and agrees that the Underwriter’s responsibility to the Company is solely contractual in nature and that none of the Underwriter 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Company Lock-Up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3.14.1. </w:t>
      </w:r>
      <w:r>
        <w:rPr>
          <w:rFonts w:ascii="Times New Roman" w:cs="Times New Roman" w:eastAsia="Times New Roman" w:hAnsi="Times New Roman"/>
          <w:sz w:val="18"/>
          <w:szCs w:val="18"/>
          <w:u w:val="single" w:color="auto"/>
          <w:color w:val="auto"/>
        </w:rPr>
        <w:t>Restriction on Sales of Capital Stock</w:t>
      </w:r>
      <w:r>
        <w:rPr>
          <w:rFonts w:ascii="Times New Roman" w:cs="Times New Roman" w:eastAsia="Times New Roman" w:hAnsi="Times New Roman"/>
          <w:sz w:val="18"/>
          <w:szCs w:val="18"/>
          <w:color w:val="auto"/>
        </w:rPr>
        <w:t>. The Company, on behalf of itself and any successor entity, agrees that, without the prior written consent of the Underwriter, it will not, for a period of six (6) months days after the date of the Offering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and each of the Company any successors of the Company will not, for a period of six (6) months after the closing date of the Offering,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(ii) file or cause to be filed any registration statement with the Commission relating to the offering of any shares of Lock-up Securities; (iii) complete any offering of debt securities of the Company without notice to the Underwriter, other than entering into a line of credit or senior credit facility with a traditional bank or other lending institution,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w:t>
      </w:r>
    </w:p>
    <w:p>
      <w:pPr>
        <w:spacing w:after="0" w:line="19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The restrictions contained in this Section 3.14.1 shall not apply to (i) the Public Securities to be sold hereunder, (ii) the issuance by the Company of shares of capital stock upon the exercise of an outstanding stock option or warrant or the conversion of a security outstanding on the date hereof, of which the Underwriter has been advised in writing, (iii) the issuance by the Company of any security under any equity compensation plan of the Company or (iv) any issuance of securities disclosed in the Registration Statement, the Pricing Disclosure Package or the Prospectus.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 from Lock-Up Agreements</w:t>
      </w:r>
      <w:r>
        <w:rPr>
          <w:rFonts w:ascii="Times New Roman" w:cs="Times New Roman" w:eastAsia="Times New Roman" w:hAnsi="Times New Roman"/>
          <w:sz w:val="18"/>
          <w:szCs w:val="18"/>
          <w:color w:val="auto"/>
        </w:rPr>
        <w:t xml:space="preserve">. If the Underwriter, in its sole discretion, agrees to release or waive the restrictions set forth in the Lock-Up Agreements described in Section 2.25 hereof for a Lock-Up Party and provides the Company with notice of the impending release or waiver at least two (2) Business Days before the effective date of the release or waiver, the Company agrees to announce the impending release or waiver by a press release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through a major news service at least two (2) Business Days before the effective date of the release or waiver. The provisions of this Section 3.15 shall not apply if (i) the release or waiver is effected solely to permit a transfer of Lock-Up Securities not for consideration and (ii) the transferee has agreed in writing to be bound by the same terms described in the lock-up agreement to the extent and for the duration that such terms remain in effect at the time of such transfer.</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Blue Sky Qualifications</w:t>
      </w:r>
      <w:r>
        <w:rPr>
          <w:rFonts w:ascii="Times New Roman" w:cs="Times New Roman" w:eastAsia="Times New Roman" w:hAnsi="Times New Roman"/>
          <w:sz w:val="18"/>
          <w:szCs w:val="18"/>
          <w:color w:val="auto"/>
        </w:rPr>
        <w:t xml:space="preserve">. The Company shall, in cooperation with the Underwriter, if necessary, qualify the Public Securities for offering and sale under the applicable securities laws of such states and other jurisdictions (domestic or foreign) as the Underwriter may designate and to maintain such qualifications in effect so long as required to complete the distribution of the Public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The Company, during the period when a prospectus relating to the Public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Public Securities as may be required under Rule 463 under the Securities Act Regulations.</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shall promptly notify the Underwriter if the Company ceases to be an Emerging Growth Company at any time prior to the later of (i) completion of the distribution of the Public Securities within the meaning of the Securities Act and (ii) fifteen (15) days following the end of the Lock-Up Period.</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1" w:name="page212"/>
    <w:bookmarkEnd w:id="211"/>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Except to the extent required by applicable law, rule, or regulation (including an Exchange rule or regulation), the Company shall not issue any press release or other communication directly or indirectly or hold any press conference from January 9, 2024 to a period of forty (40) days from the earlier to occur of (i) the termination of the Engagement Letter between the Parties dated January 9, 2024 (the “</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or end of the Engagement Period or (ii) the closing date of the Offering, such press conference with respect to: (i) the Offering or (i) the Company, its condition, financial or otherwise, or earnings, business affairs or business prospects (except for routine oral marketing communications in the ordinary course of business and consistent with the past practices of the Company and of which the Underwriter is notified), without the prior written consent of the Underwriter.</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shall at all times comply in all material respects with all applicable provisions of the Sarbanes-Oxley Act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8"/>
        <w:spacing w:after="0" w:line="261" w:lineRule="auto"/>
        <w:tabs>
          <w:tab w:leader="none" w:pos="22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Underwriter to purchase and pay for the Public Securities, as provided herein, shall be subject to (i) the continuing accuracy of the representations and warranties of the Company as of the date hereof and as of each of the Closing Date; (ii) the accuracy of the statements of officers of the Company made pursuant to the provisions hereof; (iii) the performance by the Company of its obligations hereunder; and (iv) the following conditions: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Effectiveness of Registration Statement; Rule 430A Information</w:t>
      </w:r>
      <w:r>
        <w:rPr>
          <w:rFonts w:ascii="Times New Roman" w:cs="Times New Roman" w:eastAsia="Times New Roman" w:hAnsi="Times New Roman"/>
          <w:sz w:val="18"/>
          <w:szCs w:val="18"/>
          <w:color w:val="auto"/>
        </w:rPr>
        <w:t>. The Registration Statement shall become effective not later than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5:30 p.m., Eastern time, on the date of this Agreement or such later date and time as shall be consented to in writing by the Underwriter, and, at each of the Closing Date, no stop order suspending the effectiveness of the Registration Statement or any post-effective amendment thereto shall have been issued by the Commission under the Securities Act, no order preventing or suspending the use of any Preliminary Prospectus or the Prospectus shall have been issued and no proceedings for any of those purposes shall have been instituted or are pending or, to the Company’s knowledge, contemplated by the Commission. The Company has complied with each request (if any) from the Commission for additional information. A prospectus containing the Rule 430A Information shall have been filed with the Commission in the manner and within the time frame required by Rule 424(b) under the Securities Act Regulations or a post-effective amendment providing such information shall have been filed with, and declared effective by, the Commission in accordance with the requirements of Rule 430A under the Securities Act Regulations.</w:t>
      </w:r>
    </w:p>
    <w:p>
      <w:pPr>
        <w:spacing w:after="0" w:line="194"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FINRA Clearance</w:t>
      </w:r>
      <w:r>
        <w:rPr>
          <w:rFonts w:ascii="Times New Roman" w:cs="Times New Roman" w:eastAsia="Times New Roman" w:hAnsi="Times New Roman"/>
          <w:sz w:val="18"/>
          <w:szCs w:val="18"/>
          <w:color w:val="auto"/>
        </w:rPr>
        <w:t>. On or before the date of this Agreement, the Underwriter shall have received clearance from FINRA as to the amount of compensation allowable or payable to the Underwriter as described in the Registration Statement.</w:t>
      </w:r>
    </w:p>
    <w:p>
      <w:pPr>
        <w:spacing w:after="0" w:line="16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Exchange Clearance</w:t>
      </w:r>
      <w:r>
        <w:rPr>
          <w:rFonts w:ascii="Times New Roman" w:cs="Times New Roman" w:eastAsia="Times New Roman" w:hAnsi="Times New Roman"/>
          <w:sz w:val="18"/>
          <w:szCs w:val="18"/>
          <w:color w:val="auto"/>
        </w:rPr>
        <w:t>. On the Closing Date, the Firm Shares shall have been approved for listing on the Exchange, subject only to official notice of issuance.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2" w:name="page213"/>
    <w:bookmarkEnd w:id="212"/>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Counsel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Closing Date Opinion of Counsel</w:t>
      </w:r>
      <w:r>
        <w:rPr>
          <w:rFonts w:ascii="Times New Roman" w:cs="Times New Roman" w:eastAsia="Times New Roman" w:hAnsi="Times New Roman"/>
          <w:sz w:val="18"/>
          <w:szCs w:val="18"/>
          <w:color w:val="auto"/>
        </w:rPr>
        <w:t>. On the Closing Date, the Underwriter shall have received (i) the opinion and (ii) a written statement providing certain “10b-5” negative assurances, in each case, of Hogan Lovells, counsel to the Company, dated the Closing Date and addressed to the Underwriter in customary form.</w:t>
      </w:r>
    </w:p>
    <w:p>
      <w:pPr>
        <w:spacing w:after="0" w:line="176"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Closing Date Opinion of Cayman Counsel</w:t>
      </w:r>
      <w:r>
        <w:rPr>
          <w:rFonts w:ascii="Times New Roman" w:cs="Times New Roman" w:eastAsia="Times New Roman" w:hAnsi="Times New Roman"/>
          <w:sz w:val="18"/>
          <w:szCs w:val="18"/>
          <w:color w:val="auto"/>
        </w:rPr>
        <w:t>. On the Closing Date, the Underwriter shall have received the favorable opinion of Maples and Calder (Hong Kong) LLP, Cayman Islands counsel for the Company, dated the Closing Date, in a customary form and substance reasonably satisfactory to Underwriter’s Counsel addressed to the Underwriter and stating that such opinions may be relied upon by the Underwriter.</w:t>
      </w:r>
    </w:p>
    <w:p>
      <w:pPr>
        <w:spacing w:after="0" w:line="176"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Closing Date Opinion of Singaporean Counsel</w:t>
      </w:r>
      <w:r>
        <w:rPr>
          <w:rFonts w:ascii="Times New Roman" w:cs="Times New Roman" w:eastAsia="Times New Roman" w:hAnsi="Times New Roman"/>
          <w:sz w:val="18"/>
          <w:szCs w:val="18"/>
          <w:color w:val="auto"/>
        </w:rPr>
        <w:t>. On the Closing Date, the Underwriter shall have received the favorable opinion of Resource Law LLC, Singaporean counsel for the Company, dated the Closing Date, in a customary form and substance reasonably satisfactory to Underwriter’s Counsel addressed to the Underwriter and stating that such opinions may be relied upon by the Underwriter.</w:t>
      </w:r>
    </w:p>
    <w:p>
      <w:pPr>
        <w:spacing w:after="0" w:line="17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Closing Date Opinion of Underwriter’s Counsel</w:t>
      </w:r>
      <w:r>
        <w:rPr>
          <w:rFonts w:ascii="Times New Roman" w:cs="Times New Roman" w:eastAsia="Times New Roman" w:hAnsi="Times New Roman"/>
          <w:sz w:val="18"/>
          <w:szCs w:val="18"/>
          <w:color w:val="auto"/>
        </w:rPr>
        <w:t>. On the Closing Date, the Underwriter shall have received (i) the opinion and (ii) a written statement providing certain “10b-5” negative assurances, in each case, of the Underwriter’s Counsel, dated the Closing Date and addressed to the Underwriter in customary form.</w:t>
      </w:r>
    </w:p>
    <w:p>
      <w:pPr>
        <w:spacing w:after="0" w:line="17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Closing Date Opinion of Depositary Counsel</w:t>
      </w:r>
      <w:r>
        <w:rPr>
          <w:rFonts w:ascii="Times New Roman" w:cs="Times New Roman" w:eastAsia="Times New Roman" w:hAnsi="Times New Roman"/>
          <w:sz w:val="18"/>
          <w:szCs w:val="18"/>
          <w:color w:val="auto"/>
        </w:rPr>
        <w:t>. On the Closing Date, the Underwriter shall have received the favorable opinion of Patterson Belknap Webb &amp; Tyler llp, counsel for the Citibank, N.A., dated the Closing Date, in a customary form and substance reasonably satisfactory to Underwriter’s Counsel addressed to the Underwriter and stating that such opinions may be relied upon by the Underwriter.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Cold Comfort Letter</w:t>
      </w:r>
      <w:r>
        <w:rPr>
          <w:rFonts w:ascii="Times New Roman" w:cs="Times New Roman" w:eastAsia="Times New Roman" w:hAnsi="Times New Roman"/>
          <w:sz w:val="18"/>
          <w:szCs w:val="18"/>
          <w:color w:val="auto"/>
        </w:rPr>
        <w:t>. At the time this Agreement is executed, the Underwriter shall have received a cold comfort letter from the Auditor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Underwriter and in form and substance satisfactory to the Underwriter’s Counsel, dated as of the date of this Agreement.</w:t>
      </w:r>
    </w:p>
    <w:p>
      <w:pPr>
        <w:spacing w:after="0" w:line="180"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At each of the Closing Date, the Underwriter shall have received from the Auditor a letter, dated as of the Closing Date, to the effect that the Auditor reaffirms the statements made in the letter furnished pursuant to Section 4.3.1, except that the specified date referred to shall be a date not more than three (3) Business Days prior to the Closing Date.</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3" w:name="page214"/>
    <w:bookmarkEnd w:id="213"/>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Company shall have furnished to the Underwriter a certificate, dated the Closing Date, of its Chief Executive Officer and its Chief Financial Officer stating on behalf of the Company and not in an individual capacity that (i) such officers have carefully examined the Registration Statement, the Pricing Disclosure Package, any Issuer Free Writing Prospectus and the Prospectus and, they believe that the Registration Statement and each amendment thereto after the Effective Date, as of the Applicable Time and as of the Closing Date did not include any untrue statement of a material fact and did not omit to state a material fact required to be stated therein or necessary to make the statements therein, in light of the circumstances under which they were made, not misleading, and the Pricing Disclosure Package, as of the Applicable Time and as of the Closing Date, any Issuer Free Writing Prospectus as of its date and as of the Closing Date, the Prospectus and each amendment or supplement thereto after the Effective Date, as of the respective date thereof and as of the Closing Date, did not include any untrue statement of a material fact and did not omit to state a material fact necessary in order to make the statements therein, in the light of the circumstances under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the representations and warranties of the Company in this Agreement are true and correct and the Company has complied with all agreements and satisfied all conditions on its part to be performed or satisfied hereunder at or prior to the Closing Date, and (iv) there has not been, subsequent to the date of the most recent audited financial statements included in the Pricing Disclosure Package, a Material Adverse Change.</w:t>
      </w:r>
    </w:p>
    <w:p>
      <w:pPr>
        <w:spacing w:after="0" w:line="197"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At each of the Closing Date, if any, the Underwriter shall have received a certificate of the Company signed by the Secretary of the Company, dated the Closing Date, certifying on behalf of the Company and not in an individual capacity: (i) that each of the Charter and Articles of Association is true and complete, has not been amended or modified and is in full force and effect; (ii) that the resolutions of the Board relating to the Offering are in full force and effect and have not been modified or rescinded; and (iii) as to the incumbency of the officers of the Company who have signed the certificates set forth in Section 4.4.1. The documents referred to in such certificate shall be attached thereto.</w:t>
      </w:r>
    </w:p>
    <w:p>
      <w:pPr>
        <w:spacing w:after="0" w:line="183"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On the Closing Date, the Company shall furnish to the Underwriter a certificate of the Company’s chief financial officer, dated the respective dates of their delivery and signed by the Chief Financial Officer and addressed to the Underwriter, with respect to certain operating and financial data contained in each of the Registration Statement, the Pricing Disclosure Package and the Prospectus, providing “management comfort” with respect to such information, in form and substance reasonably satisfactory to the Underwriter.</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Material Changes</w:t>
      </w:r>
      <w:r>
        <w:rPr>
          <w:rFonts w:ascii="Times New Roman" w:cs="Times New Roman" w:eastAsia="Times New Roman" w:hAnsi="Times New Roman"/>
          <w:sz w:val="18"/>
          <w:szCs w:val="18"/>
          <w:color w:val="auto"/>
        </w:rPr>
        <w:t>. Prior to and on each of the Closing Date: (i) there shall have been no Material Adverse Change in the condition, financial or otherwise, business or prospects of the Company from the date of this Agreement; (ii) no action, suit or proceeding, at law or in equity, shall have been pending or threatened against the Company or any Insider before or by any court or federal or state commission, board or other administrative agency wherein an unfavorable decision, ruling or finding may be expected to cause a Material Adverse Change, except as set forth in the Registration Statement, the Pricing Disclosure Package and the Prospectus; (iii) no stop order shall have been issued by the Commission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the light of the circumstances under which they were made, not misleading.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Material Misstatement or Omission</w:t>
      </w:r>
      <w:r>
        <w:rPr>
          <w:rFonts w:ascii="Times New Roman" w:cs="Times New Roman" w:eastAsia="Times New Roman" w:hAnsi="Times New Roman"/>
          <w:sz w:val="18"/>
          <w:szCs w:val="18"/>
          <w:color w:val="auto"/>
        </w:rPr>
        <w:t>. The Underwriter shall not have discovered and disclosed to the Company on or prior to the Closing Date that the Registration Statement or any amendment or supplement thereto contains an untrue statement of a fact which, is material or omits to state any fact which, is material and is required to be stated therein or is necessary to make the statements therein, in the light of the circumstances under which they were made, not misleading, or that the Registration Statement, the Pricing Disclosure Package, any Issuer Free Writing Prospectus or the Prospectus or any amendment or supplement thereto contains an untrue statement of fact which, is material or omits to state any fact which, is material and is necessary in order to make the statements, in the light of the circumstances under which they were made, not misleading.</w:t>
      </w:r>
    </w:p>
    <w:p>
      <w:pPr>
        <w:spacing w:after="0" w:line="18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incident to the authorization, form and validity of each of this Agreement, the Public Securities, the Registration Statement, the Pricing Disclosure Package, each Issuer Free Writing Prospectus, if any, and the Prospectus and all other legal matters relating to this Agreement and the transactions contemplated hereby and thereby shall be reasonably satisfactory in all material respects to Underwriter’s Counsel, and the Company shall have furnished to Underwriter’s Counsel all documents and information that Underwriter’s Counsel may reasonably request to enable it to pass upon such matters.</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Delivery of Lock-Up Agreements</w:t>
      </w:r>
      <w:r>
        <w:rPr>
          <w:rFonts w:ascii="Times New Roman" w:cs="Times New Roman" w:eastAsia="Times New Roman" w:hAnsi="Times New Roman"/>
          <w:sz w:val="18"/>
          <w:szCs w:val="18"/>
          <w:color w:val="auto"/>
        </w:rPr>
        <w:t xml:space="preserve">. On or before the date of this Agreement, the Company shall have delivered to the Underwriter executed copies of the Lock-Up Agreements from each of the persons listed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At the Closing Date, Underwriter’s Counsel shall have been furnished with such documents as it may require for the purpose of enabling Underwriter’s Counsel to deliver an opinion to the Underwriter, or in order to evidence the accuracy of any of the representations or warranties, or the fulfillment of any of the conditions, herein contained; and all proceedings taken by the Company in connection with the issuance and sale of the Public Securities as herein contemplated shall be satisfactory in customary form and reasonably acceptable to Underwriter’s Counsel.</w:t>
      </w:r>
    </w:p>
    <w:p>
      <w:pPr>
        <w:spacing w:after="0" w:line="180" w:lineRule="exact"/>
        <w:rPr>
          <w:sz w:val="20"/>
          <w:szCs w:val="20"/>
          <w:color w:val="auto"/>
        </w:rPr>
      </w:pPr>
    </w:p>
    <w:p>
      <w:pPr>
        <w:ind w:left="180" w:hanging="172"/>
        <w:spacing w:after="0"/>
        <w:tabs>
          <w:tab w:leader="none" w:pos="1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the Underwriter.</w:t>
      </w:r>
    </w:p>
    <w:p>
      <w:pPr>
        <w:spacing w:after="0" w:line="22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shall indemnify and hold harmless the Underwriter, its affiliates and each of its respective directors, officers, members, employees, representatives, partners, shareholders, affiliates, counsel and agents and each person, if any, who controls the Underwriter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Underwriter 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against any and all loss, liability, claim, damage and expense whatsoever (including but not limited to any and all legal or other expenses reasonably incurred in investigating, preparing or defending against any litigation, commenced or threatened, or any claim whatsoever, between any of the Underwriter Indemnified Parties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the Registration Statement, the Pricing Disclosure Package, the Preliminary Prospectus, the Prospectus or any Issuer Free Writing Prospectus (as from time to time each may be amended and supplemented); (ii) any materials or information provided to investors by, or with the approval of, the Company in connection with the marketing of the Offering, including any “road show” or investor presentations made to investors by the Company (whether in person or electronically); or (iii) any application or other document or written communication (in this Section 5, collectively called “</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executed by the Company or based upon written information furnished by the Company in any jurisdiction in order to qualify the Public Securities under the securities laws thereof or filed with the Commission, any state securities commission or agency, the Exchange or any other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 With respect to any untrue statement or omission or alleged untrue statement or omission made in the Registration Statement, the Pricing Disclosure Package, the Preliminary Prospectus, the Prospectus or any Issuer Free Writing Prospectus, the indemnity provisions of this Section 5.1.1 shall not inure to the benefit of the Underwriter Indemnified Party to the extent that any loss, liability, claim, damage or expense of the Underwriter Indemnified Party results from the fact that a copy of the Prospectus was not given or sent to the person asserting any such loss, liability, claim or damage at or prior to the written confirmation of sale of the Public Securities to such person as required by the Securities Act and the Securities Act Regulations, and if the untrue statement or omission has been corrected in the Prospectus, unless such failure to deliver the Prospectus was a result of non-compliance by the Company with its obligations under Section 3.4 of this Agreement.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ind w:right="4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If any action is brought against an Underwriter Indemnified Party in respect of which indemnity may be sought against the Company pursuant to Section 5.1.1, the Underwriter Indemnified Party shall promptly notify the Company in writing of the institution of such action and the Company shall be entitled to participate therein and, to the extent that it wishes, jointly with the Company, to assume the defense of such action, including the employment and fees of counsel (subject to the reasonable approval of the Underwriter Indemnified Party) and payment of actual expenses. The Underwriter Indemnified Party shall have the right to employ its own counsel in any such case, but the fees and expenses of such counsel shall be at the expense of the Underwriter Indemnified Party unless (i) the employment of such counsel at the expense of the Company shall have been authorized in writing by the Company in connection with the defense of such action, or (ii) the Company shall not have employed counsel to have charge of the defense of such action, or (iii) such Underwriter Indemnified Party or Underwriter Indemnified Parties shall have been advised by its counsel that there may be defenses available to it or them which are different from or additional to those available to the Company (in which case the Company shall not have the right to direct the defense of such action on behalf of the Underwriter Indemnified Party or Underwriter Indemnified Parties), in any of which events the reasonable fees and expenses of not more than one additional firm of attorneys selected by the Underwriter Indemnified Parties who are party to such action (in addition to local counsel) shall be borne by the Company. Notwithstanding anything to the contrary contained herein, if the Underwriter Indemnified Party shall assume the defense of such action as provided above, the Company shall have the right to approve the terms of any settlement of such action, which approval shall not be unreasonably withheld.</w:t>
      </w:r>
    </w:p>
    <w:p>
      <w:pPr>
        <w:spacing w:after="0" w:line="19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The Underwriter shall indemnify and hold harmless the Company, its directors, its officers and persons who control the Company within the meaning of Section 15 of the Securities Act or Section 20 of the Exchange Act against any and all loss, liability, claim, damage and expense described in the foregoing indemnity from the Company to the several Underwriter, as incurred, but only with respect to such losses, liabilities, claims, damages and expenses (or actions in respect thereof) which arise out of or are based upon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the Underwriter, the Underwriter shall have the rights and duties given to the Company, and the Company and each other person so indemnified shall have the rights and duties given to the Underwriter by the provisions of Section 5.1.2. The Company agrees promptly to notify the Underwriter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Public Securities or in connection with the Registration Statement, the Pricing Disclosure Package, the Prospectus or any Issuer Free Writing Prospectus.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16" w:name="page217"/>
    <w:bookmarkEnd w:id="216"/>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Contribution Rights</w:t>
      </w:r>
      <w:r>
        <w:rPr>
          <w:rFonts w:ascii="Times New Roman" w:cs="Times New Roman" w:eastAsia="Times New Roman" w:hAnsi="Times New Roman"/>
          <w:sz w:val="18"/>
          <w:szCs w:val="18"/>
          <w:color w:val="auto"/>
        </w:rPr>
        <w:t xml:space="preserve">. If the indemnification provided for in this Section 5 shall for any reason be unavailable to or insufficient to hold harmless an indemnified party under Section 5.1 or 5.2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 on the other hand, from the Offering, or (ii) if the allocation provided by clause (i) above is not permitted by applicable law, in such proportion as is appropriate to reflect not only the relative benefits referred to in clause (i) above but also the relative fault of the Company, on the one hand, and the Underwriter, on the other, with respect to the statements or omissions that resulted in such loss, claim, damage or liability, or action in respect thereof, as well as any other relevant equitable considerations. The relative benefits received by the Company, on the one hand, and the Underwriter, on the other, with respect to such Offering shall be deemed to be in the same proportion as the total proceeds from the Offering purchased under this Agreement (before deducting expenses) received by the Company bear to the total Underwriting Discount and commissions received by the Underwriter in connection with the Offering, in each case as set forth in the table on the cover page of the Prospectus. The relative fault of the Company, on the one hand, and the Underwriter, on the other, shall be determined by reference to, among other things, whether the untrue or alleged untrue statement of a material fact or the omission or alleged omission to state a material fact relates to information supplied by the Company, on the one hand, or the Underwriter, on the other, the intent of the Parties and their relative knowledge, access to information and opportunity to correct or prevent such untrue statement, omission, act or failure to act,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Parties agree that the written information furnished to the Company through the Underwriter by or on behalf of the Underwriter for use in any Preliminary Prospectus, any Registration Statement or the Prospectus, or in any amendment or supplement thereto, consists solely of the Underwriter’s Information. The Parties agree that they would not be just and equitable if contributions pursuant to this Section 5.3.1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in this Section 5.3.1. The amount paid or payable by an indemnified party as a result of the loss, claim, damage, expense, liability, action, investigation or proceeding referred to above in this Section 5.3.1 shall be deemed to include, for purposes of this Section 5.3.1,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5.3.1, the Underwriter shall not be required to contribute any amount in excess of the total discount and commission received by the Underwriter in connection with the Offering. No person guilty of fraudulent misrepresentation (within the meaning of Section 11(f) of the Securities Act) shall be entitled to contribution from any person who was not guilty of such fraudulent misrepresentation.</w:t>
      </w:r>
    </w:p>
    <w:p>
      <w:pPr>
        <w:spacing w:after="0" w:line="204"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Contribution Procedure</w:t>
      </w:r>
      <w:r>
        <w:rPr>
          <w:rFonts w:ascii="Times New Roman" w:cs="Times New Roman" w:eastAsia="Times New Roman" w:hAnsi="Times New Roman"/>
          <w:sz w:val="18"/>
          <w:szCs w:val="18"/>
          <w:color w:val="auto"/>
        </w:rPr>
        <w:t>. Within fifteen (15) calendar days after receipt by any Party to this Agreement (or its representative) of notice of the commencement of any action, suit or proceeding, such Party (“</w:t>
      </w:r>
      <w:r>
        <w:rPr>
          <w:rFonts w:ascii="Times New Roman" w:cs="Times New Roman" w:eastAsia="Times New Roman" w:hAnsi="Times New Roman"/>
          <w:sz w:val="18"/>
          <w:szCs w:val="18"/>
          <w:b w:val="1"/>
          <w:bCs w:val="1"/>
          <w:color w:val="auto"/>
        </w:rPr>
        <w:t>Notifying Party</w:t>
      </w:r>
      <w:r>
        <w:rPr>
          <w:rFonts w:ascii="Times New Roman" w:cs="Times New Roman" w:eastAsia="Times New Roman" w:hAnsi="Times New Roman"/>
          <w:sz w:val="18"/>
          <w:szCs w:val="18"/>
          <w:color w:val="auto"/>
        </w:rPr>
        <w:t>”) will, if a claim for contribution in respect thereof is to be made against another party (“</w:t>
      </w:r>
      <w:r>
        <w:rPr>
          <w:rFonts w:ascii="Times New Roman" w:cs="Times New Roman" w:eastAsia="Times New Roman" w:hAnsi="Times New Roman"/>
          <w:sz w:val="18"/>
          <w:szCs w:val="18"/>
          <w:b w:val="1"/>
          <w:bCs w:val="1"/>
          <w:color w:val="auto"/>
        </w:rPr>
        <w:t>Contributing Party</w:t>
      </w:r>
      <w:r>
        <w:rPr>
          <w:rFonts w:ascii="Times New Roman" w:cs="Times New Roman" w:eastAsia="Times New Roman" w:hAnsi="Times New Roman"/>
          <w:sz w:val="18"/>
          <w:szCs w:val="18"/>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Notifying Party, and such Notifying Party notifies a Contributing Party of the commencement thereof within the aforesaid fifteen (15) calendar days, the Contributing Party will be entitled to participate therein with the Notifying Party and any other Contributing Party similarly notified. Any such Contributing Party shall not be liable to any Notifying Party seeking contribution on account of any settlement of any claim, action or proceeding effected by such Notifying Party seeking contribution without the written consent of such Contributing Party. The contribution provisions contained in this Section 5.3.2 are intended to supersede, to the extent permitted by law, any right to contribution under the Securities Act, the Exchange Act or otherwise available.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7" w:name="page218"/>
    <w:bookmarkEnd w:id="217"/>
    <w:p>
      <w:pPr>
        <w:ind w:left="240" w:hanging="232"/>
        <w:spacing w:after="0"/>
        <w:tabs>
          <w:tab w:leader="none" w:pos="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the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Default in Purchase of Public Securities</w:t>
      </w:r>
      <w:r>
        <w:rPr>
          <w:rFonts w:ascii="Times New Roman" w:cs="Times New Roman" w:eastAsia="Times New Roman" w:hAnsi="Times New Roman"/>
          <w:sz w:val="18"/>
          <w:szCs w:val="18"/>
          <w:color w:val="auto"/>
        </w:rPr>
        <w:t>. If the Underwriter shall default in its obligation to purchase the Firm Securities, the Underwriter may, in its discretion, arrange for itself or for another party or parties to purchase such Firm Securities to which such default relates on the terms contained herein. If, (i) in the case of a default in less than 10% of the aggregate number of Public Securities the Underwriter agreed to purchase, within one (1) Business Day after such default or (ii) in the case of a default of 10% or more of the aggregate number of Public Securities, within three (3) Business Days after such default, the Underwriter does not arrange for the purchase of such Firm Securities, then the Company shall be entitled to a further period of one</w:t>
      </w:r>
    </w:p>
    <w:p>
      <w:pPr>
        <w:spacing w:after="0" w:line="3" w:lineRule="exact"/>
        <w:rPr>
          <w:sz w:val="20"/>
          <w:szCs w:val="20"/>
          <w:color w:val="auto"/>
        </w:rPr>
      </w:pPr>
    </w:p>
    <w:p>
      <w:pPr>
        <w:ind w:right="40" w:firstLine="8"/>
        <w:spacing w:after="0" w:line="253"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within which to procure another party or parties satisfactory to the Underwriter to purchase said Firm Securities on such terms. In the event that neither of the Parties arranges for the purchase of the Firm Securities to which a default relates as provided in this Section 6, this Agreement will automatically be terminated by either Party without liability on the part of the Company (except as provided in Sections 9.4 and 9.5 hereof);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relieve the Underwriter of its liability, to the Company for damages occasioned by its default hereunder.</w:t>
      </w:r>
    </w:p>
    <w:p>
      <w:pPr>
        <w:spacing w:after="0" w:line="189" w:lineRule="exact"/>
        <w:rPr>
          <w:sz w:val="20"/>
          <w:szCs w:val="20"/>
          <w:color w:val="auto"/>
        </w:rPr>
      </w:pPr>
    </w:p>
    <w:p>
      <w:pPr>
        <w:ind w:left="180" w:hanging="172"/>
        <w:spacing w:after="0"/>
        <w:tabs>
          <w:tab w:leader="none" w:pos="1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Board Composition and Board Designations</w:t>
      </w:r>
      <w:r>
        <w:rPr>
          <w:rFonts w:ascii="Times New Roman" w:cs="Times New Roman" w:eastAsia="Times New Roman" w:hAnsi="Times New Roman"/>
          <w:sz w:val="18"/>
          <w:szCs w:val="18"/>
          <w:color w:val="auto"/>
        </w:rPr>
        <w:t>. The Company shall ensure that: (i) the qualifications of the persons serving as members of the Board and the overall composition of the Board comply with the Sarbanes-Oxley Act, the Exchange Act and the listing rules of the Exchange or any other national securities exchange, as the case may be, in the event the Company seeks to have its Public securities listed on another exchange or quoted on an automated quotation system, and (ii) if applicable, at least one member of the Audit Committee qualifies as an “audit committee financial expert,” as such term is defined under Regulation S-K and the listing rules of the Exchange.</w:t>
      </w:r>
    </w:p>
    <w:p>
      <w:pPr>
        <w:spacing w:after="0" w:line="183" w:lineRule="exact"/>
        <w:rPr>
          <w:sz w:val="20"/>
          <w:szCs w:val="20"/>
          <w:color w:val="auto"/>
        </w:rPr>
      </w:pPr>
    </w:p>
    <w:p>
      <w:pPr>
        <w:ind w:right="220" w:firstLine="648"/>
        <w:spacing w:after="0" w:line="228"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Prohibition on Press Releases and Public Announcements</w:t>
      </w:r>
      <w:r>
        <w:rPr>
          <w:rFonts w:ascii="Times New Roman" w:cs="Times New Roman" w:eastAsia="Times New Roman" w:hAnsi="Times New Roman"/>
          <w:sz w:val="17"/>
          <w:szCs w:val="17"/>
          <w:color w:val="auto"/>
        </w:rPr>
        <w:t>. Except as required by law or rule of Nasdaq, the Company shall not issue press releases or engage in any other publicity, without the Underwriter’s prior written consent, for a period ending at 5:00 p.m., Eastern time,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600"/>
        <w:spacing w:after="0" w:line="209" w:lineRule="auto"/>
        <w:rPr>
          <w:sz w:val="20"/>
          <w:szCs w:val="20"/>
          <w:color w:val="auto"/>
        </w:rPr>
      </w:pPr>
      <w:r>
        <w:rPr>
          <w:rFonts w:ascii="Times New Roman" w:cs="Times New Roman" w:eastAsia="Times New Roman" w:hAnsi="Times New Roman"/>
          <w:sz w:val="18"/>
          <w:szCs w:val="18"/>
          <w:color w:val="auto"/>
        </w:rPr>
        <w:t>Business Day following the fortieth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the Closing Date, other than normal and customary releases issued in the ordinary course of the Company’s business.</w:t>
      </w:r>
    </w:p>
    <w:p>
      <w:pPr>
        <w:spacing w:after="0" w:line="198" w:lineRule="exact"/>
        <w:rPr>
          <w:sz w:val="20"/>
          <w:szCs w:val="20"/>
          <w:color w:val="auto"/>
        </w:rPr>
      </w:pPr>
    </w:p>
    <w:p>
      <w:pPr>
        <w:ind w:firstLine="8"/>
        <w:spacing w:after="0" w:line="253" w:lineRule="auto"/>
        <w:tabs>
          <w:tab w:leader="none" w:pos="22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From and after the date of this Agreement, each Party agrees to: (i) maintain the other Party’s Confidential Information (as defined below) in strict confidence; (ii) direct such Party’s respective agents, representatives, or advisors, not to disclose or use any Confidential Information to the detriment of the disclosing Party; (iii) not disclose Confidential Information to any third parties; and (iv) not use any Confidential Information for any purpose except to consummate the Offering and perform such Party’s obligations under this Agreement. Each Party may disclose the Confidential Information of the other Party to the other Party’s agents, representatives, or advisors who have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need to know such Confidential Information for the purpose of consummating the Offering and performing such other Party’s obligations under this Agreement, but solely to such necessary extent and for no other purpose. The provisions of this Section 8 do not restrict a Party from disclosing the other Party’s Confidential Information to the extent required by any applicable law;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Party required to make such disclosure (i) gives the other Party prompt written notice thereof so that such other Party may seek an appropriate protective order or other remedy and/or waive compliance with the provisions of this Section 8, if applicable, (ii) cooperate with such other Party to obtain such protective order or other remedy, if applicable, (iii) furnish only that portion of the Confidential Information which is legally required to be disclosed and (iv) if such protective order or other remedy is not obtained or such other Party waives compliance with the provisions of this Section 8, use reasonable efforts to obtain assurances that confidential treatment will be accorded to such Confidential Information.</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8" w:name="page219"/>
    <w:bookmarkEnd w:id="218"/>
    <w:p>
      <w:pPr>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(i) all trade secrets or confidential or proprietary information designated as such in writing by the disclosing Party, whether by letter or by the use of an appropriate proprietary stamp or legend, prior to or at the time any such trade secret or confidential or proprietary information is disclosed by the disclosing Party to the recipient Party or the recipient Party’s representatives; or (ii) information disclosed orally, visually, or in writing to the recipient by the disclosing Party and is received under circumstances, or is of such nature, that the recipient Party or the recipient Party’s representative knows or should reasonably be expected to understand the confidential and proprietary nature of such information. In addition, the term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includes (x) any notes, analyses, compilations, studies, interpretations, memoranda, or other documents prepared by the recipient Party or the recipient Party’s representatives which contain, reflect, or are based upon, in whole or in part, any Confidential Information furnished to the recipient Party or the recipient Party’s representatives pursuant to this Agreement; and (y) the existence or status of, and any information concerning, the discussions between the Parties concerning Purchaser’s the Offering and this Agreement or the possible establishment of a business relationship. Confidential Information does not include information which: (1) is in the public domain as of the date hereof or hereafter enters the public domain without a breach by the recipient Party, (2) was known or became known by the recipient Party prior to the disclosing Party or the disclosing Party’s representative or advisors’ disclosure thereof to the recipient Party as demonstrated by the existence of the recipient Party’s written records, (3) becomes known to the recipient Party from a source other than the disclosing Party, which information is not provided by the breach of an obligation of confidentiality owed to the disclosing Party, (4) is disclosed by the disclosing Party to a third party without restrictions on its disclosure or</w:t>
      </w:r>
    </w:p>
    <w:p>
      <w:pPr>
        <w:spacing w:after="0" w:line="4" w:lineRule="exact"/>
        <w:rPr>
          <w:sz w:val="20"/>
          <w:szCs w:val="20"/>
          <w:color w:val="auto"/>
        </w:rPr>
      </w:pPr>
    </w:p>
    <w:p>
      <w:pPr>
        <w:ind w:right="60" w:firstLine="8"/>
        <w:spacing w:after="0" w:line="255" w:lineRule="auto"/>
        <w:tabs>
          <w:tab w:leader="none" w:pos="2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the recipient Party without any use of or reliance on any information of the disclosing Party. For the avoidance of doubt, except as otherwise provided herein, all information which is not publicly available relating to the Company’s proprietary technology is proprietary and confidential.</w:t>
      </w:r>
    </w:p>
    <w:p>
      <w:pPr>
        <w:spacing w:after="0" w:line="186" w:lineRule="exact"/>
        <w:rPr>
          <w:sz w:val="20"/>
          <w:szCs w:val="20"/>
          <w:color w:val="auto"/>
        </w:rPr>
      </w:pPr>
    </w:p>
    <w:p>
      <w:pPr>
        <w:ind w:left="240" w:hanging="232"/>
        <w:spacing w:after="0"/>
        <w:tabs>
          <w:tab w:leader="none" w:pos="2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this Agreement and Termination Thereof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become effective when each Party has executed the same and delivered counterparts of its signature to the other Party.</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Underwriter may terminate this Agreement at any time prior to any Closing Date, (i) if any domestic or international event or act or occurrence has materially disrupted, or in the Underwriter’s opinion will in the immediate future materially disrupt, general securities markets in the United States; or (ii) if trading generally on the New York Stock Exchange or the Nasdaq Stock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escalation in major hostilities; or (iv) if a banking moratorium has been declared by a New York State or federal authority; or (v) regulatory approval (including but not limited to Nasdaq approval) for the Offering is denied, conditioned or modified and as a result it makes it impracticable for the Underwriter to proceed with the Offering and/or delivery of the Public Securities or to enforce contracts for the sale of the Public Securities, or (vi) if a moratorium on foreign exchange trading has been declared which materially adversely impacts the United States securities markets; or (vii) if the Company shall have sustained a material loss by fire, flood, accident, hurricane, earthquake, theft, sabotage or other calamity or malicious act which, whether or not such loss shall have been insured, will, in the Underwriter’s opinion, make it inadvisable to proceed with the delivery of the Firm Shares; or (viii) if the Company is in material breach of any of its representations, warranties or covenants hereunder; or (ix) if the Underwriter shall have become aware after the date of this Agreement of a Material Adverse Change, or an adverse material change in general market conditions as in the Underwriter’s judgment would make it impracticable to proceed with the Offering and/or delivery of the Public Securities or to enforce contracts made by the Underwriter for the sale of the Public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9" w:name="page220"/>
    <w:bookmarkEnd w:id="219"/>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Notwithstanding anything to the contrary in this Agreement, except in the case of a default by the Underwriter pursuant to Section 6.1 above, in the event that this Agreement shall not be carried out for any reason whatsoever, within the time specified herein or any extensions thereof pursuant to the terms herein, the Company shall be obligated to pay to the Underwriter its actual and reasonable out-of-pocket expenses related to the transactions contemplated herein then due and payable, including but not limited to reasonable and documented travel, lodging, legal fees (including all reasonable fees and disbursements of Underwriter’s Counsel in all relevant jurisdictions), due diligence fees (including for background checks of the Company’s officers and directors), and other expenses and disbursements incurred in connection with the Underwriter’s services for the purpose of the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aggregate amount of such reimbursable expenses shall not exceed US$250,000 and shall be reduced by amounts previously advanced to the Underwriter (if any) and/or any amounts previously paid to the Underwriter in reimbursement for such expenses. Upon the Underwriter’s demand, the Company shall pay the full amount of such expenses to the Underwriter and the Underwriter shall return any portion of such advance not used to pay its accountable out-of-pocket expenses actually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expense limit in no way limits or impairs the indemnification and contribution provisions of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Survival of Indemnification</w:t>
      </w:r>
      <w:r>
        <w:rPr>
          <w:rFonts w:ascii="Times New Roman" w:cs="Times New Roman" w:eastAsia="Times New Roman" w:hAnsi="Times New Roman"/>
          <w:sz w:val="18"/>
          <w:szCs w:val="18"/>
          <w:color w:val="auto"/>
        </w:rPr>
        <w:t>.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Representations, Warranties, Agreements to Survive</w:t>
      </w:r>
      <w:r>
        <w:rPr>
          <w:rFonts w:ascii="Times New Roman" w:cs="Times New Roman" w:eastAsia="Times New Roman" w:hAnsi="Times New Roman"/>
          <w:sz w:val="18"/>
          <w:szCs w:val="18"/>
          <w:color w:val="auto"/>
        </w:rPr>
        <w:t>. All representations, warranties and agreements contained in this Agreement (except for Section 6.1) or in certificates of officers of the Company submitted pursuant hereto, shall remain operative and in full force and effect regardless of (i) any investigation made by or on behalf of the Underwriter or its affiliates or selling agents, any person controlling the Underwriter, its officers or directors or any person controlling the Company or (ii) delivery of and payment for the Public Securities.</w:t>
      </w:r>
    </w:p>
    <w:p>
      <w:pPr>
        <w:spacing w:after="0" w:line="180" w:lineRule="exact"/>
        <w:rPr>
          <w:sz w:val="20"/>
          <w:szCs w:val="20"/>
          <w:color w:val="auto"/>
        </w:rPr>
      </w:pPr>
    </w:p>
    <w:p>
      <w:pPr>
        <w:ind w:left="280" w:hanging="272"/>
        <w:spacing w:after="0"/>
        <w:tabs>
          <w:tab w:leader="none" w:pos="2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except as herein otherwise specifically provided, shall be in writing and shall be mailed (registered or certified mail, return receipt requested), personally delivered or sent by facsimile transmission and confirmed and shall be deemed given when so delivered or faxed and confirmed or if mailed, two (2) days after such mailing.</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0" w:name="page221"/>
    <w:bookmarkEnd w:id="220"/>
    <w:p>
      <w:pPr>
        <w:ind w:left="660"/>
        <w:spacing w:after="0"/>
        <w:rPr>
          <w:sz w:val="20"/>
          <w:szCs w:val="20"/>
          <w:color w:val="auto"/>
        </w:rPr>
      </w:pPr>
      <w:r>
        <w:rPr>
          <w:rFonts w:ascii="Times New Roman" w:cs="Times New Roman" w:eastAsia="Times New Roman" w:hAnsi="Times New Roman"/>
          <w:sz w:val="18"/>
          <w:szCs w:val="18"/>
          <w:color w:val="auto"/>
        </w:rPr>
        <w:t>If to the Underwriter: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Eddid Securities USA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 Broadyway, Suite 801,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Tom Li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tli@eddidusa.com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Sichenzia Ross Ference Carmel LLP</w:t>
      </w:r>
    </w:p>
    <w:p>
      <w:pPr>
        <w:ind w:left="980"/>
        <w:spacing w:after="0" w:line="205" w:lineRule="auto"/>
        <w:rPr>
          <w:sz w:val="20"/>
          <w:szCs w:val="20"/>
          <w:color w:val="auto"/>
        </w:rPr>
      </w:pPr>
      <w:r>
        <w:rPr>
          <w:rFonts w:ascii="Times New Roman" w:cs="Times New Roman" w:eastAsia="Times New Roman" w:hAnsi="Times New Roman"/>
          <w:sz w:val="18"/>
          <w:szCs w:val="18"/>
          <w:color w:val="auto"/>
        </w:rPr>
        <w:t>1185 Avenue of the Americas,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10036s</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Barry P. Biggar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bbiggar@srfc.law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Suntech Tower 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 Temasek Boulevard #24-03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Singapore, 38988</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William Soon Huat Lim</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william.lim@tridentity.me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Hogan Lovells</w:t>
      </w:r>
    </w:p>
    <w:p>
      <w:pPr>
        <w:ind w:left="980"/>
        <w:spacing w:after="0" w:line="192" w:lineRule="auto"/>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One Pacific Place</w:t>
      </w:r>
    </w:p>
    <w:p>
      <w:pPr>
        <w:ind w:left="980"/>
        <w:spacing w:after="0"/>
        <w:rPr>
          <w:sz w:val="20"/>
          <w:szCs w:val="20"/>
          <w:color w:val="auto"/>
        </w:rPr>
      </w:pPr>
      <w:r>
        <w:rPr>
          <w:rFonts w:ascii="Times New Roman" w:cs="Times New Roman" w:eastAsia="Times New Roman" w:hAnsi="Times New Roman"/>
          <w:sz w:val="18"/>
          <w:szCs w:val="18"/>
          <w:color w:val="auto"/>
        </w:rPr>
        <w:t>88 Queensway Hong Kong</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Stephanie Tang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Stephanie.tang@hoganlovells.com</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the sole purpose of convenience of reference, and shall not in any way limit or affect the meaning or interpretation of any of the terms or provisions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only be amended by a written instrument executed by each Party.</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agreements and documents being delivered pursuant to or in connection with this Agreement) constitutes the entire agreement of the Parties with respect to the subject matter hereof and thereof, and supersedes all prior agreements and understandings of the parties, oral and written, with respect to the subject matter hereof. Notwithstanding anything to the contrary set forth herein, it is understood and agreed by the Parties that all other terms and conditions of the Engagement Letter shall remain in full force and effect.</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21" w:name="page222"/>
    <w:bookmarkEnd w:id="221"/>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inure solely to the benefit of and shall be binding upon the Parties and the controlling persons, directors and officers referred to in Section 5 hereof, and their respective successors, legal representatives, heirs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the Underwriter.</w:t>
      </w:r>
    </w:p>
    <w:p>
      <w:pPr>
        <w:spacing w:after="0" w:line="18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Governing Law; Consent to Jurisdiction; Appointment of Agent for Service; Waiver of Trial by Jury</w:t>
      </w:r>
      <w:r>
        <w:rPr>
          <w:rFonts w:ascii="Times New Roman" w:cs="Times New Roman" w:eastAsia="Times New Roman" w:hAnsi="Times New Roman"/>
          <w:sz w:val="18"/>
          <w:szCs w:val="18"/>
          <w:color w:val="auto"/>
        </w:rPr>
        <w:t>. This Agreement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Agreement (each, a “</w:t>
      </w:r>
      <w:r>
        <w:rPr>
          <w:rFonts w:ascii="Times New Roman" w:cs="Times New Roman" w:eastAsia="Times New Roman" w:hAnsi="Times New Roman"/>
          <w:sz w:val="18"/>
          <w:szCs w:val="18"/>
          <w:b w:val="1"/>
          <w:b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be brought and enforced in the New York Supreme Court, County of New York, or in the United States District Court for the Southern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District of New York, and irrevocably submits to such jurisdiction, which jurisdiction shall be exclusive. The Company hereby waives any objection to such exclusive jurisdiction and that such courts represent an inconvenient forum. The Company hereby irrevocably appoints Cogency Global Inc., with offices at 122 East 42nd Street, 18th Floor, New York, NY 10168 as its agent for service of process in any Related Proceeding and agrees that service of process in any such Related Proceeding may be made upon it at the office of such agent. or summons to be served upon the Company may be served by transmitting a copy thereof by registered or certified mail, return receipt requested, postage prepaid, addressed to it at the street address set forth in Section 10.1 hereof. Such mailing shall be deemed personal service and shall be legal and binding upon the Company in any action, proceeding or claim. The Company agrees that the prevailing Party in any such action shall be entitled to recover from the other Party all of such prevailing Party’s reasonable attorneys’ fees and expenses relating to such action or proceeding and/or incurred in connection with the preparation therefor. The Company (on its behalf and, to the extent permitted by applicable law, on behalf of its stockholders and affiliates) and the Underwriter hereby irrevocably waives, to the fullest extent permitted by applicable law, any and all right to trial by jury in any legal proceeding arising out of or relating to this Agreement or the transactions contemplated hereby.</w:t>
      </w:r>
    </w:p>
    <w:p>
      <w:pPr>
        <w:spacing w:after="0" w:line="19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one or more counterparts, and by the different Parties in separate counterparts, each of which shall be deemed to be an original, but all of which taken together shall constitute one and the same agreement, and shall become effective when one or more counterparts has been signed by each Party and delivered to the other Party. Delivery of a signed counterpart of this Agreement by facsimile or email or .pdf transmission shall constitute valid and sufficient delivery thereof.</w:t>
      </w:r>
    </w:p>
    <w:p>
      <w:pPr>
        <w:spacing w:after="0" w:line="180" w:lineRule="exact"/>
        <w:rPr>
          <w:sz w:val="20"/>
          <w:szCs w:val="20"/>
          <w:color w:val="auto"/>
        </w:rPr>
      </w:pPr>
    </w:p>
    <w:p>
      <w:pPr>
        <w:ind w:right="80" w:firstLine="702"/>
        <w:spacing w:after="0" w:line="25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The failure of any Party to at any time enforce any of the provisions of this Agreement shall not be deemed or construed to be a waiver of any such provision, nor to in any way effect the validity of this Agreement or any provision hereof or the right of any Party to thereafter enforce each and every provision of this Agreement. No waiver of any breach, non-compliance or non-fulfillment of any of the provisions of this Agreement shall be effective unless set forth in a written instrument executed by the Party against whom or which enforcement of such waiver is sought; and no waiver of any such breach, non-compliance or non-fulfillment shall be construed or deemed to be a waiver of any other or subsequent breach, non-compliance or non-fulfillment.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2" w:name="page223"/>
    <w:bookmarkEnd w:id="222"/>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caused this Underwriting Agreement to be duly executed as of the day and year first above written.</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EDDID SECURITIES USA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Mr. Tom Li</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223" w:name="page224"/>
    <w:bookmarkEnd w:id="223"/>
    <w:p>
      <w:pPr>
        <w:jc w:val="center"/>
        <w:ind w:right="-259"/>
        <w:spacing w:after="0"/>
        <w:rPr>
          <w:sz w:val="20"/>
          <w:szCs w:val="20"/>
          <w:color w:val="auto"/>
        </w:rPr>
      </w:pPr>
      <w:r>
        <w:rPr>
          <w:rFonts w:ascii="Times New Roman" w:cs="Times New Roman" w:eastAsia="Times New Roman" w:hAnsi="Times New Roman"/>
          <w:sz w:val="17"/>
          <w:szCs w:val="17"/>
          <w:b w:val="1"/>
          <w:bCs w:val="1"/>
          <w:u w:val="single" w:color="auto"/>
          <w:color w:val="auto"/>
        </w:rPr>
        <w:t>SCHEDULE 1</w:t>
      </w:r>
    </w:p>
    <w:p>
      <w:pPr>
        <w:sectPr>
          <w:pgSz w:w="11900" w:h="16838" w:orient="portrait"/>
          <w:cols w:equalWidth="0" w:num="1">
            <w:col w:w="10980"/>
          </w:cols>
          <w:pgMar w:left="320" w:top="90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Eddid Securities USA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Number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Firm Shares to be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340360</wp:posOffset>
            </wp:positionV>
            <wp:extent cx="106299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1062990" cy="1714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365760</wp:posOffset>
            </wp:positionV>
            <wp:extent cx="106299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8880" w:space="720"/>
            <w:col w:w="1380"/>
          </w:cols>
          <w:pgMar w:left="320" w:top="900" w:right="599" w:bottom="1440" w:gutter="0" w:footer="0" w:header="0"/>
          <w:type w:val="continuous"/>
        </w:sectPr>
      </w:pPr>
    </w:p>
    <w:p>
      <w:pPr>
        <w:spacing w:after="0" w:line="3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color w:val="auto"/>
        </w:rPr>
        <w:t>Sch.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type w:val="continuous"/>
        </w:sectPr>
      </w:pPr>
    </w:p>
    <w:bookmarkStart w:id="224" w:name="page225"/>
    <w:bookmarkEnd w:id="224"/>
    <w:p>
      <w:pPr>
        <w:ind w:left="49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2-A</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Firm Share: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 per Firm Share being offered and sold to investors introduced by the Underwriter: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 per Firm Share being offered and sold to investors introduced by the Company: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to Company per Firm Share being offered and sold to investors introduced by the Underwriter (before expenses):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to Company per Firm Share being offered and sold to investors introduced by the Company (before expenses): US$[●]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2-B</w:t>
      </w: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Issuer General Use Free Writing Prospectuses</w:t>
      </w:r>
    </w:p>
    <w:p>
      <w:pPr>
        <w:spacing w:after="0" w:line="200" w:lineRule="exact"/>
        <w:rPr>
          <w:sz w:val="20"/>
          <w:szCs w:val="20"/>
          <w:color w:val="auto"/>
        </w:rPr>
      </w:pPr>
    </w:p>
    <w:p>
      <w:pPr>
        <w:spacing w:after="0" w:line="2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Sch.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80" w:type="dxa"/>
            <w:vAlign w:val="bottom"/>
            <w:gridSpan w:val="2"/>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9"/>
              </w:rPr>
              <w:t>SCHEDULE 3</w:t>
            </w:r>
          </w:p>
        </w:tc>
      </w:tr>
      <w:tr>
        <w:trPr>
          <w:trHeight w:val="20"/>
        </w:trPr>
        <w:tc>
          <w:tcPr>
            <w:tcW w:w="4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37"/>
        </w:trPr>
        <w:tc>
          <w:tcPr>
            <w:tcW w:w="4500" w:type="dxa"/>
            <w:vAlign w:val="bottom"/>
          </w:tcPr>
          <w:p>
            <w:pPr>
              <w:spacing w:after="0"/>
              <w:rPr>
                <w:sz w:val="20"/>
                <w:szCs w:val="20"/>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List of Lock-Up Parties</w:t>
            </w:r>
          </w:p>
        </w:tc>
      </w:tr>
      <w:tr>
        <w:trPr>
          <w:trHeight w:val="452"/>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spacing w:after="0"/>
              <w:rPr>
                <w:sz w:val="24"/>
                <w:szCs w:val="24"/>
                <w:color w:val="auto"/>
              </w:rPr>
            </w:pPr>
          </w:p>
        </w:tc>
        <w:tc>
          <w:tcPr>
            <w:tcW w:w="6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Position</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Director and Chief Executive Officer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Haiyan Huang</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Common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Digital Tech Ltd</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Common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Wealth Ltd</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Common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Group Holdings Ltd</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Common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Tai Lee</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Common Stock</w:t>
            </w:r>
          </w:p>
        </w:tc>
      </w:tr>
      <w:tr>
        <w:trPr>
          <w:trHeight w:val="68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jc w:val="center"/>
              <w:ind w:right="5060"/>
              <w:spacing w:after="0"/>
              <w:rPr>
                <w:sz w:val="20"/>
                <w:szCs w:val="20"/>
                <w:color w:val="auto"/>
              </w:rPr>
            </w:pPr>
            <w:r>
              <w:rPr>
                <w:rFonts w:ascii="Times New Roman" w:cs="Times New Roman" w:eastAsia="Times New Roman" w:hAnsi="Times New Roman"/>
                <w:sz w:val="22"/>
                <w:szCs w:val="22"/>
                <w:color w:val="auto"/>
                <w:w w:val="98"/>
              </w:rPr>
              <w:t>Sch. 3-1</w:t>
            </w:r>
          </w:p>
        </w:tc>
      </w:tr>
    </w:tbl>
    <w:p>
      <w:pPr>
        <w:sectPr>
          <w:pgSz w:w="11900" w:h="16838" w:orient="portrait"/>
          <w:cols w:equalWidth="0" w:num="1">
            <w:col w:w="11240"/>
          </w:cols>
          <w:pgMar w:left="320" w:top="891"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Eddid Securities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Broadyway, Suite 801,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right="600" w:firstLine="648"/>
        <w:spacing w:after="0" w:line="262" w:lineRule="auto"/>
        <w:rPr>
          <w:sz w:val="20"/>
          <w:szCs w:val="20"/>
          <w:color w:val="auto"/>
        </w:rPr>
      </w:pPr>
      <w:r>
        <w:rPr>
          <w:rFonts w:ascii="Times New Roman" w:cs="Times New Roman" w:eastAsia="Times New Roman" w:hAnsi="Times New Roman"/>
          <w:sz w:val="18"/>
          <w:szCs w:val="18"/>
          <w:color w:val="auto"/>
        </w:rPr>
        <w:t>The undersigned understands that Eddid Securities USA Inc.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Trident Digital Tech Holdings Ltd, a Cayman Islands exempt company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offering of the Public Securities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Capitalized terms used but not herein defined have the meanings set forth in the Underwriting Agreement.</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 induce the Underwriter to continue its efforts in connection with the Offering, the undersigned hereby agrees that, without the prior written consent of the Underwriter, the undersigned will not, during Lock-Up Period,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(ii) file or cause to be filed any registration statement with the Commission relating to the offering of Lock-Up Securities; (iii)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offering of debt securities of the Company without notice to the Underwriter, other than entering into a line of credit or senior credit facility with a traditional bank or other lending institution,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 The restrictions contained in this paragraph shall not apply to (i) the Class B Shares to be sold in the Offering, (ii) the issuance by the Company of shares of capital stock upon the exercise of an outstanding stock option or warrant or the conversion of a security outstanding on the date hereof, of which the Underwriter has been advised in writing, (iii) the issuance by the Company of any security under any equity compensation plan of the Company or (iv) any issuance of securities disclosed in the Registration Statement, the Pricing Disclosure Package or the Prospectus.</w:t>
      </w:r>
    </w:p>
    <w:p>
      <w:pPr>
        <w:spacing w:after="0" w:line="187"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If the undersigned is an officer or director of the Company, (i) the undersigned agrees that the foregoing restrictions shall be equally applicable to any capital stock of issuer-directed or “friends and family” that the undersigned may purchase in the Offering; (ii) the Underwriter agrees that, at least three</w:t>
      </w:r>
    </w:p>
    <w:p>
      <w:pPr>
        <w:spacing w:after="0" w:line="1" w:lineRule="exact"/>
        <w:rPr>
          <w:sz w:val="20"/>
          <w:szCs w:val="20"/>
          <w:color w:val="auto"/>
        </w:rPr>
      </w:pPr>
    </w:p>
    <w:p>
      <w:pPr>
        <w:ind w:right="20" w:firstLine="8"/>
        <w:spacing w:after="0" w:line="252" w:lineRule="auto"/>
        <w:tabs>
          <w:tab w:leader="none" w:pos="2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before the effective date of any release or waiver of the foregoing restrictions in connection with a transfer of Lock-Up Securities, the Underwriter will notify the Company of the impending release or waiver; and (iii) the Company has agreed in the Underwriting Agreement to announce the impending release or waiver by press release through a major news service at least two (2) Business Days before the effective date of the release or waiver. Any release or waiver granted by the Underwriter hereunder to any such officer or director shall only be effective two (2) Business Days after the publication date of such press release. The provisions of this paragraph will not apply if (a) the release or waiver is effected solely to permit a transfer of Lock-Up Securities not for consideration and (b) the transferee has agreed in writing to be bound by the same terms described in this Lock-Up Agreement to the extent and for the duration that such terms remain in effect at the time of such transfer.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7" w:name="page228"/>
    <w:bookmarkEnd w:id="227"/>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 provision in this agreement shall be deemed to restrict or prohibit the exercise, exchange or conversion by the undersigned of any securities exercisable or exchangeable for or convertible into Common Stock,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undersigned does not transfer the Common Stock acquired on such exercise, exchange or conversion during the Lock-Up Period, unless otherwise permitted pursuant to the terms of this lock-up agreement. In addition, no provision herein shall be deemed to restrict or prohibit the entry into or modification of a so-called “10b5-1” plan at any time (other than the entry into or modification of such a plan in such a manner as to cause the sale of any Lock-Up Securities within the Lock-Up Period).</w:t>
      </w:r>
    </w:p>
    <w:p>
      <w:pPr>
        <w:spacing w:after="0" w:line="18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Parties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if the Underwriting Agreement is not executed by [DATE], 2024, or if the Underwriting Agreement (other than the provisions thereof which survive termination) shall terminate or be terminated prior to payment for and delivery of the Public Securities, then this Lock-Up agreement shall be void and of no further force or effect.</w:t>
      </w:r>
    </w:p>
    <w:p>
      <w:pPr>
        <w:spacing w:after="0" w:line="176"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an Underwriting Agreement, the terms of which are subject to negotiation between the Parties.</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of Signatory, in the case of entities - Please Print)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171450</wp:posOffset>
            </wp:positionV>
            <wp:extent cx="270891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270891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8" w:name="page229"/>
    <w:bookmarkEnd w:id="2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Trident Digital Tech Holdings Ltd (the “Company”) announced today that Eddid Securities USA Inc., acting as the Underwriter in the Company’s recent public offering of _______ American Depositary Shares of the Company (“ADS”), each ADS representing [ ] Class B ordinary shares of the Company, par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US$0.00001 per share, is [waiving] [releasing] a lock-up restriction with respect to _________ Class B ordinary shares of the Company (the</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“Shares”) held by [certain officers or directors or shareholders holding more than 5% of the outstanding capital stock] [an officer or director or shareholder holding more than 5% of the outstanding capital stock] of the Company. The [waiver] [release] will take effect on _________, 20___, and the Shares may be sold or otherwise disposed of on or after such date.</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156845</wp:posOffset>
            </wp:positionV>
            <wp:extent cx="2228850" cy="3429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22288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Trident Digital Tech Holdings Ltd on the Amendment No.6 to Form F-1 (File No. 333-274857) of our report dated July 7, 2023, with respect to our audits of the consolidated financial statements of Trident Digital Tech Holdings Ltd as of December 31, 2022 and 2021 and for the years ended December 31, 2022 and 2021, which report appears in the Prospectus, which is part of this Registration Statement. We also consent to the reference to our Firm under the heading “Experts” in such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BEIJING OFFICE • Units 06-09 • 46th Floor • China World Tower B • No. 1 Jian Guo Men Wai Avenue • Chaoyang District • Beijing • 100004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Phone 8610.8518.7992 • Fax 8610.8518.7993 • www.marcumasia.com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1)"/>
      <w:numFmt w:val="decimal"/>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
      <w:numFmt w:val="bullet"/>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
      <w:numFmt w:val="bullet"/>
      <w:start w:val="1"/>
    </w:lvl>
  </w:abstractNum>
  <w:abstractNum w:abstractNumId="11">
    <w:nsid w:val="6A3DD3E8"/>
    <w:multiLevelType w:val="hybridMultilevel"/>
    <w:lvl w:ilvl="0">
      <w:lvlJc w:val="left"/>
      <w:lvlText w:val="•"/>
      <w:numFmt w:val="bullet"/>
      <w:start w:val="1"/>
    </w:lvl>
  </w:abstractNum>
  <w:abstractNum w:abstractNumId="12">
    <w:nsid w:val="71C91298"/>
    <w:multiLevelType w:val="hybridMultilevel"/>
    <w:lvl w:ilvl="0">
      <w:lvlJc w:val="left"/>
      <w:lvlText w:val="•"/>
      <w:numFmt w:val="bullet"/>
      <w:start w:val="1"/>
    </w:lvl>
  </w:abstractNum>
  <w:abstractNum w:abstractNumId="13">
    <w:nsid w:val="9DAF632"/>
    <w:multiLevelType w:val="hybridMultilevel"/>
    <w:lvl w:ilvl="0">
      <w:lvlJc w:val="left"/>
      <w:lvlText w:val="•"/>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
      <w:numFmt w:val="bullet"/>
      <w:start w:val="1"/>
    </w:lvl>
  </w:abstractNum>
  <w:abstractNum w:abstractNumId="16">
    <w:nsid w:val="5092CA79"/>
    <w:multiLevelType w:val="hybridMultilevel"/>
    <w:lvl w:ilvl="0">
      <w:lvlJc w:val="left"/>
      <w:lvlText w:val="•"/>
      <w:numFmt w:val="bullet"/>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abstractNum>
  <w:abstractNum w:abstractNumId="21">
    <w:nsid w:val="1D9F6E5F"/>
    <w:multiLevelType w:val="hybridMultilevel"/>
    <w:lvl w:ilvl="0">
      <w:lvlJc w:val="left"/>
      <w:lvlText w:val="•"/>
      <w:numFmt w:val="bullet"/>
      <w:start w:val="1"/>
    </w:lvl>
  </w:abstractNum>
  <w:abstractNum w:abstractNumId="22">
    <w:nsid w:val="97E1B4E"/>
    <w:multiLevelType w:val="hybridMultilevel"/>
    <w:lvl w:ilvl="0">
      <w:lvlJc w:val="left"/>
      <w:lvlText w:val="•"/>
      <w:numFmt w:val="bullet"/>
      <w:start w:val="1"/>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
      <w:numFmt w:val="bullet"/>
      <w:start w:val="1"/>
    </w:lvl>
  </w:abstractNum>
  <w:abstractNum w:abstractNumId="25">
    <w:nsid w:val="53584BCB"/>
    <w:multiLevelType w:val="hybridMultilevel"/>
    <w:lvl w:ilvl="0">
      <w:lvlJc w:val="left"/>
      <w:lvlText w:val="•"/>
      <w:numFmt w:val="bullet"/>
      <w:start w:val="1"/>
    </w:lvl>
  </w:abstractNum>
  <w:abstractNum w:abstractNumId="26">
    <w:nsid w:val="415E286C"/>
    <w:multiLevelType w:val="hybridMultilevel"/>
    <w:lvl w:ilvl="0">
      <w:lvlJc w:val="left"/>
      <w:lvlText w:val="•"/>
      <w:numFmt w:val="bullet"/>
      <w:start w:val="1"/>
    </w:lvl>
  </w:abstractNum>
  <w:abstractNum w:abstractNumId="27">
    <w:nsid w:val="7C58FD05"/>
    <w:multiLevelType w:val="hybridMultilevel"/>
    <w:lvl w:ilvl="0">
      <w:lvlJc w:val="left"/>
      <w:lvlText w:val="•"/>
      <w:numFmt w:val="bullet"/>
      <w:start w:val="1"/>
    </w:lvl>
  </w:abstractNum>
  <w:abstractNum w:abstractNumId="28">
    <w:nsid w:val="23D86AAC"/>
    <w:multiLevelType w:val="hybridMultilevel"/>
    <w:lvl w:ilvl="0">
      <w:lvlJc w:val="left"/>
      <w:lvlText w:val="(%1)"/>
      <w:numFmt w:val="decimal"/>
      <w:start w:val="1"/>
    </w:lvl>
  </w:abstractNum>
  <w:abstractNum w:abstractNumId="29">
    <w:nsid w:val="45E6D486"/>
    <w:multiLevelType w:val="hybridMultilevel"/>
    <w:lvl w:ilvl="0">
      <w:lvlJc w:val="left"/>
      <w:lvlText w:val="(%1)"/>
      <w:numFmt w:val="decimal"/>
      <w:start w:val="1"/>
    </w:lvl>
  </w:abstractNum>
  <w:abstractNum w:abstractNumId="30">
    <w:nsid w:val="5C10FE21"/>
    <w:multiLevelType w:val="hybridMultilevel"/>
    <w:lvl w:ilvl="0">
      <w:lvlJc w:val="left"/>
      <w:lvlText w:val="•"/>
      <w:numFmt w:val="bullet"/>
      <w:start w:val="1"/>
    </w:lvl>
  </w:abstractNum>
  <w:abstractNum w:abstractNumId="31">
    <w:nsid w:val="E7FFA2B"/>
    <w:multiLevelType w:val="hybridMultilevel"/>
    <w:lvl w:ilvl="0">
      <w:lvlJc w:val="left"/>
      <w:lvlText w:val="•"/>
      <w:numFmt w:val="bullet"/>
      <w:start w:val="1"/>
    </w:lvl>
  </w:abstractNum>
  <w:abstractNum w:abstractNumId="32">
    <w:nsid w:val="3C5991AA"/>
    <w:multiLevelType w:val="hybridMultilevel"/>
    <w:lvl w:ilvl="0">
      <w:lvlJc w:val="left"/>
      <w:lvlText w:val="•"/>
      <w:numFmt w:val="bullet"/>
      <w:start w:val="1"/>
    </w:lvl>
  </w:abstractNum>
  <w:abstractNum w:abstractNumId="33">
    <w:nsid w:val="4BD8591A"/>
    <w:multiLevelType w:val="hybridMultilevel"/>
    <w:lvl w:ilvl="0">
      <w:lvlJc w:val="left"/>
      <w:lvlText w:val="(%1)"/>
      <w:numFmt w:val="lowerLetter"/>
      <w:start w:val="1"/>
    </w:lvl>
  </w:abstractNum>
  <w:abstractNum w:abstractNumId="34">
    <w:nsid w:val="78DF6A55"/>
    <w:multiLevelType w:val="hybridMultilevel"/>
    <w:lvl w:ilvl="0">
      <w:lvlJc w:val="left"/>
      <w:lvlText w:val="(%1)"/>
      <w:numFmt w:val="lowerRoman"/>
      <w:start w:val="3"/>
    </w:lvl>
  </w:abstractNum>
  <w:abstractNum w:abstractNumId="35">
    <w:nsid w:val="39B7AAA2"/>
    <w:multiLevelType w:val="hybridMultilevel"/>
    <w:lvl w:ilvl="0">
      <w:lvlJc w:val="left"/>
      <w:lvlText w:val="(%1)"/>
      <w:numFmt w:val="lowerRoman"/>
      <w:start w:val="1"/>
    </w:lvl>
  </w:abstractNum>
  <w:abstractNum w:abstractNumId="36">
    <w:nsid w:val="2B0D8DBE"/>
    <w:multiLevelType w:val="hybridMultilevel"/>
    <w:lvl w:ilvl="0">
      <w:lvlJc w:val="left"/>
      <w:lvlText w:val="(%1)"/>
      <w:numFmt w:val="lowerRoman"/>
      <w:start w:val="2"/>
    </w:lvl>
  </w:abstractNum>
  <w:abstractNum w:abstractNumId="37">
    <w:nsid w:val="6C80EC70"/>
    <w:multiLevelType w:val="hybridMultilevel"/>
    <w:lvl w:ilvl="0">
      <w:lvlJc w:val="left"/>
      <w:lvlText w:val="(%1)"/>
      <w:numFmt w:val="lowerRoman"/>
      <w:start w:val="2"/>
    </w:lvl>
  </w:abstractNum>
  <w:abstractNum w:abstractNumId="38">
    <w:nsid w:val="379E21B5"/>
    <w:multiLevelType w:val="hybridMultilevel"/>
    <w:lvl w:ilvl="0">
      <w:lvlJc w:val="left"/>
      <w:lvlText w:val="(%1)"/>
      <w:numFmt w:val="lowerRoman"/>
      <w:start w:val="2"/>
    </w:lvl>
  </w:abstractNum>
  <w:abstractNum w:abstractNumId="39">
    <w:nsid w:val="69E373"/>
    <w:multiLevelType w:val="hybridMultilevel"/>
    <w:lvl w:ilvl="0">
      <w:lvlJc w:val="left"/>
      <w:lvlText w:val="•"/>
      <w:numFmt w:val="bullet"/>
      <w:start w:val="1"/>
    </w:lvl>
  </w:abstractNum>
  <w:abstractNum w:abstractNumId="40">
    <w:nsid w:val="2C27173B"/>
    <w:multiLevelType w:val="hybridMultilevel"/>
    <w:lvl w:ilvl="0">
      <w:lvlJc w:val="left"/>
      <w:lvlText w:val="•"/>
      <w:numFmt w:val="bullet"/>
      <w:start w:val="1"/>
    </w:lvl>
  </w:abstractNum>
  <w:abstractNum w:abstractNumId="41">
    <w:nsid w:val="4C9B0904"/>
    <w:multiLevelType w:val="hybridMultilevel"/>
    <w:lvl w:ilvl="0">
      <w:lvlJc w:val="left"/>
      <w:lvlText w:val="•"/>
      <w:numFmt w:val="bullet"/>
      <w:start w:val="1"/>
    </w:lvl>
  </w:abstractNum>
  <w:abstractNum w:abstractNumId="42">
    <w:nsid w:val="6AA7B75C"/>
    <w:multiLevelType w:val="hybridMultilevel"/>
    <w:lvl w:ilvl="0">
      <w:lvlJc w:val="left"/>
      <w:lvlText w:val="•"/>
      <w:numFmt w:val="bullet"/>
      <w:start w:val="1"/>
    </w:lvl>
  </w:abstractNum>
  <w:abstractNum w:abstractNumId="43">
    <w:nsid w:val="1DF029D3"/>
    <w:multiLevelType w:val="hybridMultilevel"/>
    <w:lvl w:ilvl="0">
      <w:lvlJc w:val="left"/>
      <w:lvlText w:val="•"/>
      <w:numFmt w:val="bullet"/>
      <w:start w:val="1"/>
    </w:lvl>
  </w:abstractNum>
  <w:abstractNum w:abstractNumId="44">
    <w:nsid w:val="5675FF36"/>
    <w:multiLevelType w:val="hybridMultilevel"/>
    <w:lvl w:ilvl="0">
      <w:lvlJc w:val="left"/>
      <w:lvlText w:val="•"/>
      <w:numFmt w:val="bullet"/>
      <w:start w:val="1"/>
    </w:lvl>
  </w:abstractNum>
  <w:abstractNum w:abstractNumId="45">
    <w:nsid w:val="3DD15094"/>
    <w:multiLevelType w:val="hybridMultilevel"/>
    <w:lvl w:ilvl="0">
      <w:lvlJc w:val="left"/>
      <w:lvlText w:val="•"/>
      <w:numFmt w:val="bullet"/>
      <w:start w:val="1"/>
    </w:lvl>
  </w:abstractNum>
  <w:abstractNum w:abstractNumId="46">
    <w:nsid w:val="3DB012B3"/>
    <w:multiLevelType w:val="hybridMultilevel"/>
    <w:lvl w:ilvl="0">
      <w:lvlJc w:val="left"/>
      <w:lvlText w:val="•"/>
      <w:numFmt w:val="bullet"/>
      <w:start w:val="1"/>
    </w:lvl>
  </w:abstractNum>
  <w:abstractNum w:abstractNumId="47">
    <w:nsid w:val="2708C9AF"/>
    <w:multiLevelType w:val="hybridMultilevel"/>
    <w:lvl w:ilvl="0">
      <w:lvlJc w:val="left"/>
      <w:lvlText w:val="•"/>
      <w:numFmt w:val="bullet"/>
      <w:start w:val="1"/>
    </w:lvl>
  </w:abstractNum>
  <w:abstractNum w:abstractNumId="48">
    <w:nsid w:val="5B25ACE2"/>
    <w:multiLevelType w:val="hybridMultilevel"/>
    <w:lvl w:ilvl="0">
      <w:lvlJc w:val="left"/>
      <w:lvlText w:val="•"/>
      <w:numFmt w:val="bullet"/>
      <w:start w:val="1"/>
    </w:lvl>
  </w:abstractNum>
  <w:abstractNum w:abstractNumId="49">
    <w:nsid w:val="175DFCF0"/>
    <w:multiLevelType w:val="hybridMultilevel"/>
    <w:lvl w:ilvl="0">
      <w:lvlJc w:val="left"/>
      <w:lvlText w:val="•"/>
      <w:numFmt w:val="bullet"/>
      <w:start w:val="1"/>
    </w:lvl>
  </w:abstractNum>
  <w:abstractNum w:abstractNumId="50">
    <w:nsid w:val="4F97E3E4"/>
    <w:multiLevelType w:val="hybridMultilevel"/>
    <w:lvl w:ilvl="0">
      <w:lvlJc w:val="left"/>
      <w:lvlText w:val="(%1)"/>
      <w:numFmt w:val="lowerRoman"/>
      <w:start w:val="1"/>
    </w:lvl>
  </w:abstractNum>
  <w:abstractNum w:abstractNumId="51">
    <w:nsid w:val="53B0A9E"/>
    <w:multiLevelType w:val="hybridMultilevel"/>
    <w:lvl w:ilvl="0">
      <w:lvlJc w:val="left"/>
      <w:lvlText w:val="(%1)"/>
      <w:numFmt w:val="lowerRoman"/>
      <w:start w:val="10"/>
    </w:lvl>
  </w:abstractNum>
  <w:abstractNum w:abstractNumId="52">
    <w:nsid w:val="34FD6B4F"/>
    <w:multiLevelType w:val="hybridMultilevel"/>
    <w:lvl w:ilvl="0">
      <w:lvlJc w:val="left"/>
      <w:lvlText w:val="*"/>
      <w:numFmt w:val="bullet"/>
      <w:start w:val="1"/>
    </w:lvl>
  </w:abstractNum>
  <w:abstractNum w:abstractNumId="53">
    <w:nsid w:val="5915FF32"/>
    <w:multiLevelType w:val="hybridMultilevel"/>
    <w:lvl w:ilvl="0">
      <w:lvlJc w:val="left"/>
      <w:lvlText w:val="•"/>
      <w:numFmt w:val="bullet"/>
      <w:start w:val="1"/>
    </w:lvl>
  </w:abstractNum>
  <w:abstractNum w:abstractNumId="54">
    <w:nsid w:val="56438D15"/>
    <w:multiLevelType w:val="hybridMultilevel"/>
    <w:lvl w:ilvl="0">
      <w:lvlJc w:val="left"/>
      <w:lvlText w:val="•"/>
      <w:numFmt w:val="bullet"/>
      <w:start w:val="1"/>
    </w:lvl>
  </w:abstractNum>
  <w:abstractNum w:abstractNumId="55">
    <w:nsid w:val="519E3149"/>
    <w:multiLevelType w:val="hybridMultilevel"/>
    <w:lvl w:ilvl="0">
      <w:lvlJc w:val="left"/>
      <w:lvlText w:val="•"/>
      <w:numFmt w:val="bullet"/>
      <w:start w:val="1"/>
    </w:lvl>
  </w:abstractNum>
  <w:abstractNum w:abstractNumId="56">
    <w:nsid w:val="2C6E4AFD"/>
    <w:multiLevelType w:val="hybridMultilevel"/>
    <w:lvl w:ilvl="0">
      <w:lvlJc w:val="left"/>
      <w:lvlText w:val="•"/>
      <w:numFmt w:val="bullet"/>
      <w:start w:val="1"/>
    </w:lvl>
  </w:abstractNum>
  <w:abstractNum w:abstractNumId="57">
    <w:nsid w:val="17A1B582"/>
    <w:multiLevelType w:val="hybridMultilevel"/>
    <w:lvl w:ilvl="0">
      <w:lvlJc w:val="left"/>
      <w:lvlText w:val="•"/>
      <w:numFmt w:val="bullet"/>
      <w:start w:val="1"/>
    </w:lvl>
  </w:abstractNum>
  <w:abstractNum w:abstractNumId="58">
    <w:nsid w:val="4DF72E4E"/>
    <w:multiLevelType w:val="hybridMultilevel"/>
    <w:lvl w:ilvl="0">
      <w:lvlJc w:val="left"/>
      <w:lvlText w:val="(%1)"/>
      <w:numFmt w:val="lowerRoman"/>
      <w:start w:val="6"/>
    </w:lvl>
  </w:abstractNum>
  <w:abstractNum w:abstractNumId="59">
    <w:nsid w:val="5046B5A9"/>
    <w:multiLevelType w:val="hybridMultilevel"/>
    <w:lvl w:ilvl="0">
      <w:lvlJc w:val="left"/>
      <w:lvlText w:val="•"/>
      <w:numFmt w:val="bullet"/>
      <w:start w:val="1"/>
    </w:lvl>
  </w:abstractNum>
  <w:abstractNum w:abstractNumId="60">
    <w:nsid w:val="5D888A08"/>
    <w:multiLevelType w:val="hybridMultilevel"/>
    <w:lvl w:ilvl="0">
      <w:lvlJc w:val="left"/>
      <w:lvlText w:val="*"/>
      <w:numFmt w:val="bullet"/>
      <w:start w:val="1"/>
    </w:lvl>
  </w:abstractNum>
  <w:abstractNum w:abstractNumId="61">
    <w:nsid w:val="2A082C70"/>
    <w:multiLevelType w:val="hybridMultilevel"/>
    <w:lvl w:ilvl="0">
      <w:lvlJc w:val="left"/>
      <w:lvlText w:val="†"/>
      <w:numFmt w:val="bullet"/>
      <w:start w:val="1"/>
    </w:lvl>
  </w:abstractNum>
  <w:abstractNum w:abstractNumId="62">
    <w:nsid w:val="5EC6AFD4"/>
    <w:multiLevelType w:val="hybridMultilevel"/>
    <w:lvl w:ilvl="0">
      <w:lvlJc w:val="left"/>
      <w:lvlText w:val="††"/>
      <w:numFmt w:val="bullet"/>
      <w:start w:val="1"/>
    </w:lvl>
  </w:abstractNum>
  <w:abstractNum w:abstractNumId="63">
    <w:nsid w:val="19E21BB2"/>
    <w:multiLevelType w:val="hybridMultilevel"/>
    <w:lvl w:ilvl="0">
      <w:lvlJc w:val="left"/>
      <w:lvlText w:val="(%1)"/>
      <w:numFmt w:val="decimal"/>
      <w:start w:val="1"/>
    </w:lvl>
  </w:abstractNum>
  <w:abstractNum w:abstractNumId="64">
    <w:nsid w:val="75E0858A"/>
    <w:multiLevelType w:val="hybridMultilevel"/>
    <w:lvl w:ilvl="0">
      <w:lvlJc w:val="left"/>
      <w:lvlText w:val="(%1)"/>
      <w:numFmt w:val="decimal"/>
      <w:start w:val="2"/>
    </w:lvl>
  </w:abstractNum>
  <w:abstractNum w:abstractNumId="65">
    <w:nsid w:val="57A61A29"/>
    <w:multiLevelType w:val="hybridMultilevel"/>
    <w:lvl w:ilvl="0">
      <w:lvlJc w:val="left"/>
      <w:lvlText w:val="(%1)"/>
      <w:numFmt w:val="lowerRoman"/>
      <w:start w:val="2"/>
    </w:lvl>
  </w:abstractNum>
  <w:abstractNum w:abstractNumId="66">
    <w:nsid w:val="5399C654"/>
    <w:multiLevelType w:val="hybridMultilevel"/>
    <w:lvl w:ilvl="0">
      <w:lvlJc w:val="left"/>
      <w:lvlText w:val="(%1)"/>
      <w:numFmt w:val="lowerRoman"/>
      <w:start w:val="1"/>
    </w:lvl>
  </w:abstractNum>
  <w:abstractNum w:abstractNumId="67">
    <w:nsid w:val="20EE1348"/>
    <w:multiLevelType w:val="hybridMultilevel"/>
    <w:lvl w:ilvl="0">
      <w:lvlJc w:val="left"/>
      <w:lvlText w:val="•"/>
      <w:numFmt w:val="bullet"/>
      <w:start w:val="1"/>
    </w:lvl>
  </w:abstractNum>
  <w:abstractNum w:abstractNumId="68">
    <w:nsid w:val="4427069A"/>
    <w:multiLevelType w:val="hybridMultilevel"/>
    <w:lvl w:ilvl="0">
      <w:lvlJc w:val="left"/>
      <w:lvlText w:val="(%1)"/>
      <w:numFmt w:val="decimal"/>
      <w:start w:val="2"/>
    </w:lvl>
  </w:abstractNum>
  <w:abstractNum w:abstractNumId="69">
    <w:nsid w:val="B37E80A"/>
    <w:multiLevelType w:val="hybridMultilevel"/>
    <w:lvl w:ilvl="0">
      <w:lvlJc w:val="left"/>
      <w:lvlText w:val="•"/>
      <w:numFmt w:val="bullet"/>
      <w:start w:val="1"/>
    </w:lvl>
  </w:abstractNum>
  <w:abstractNum w:abstractNumId="70">
    <w:nsid w:val="2157F6BC"/>
    <w:multiLevelType w:val="hybridMultilevel"/>
    <w:lvl w:ilvl="0">
      <w:lvlJc w:val="left"/>
      <w:lvlText w:val="•"/>
      <w:numFmt w:val="bullet"/>
      <w:start w:val="1"/>
    </w:lvl>
  </w:abstractNum>
  <w:abstractNum w:abstractNumId="71">
    <w:nsid w:val="704E1DD5"/>
    <w:multiLevelType w:val="hybridMultilevel"/>
    <w:lvl w:ilvl="0">
      <w:lvlJc w:val="left"/>
      <w:lvlText w:val="•"/>
      <w:numFmt w:val="bullet"/>
      <w:start w:val="1"/>
    </w:lvl>
  </w:abstractNum>
  <w:abstractNum w:abstractNumId="72">
    <w:nsid w:val="57D2F10E"/>
    <w:multiLevelType w:val="hybridMultilevel"/>
    <w:lvl w:ilvl="0">
      <w:lvlJc w:val="left"/>
      <w:lvlText w:val="•"/>
      <w:numFmt w:val="bullet"/>
      <w:start w:val="1"/>
    </w:lvl>
  </w:abstractNum>
  <w:abstractNum w:abstractNumId="73">
    <w:nsid w:val="BFFAE18"/>
    <w:multiLevelType w:val="hybridMultilevel"/>
    <w:lvl w:ilvl="0">
      <w:lvlJc w:val="left"/>
      <w:lvlText w:val="•"/>
      <w:numFmt w:val="bullet"/>
      <w:start w:val="1"/>
    </w:lvl>
  </w:abstractNum>
  <w:abstractNum w:abstractNumId="74">
    <w:nsid w:val="E3E47A8"/>
    <w:multiLevelType w:val="hybridMultilevel"/>
    <w:lvl w:ilvl="0">
      <w:lvlJc w:val="left"/>
      <w:lvlText w:val="•"/>
      <w:numFmt w:val="bullet"/>
      <w:start w:val="1"/>
    </w:lvl>
  </w:abstractNum>
  <w:abstractNum w:abstractNumId="75">
    <w:nsid w:val="2E48F044"/>
    <w:multiLevelType w:val="hybridMultilevel"/>
    <w:lvl w:ilvl="0">
      <w:lvlJc w:val="left"/>
      <w:lvlText w:val="•"/>
      <w:numFmt w:val="bullet"/>
      <w:start w:val="1"/>
    </w:lvl>
  </w:abstractNum>
  <w:abstractNum w:abstractNumId="76">
    <w:nsid w:val="49D0FEAC"/>
    <w:multiLevelType w:val="hybridMultilevel"/>
    <w:lvl w:ilvl="0">
      <w:lvlJc w:val="left"/>
      <w:lvlText w:val="•"/>
      <w:numFmt w:val="bullet"/>
      <w:start w:val="1"/>
    </w:lvl>
  </w:abstractNum>
  <w:abstractNum w:abstractNumId="77">
    <w:nsid w:val="4BEE5A5B"/>
    <w:multiLevelType w:val="hybridMultilevel"/>
    <w:lvl w:ilvl="0">
      <w:lvlJc w:val="left"/>
      <w:lvlText w:val="•"/>
      <w:numFmt w:val="bullet"/>
      <w:start w:val="1"/>
    </w:lvl>
  </w:abstractNum>
  <w:abstractNum w:abstractNumId="78">
    <w:nsid w:val="5551B9F3"/>
    <w:multiLevelType w:val="hybridMultilevel"/>
    <w:lvl w:ilvl="0">
      <w:lvlJc w:val="left"/>
      <w:lvlText w:val="•"/>
      <w:numFmt w:val="bullet"/>
      <w:start w:val="1"/>
    </w:lvl>
  </w:abstractNum>
  <w:abstractNum w:abstractNumId="79">
    <w:nsid w:val="24F6AB8E"/>
    <w:multiLevelType w:val="hybridMultilevel"/>
    <w:lvl w:ilvl="0">
      <w:lvlJc w:val="left"/>
      <w:lvlText w:val="•"/>
      <w:numFmt w:val="bullet"/>
      <w:start w:val="1"/>
    </w:lvl>
  </w:abstractNum>
  <w:abstractNum w:abstractNumId="80">
    <w:nsid w:val="634C574C"/>
    <w:multiLevelType w:val="hybridMultilevel"/>
    <w:lvl w:ilvl="0">
      <w:lvlJc w:val="left"/>
      <w:lvlText w:val="•"/>
      <w:numFmt w:val="bullet"/>
      <w:start w:val="1"/>
    </w:lvl>
  </w:abstractNum>
  <w:abstractNum w:abstractNumId="81">
    <w:nsid w:val="24E99DD7"/>
    <w:multiLevelType w:val="hybridMultilevel"/>
    <w:lvl w:ilvl="0">
      <w:lvlJc w:val="left"/>
      <w:lvlText w:val="•"/>
      <w:numFmt w:val="bullet"/>
      <w:start w:val="1"/>
    </w:lvl>
  </w:abstractNum>
  <w:abstractNum w:abstractNumId="82">
    <w:nsid w:val="2A31B62D"/>
    <w:multiLevelType w:val="hybridMultilevel"/>
    <w:lvl w:ilvl="0">
      <w:lvlJc w:val="left"/>
      <w:lvlText w:val="(%1)"/>
      <w:numFmt w:val="lowerRoman"/>
      <w:start w:val="2"/>
    </w:lvl>
  </w:abstractNum>
  <w:abstractNum w:abstractNumId="83">
    <w:nsid w:val="1849C29B"/>
    <w:multiLevelType w:val="hybridMultilevel"/>
    <w:lvl w:ilvl="0">
      <w:lvlJc w:val="left"/>
      <w:lvlText w:val="•"/>
      <w:numFmt w:val="bullet"/>
      <w:start w:val="1"/>
    </w:lvl>
  </w:abstractNum>
  <w:abstractNum w:abstractNumId="84">
    <w:nsid w:val="7DFF9D09"/>
    <w:multiLevelType w:val="hybridMultilevel"/>
    <w:lvl w:ilvl="0">
      <w:lvlJc w:val="left"/>
      <w:lvlText w:val="•"/>
      <w:numFmt w:val="bullet"/>
      <w:start w:val="1"/>
    </w:lvl>
  </w:abstractNum>
  <w:abstractNum w:abstractNumId="85">
    <w:nsid w:val="754342"/>
    <w:multiLevelType w:val="hybridMultilevel"/>
    <w:lvl w:ilvl="0">
      <w:lvlJc w:val="left"/>
      <w:lvlText w:val="•"/>
      <w:numFmt w:val="bullet"/>
      <w:start w:val="1"/>
    </w:lvl>
  </w:abstractNum>
  <w:abstractNum w:abstractNumId="86">
    <w:nsid w:val="69E7F3E5"/>
    <w:multiLevelType w:val="hybridMultilevel"/>
    <w:lvl w:ilvl="0">
      <w:lvlJc w:val="left"/>
      <w:lvlText w:val="(%1)"/>
      <w:numFmt w:val="lowerLetter"/>
      <w:start w:val="1"/>
    </w:lvl>
  </w:abstractNum>
  <w:abstractNum w:abstractNumId="87">
    <w:nsid w:val="2A6DE806"/>
    <w:multiLevelType w:val="hybridMultilevel"/>
    <w:lvl w:ilvl="0">
      <w:lvlJc w:val="left"/>
      <w:lvlText w:val="(%1)"/>
      <w:numFmt w:val="lowerLetter"/>
      <w:start w:val="2"/>
    </w:lvl>
  </w:abstractNum>
  <w:abstractNum w:abstractNumId="88">
    <w:nsid w:val="1816F8C4"/>
    <w:multiLevelType w:val="hybridMultilevel"/>
    <w:lvl w:ilvl="0">
      <w:lvlJc w:val="left"/>
      <w:lvlText w:val="•"/>
      <w:numFmt w:val="bullet"/>
      <w:start w:val="1"/>
    </w:lvl>
  </w:abstractNum>
  <w:abstractNum w:abstractNumId="89">
    <w:nsid w:val="37DF2233"/>
    <w:multiLevelType w:val="hybridMultilevel"/>
    <w:lvl w:ilvl="0">
      <w:lvlJc w:val="left"/>
      <w:lvlText w:val="(%1)"/>
      <w:numFmt w:val="lowerLetter"/>
      <w:start w:val="1"/>
    </w:lvl>
  </w:abstractNum>
  <w:abstractNum w:abstractNumId="90">
    <w:nsid w:val="7AB49DAF"/>
    <w:multiLevelType w:val="hybridMultilevel"/>
    <w:lvl w:ilvl="0">
      <w:lvlJc w:val="left"/>
      <w:lvlText w:val="(%1)"/>
      <w:numFmt w:val="lowerLetter"/>
      <w:start w:val="1"/>
    </w:lvl>
  </w:abstractNum>
  <w:abstractNum w:abstractNumId="91">
    <w:nsid w:val="759F82CD"/>
    <w:multiLevelType w:val="hybridMultilevel"/>
    <w:lvl w:ilvl="0">
      <w:lvlJc w:val="left"/>
      <w:lvlText w:val="(%1)"/>
      <w:numFmt w:val="lowerLetter"/>
      <w:start w:val="1"/>
    </w:lvl>
  </w:abstractNum>
  <w:abstractNum w:abstractNumId="92">
    <w:nsid w:val="61E74EA3"/>
    <w:multiLevelType w:val="hybridMultilevel"/>
    <w:lvl w:ilvl="0">
      <w:lvlJc w:val="left"/>
      <w:lvlText w:val="(%1)"/>
      <w:numFmt w:val="lowerLetter"/>
      <w:start w:val="2"/>
    </w:lvl>
  </w:abstractNum>
  <w:abstractNum w:abstractNumId="93">
    <w:nsid w:val="597B4D84"/>
    <w:multiLevelType w:val="hybridMultilevel"/>
    <w:lvl w:ilvl="0">
      <w:lvlJc w:val="left"/>
      <w:lvlText w:val="(%1)"/>
      <w:numFmt w:val="lowerLetter"/>
      <w:start w:val="1"/>
    </w:lvl>
  </w:abstractNum>
  <w:abstractNum w:abstractNumId="94">
    <w:nsid w:val="F819E7F"/>
    <w:multiLevelType w:val="hybridMultilevel"/>
    <w:lvl w:ilvl="0">
      <w:lvlJc w:val="left"/>
      <w:lvlText w:val="(%1)"/>
      <w:numFmt w:val="lowerLetter"/>
      <w:start w:val="1"/>
    </w:lvl>
  </w:abstractNum>
  <w:abstractNum w:abstractNumId="95">
    <w:nsid w:val="57C7D42D"/>
    <w:multiLevelType w:val="hybridMultilevel"/>
    <w:lvl w:ilvl="0">
      <w:lvlJc w:val="left"/>
      <w:lvlText w:val="•"/>
      <w:numFmt w:val="bullet"/>
      <w:start w:val="1"/>
    </w:lvl>
  </w:abstractNum>
  <w:abstractNum w:abstractNumId="96">
    <w:nsid w:val="312167A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7">
    <w:nsid w:val="631B64D4"/>
    <w:multiLevelType w:val="hybridMultilevel"/>
    <w:lvl w:ilvl="0">
      <w:lvlJc w:val="left"/>
      <w:lvlText w:val="\emdash "/>
      <w:numFmt w:val="bullet"/>
      <w:start w:val="1"/>
    </w:lvl>
  </w:abstractNum>
  <w:abstractNum w:abstractNumId="98">
    <w:nsid w:val="78B5E776"/>
    <w:multiLevelType w:val="hybridMultilevel"/>
    <w:lvl w:ilvl="0">
      <w:lvlJc w:val="left"/>
      <w:lvlText w:val="•"/>
      <w:numFmt w:val="bullet"/>
      <w:start w:val="1"/>
    </w:lvl>
  </w:abstractNum>
  <w:abstractNum w:abstractNumId="99">
    <w:nsid w:val="75486E47"/>
    <w:multiLevelType w:val="hybridMultilevel"/>
    <w:lvl w:ilvl="0">
      <w:lvlJc w:val="left"/>
      <w:lvlText w:val="•"/>
      <w:numFmt w:val="bullet"/>
      <w:start w:val="1"/>
    </w:lvl>
  </w:abstractNum>
  <w:abstractNum w:abstractNumId="100">
    <w:nsid w:val="6E534CDE"/>
    <w:multiLevelType w:val="hybridMultilevel"/>
    <w:lvl w:ilvl="0">
      <w:lvlJc w:val="left"/>
      <w:lvlText w:val="(%1)"/>
      <w:numFmt w:val="lowerRoman"/>
      <w:start w:val="3"/>
    </w:lvl>
  </w:abstractNum>
  <w:abstractNum w:abstractNumId="101">
    <w:nsid w:val="1A0DDE32"/>
    <w:multiLevelType w:val="hybridMultilevel"/>
    <w:lvl w:ilvl="0">
      <w:lvlJc w:val="left"/>
      <w:lvlText w:val="•"/>
      <w:numFmt w:val="bullet"/>
      <w:start w:val="1"/>
    </w:lvl>
  </w:abstractNum>
  <w:abstractNum w:abstractNumId="102">
    <w:nsid w:val="65968C1C"/>
    <w:multiLevelType w:val="hybridMultilevel"/>
    <w:lvl w:ilvl="0">
      <w:lvlJc w:val="left"/>
      <w:lvlText w:val="•"/>
      <w:numFmt w:val="bullet"/>
      <w:start w:val="1"/>
    </w:lvl>
  </w:abstractNum>
  <w:abstractNum w:abstractNumId="103">
    <w:nsid w:val="46263DEC"/>
    <w:multiLevelType w:val="hybridMultilevel"/>
    <w:lvl w:ilvl="0">
      <w:lvlJc w:val="left"/>
      <w:lvlText w:val="•"/>
      <w:numFmt w:val="bullet"/>
      <w:start w:val="1"/>
    </w:lvl>
  </w:abstractNum>
  <w:abstractNum w:abstractNumId="104">
    <w:nsid w:val="260D8C4A"/>
    <w:multiLevelType w:val="hybridMultilevel"/>
    <w:lvl w:ilvl="0">
      <w:lvlJc w:val="left"/>
      <w:lvlText w:val="•"/>
      <w:numFmt w:val="bullet"/>
      <w:start w:val="1"/>
    </w:lvl>
  </w:abstractNum>
  <w:abstractNum w:abstractNumId="105">
    <w:nsid w:val="73D4D3C4"/>
    <w:multiLevelType w:val="hybridMultilevel"/>
    <w:lvl w:ilvl="0">
      <w:lvlJc w:val="left"/>
      <w:lvlText w:val="*"/>
      <w:numFmt w:val="bullet"/>
      <w:start w:val="1"/>
    </w:lvl>
  </w:abstractNum>
  <w:abstractNum w:abstractNumId="106">
    <w:nsid w:val="746F2E30"/>
    <w:multiLevelType w:val="hybridMultilevel"/>
    <w:lvl w:ilvl="0">
      <w:lvlJc w:val="left"/>
      <w:lvlText w:val="*"/>
      <w:numFmt w:val="bullet"/>
      <w:start w:val="1"/>
    </w:lvl>
  </w:abstractNum>
  <w:abstractNum w:abstractNumId="107">
    <w:nsid w:val="6FDE8AF6"/>
    <w:multiLevelType w:val="hybridMultilevel"/>
    <w:lvl w:ilvl="0">
      <w:lvlJc w:val="left"/>
      <w:lvlText w:val="*"/>
      <w:numFmt w:val="bullet"/>
      <w:start w:val="1"/>
    </w:lvl>
  </w:abstractNum>
  <w:abstractNum w:abstractNumId="108">
    <w:nsid w:val="3FC32E20"/>
    <w:multiLevelType w:val="hybridMultilevel"/>
    <w:lvl w:ilvl="0">
      <w:lvlJc w:val="left"/>
      <w:lvlText w:val="%1."/>
      <w:numFmt w:val="decimal"/>
      <w:start w:val="1"/>
    </w:lvl>
  </w:abstractNum>
  <w:abstractNum w:abstractNumId="109">
    <w:nsid w:val="49C0E823"/>
    <w:multiLevelType w:val="hybridMultilevel"/>
    <w:lvl w:ilvl="0">
      <w:lvlJc w:val="left"/>
      <w:lvlText w:val="%1."/>
      <w:numFmt w:val="decimal"/>
      <w:start w:val="2"/>
    </w:lvl>
    <w:lvl w:ilvl="1">
      <w:lvlJc w:val="left"/>
      <w:lvlText w:val="(%2)"/>
      <w:numFmt w:val="lowerLetter"/>
      <w:start w:val="1"/>
    </w:lvl>
  </w:abstractNum>
  <w:abstractNum w:abstractNumId="110">
    <w:nsid w:val="14D53685"/>
    <w:multiLevelType w:val="hybridMultilevel"/>
    <w:lvl w:ilvl="0">
      <w:lvlJc w:val="left"/>
      <w:lvlText w:val="%1."/>
      <w:numFmt w:val="decimal"/>
      <w:start w:val="2"/>
    </w:lvl>
  </w:abstractNum>
  <w:abstractNum w:abstractNumId="111">
    <w:nsid w:val="230F856C"/>
    <w:multiLevelType w:val="hybridMultilevel"/>
    <w:lvl w:ilvl="0">
      <w:lvlJc w:val="left"/>
      <w:lvlText w:val="(%1)"/>
      <w:numFmt w:val="lowerLetter"/>
      <w:start w:val="3"/>
    </w:lvl>
  </w:abstractNum>
  <w:abstractNum w:abstractNumId="112">
    <w:nsid w:val="6EAA85FB"/>
    <w:multiLevelType w:val="hybridMultilevel"/>
    <w:lvl w:ilvl="0">
      <w:lvlJc w:val="left"/>
      <w:lvlText w:val="(%1)"/>
      <w:numFmt w:val="lowerLetter"/>
      <w:start w:val="5"/>
    </w:lvl>
  </w:abstractNum>
  <w:abstractNum w:abstractNumId="113">
    <w:nsid w:val="3F06ECB2"/>
    <w:multiLevelType w:val="hybridMultilevel"/>
    <w:lvl w:ilvl="0">
      <w:lvlJc w:val="left"/>
      <w:lvlText w:val="(%1)"/>
      <w:numFmt w:val="lowerLetter"/>
      <w:start w:val="6"/>
    </w:lvl>
  </w:abstractNum>
  <w:abstractNum w:abstractNumId="114">
    <w:nsid w:val="3B594807"/>
    <w:multiLevelType w:val="hybridMultilevel"/>
    <w:lvl w:ilvl="0">
      <w:lvlJc w:val="left"/>
      <w:lvlText w:val="%1."/>
      <w:numFmt w:val="decimal"/>
      <w:start w:val="2"/>
    </w:lvl>
  </w:abstractNum>
  <w:abstractNum w:abstractNumId="115">
    <w:nsid w:val="6CAA2304"/>
    <w:multiLevelType w:val="hybridMultilevel"/>
    <w:lvl w:ilvl="0">
      <w:lvlJc w:val="left"/>
      <w:lvlText w:val="•"/>
      <w:numFmt w:val="bullet"/>
      <w:start w:val="1"/>
    </w:lvl>
  </w:abstractNum>
  <w:abstractNum w:abstractNumId="116">
    <w:nsid w:val="3F7C2FF4"/>
    <w:multiLevelType w:val="hybridMultilevel"/>
    <w:lvl w:ilvl="0">
      <w:lvlJc w:val="left"/>
      <w:lvlText w:val="%1."/>
      <w:numFmt w:val="decimal"/>
      <w:start w:val="2"/>
    </w:lvl>
  </w:abstractNum>
  <w:abstractNum w:abstractNumId="117">
    <w:nsid w:val="25413BEC"/>
    <w:multiLevelType w:val="hybridMultilevel"/>
    <w:lvl w:ilvl="0">
      <w:lvlJc w:val="left"/>
      <w:lvlText w:val="(%1)"/>
      <w:numFmt w:val="lowerRoman"/>
      <w:start w:val="1"/>
    </w:lvl>
  </w:abstractNum>
  <w:abstractNum w:abstractNumId="118">
    <w:nsid w:val="17180B0B"/>
    <w:multiLevelType w:val="hybridMultilevel"/>
    <w:lvl w:ilvl="0">
      <w:lvlJc w:val="left"/>
      <w:lvlText w:val="%1."/>
      <w:numFmt w:val="decimal"/>
      <w:start w:val="2"/>
    </w:lvl>
  </w:abstractNum>
  <w:abstractNum w:abstractNumId="119">
    <w:nsid w:val="579328B9"/>
    <w:multiLevelType w:val="hybridMultilevel"/>
    <w:lvl w:ilvl="0">
      <w:lvlJc w:val="left"/>
      <w:lvlText w:val="%1."/>
      <w:numFmt w:val="decimal"/>
      <w:start w:val="2"/>
    </w:lvl>
  </w:abstractNum>
  <w:abstractNum w:abstractNumId="120">
    <w:nsid w:val="5D205E20"/>
    <w:multiLevelType w:val="hybridMultilevel"/>
    <w:lvl w:ilvl="0">
      <w:lvlJc w:val="left"/>
      <w:lvlText w:val="(%1)"/>
      <w:numFmt w:val="lowerLetter"/>
      <w:start w:val="10"/>
    </w:lvl>
  </w:abstractNum>
  <w:abstractNum w:abstractNumId="121">
    <w:nsid w:val="11CCA8BA"/>
    <w:multiLevelType w:val="hybridMultilevel"/>
    <w:lvl w:ilvl="0">
      <w:lvlJc w:val="left"/>
      <w:lvlText w:val="%1."/>
      <w:numFmt w:val="decimal"/>
      <w:start w:val="2"/>
    </w:lvl>
  </w:abstractNum>
  <w:abstractNum w:abstractNumId="122">
    <w:nsid w:val="4D32AB86"/>
    <w:multiLevelType w:val="hybridMultilevel"/>
    <w:lvl w:ilvl="0">
      <w:lvlJc w:val="left"/>
      <w:lvlText w:val="(%1)"/>
      <w:numFmt w:val="lowerLetter"/>
      <w:start w:val="12"/>
    </w:lvl>
  </w:abstractNum>
  <w:abstractNum w:abstractNumId="123">
    <w:nsid w:val="3F07ACC3"/>
    <w:multiLevelType w:val="hybridMultilevel"/>
    <w:lvl w:ilvl="0">
      <w:lvlJc w:val="left"/>
      <w:lvlText w:val="%1."/>
      <w:numFmt w:val="decimal"/>
      <w:start w:val="2"/>
    </w:lvl>
  </w:abstractNum>
  <w:abstractNum w:abstractNumId="124">
    <w:nsid w:val="6B47F63E"/>
    <w:multiLevelType w:val="hybridMultilevel"/>
    <w:lvl w:ilvl="0">
      <w:lvlJc w:val="left"/>
      <w:lvlText w:val="(%1)"/>
      <w:numFmt w:val="lowerLetter"/>
      <w:start w:val="18"/>
    </w:lvl>
  </w:abstractNum>
  <w:abstractNum w:abstractNumId="125">
    <w:nsid w:val="5CB44A05"/>
    <w:multiLevelType w:val="hybridMultilevel"/>
    <w:lvl w:ilvl="0">
      <w:lvlJc w:val="left"/>
      <w:lvlText w:val="(%1)"/>
      <w:numFmt w:val="lowerLetter"/>
      <w:start w:val="19"/>
    </w:lvl>
  </w:abstractNum>
  <w:abstractNum w:abstractNumId="126">
    <w:nsid w:val="16CF80F1"/>
    <w:multiLevelType w:val="hybridMultilevel"/>
    <w:lvl w:ilvl="0">
      <w:lvlJc w:val="left"/>
      <w:lvlText w:val="%1."/>
      <w:numFmt w:val="decimal"/>
      <w:start w:val="2"/>
    </w:lvl>
  </w:abstractNum>
  <w:abstractNum w:abstractNumId="127">
    <w:nsid w:val="1C695DEC"/>
    <w:multiLevelType w:val="hybridMultilevel"/>
    <w:lvl w:ilvl="0">
      <w:lvlJc w:val="left"/>
      <w:lvlText w:val="%1."/>
      <w:numFmt w:val="decimal"/>
      <w:start w:val="3"/>
    </w:lvl>
  </w:abstractNum>
  <w:abstractNum w:abstractNumId="128">
    <w:nsid w:val="3FCFAED9"/>
    <w:multiLevelType w:val="hybridMultilevel"/>
    <w:lvl w:ilvl="0">
      <w:lvlJc w:val="left"/>
      <w:lvlText w:val="%1."/>
      <w:numFmt w:val="decimal"/>
      <w:start w:val="4"/>
    </w:lvl>
  </w:abstractNum>
  <w:abstractNum w:abstractNumId="129">
    <w:nsid w:val="F856867"/>
    <w:multiLevelType w:val="hybridMultilevel"/>
    <w:lvl w:ilvl="0">
      <w:lvlJc w:val="left"/>
      <w:lvlText w:val="%1."/>
      <w:numFmt w:val="decimal"/>
      <w:start w:val="5"/>
    </w:lvl>
  </w:abstractNum>
  <w:abstractNum w:abstractNumId="130">
    <w:nsid w:val="11B1CC33"/>
    <w:multiLevelType w:val="hybridMultilevel"/>
    <w:lvl w:ilvl="0">
      <w:lvlJc w:val="left"/>
      <w:lvlText w:val="%1."/>
      <w:numFmt w:val="decimal"/>
      <w:start w:val="6"/>
    </w:lvl>
  </w:abstractNum>
  <w:abstractNum w:abstractNumId="131">
    <w:nsid w:val="2E22FBB7"/>
    <w:multiLevelType w:val="hybridMultilevel"/>
    <w:lvl w:ilvl="0">
      <w:lvlJc w:val="left"/>
      <w:lvlText w:val="(%1)"/>
      <w:numFmt w:val="decimal"/>
      <w:start w:val="1"/>
    </w:lvl>
  </w:abstractNum>
  <w:abstractNum w:abstractNumId="132">
    <w:nsid w:val="29934699"/>
    <w:multiLevelType w:val="hybridMultilevel"/>
    <w:lvl w:ilvl="0">
      <w:lvlJc w:val="left"/>
      <w:lvlText w:val="%1."/>
      <w:numFmt w:val="decimal"/>
      <w:start w:val="7"/>
    </w:lvl>
  </w:abstractNum>
  <w:abstractNum w:abstractNumId="133">
    <w:nsid w:val="77485850"/>
    <w:multiLevelType w:val="hybridMultilevel"/>
    <w:lvl w:ilvl="0">
      <w:lvlJc w:val="left"/>
      <w:lvlText w:val="%1."/>
      <w:numFmt w:val="decimal"/>
      <w:start w:val="8"/>
    </w:lvl>
  </w:abstractNum>
  <w:abstractNum w:abstractNumId="134">
    <w:nsid w:val="744939A3"/>
    <w:multiLevelType w:val="hybridMultilevel"/>
    <w:lvl w:ilvl="0">
      <w:lvlJc w:val="left"/>
      <w:lvlText w:val="%1."/>
      <w:numFmt w:val="decimal"/>
      <w:start w:val="8"/>
    </w:lvl>
  </w:abstractNum>
  <w:abstractNum w:abstractNumId="135">
    <w:nsid w:val="4FA0D2E3"/>
    <w:multiLevelType w:val="hybridMultilevel"/>
    <w:lvl w:ilvl="0">
      <w:lvlJc w:val="left"/>
      <w:lvlText w:val="%1."/>
      <w:numFmt w:val="decimal"/>
      <w:start w:val="9"/>
    </w:lvl>
  </w:abstractNum>
  <w:abstractNum w:abstractNumId="136">
    <w:nsid w:val="6B1D2C14"/>
    <w:multiLevelType w:val="hybridMultilevel"/>
    <w:lvl w:ilvl="0">
      <w:lvlJc w:val="left"/>
      <w:lvlText w:val="%1."/>
      <w:numFmt w:val="decimal"/>
      <w:start w:val="9"/>
    </w:lvl>
  </w:abstractNum>
  <w:abstractNum w:abstractNumId="137">
    <w:nsid w:val="68B867D3"/>
    <w:multiLevelType w:val="hybridMultilevel"/>
    <w:lvl w:ilvl="0">
      <w:lvlJc w:val="left"/>
      <w:lvlText w:val="(%1)"/>
      <w:numFmt w:val="decimal"/>
      <w:start w:val="1"/>
    </w:lvl>
  </w:abstractNum>
  <w:abstractNum w:abstractNumId="138">
    <w:nsid w:val="3F7F5DD9"/>
    <w:multiLevelType w:val="hybridMultilevel"/>
    <w:lvl w:ilvl="0">
      <w:lvlJc w:val="left"/>
      <w:lvlText w:val="(%1)"/>
      <w:numFmt w:val="decimal"/>
      <w:start w:val="1"/>
    </w:lvl>
  </w:abstractNum>
  <w:abstractNum w:abstractNumId="139">
    <w:nsid w:val="2AE05A34"/>
    <w:multiLevelType w:val="hybridMultilevel"/>
    <w:lvl w:ilvl="0">
      <w:lvlJc w:val="left"/>
      <w:lvlText w:val="(%1)"/>
      <w:numFmt w:val="decimal"/>
      <w:start w:val="1"/>
    </w:lvl>
  </w:abstractNum>
  <w:abstractNum w:abstractNumId="140">
    <w:nsid w:val="32794FF7"/>
    <w:multiLevelType w:val="hybridMultilevel"/>
    <w:lvl w:ilvl="0">
      <w:lvlJc w:val="left"/>
      <w:lvlText w:val="*"/>
      <w:numFmt w:val="bullet"/>
      <w:start w:val="1"/>
    </w:lvl>
  </w:abstractNum>
  <w:abstractNum w:abstractNumId="141">
    <w:nsid w:val="5454945E"/>
    <w:multiLevelType w:val="hybridMultilevel"/>
    <w:lvl w:ilvl="0">
      <w:lvlJc w:val="left"/>
      <w:lvlText w:val="*"/>
      <w:numFmt w:val="bullet"/>
      <w:start w:val="1"/>
    </w:lvl>
  </w:abstractNum>
  <w:abstractNum w:abstractNumId="142">
    <w:nsid w:val="4DEFDFA0"/>
    <w:multiLevelType w:val="hybridMultilevel"/>
    <w:lvl w:ilvl="0">
      <w:lvlJc w:val="left"/>
      <w:lvlText w:val="*"/>
      <w:numFmt w:val="bullet"/>
      <w:start w:val="1"/>
    </w:lvl>
  </w:abstractNum>
  <w:abstractNum w:abstractNumId="143">
    <w:nsid w:val="2123D5F2"/>
    <w:multiLevelType w:val="hybridMultilevel"/>
    <w:lvl w:ilvl="0">
      <w:lvlJc w:val="left"/>
      <w:lvlText w:val="*"/>
      <w:numFmt w:val="bullet"/>
      <w:start w:val="1"/>
    </w:lvl>
  </w:abstractNum>
  <w:abstractNum w:abstractNumId="144">
    <w:nsid w:val="135B8110"/>
    <w:multiLevelType w:val="hybridMultilevel"/>
    <w:lvl w:ilvl="0">
      <w:lvlJc w:val="left"/>
      <w:lvlText w:val="%1."/>
      <w:numFmt w:val="decimal"/>
      <w:start w:val="1"/>
    </w:lvl>
  </w:abstractNum>
  <w:abstractNum w:abstractNumId="145">
    <w:nsid w:val="94927A8"/>
    <w:multiLevelType w:val="hybridMultilevel"/>
    <w:lvl w:ilvl="0">
      <w:lvlJc w:val="left"/>
      <w:lvlText w:val="%1."/>
      <w:numFmt w:val="decimal"/>
      <w:start w:val="2"/>
    </w:lvl>
    <w:lvl w:ilvl="1">
      <w:lvlJc w:val="left"/>
      <w:lvlText w:val="(%2)"/>
      <w:numFmt w:val="lowerLetter"/>
      <w:start w:val="1"/>
    </w:lvl>
  </w:abstractNum>
  <w:abstractNum w:abstractNumId="146">
    <w:nsid w:val="DCDF8F6"/>
    <w:multiLevelType w:val="hybridMultilevel"/>
    <w:lvl w:ilvl="0">
      <w:lvlJc w:val="left"/>
      <w:lvlText w:val="%1."/>
      <w:numFmt w:val="decimal"/>
      <w:start w:val="2"/>
    </w:lvl>
  </w:abstractNum>
  <w:abstractNum w:abstractNumId="147">
    <w:nsid w:val="52D7B105"/>
    <w:multiLevelType w:val="hybridMultilevel"/>
    <w:lvl w:ilvl="0">
      <w:lvlJc w:val="left"/>
      <w:lvlText w:val="(%1)"/>
      <w:numFmt w:val="lowerLetter"/>
      <w:start w:val="3"/>
    </w:lvl>
  </w:abstractNum>
  <w:abstractNum w:abstractNumId="148">
    <w:nsid w:val="2E8A6394"/>
    <w:multiLevelType w:val="hybridMultilevel"/>
    <w:lvl w:ilvl="0">
      <w:lvlJc w:val="left"/>
      <w:lvlText w:val="%1."/>
      <w:numFmt w:val="decimal"/>
      <w:start w:val="2"/>
    </w:lvl>
  </w:abstractNum>
  <w:abstractNum w:abstractNumId="149">
    <w:nsid w:val="24E60401"/>
    <w:multiLevelType w:val="hybridMultilevel"/>
    <w:lvl w:ilvl="0">
      <w:lvlJc w:val="left"/>
      <w:lvlText w:val="%1."/>
      <w:numFmt w:val="decimal"/>
      <w:start w:val="2"/>
    </w:lvl>
  </w:abstractNum>
  <w:abstractNum w:abstractNumId="150">
    <w:nsid w:val="2A6AD9BE"/>
    <w:multiLevelType w:val="hybridMultilevel"/>
    <w:lvl w:ilvl="0">
      <w:lvlJc w:val="left"/>
      <w:lvlText w:val="(%1)"/>
      <w:numFmt w:val="lowerLetter"/>
      <w:start w:val="5"/>
    </w:lvl>
  </w:abstractNum>
  <w:abstractNum w:abstractNumId="151">
    <w:nsid w:val="BAAC1B4"/>
    <w:multiLevelType w:val="hybridMultilevel"/>
    <w:lvl w:ilvl="0">
      <w:lvlJc w:val="left"/>
      <w:lvlText w:val="%1."/>
      <w:numFmt w:val="decimal"/>
      <w:start w:val="2"/>
    </w:lvl>
  </w:abstractNum>
  <w:abstractNum w:abstractNumId="152">
    <w:nsid w:val="36B2ACBC"/>
    <w:multiLevelType w:val="hybridMultilevel"/>
    <w:lvl w:ilvl="0">
      <w:lvlJc w:val="left"/>
      <w:lvlText w:val="(%1)"/>
      <w:numFmt w:val="lowerLetter"/>
      <w:start w:val="6"/>
    </w:lvl>
  </w:abstractNum>
  <w:abstractNum w:abstractNumId="153">
    <w:nsid w:val="779D8544"/>
    <w:multiLevelType w:val="hybridMultilevel"/>
    <w:lvl w:ilvl="0">
      <w:lvlJc w:val="left"/>
      <w:lvlText w:val="%1."/>
      <w:numFmt w:val="decimal"/>
      <w:start w:val="3"/>
    </w:lvl>
  </w:abstractNum>
  <w:abstractNum w:abstractNumId="154">
    <w:nsid w:val="4AB26E78"/>
    <w:multiLevelType w:val="hybridMultilevel"/>
    <w:lvl w:ilvl="0">
      <w:lvlJc w:val="left"/>
      <w:lvlText w:val="%1."/>
      <w:numFmt w:val="decimal"/>
      <w:start w:val="4"/>
    </w:lvl>
  </w:abstractNum>
  <w:abstractNum w:abstractNumId="155">
    <w:nsid w:val="21FAA2FA"/>
    <w:multiLevelType w:val="hybridMultilevel"/>
    <w:lvl w:ilvl="0">
      <w:lvlJc w:val="left"/>
      <w:lvlText w:val="%1."/>
      <w:numFmt w:val="decimal"/>
      <w:start w:val="5"/>
    </w:lvl>
  </w:abstractNum>
  <w:abstractNum w:abstractNumId="156">
    <w:nsid w:val="5451CF49"/>
    <w:multiLevelType w:val="hybridMultilevel"/>
    <w:lvl w:ilvl="0">
      <w:lvlJc w:val="left"/>
      <w:lvlText w:val="%1."/>
      <w:numFmt w:val="decimal"/>
      <w:start w:val="6"/>
    </w:lvl>
  </w:abstractNum>
  <w:abstractNum w:abstractNumId="157">
    <w:nsid w:val="6181EF69"/>
    <w:multiLevelType w:val="hybridMultilevel"/>
    <w:lvl w:ilvl="0">
      <w:lvlJc w:val="left"/>
      <w:lvlText w:val="(%1)"/>
      <w:numFmt w:val="decimal"/>
      <w:start w:val="1"/>
    </w:lvl>
  </w:abstractNum>
  <w:abstractNum w:abstractNumId="158">
    <w:nsid w:val="3E6400E6"/>
    <w:multiLevelType w:val="hybridMultilevel"/>
    <w:lvl w:ilvl="0">
      <w:lvlJc w:val="left"/>
      <w:lvlText w:val="%1."/>
      <w:numFmt w:val="decimal"/>
      <w:start w:val="7"/>
    </w:lvl>
  </w:abstractNum>
  <w:abstractNum w:abstractNumId="159">
    <w:nsid w:val="14217E23"/>
    <w:multiLevelType w:val="hybridMultilevel"/>
    <w:lvl w:ilvl="0">
      <w:lvlJc w:val="left"/>
      <w:lvlText w:val="%1."/>
      <w:numFmt w:val="decimal"/>
      <w:start w:val="8"/>
    </w:lvl>
  </w:abstractNum>
  <w:abstractNum w:abstractNumId="160">
    <w:nsid w:val="710757D0"/>
    <w:multiLevelType w:val="hybridMultilevel"/>
    <w:lvl w:ilvl="0">
      <w:lvlJc w:val="left"/>
      <w:lvlText w:val="%1."/>
      <w:numFmt w:val="decimal"/>
      <w:start w:val="9"/>
    </w:lvl>
  </w:abstractNum>
  <w:abstractNum w:abstractNumId="161">
    <w:nsid w:val="5015CD1A"/>
    <w:multiLevelType w:val="hybridMultilevel"/>
    <w:lvl w:ilvl="0">
      <w:lvlJc w:val="left"/>
      <w:lvlText w:val="%1."/>
      <w:numFmt w:val="decimal"/>
      <w:start w:val="9"/>
    </w:lvl>
  </w:abstractNum>
  <w:abstractNum w:abstractNumId="162">
    <w:nsid w:val="424479DA"/>
    <w:multiLevelType w:val="hybridMultilevel"/>
    <w:lvl w:ilvl="0">
      <w:lvlJc w:val="left"/>
      <w:lvlText w:val="(%1)"/>
      <w:numFmt w:val="decimal"/>
      <w:start w:val="1"/>
    </w:lvl>
  </w:abstractNum>
  <w:abstractNum w:abstractNumId="163">
    <w:nsid w:val="1A9A9E69"/>
    <w:multiLevelType w:val="hybridMultilevel"/>
    <w:lvl w:ilvl="0">
      <w:lvlJc w:val="left"/>
      <w:lvlText w:val="(%1)"/>
      <w:numFmt w:val="decimal"/>
      <w:start w:val="1"/>
    </w:lvl>
  </w:abstractNum>
  <w:abstractNum w:abstractNumId="164">
    <w:nsid w:val="475E256A"/>
    <w:multiLevelType w:val="hybridMultilevel"/>
    <w:lvl w:ilvl="0">
      <w:lvlJc w:val="left"/>
      <w:lvlText w:val="(%1)"/>
      <w:numFmt w:val="decimal"/>
      <w:start w:val="1"/>
    </w:lvl>
  </w:abstractNum>
  <w:abstractNum w:abstractNumId="165">
    <w:nsid w:val="368DB37E"/>
    <w:multiLevelType w:val="hybridMultilevel"/>
    <w:lvl w:ilvl="0">
      <w:lvlJc w:val="left"/>
      <w:lvlText w:val="(%1)"/>
      <w:numFmt w:val="decimal"/>
      <w:start w:val="1"/>
    </w:lvl>
  </w:abstractNum>
  <w:abstractNum w:abstractNumId="166">
    <w:nsid w:val="6A3B714C"/>
    <w:multiLevelType w:val="hybridMultilevel"/>
    <w:lvl w:ilvl="0">
      <w:lvlJc w:val="left"/>
      <w:lvlText w:val="(%1)"/>
      <w:numFmt w:val="decimal"/>
      <w:start w:val="1"/>
    </w:lvl>
  </w:abstractNum>
  <w:abstractNum w:abstractNumId="167">
    <w:nsid w:val="327B517E"/>
    <w:multiLevelType w:val="hybridMultilevel"/>
    <w:lvl w:ilvl="0">
      <w:lvlJc w:val="left"/>
      <w:lvlText w:val="(%1)"/>
      <w:numFmt w:val="decimal"/>
      <w:start w:val="1"/>
    </w:lvl>
  </w:abstractNum>
  <w:abstractNum w:abstractNumId="168">
    <w:nsid w:val="1F461B51"/>
    <w:multiLevelType w:val="hybridMultilevel"/>
    <w:lvl w:ilvl="0">
      <w:lvlJc w:val="left"/>
      <w:lvlText w:val="•"/>
      <w:numFmt w:val="bullet"/>
      <w:start w:val="1"/>
    </w:lvl>
  </w:abstractNum>
  <w:abstractNum w:abstractNumId="169">
    <w:nsid w:val="29BACF25"/>
    <w:multiLevelType w:val="hybridMultilevel"/>
    <w:lvl w:ilvl="0">
      <w:lvlJc w:val="left"/>
      <w:lvlText w:val="(%1)"/>
      <w:numFmt w:val="lowerLetter"/>
      <w:start w:val="1"/>
    </w:lvl>
  </w:abstractNum>
  <w:abstractNum w:abstractNumId="170">
    <w:nsid w:val="5D5BABB3"/>
    <w:multiLevelType w:val="hybridMultilevel"/>
    <w:lvl w:ilvl="0">
      <w:lvlJc w:val="left"/>
      <w:lvlText w:val="(%1)"/>
      <w:numFmt w:val="lowerLetter"/>
      <w:start w:val="1"/>
    </w:lvl>
  </w:abstractNum>
  <w:abstractNum w:abstractNumId="171">
    <w:nsid w:val="51BF6B4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2">
    <w:nsid w:val="7E0F6384"/>
    <w:multiLevelType w:val="hybridMultilevel"/>
    <w:lvl w:ilvl="0">
      <w:lvlJc w:val="left"/>
      <w:lvlText w:val="%1"/>
      <w:numFmt w:val="decimal"/>
      <w:start w:val="1"/>
    </w:lvl>
    <w:lvl w:ilvl="1">
      <w:lvlJc w:val="left"/>
      <w:lvlText w:val="(%2)"/>
      <w:numFmt w:val="lowerRoman"/>
      <w:start w:val="3"/>
    </w:lvl>
  </w:abstractNum>
  <w:abstractNum w:abstractNumId="173">
    <w:nsid w:val="2B4B8B53"/>
    <w:multiLevelType w:val="hybridMultilevel"/>
    <w:lvl w:ilvl="0">
      <w:lvlJc w:val="left"/>
      <w:lvlText w:val="(%1)"/>
      <w:numFmt w:val="decimal"/>
      <w:start w:val="2"/>
    </w:lvl>
    <w:lvl w:ilvl="1">
      <w:lvlJc w:val="left"/>
      <w:lvlText w:val="%2"/>
      <w:numFmt w:val="lowerRoman"/>
      <w:start w:val="1"/>
    </w:lvl>
  </w:abstractNum>
  <w:abstractNum w:abstractNumId="174">
    <w:nsid w:val="72E3413A"/>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75">
    <w:nsid w:val="116AE494"/>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76">
    <w:nsid w:val="3494B2F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77">
    <w:nsid w:val="B13A31"/>
    <w:multiLevelType w:val="hybridMultilevel"/>
    <w:lvl w:ilvl="0">
      <w:lvlJc w:val="left"/>
      <w:lvlText w:val="**"/>
      <w:numFmt w:val="bullet"/>
      <w:start w:val="1"/>
    </w:lvl>
  </w:abstractNum>
  <w:abstractNum w:abstractNumId="178">
    <w:nsid w:val="64429599"/>
    <w:multiLevelType w:val="hybridMultilevel"/>
    <w:lvl w:ilvl="0">
      <w:lvlJc w:val="left"/>
      <w:lvlText w:val="%1."/>
      <w:numFmt w:val="decimal"/>
      <w:start w:val="1"/>
    </w:lvl>
    <w:lvl w:ilvl="1">
      <w:lvlJc w:val="left"/>
      <w:lvlText w:val="(%2)"/>
      <w:numFmt w:val="lowerRoman"/>
      <w:start w:val="1"/>
    </w:lvl>
  </w:abstractNum>
  <w:abstractNum w:abstractNumId="179">
    <w:nsid w:val="631F1690"/>
    <w:multiLevelType w:val="hybridMultilevel"/>
    <w:lvl w:ilvl="0">
      <w:lvlJc w:val="left"/>
      <w:lvlText w:val="%1."/>
      <w:numFmt w:val="decimal"/>
      <w:start w:val="2"/>
    </w:lvl>
  </w:abstractNum>
  <w:abstractNum w:abstractNumId="180">
    <w:nsid w:val="25973E32"/>
    <w:multiLevelType w:val="hybridMultilevel"/>
    <w:lvl w:ilvl="0">
      <w:lvlJc w:val="left"/>
      <w:lvlText w:val="(%1)"/>
      <w:numFmt w:val="lowerRoman"/>
      <w:start w:val="1"/>
    </w:lvl>
  </w:abstractNum>
  <w:abstractNum w:abstractNumId="181">
    <w:nsid w:val="EAD6F57"/>
    <w:multiLevelType w:val="hybridMultilevel"/>
    <w:lvl w:ilvl="0">
      <w:lvlJc w:val="left"/>
      <w:lvlText w:val="(%1)"/>
      <w:numFmt w:val="lowerRoman"/>
      <w:start w:val="4"/>
    </w:lvl>
  </w:abstractNum>
  <w:abstractNum w:abstractNumId="182">
    <w:nsid w:val="6EC9D844"/>
    <w:multiLevelType w:val="hybridMultilevel"/>
    <w:lvl w:ilvl="0">
      <w:lvlJc w:val="left"/>
      <w:lvlText w:val="(%1)"/>
      <w:numFmt w:val="lowerRoman"/>
      <w:start w:val="2"/>
    </w:lvl>
  </w:abstractNum>
  <w:abstractNum w:abstractNumId="183">
    <w:nsid w:val="5C49EAEE"/>
    <w:multiLevelType w:val="hybridMultilevel"/>
    <w:lvl w:ilvl="0">
      <w:lvlJc w:val="left"/>
      <w:lvlText w:val="%1."/>
      <w:numFmt w:val="decimal"/>
      <w:start w:val="3"/>
    </w:lvl>
  </w:abstractNum>
  <w:abstractNum w:abstractNumId="184">
    <w:nsid w:val="64AF49B"/>
    <w:multiLevelType w:val="hybridMultilevel"/>
    <w:lvl w:ilvl="0">
      <w:lvlJc w:val="left"/>
      <w:lvlText w:val="(%1)"/>
      <w:numFmt w:val="lowerLetter"/>
      <w:start w:val="2"/>
    </w:lvl>
  </w:abstractNum>
  <w:abstractNum w:abstractNumId="185">
    <w:nsid w:val="397C46BC"/>
    <w:multiLevelType w:val="hybridMultilevel"/>
    <w:lvl w:ilvl="0">
      <w:lvlJc w:val="left"/>
      <w:lvlText w:val="(%1)"/>
      <w:numFmt w:val="lowerRoman"/>
      <w:start w:val="2"/>
    </w:lvl>
  </w:abstractNum>
  <w:abstractNum w:abstractNumId="186">
    <w:nsid w:val="7E448DE9"/>
    <w:multiLevelType w:val="hybridMultilevel"/>
    <w:lvl w:ilvl="0">
      <w:lvlJc w:val="left"/>
      <w:lvlText w:val="%1."/>
      <w:numFmt w:val="decimal"/>
      <w:start w:val="4"/>
    </w:lvl>
  </w:abstractNum>
  <w:abstractNum w:abstractNumId="187">
    <w:nsid w:val="5A9CC3E5"/>
    <w:multiLevelType w:val="hybridMultilevel"/>
    <w:lvl w:ilvl="0">
      <w:lvlJc w:val="left"/>
      <w:lvlText w:val="%1."/>
      <w:numFmt w:val="decimal"/>
      <w:start w:val="5"/>
    </w:lvl>
  </w:abstractNum>
  <w:abstractNum w:abstractNumId="188">
    <w:nsid w:val="1AFE3625"/>
    <w:multiLevelType w:val="hybridMultilevel"/>
    <w:lvl w:ilvl="0">
      <w:lvlJc w:val="left"/>
      <w:lvlText w:val="%1."/>
      <w:numFmt w:val="decimal"/>
      <w:start w:val="6"/>
    </w:lvl>
  </w:abstractNum>
  <w:abstractNum w:abstractNumId="189">
    <w:nsid w:val="3CA88ECF"/>
    <w:multiLevelType w:val="hybridMultilevel"/>
    <w:lvl w:ilvl="0">
      <w:lvlJc w:val="left"/>
      <w:lvlText w:val="(%1)"/>
      <w:numFmt w:val="decimal"/>
      <w:start w:val="1"/>
    </w:lvl>
  </w:abstractNum>
  <w:abstractNum w:abstractNumId="190">
    <w:nsid w:val="6EBE4208"/>
    <w:multiLevelType w:val="hybridMultilevel"/>
    <w:lvl w:ilvl="0">
      <w:lvlJc w:val="left"/>
      <w:lvlText w:val="%1."/>
      <w:numFmt w:val="decimal"/>
      <w:start w:val="7"/>
    </w:lvl>
  </w:abstractNum>
  <w:abstractNum w:abstractNumId="191">
    <w:nsid w:val="C058DF5"/>
    <w:multiLevelType w:val="hybridMultilevel"/>
    <w:lvl w:ilvl="0">
      <w:lvlJc w:val="left"/>
      <w:lvlText w:val="%1."/>
      <w:numFmt w:val="decimal"/>
      <w:start w:val="8"/>
    </w:lvl>
  </w:abstractNum>
  <w:abstractNum w:abstractNumId="192">
    <w:nsid w:val="CBE5BE9"/>
    <w:multiLevelType w:val="hybridMultilevel"/>
    <w:lvl w:ilvl="0">
      <w:lvlJc w:val="left"/>
      <w:lvlText w:val="(%1)"/>
      <w:numFmt w:val="decimal"/>
      <w:start w:val="5"/>
    </w:lvl>
  </w:abstractNum>
  <w:abstractNum w:abstractNumId="193">
    <w:nsid w:val="3102BBE2"/>
    <w:multiLevelType w:val="hybridMultilevel"/>
    <w:lvl w:ilvl="0">
      <w:lvlJc w:val="left"/>
      <w:lvlText w:val="%1."/>
      <w:numFmt w:val="decimal"/>
      <w:start w:val="9"/>
    </w:lvl>
  </w:abstractNum>
  <w:abstractNum w:abstractNumId="194">
    <w:nsid w:val="26A02C5E"/>
    <w:multiLevelType w:val="hybridMultilevel"/>
    <w:lvl w:ilvl="0">
      <w:lvlJc w:val="left"/>
      <w:lvlText w:val="%1."/>
      <w:numFmt w:val="decimal"/>
      <w:start w:val="10"/>
    </w:lvl>
  </w:abstractNum>
  <w:abstractNum w:abstractNumId="195">
    <w:nsid w:val="541C815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8" Type="http://schemas.openxmlformats.org/officeDocument/2006/relationships/image" Target="media/image249.png"/><Relationship Id="rId260" Type="http://schemas.openxmlformats.org/officeDocument/2006/relationships/image" Target="media/image250.png"/><Relationship Id="rId263" Type="http://schemas.openxmlformats.org/officeDocument/2006/relationships/image" Target="media/image251.png"/><Relationship Id="rId265" Type="http://schemas.openxmlformats.org/officeDocument/2006/relationships/image" Target="media/image252.png"/><Relationship Id="rId269" Type="http://schemas.openxmlformats.org/officeDocument/2006/relationships/image" Target="media/image253.png"/><Relationship Id="rId271"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6" Type="http://schemas.openxmlformats.org/officeDocument/2006/relationships/image" Target="media/image257.png"/><Relationship Id="rId278" Type="http://schemas.openxmlformats.org/officeDocument/2006/relationships/image" Target="media/image258.png"/><Relationship Id="rId281" Type="http://schemas.openxmlformats.org/officeDocument/2006/relationships/image" Target="media/image259.png"/><Relationship Id="rId284" Type="http://schemas.openxmlformats.org/officeDocument/2006/relationships/image" Target="media/image260.png"/><Relationship Id="rId288"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jpeg"/><Relationship Id="rId256" Type="http://schemas.openxmlformats.org/officeDocument/2006/relationships/hyperlink" Target="http://www.sec.gov/Archives/edgar/data/1983550/000101376223001433/ff12023ex3-1_trident.htm" TargetMode="External"/><Relationship Id="rId257" Type="http://schemas.openxmlformats.org/officeDocument/2006/relationships/hyperlink" Target="http://www.sec.gov/Archives/edgar/data/1983550/000101376223001433/ff12023ex3-2_trident.htm" TargetMode="External"/><Relationship Id="rId259" Type="http://schemas.openxmlformats.org/officeDocument/2006/relationships/hyperlink" Target="http://www.sec.gov/Archives/edgar/data/1983550/000101376223004960/ff12023a1ex4-3_trident.htm" TargetMode="External"/><Relationship Id="rId261" Type="http://schemas.openxmlformats.org/officeDocument/2006/relationships/hyperlink" Target="http://www.sec.gov/Archives/edgar/data/1983550/000101376223004960/ff12023a1ex4-2_trident.htm" TargetMode="External"/><Relationship Id="rId262" Type="http://schemas.openxmlformats.org/officeDocument/2006/relationships/hyperlink" Target="http://www.sec.gov/Archives/edgar/data/1983550/000121390024010696/ff12024a4ex5-1_trident.htm" TargetMode="External"/><Relationship Id="rId264" Type="http://schemas.openxmlformats.org/officeDocument/2006/relationships/hyperlink" Target="http://www.sec.gov/Archives/edgar/data/1983550/000101376223001433/ff12023ex99-2_trident.htm" TargetMode="External"/><Relationship Id="rId266" Type="http://schemas.openxmlformats.org/officeDocument/2006/relationships/hyperlink" Target="http://www.sec.gov/Archives/edgar/data/1983550/000101376223001433/ff12023ex10-1_trident.htm" TargetMode="External"/><Relationship Id="rId267" Type="http://schemas.openxmlformats.org/officeDocument/2006/relationships/hyperlink" Target="http://www.sec.gov/Archives/edgar/data/1983550/000101376223001433/ff12023ex10-2_trident.htm" TargetMode="External"/><Relationship Id="rId268" Type="http://schemas.openxmlformats.org/officeDocument/2006/relationships/hyperlink" Target="http://www.sec.gov/Archives/edgar/data/1983550/000101376223001433/ff12023ex10-3_trident.htm" TargetMode="External"/><Relationship Id="rId270" Type="http://schemas.openxmlformats.org/officeDocument/2006/relationships/hyperlink" Target="https://www.sec.gov/Archives/edgar/data/1983550/000121390024015115/ea0200176ex10-4_tridentdigit.htm" TargetMode="External"/><Relationship Id="rId272" Type="http://schemas.openxmlformats.org/officeDocument/2006/relationships/hyperlink" Target="http://www.sec.gov/Archives/edgar/data/1983550/000101376223001433/ff12023ex21-1_trident.htm" TargetMode="External"/><Relationship Id="rId275" Type="http://schemas.openxmlformats.org/officeDocument/2006/relationships/hyperlink" Target="http://www.sec.gov/Archives/edgar/data/1983550/000101376223001433/ff12023_trident.htm#T7788" TargetMode="External"/><Relationship Id="rId277" Type="http://schemas.openxmlformats.org/officeDocument/2006/relationships/hyperlink" Target="http://www.sec.gov/Archives/edgar/data/1983550/000101376223001433/ff12023ex99-1_trident.htm" TargetMode="External"/><Relationship Id="rId279" Type="http://schemas.openxmlformats.org/officeDocument/2006/relationships/hyperlink" Target="http://www.sec.gov/Archives/edgar/data/1983550/000101376223001433/ff12023ex99-3_trident.htm" TargetMode="External"/><Relationship Id="rId280" Type="http://schemas.openxmlformats.org/officeDocument/2006/relationships/hyperlink" Target="http://www.sec.gov/Archives/edgar/data/1983550/000101376223001433/ff12023ex99-4_trident.htm" TargetMode="External"/><Relationship Id="rId282" Type="http://schemas.openxmlformats.org/officeDocument/2006/relationships/hyperlink" Target="http://www.sec.gov/Archives/edgar/data/1983550/000101376223001433/ff12023ex99-5_trident.htm" TargetMode="External"/><Relationship Id="rId283" Type="http://schemas.openxmlformats.org/officeDocument/2006/relationships/hyperlink" Target="http://www.sec.gov/Archives/edgar/data/1983550/000101376223001433/ff12023ex99-6_trident.htm" TargetMode="External"/><Relationship Id="rId285" Type="http://schemas.openxmlformats.org/officeDocument/2006/relationships/hyperlink" Target="http://www.sec.gov/Archives/edgar/data/1983550/000101376223001433/ff12023ex99-7_trident.htm" TargetMode="External"/><Relationship Id="rId286" Type="http://schemas.openxmlformats.org/officeDocument/2006/relationships/hyperlink" Target="http://www.sec.gov/Archives/edgar/data/1983550/000121390024004651/ff12024a3ex99-8_trident.htm" TargetMode="External"/><Relationship Id="rId287" Type="http://schemas.openxmlformats.org/officeDocument/2006/relationships/hyperlink" Target="https://www.sec.gov/Archives/edgar/data/1983550/000121390024015115/ea0200176ex99-9_tridentdigit.htm" TargetMode="External"/><Relationship Id="rId289" Type="http://schemas.openxmlformats.org/officeDocument/2006/relationships/hyperlink" Target="http://www.sec.gov/Archives/edgar/data/1983550/000121390024010696/ff12024a4ex-fee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2024-03-18T16:19:51Z</dcterms:created>
  <dcterms:modified xsi:type="dcterms:W3CDTF">2024-03-18T16:19:51Z</dcterms:modified>
</cp:coreProperties>
</file>