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2024.</w:t>
      </w:r>
    </w:p>
    <w:p>
      <w:pPr>
        <w:spacing w:after="0" w:line="50"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Stephanie Tang, Esq.</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Ross David Carmel, Esq.</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Hogan Lovells</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Barry P. Biggar, Esq.</w:t>
            </w:r>
          </w:p>
        </w:tc>
      </w:tr>
      <w:tr>
        <w:trPr>
          <w:trHeight w:val="216"/>
        </w:trPr>
        <w:tc>
          <w:tcPr>
            <w:tcW w:w="29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11</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Pacific Place</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Sichenzia Ross Ference Carmel LLP</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374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1185 Avenue of the Americas 31</w:t>
            </w:r>
            <w:r>
              <w:rPr>
                <w:rFonts w:ascii="Times New Roman" w:cs="Times New Roman" w:eastAsia="Times New Roman" w:hAnsi="Times New Roman"/>
                <w:sz w:val="20"/>
                <w:szCs w:val="20"/>
                <w:b w:val="1"/>
                <w:bCs w:val="1"/>
                <w:color w:val="auto"/>
                <w:w w:val="98"/>
                <w:vertAlign w:val="superscript"/>
              </w:rPr>
              <w:t>st</w:t>
            </w:r>
            <w:r>
              <w:rPr>
                <w:rFonts w:ascii="Times New Roman" w:cs="Times New Roman" w:eastAsia="Times New Roman" w:hAnsi="Times New Roman"/>
                <w:sz w:val="18"/>
                <w:szCs w:val="18"/>
                <w:b w:val="1"/>
                <w:bCs w:val="1"/>
                <w:color w:val="auto"/>
                <w:w w:val="98"/>
              </w:rPr>
              <w:t xml:space="preserve"> Floor</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+1 212 930 9700</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52" w:lineRule="exact"/>
        <w:rPr>
          <w:sz w:val="24"/>
          <w:szCs w:val="24"/>
          <w:color w:val="auto"/>
        </w:rPr>
      </w:pPr>
    </w:p>
    <w:p>
      <w:pPr>
        <w:ind w:left="460" w:right="6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460" w:right="71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460" w:right="63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9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1119" w:firstLine="432"/>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99" w:firstLine="432"/>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839" w:hanging="426"/>
        <w:spacing w:after="0" w:line="298" w:lineRule="auto"/>
        <w:tabs>
          <w:tab w:leader="none" w:pos="8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936" w:orient="portrait"/>
          <w:cols w:equalWidth="0" w:num="1">
            <w:col w:w="9019"/>
          </w:cols>
          <w:pgMar w:left="1440" w:top="333" w:right="1440" w:bottom="0" w:gutter="0" w:footer="0" w:header="0"/>
        </w:sectPr>
      </w:pPr>
    </w:p>
    <w:bookmarkStart w:id="1" w:name="page2"/>
    <w:bookmarkEnd w:id="1"/>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F-1 (File No. 333-274857) contains disclosure that will be circulated as two separate final prospectuses, as set forth below.</w:t>
      </w:r>
    </w:p>
    <w:p>
      <w:pPr>
        <w:spacing w:after="0" w:line="94" w:lineRule="exact"/>
        <w:rPr>
          <w:sz w:val="20"/>
          <w:szCs w:val="20"/>
          <w:color w:val="auto"/>
        </w:rPr>
      </w:pPr>
    </w:p>
    <w:p>
      <w:pPr>
        <w:ind w:left="1320" w:right="5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prospectus. A prospectus (the “Public Offering Prospectus”) to be used for the public offering of 1,800,000 American depositary shares representing 14,400,000 Class B ordinary shares of the Registrant (the “Public Offering ADSs”) through the underwriter named on the cover page of the Public Offering Prospectus.</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5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The Selling Shareholder owns Class B ordinary shares of the Registrant prior to this offering, which will be converted into Shareholder ADSs effective immediately prior to the effective time of this registration statement.</w:t>
      </w:r>
    </w:p>
    <w:p>
      <w:pPr>
        <w:spacing w:after="0" w:line="106"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The Resale Prospectus is substantively identical to the Public Offering Prospectus, except for the following principal points:</w:t>
      </w:r>
    </w:p>
    <w:p>
      <w:pPr>
        <w:spacing w:after="0" w:line="94" w:lineRule="exact"/>
        <w:rPr>
          <w:sz w:val="20"/>
          <w:szCs w:val="20"/>
          <w:color w:val="auto"/>
        </w:rPr>
      </w:pPr>
    </w:p>
    <w:p>
      <w:pPr>
        <w:ind w:left="1320" w:right="65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spacing w:after="0" w:line="102"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spacing w:after="0" w:line="90" w:lineRule="exact"/>
        <w:rPr>
          <w:rFonts w:ascii="Times New Roman" w:cs="Times New Roman" w:eastAsia="Times New Roman" w:hAnsi="Times New Roman"/>
          <w:sz w:val="17"/>
          <w:szCs w:val="17"/>
          <w:color w:val="auto"/>
        </w:rPr>
      </w:pPr>
    </w:p>
    <w:p>
      <w:pPr>
        <w:ind w:left="1320" w:right="119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Capitalization and Dilution sections included in the Public Offering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Shareholder” section is only included in the Resale Prospectus;</w:t>
      </w:r>
    </w:p>
    <w:p>
      <w:pPr>
        <w:spacing w:after="0" w:line="144" w:lineRule="exact"/>
        <w:rPr>
          <w:rFonts w:ascii="Times New Roman" w:cs="Times New Roman" w:eastAsia="Times New Roman" w:hAnsi="Times New Roman"/>
          <w:sz w:val="18"/>
          <w:szCs w:val="18"/>
          <w:color w:val="auto"/>
        </w:rPr>
      </w:pPr>
    </w:p>
    <w:p>
      <w:pPr>
        <w:ind w:left="1320" w:right="819" w:hanging="434"/>
        <w:spacing w:after="0" w:line="312"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section from the Public Offering Prospectus is not included in the Resale Prospectus and the “Plan of Distribution” section is included only in the Resale Prospectus; and</w:t>
      </w:r>
    </w:p>
    <w:p>
      <w:pPr>
        <w:spacing w:after="0" w:line="72" w:lineRule="exact"/>
        <w:rPr>
          <w:rFonts w:ascii="Times New Roman" w:cs="Times New Roman" w:eastAsia="Times New Roman" w:hAnsi="Times New Roman"/>
          <w:sz w:val="17"/>
          <w:szCs w:val="17"/>
          <w:color w:val="auto"/>
        </w:rPr>
      </w:pPr>
    </w:p>
    <w:p>
      <w:pPr>
        <w:ind w:left="1320" w:right="5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Matters” section in the Resale Prospectus on page Alt-5 deletes the reference to counsel for the underwriter.</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D2232A"/>
        </w:rPr>
        <w:t>Dated February 20,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64770</wp:posOffset>
            </wp:positionV>
            <wp:extent cx="394335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0"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09" w:lineRule="exact"/>
        <w:rPr>
          <w:sz w:val="20"/>
          <w:szCs w:val="20"/>
          <w:color w:val="auto"/>
        </w:rPr>
      </w:pPr>
    </w:p>
    <w:p>
      <w:pPr>
        <w:sectPr>
          <w:pgSz w:w="11900" w:h="16838" w:orient="portrait"/>
          <w:cols w:equalWidth="0" w:num="3">
            <w:col w:w="3240" w:space="720"/>
            <w:col w:w="1380" w:space="720"/>
            <w:col w:w="2959"/>
          </w:cols>
          <w:pgMar w:left="1440" w:top="270" w:right="1440" w:bottom="0"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0" w:gutter="0" w:footer="0" w:header="0"/>
          <w:type w:val="continuous"/>
        </w:sectPr>
      </w:pPr>
    </w:p>
    <w:p>
      <w:pPr>
        <w:spacing w:after="0" w:line="133" w:lineRule="exact"/>
        <w:rPr>
          <w:sz w:val="20"/>
          <w:szCs w:val="20"/>
          <w:color w:val="auto"/>
        </w:rPr>
      </w:pPr>
    </w:p>
    <w:p>
      <w:pPr>
        <w:ind w:left="460" w:right="599" w:firstLine="432"/>
        <w:spacing w:after="0" w:line="271" w:lineRule="auto"/>
        <w:rPr>
          <w:sz w:val="20"/>
          <w:szCs w:val="20"/>
          <w:color w:val="auto"/>
        </w:rPr>
      </w:pPr>
      <w:r>
        <w:rPr>
          <w:rFonts w:ascii="Times New Roman" w:cs="Times New Roman" w:eastAsia="Times New Roman" w:hAnsi="Times New Roman"/>
          <w:sz w:val="16"/>
          <w:szCs w:val="16"/>
          <w:color w:val="auto"/>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 We will not receive any of the proceeds from the sale of the Shareholder ADSs by the Selling Shareholder.</w:t>
      </w:r>
    </w:p>
    <w:p>
      <w:pPr>
        <w:spacing w:after="0" w:line="76" w:lineRule="exact"/>
        <w:rPr>
          <w:sz w:val="20"/>
          <w:szCs w:val="20"/>
          <w:color w:val="auto"/>
        </w:rPr>
      </w:pPr>
    </w:p>
    <w:p>
      <w:pPr>
        <w:ind w:left="460" w:right="599" w:firstLine="432"/>
        <w:spacing w:after="0" w:line="272" w:lineRule="auto"/>
        <w:rPr>
          <w:sz w:val="20"/>
          <w:szCs w:val="20"/>
          <w:color w:val="auto"/>
        </w:rPr>
      </w:pPr>
      <w:r>
        <w:rPr>
          <w:rFonts w:ascii="Times New Roman" w:cs="Times New Roman" w:eastAsia="Times New Roman" w:hAnsi="Times New Roman"/>
          <w:sz w:val="16"/>
          <w:szCs w:val="16"/>
          <w:color w:val="auto"/>
        </w:rPr>
        <w:t>Prior to this offering of the Public Offering ADSs, there has been no public market for our ADSs or our Class B ordinary shares. We anticipate that the initial public offering price per ADS in this offering will be between US$5.00 and US$7.00.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78" w:lineRule="exact"/>
        <w:rPr>
          <w:sz w:val="20"/>
          <w:szCs w:val="20"/>
          <w:color w:val="auto"/>
        </w:rPr>
      </w:pPr>
    </w:p>
    <w:p>
      <w:pPr>
        <w:ind w:left="460" w:right="619" w:firstLine="432"/>
        <w:spacing w:after="0" w:line="269" w:lineRule="auto"/>
        <w:rPr>
          <w:sz w:val="20"/>
          <w:szCs w:val="20"/>
          <w:color w:val="auto"/>
        </w:rPr>
      </w:pPr>
      <w:r>
        <w:rPr>
          <w:rFonts w:ascii="Times New Roman" w:cs="Times New Roman" w:eastAsia="Times New Roman" w:hAnsi="Times New Roman"/>
          <w:sz w:val="16"/>
          <w:szCs w:val="16"/>
          <w:color w:val="auto"/>
        </w:rPr>
        <w:t>Following the completion of this offering of the Public Offering ADSs and the offering of the Shareholder ADSs by the Selling Shareholder pursuant to the Resale Prospectus, our issued and outstanding share capital will consist of</w:t>
      </w:r>
    </w:p>
    <w:p>
      <w:pPr>
        <w:ind w:left="460" w:right="479"/>
        <w:spacing w:after="0" w:line="265" w:lineRule="auto"/>
        <w:rPr>
          <w:sz w:val="20"/>
          <w:szCs w:val="20"/>
          <w:color w:val="auto"/>
        </w:rPr>
      </w:pPr>
      <w:r>
        <w:rPr>
          <w:rFonts w:ascii="Times New Roman" w:cs="Times New Roman" w:eastAsia="Times New Roman" w:hAnsi="Times New Roman"/>
          <w:sz w:val="16"/>
          <w:szCs w:val="16"/>
          <w:color w:val="auto"/>
        </w:rPr>
        <w:t>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0" w:lineRule="exact"/>
        <w:rPr>
          <w:sz w:val="20"/>
          <w:szCs w:val="20"/>
          <w:color w:val="auto"/>
        </w:rPr>
      </w:pPr>
    </w:p>
    <w:p>
      <w:pPr>
        <w:ind w:left="460" w:right="819" w:firstLine="432"/>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under applicable U.S. federal securities laws and are eligible for reduced public company reporting requirements.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11.</w:t>
            </w:r>
          </w:p>
        </w:tc>
        <w:tc>
          <w:tcPr>
            <w:tcW w:w="1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41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PRICE US$</w:t>
            </w:r>
          </w:p>
        </w:tc>
        <w:tc>
          <w:tcPr>
            <w:tcW w:w="2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PER ADS</w:t>
            </w:r>
          </w:p>
        </w:tc>
        <w:tc>
          <w:tcPr>
            <w:tcW w:w="1140" w:type="dxa"/>
            <w:vAlign w:val="bottom"/>
          </w:tcPr>
          <w:p>
            <w:pPr>
              <w:spacing w:after="0"/>
              <w:rPr>
                <w:sz w:val="24"/>
                <w:szCs w:val="24"/>
                <w:color w:val="auto"/>
              </w:rPr>
            </w:pPr>
          </w:p>
        </w:tc>
      </w:tr>
      <w:tr>
        <w:trPr>
          <w:trHeight w:val="284"/>
        </w:trPr>
        <w:tc>
          <w:tcPr>
            <w:tcW w:w="696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r>
      <w:tr>
        <w:trPr>
          <w:trHeight w:val="412"/>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6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of the Public Offering ADSs</w:t>
            </w:r>
          </w:p>
        </w:tc>
        <w:tc>
          <w:tcPr>
            <w:tcW w:w="5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232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51"/>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87"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additional disclosure regarding underwriting compensation payable by us.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expect our total cash expenses for this offering of the Public Offering ADSs (including cash expenses payable to</w:t>
      </w:r>
    </w:p>
    <w:p>
      <w:pPr>
        <w:spacing w:after="0" w:line="26" w:lineRule="exact"/>
        <w:rPr>
          <w:sz w:val="20"/>
          <w:szCs w:val="20"/>
          <w:color w:val="auto"/>
        </w:rPr>
      </w:pPr>
    </w:p>
    <w:p>
      <w:pPr>
        <w:ind w:left="460" w:right="479"/>
        <w:spacing w:after="0" w:line="272" w:lineRule="auto"/>
        <w:rPr>
          <w:sz w:val="20"/>
          <w:szCs w:val="20"/>
          <w:color w:val="auto"/>
        </w:rPr>
      </w:pPr>
      <w:r>
        <w:rPr>
          <w:rFonts w:ascii="Times New Roman" w:cs="Times New Roman" w:eastAsia="Times New Roman" w:hAnsi="Times New Roman"/>
          <w:sz w:val="16"/>
          <w:szCs w:val="16"/>
          <w:color w:val="auto"/>
        </w:rPr>
        <w:t>our underwriter for its out-of-pocket 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74" w:lineRule="exact"/>
        <w:rPr>
          <w:sz w:val="20"/>
          <w:szCs w:val="20"/>
          <w:color w:val="auto"/>
        </w:rPr>
      </w:pPr>
    </w:p>
    <w:p>
      <w:pPr>
        <w:ind w:left="460" w:right="459" w:firstLine="432"/>
        <w:spacing w:after="0" w:line="301" w:lineRule="auto"/>
        <w:rPr>
          <w:sz w:val="20"/>
          <w:szCs w:val="20"/>
          <w:color w:val="auto"/>
        </w:rPr>
      </w:pPr>
      <w:r>
        <w:rPr>
          <w:rFonts w:ascii="Times New Roman" w:cs="Times New Roman" w:eastAsia="Times New Roman" w:hAnsi="Times New Roman"/>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w:t>
      </w:r>
    </w:p>
    <w:p>
      <w:pPr>
        <w:sectPr>
          <w:pgSz w:w="11900" w:h="16838" w:orient="portrait"/>
          <w:cols w:equalWidth="0" w:num="1">
            <w:col w:w="9019"/>
          </w:cols>
          <w:pgMar w:left="1440" w:top="270" w:right="1440" w:bottom="0"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6"/>
          <w:szCs w:val="16"/>
          <w:b w:val="1"/>
          <w:bCs w:val="1"/>
          <w:color w:val="auto"/>
        </w:rPr>
        <w:t>contrary is a criminal offense.</w:t>
      </w:r>
    </w:p>
    <w:p>
      <w:pPr>
        <w:spacing w:after="0" w:line="1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underwriter expects to deliver the Public Offering ADSs against payment in U.S. dollars to purchasers on or</w:t>
      </w:r>
    </w:p>
    <w:p>
      <w:pPr>
        <w:spacing w:after="0" w:line="26"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6"/>
          <w:szCs w:val="16"/>
          <w:color w:val="auto"/>
        </w:rPr>
        <w:t>about</w:t>
      </w:r>
      <w:r>
        <w:rPr>
          <w:sz w:val="20"/>
          <w:szCs w:val="20"/>
          <w:color w:val="auto"/>
        </w:rPr>
        <w:tab/>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75565</wp:posOffset>
            </wp:positionV>
            <wp:extent cx="132016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392"/>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6" w:lineRule="auto"/>
        <w:rPr>
          <w:sz w:val="20"/>
          <w:szCs w:val="20"/>
          <w:color w:val="auto"/>
        </w:rPr>
      </w:pPr>
      <w:r>
        <w:rPr>
          <w:rFonts w:ascii="Times New Roman" w:cs="Times New Roman" w:eastAsia="Times New Roman" w:hAnsi="Times New Roman"/>
          <w:sz w:val="18"/>
          <w:szCs w:val="18"/>
          <w:color w:val="auto"/>
        </w:rPr>
        <w:t>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8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8" w:lineRule="exact"/>
        <w:rPr>
          <w:rFonts w:ascii="Times New Roman" w:cs="Times New Roman" w:eastAsia="Times New Roman" w:hAnsi="Times New Roman"/>
          <w:sz w:val="18"/>
          <w:szCs w:val="18"/>
          <w:color w:val="auto"/>
        </w:rPr>
      </w:pPr>
    </w:p>
    <w:p>
      <w:pPr>
        <w:ind w:left="1400" w:right="6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80"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94"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80"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2"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94"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62" w:lineRule="exact"/>
        <w:rPr>
          <w:sz w:val="20"/>
          <w:szCs w:val="20"/>
          <w:color w:val="auto"/>
        </w:rPr>
      </w:pPr>
    </w:p>
    <w:p>
      <w:pPr>
        <w:jc w:val="both"/>
        <w:ind w:left="1400" w:right="6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48" w:lineRule="exact"/>
        <w:rPr>
          <w:sz w:val="20"/>
          <w:szCs w:val="20"/>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94"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71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108"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99"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16"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48" w:lineRule="exact"/>
        <w:rPr>
          <w:sz w:val="20"/>
          <w:szCs w:val="20"/>
          <w:color w:val="auto"/>
        </w:rPr>
      </w:pPr>
    </w:p>
    <w:p>
      <w:pPr>
        <w:ind w:left="540" w:right="799" w:firstLine="432"/>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99"/>
        <w:spacing w:after="0" w:line="256" w:lineRule="auto"/>
        <w:rPr>
          <w:sz w:val="20"/>
          <w:szCs w:val="20"/>
          <w:color w:val="auto"/>
        </w:rPr>
      </w:pPr>
      <w:r>
        <w:rPr>
          <w:rFonts w:ascii="Times New Roman" w:cs="Times New Roman" w:eastAsia="Times New Roman" w:hAnsi="Times New Roman"/>
          <w:sz w:val="18"/>
          <w:szCs w:val="18"/>
          <w:color w:val="auto"/>
        </w:rPr>
        <w:t>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0"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w:t>
      </w:r>
    </w:p>
    <w:p>
      <w:pPr>
        <w:spacing w:after="0" w:line="4" w:lineRule="exact"/>
        <w:rPr>
          <w:sz w:val="20"/>
          <w:szCs w:val="20"/>
          <w:color w:val="auto"/>
        </w:rPr>
      </w:pPr>
    </w:p>
    <w:p>
      <w:pPr>
        <w:ind w:left="540" w:right="639"/>
        <w:spacing w:after="0" w:line="269" w:lineRule="auto"/>
        <w:rPr>
          <w:sz w:val="20"/>
          <w:szCs w:val="20"/>
          <w:color w:val="auto"/>
        </w:rPr>
      </w:pPr>
      <w:r>
        <w:rPr>
          <w:rFonts w:ascii="Times New Roman" w:cs="Times New Roman" w:eastAsia="Times New Roman" w:hAnsi="Times New Roman"/>
          <w:sz w:val="17"/>
          <w:szCs w:val="17"/>
          <w:color w:val="auto"/>
        </w:rPr>
        <w:t>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8813 1312.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right="1079" w:hanging="424"/>
        <w:spacing w:after="0" w:line="258"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Resale Shares” means the 1,925,000 ADSs of the 3,125,000 ADSs representing 25,000,000 Class B ordinary shares of the Company held by Infinite Partner International Limited, or the Selling Shareholder, and being subject to a leak-out agreement between the Selling Shareholder and the Company, that are being registered pursuant to the Resale Prospectus;</w:t>
      </w:r>
    </w:p>
    <w:p>
      <w:pPr>
        <w:spacing w:after="0" w:line="102"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98"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44"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94"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4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9452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200" w:lineRule="exact"/>
        <w:rPr>
          <w:sz w:val="20"/>
          <w:szCs w:val="20"/>
          <w:color w:val="auto"/>
        </w:rPr>
      </w:pPr>
    </w:p>
    <w:p>
      <w:pPr>
        <w:spacing w:after="0" w:line="367"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3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We expect that the initial public offering price will be between US$5.00 and US$7.00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200" w:lineRule="exact"/>
        <w:rPr>
          <w:sz w:val="20"/>
          <w:szCs w:val="20"/>
          <w:color w:val="auto"/>
        </w:rPr>
      </w:pPr>
    </w:p>
    <w:p>
      <w:pPr>
        <w:spacing w:after="0" w:line="214" w:lineRule="exact"/>
        <w:rPr>
          <w:sz w:val="20"/>
          <w:szCs w:val="20"/>
          <w:color w:val="auto"/>
        </w:rPr>
      </w:pPr>
    </w:p>
    <w:p>
      <w:pPr>
        <w:ind w:right="1179"/>
        <w:spacing w:after="0" w:line="266"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 to be sold by the Selling Shareholder pursuant to the Resale Prospectus.</w:t>
      </w:r>
    </w:p>
    <w:p>
      <w:pPr>
        <w:spacing w:after="0" w:line="365"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135"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99"/>
        <w:spacing w:after="0" w:line="273" w:lineRule="auto"/>
        <w:rPr>
          <w:sz w:val="20"/>
          <w:szCs w:val="20"/>
          <w:color w:val="auto"/>
        </w:rPr>
      </w:pPr>
      <w:r>
        <w:rPr>
          <w:rFonts w:ascii="Times New Roman" w:cs="Times New Roman" w:eastAsia="Times New Roman" w:hAnsi="Times New Roman"/>
          <w:sz w:val="17"/>
          <w:szCs w:val="17"/>
          <w:color w:val="auto"/>
        </w:rPr>
        <w:t>We estimate that we will receive net proceeds of approximately US$10.80 million from this offering of the Public Offering ADSs, after deducting the underwriting discounts, commissions, and estimated offering expenses payable by us and assuming an initial public offering price of US$6.00 per ADS, being the mid-point of the estimated range of the initial public offering price shown on the front cover of this prospectus.</w:t>
      </w:r>
    </w:p>
    <w:p>
      <w:pPr>
        <w:spacing w:after="0" w:line="104"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p>
      <w:pPr>
        <w:spacing w:after="0" w:line="148"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We, our directors and executive officers, and shareholders holding 5% or more of our ordinary shares are expected to enter into lock-up agreements with the Underwriter not to sell, transfer, or dispose of any Class B ordinary shares for a period of up to six months after this offering of the Public Offering ADSs is completed. See “Underwriting” for more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41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4418965"/>
                    </a:xfrm>
                    <a:prstGeom prst="rect">
                      <a:avLst/>
                    </a:prstGeom>
                    <a:noFill/>
                  </pic:spPr>
                </pic:pic>
              </a:graphicData>
            </a:graphic>
          </wp:anchor>
        </w:drawing>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Leak-out Agreement</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Relevant Resale Shares are subject to a leak-out agreement</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between the Selling Shareholder and the Company, pursuant to</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which the sale of the Relevant Resale Shares is subject to certain</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resale restrictions based on the closing price and the average</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daily trading volume of the Company’s ADSs on Nasdaq. See</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“Shares Eligible for Future Sale” for more information.</w:t>
            </w:r>
          </w:p>
        </w:tc>
      </w:tr>
      <w:tr>
        <w:trPr>
          <w:trHeight w:val="37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consider before investing in the ADSs.</w:t>
            </w:r>
          </w:p>
        </w:tc>
      </w:tr>
      <w:tr>
        <w:trPr>
          <w:trHeight w:val="3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We have applied to have the ADSs listed on the Nasdaq Capital</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Market under the symbol “TDTH.”</w:t>
            </w:r>
          </w:p>
        </w:tc>
      </w:tr>
      <w:tr>
        <w:trPr>
          <w:trHeight w:val="3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Payment and Settlement</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Public Offering ADSs are expected to be delivered against</w:t>
            </w:r>
          </w:p>
        </w:tc>
      </w:tr>
      <w:tr>
        <w:trPr>
          <w:trHeight w:val="216"/>
        </w:trPr>
        <w:tc>
          <w:tcPr>
            <w:tcW w:w="2500" w:type="dxa"/>
            <w:vAlign w:val="bottom"/>
          </w:tcPr>
          <w:p>
            <w:pPr>
              <w:spacing w:after="0"/>
              <w:rPr>
                <w:sz w:val="18"/>
                <w:szCs w:val="18"/>
                <w:color w:val="auto"/>
              </w:rPr>
            </w:pPr>
          </w:p>
        </w:tc>
        <w:tc>
          <w:tcPr>
            <w:tcW w:w="1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payment on</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2024. They will be registered in the name of</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 nominee of The Depository Trust Company, or DTC.</w:t>
            </w:r>
          </w:p>
        </w:tc>
      </w:tr>
      <w:tr>
        <w:trPr>
          <w:trHeight w:val="40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1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Citibank, N.A.</w:t>
            </w:r>
          </w:p>
        </w:tc>
        <w:tc>
          <w:tcPr>
            <w:tcW w:w="3460" w:type="dxa"/>
            <w:vAlign w:val="bottom"/>
          </w:tcPr>
          <w:p>
            <w:pPr>
              <w:spacing w:after="0"/>
              <w:rPr>
                <w:sz w:val="24"/>
                <w:szCs w:val="24"/>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58" w:lineRule="exact"/>
        <w:rPr>
          <w:sz w:val="20"/>
          <w:szCs w:val="20"/>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76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(156,703)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747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74738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14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220" w:hanging="218"/>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(609,946)  $  244,100   $ (2,380,926)  $   (27,514)</w:t>
      </w:r>
    </w:p>
    <w:p>
      <w:pPr>
        <w:spacing w:after="0" w:line="76"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66,030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60" w:type="dxa"/>
            <w:vAlign w:val="bottom"/>
          </w:tcPr>
          <w:p>
            <w:pPr>
              <w:spacing w:after="0"/>
              <w:rPr>
                <w:sz w:val="19"/>
                <w:szCs w:val="19"/>
                <w:color w:val="auto"/>
              </w:rPr>
            </w:pPr>
          </w:p>
        </w:tc>
      </w:tr>
      <w:tr>
        <w:trPr>
          <w:trHeight w:val="279"/>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671,672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255,956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945,265</w:t>
            </w: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jc w:val="both"/>
        <w:ind w:left="460" w:right="519" w:firstLine="432"/>
        <w:spacing w:after="0" w:line="272" w:lineRule="auto"/>
        <w:rPr>
          <w:sz w:val="20"/>
          <w:szCs w:val="20"/>
          <w:color w:val="auto"/>
        </w:rPr>
      </w:pPr>
      <w:r>
        <w:rPr>
          <w:rFonts w:ascii="Times New Roman" w:cs="Times New Roman" w:eastAsia="Times New Roman" w:hAnsi="Times New Roman"/>
          <w:sz w:val="17"/>
          <w:szCs w:val="17"/>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Times New Roman" w:cs="Times New Roman" w:eastAsia="Times New Roman" w:hAnsi="Times New Roman"/>
          <w:sz w:val="18"/>
          <w:szCs w:val="18"/>
          <w:color w:val="auto"/>
        </w:rPr>
        <w:t>We expect to continue to incur losses for the foreseeable future as we expend substantial financial and other resources on, among other things:</w:t>
      </w:r>
    </w:p>
    <w:p>
      <w:pPr>
        <w:spacing w:after="0" w:line="11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10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02" w:lineRule="exact"/>
        <w:rPr>
          <w:sz w:val="20"/>
          <w:szCs w:val="20"/>
          <w:color w:val="auto"/>
        </w:rPr>
      </w:pPr>
    </w:p>
    <w:p>
      <w:pPr>
        <w:ind w:left="1320" w:right="579" w:hanging="434"/>
        <w:spacing w:after="0" w:line="258"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4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June 30,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124"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8" w:lineRule="auto"/>
        <w:rPr>
          <w:sz w:val="20"/>
          <w:szCs w:val="20"/>
          <w:color w:val="auto"/>
        </w:rPr>
      </w:pPr>
      <w:r>
        <w:rPr>
          <w:rFonts w:ascii="Times New Roman" w:cs="Times New Roman" w:eastAsia="Times New Roman" w:hAnsi="Times New Roman"/>
          <w:sz w:val="18"/>
          <w:szCs w:val="18"/>
          <w:color w:val="auto"/>
        </w:rPr>
        <w:t>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1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estimate that the aggregate net proceeds to us from this offering of approximately US$10.80 million of the Public Offering ADSs, after deducting underwriting discounts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spacing w:after="0" w:line="124"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Shareholder ADSs by the Selling Shareholder pursuant to the Resale Prospectus.</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99" w:lineRule="exact"/>
        <w:rPr>
          <w:sz w:val="20"/>
          <w:szCs w:val="20"/>
          <w:color w:val="auto"/>
        </w:rPr>
      </w:pPr>
    </w:p>
    <w:p>
      <w:pPr>
        <w:ind w:left="1320" w:right="7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5"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2023:</w:t>
      </w:r>
    </w:p>
    <w:p>
      <w:pPr>
        <w:spacing w:after="0" w:line="104"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48"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spacing w:after="0" w:line="62"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Actual</w:t>
            </w:r>
          </w:p>
        </w:tc>
        <w:tc>
          <w:tcPr>
            <w:tcW w:w="10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22"/>
                <w:szCs w:val="22"/>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US$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US$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40,197</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7,590,421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561,998</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US$0.00001 per share;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June 30, 2023 and December 31, 2022,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360,205,000 and 360,205,000 Class B ordinary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4,102</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32,240</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8,631,312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16,592,097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(3,259,598)</w:t>
            </w:r>
          </w:p>
        </w:tc>
        <w:tc>
          <w:tcPr>
            <w:tcW w:w="1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0" w:type="dxa"/>
            <w:vAlign w:val="bottom"/>
          </w:tcPr>
          <w:p>
            <w:pPr>
              <w:spacing w:after="0"/>
              <w:rPr>
                <w:sz w:val="1"/>
                <w:szCs w:val="1"/>
                <w:color w:val="auto"/>
              </w:rPr>
            </w:pPr>
          </w:p>
        </w:tc>
      </w:tr>
      <w:tr>
        <w:trPr>
          <w:trHeight w:val="257"/>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87,496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(3,226,191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5,464,230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13,425,159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8,966,857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16,927,786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89,795,000 shares of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of 1,964,286 shares of Class B ordinary shares on October 3, 2023 for the consideration of US$1,100,000.</w:t>
      </w:r>
    </w:p>
    <w:p>
      <w:pPr>
        <w:ind w:left="880" w:right="499" w:hanging="426"/>
        <w:spacing w:after="0" w:line="26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Our actual net tangible book value as of June 30, 2023 was approximately US$3.23 million in deficit, or US$0.01 per ordinary share in deficit and US$0.05 per ADS in deficit, respectively as of such date. Our actual as adjusted net tangible book value as of June 30, 2023 was approximately US$5.46 million, or US$0.01 per ordinary share and US$0.09 per ADS, respectively as of such date. Such actual as adjusted net tangible book value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3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June 30,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June 30,</w:t>
      </w:r>
    </w:p>
    <w:p>
      <w:pPr>
        <w:spacing w:after="0" w:line="3"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2023 would have been US$12.99 million, or US$0.03 per ordinary share and US$0.20 per ADS. This represents an immediate increase in actual as adjusted net tangible book value of US$0.02 per ordinary share and US$0.11 per ADS to the existing shareholders and an immediate dilution in actual as adjusted net tangible book value of US$0.72 per ordinary share and US$5.80 per ADS to investors purchasing ADSs in this offering. The following table illustrates such dilution:</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 ordinary</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 ADS</w:t>
            </w:r>
          </w:p>
        </w:tc>
      </w:tr>
      <w:tr>
        <w:trPr>
          <w:trHeight w:val="47"/>
        </w:trPr>
        <w:tc>
          <w:tcPr>
            <w:tcW w:w="54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(deficit) as of June 30, 2023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as adjusted net tangible book value as of June 30, 2023</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0.20</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 new</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r>
      <w:tr>
        <w:trPr>
          <w:trHeight w:val="40"/>
        </w:trPr>
        <w:tc>
          <w:tcPr>
            <w:tcW w:w="5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89,795,000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US$6.00 per ADS would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 (decrease) the pro forma as adjusted net tangible book value after giving effect to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US$1.80 million, the pro forma as adjusted net tangible book value per ordinary share and per ADS after giving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to this offering by US$0.003 per ordinary share and US$0.03 per ADS, and the dilution in the pro forma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and per ADS to new investors in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US$0.72 per ordinary share and US$5.77 per ADS, assuming no change to the number of ADSs offered by 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on the front cover of this prospectus, and after deducting underwriting discounts and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Ordinary Shares Purchased</w:t>
            </w: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80" w:type="dxa"/>
            <w:vAlign w:val="bottom"/>
          </w:tcPr>
          <w:p>
            <w:pPr>
              <w:spacing w:after="0"/>
              <w:rPr>
                <w:sz w:val="10"/>
                <w:szCs w:val="10"/>
                <w:color w:val="auto"/>
              </w:rPr>
            </w:pPr>
          </w:p>
        </w:tc>
        <w:tc>
          <w:tcPr>
            <w:tcW w:w="92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19,403,742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54" w:lineRule="exact"/>
        <w:rPr>
          <w:sz w:val="20"/>
          <w:szCs w:val="20"/>
          <w:color w:val="auto"/>
        </w:rPr>
      </w:pPr>
    </w:p>
    <w:p>
      <w:pPr>
        <w:ind w:left="640" w:right="440" w:hanging="179"/>
        <w:spacing w:after="0" w:line="282" w:lineRule="auto"/>
        <w:rPr>
          <w:sz w:val="20"/>
          <w:szCs w:val="20"/>
          <w:color w:val="auto"/>
        </w:rPr>
      </w:pPr>
      <w:r>
        <w:rPr>
          <w:rFonts w:ascii="Times New Roman" w:cs="Times New Roman" w:eastAsia="Times New Roman" w:hAnsi="Times New Roman"/>
          <w:sz w:val="18"/>
          <w:szCs w:val="18"/>
          <w:color w:val="auto"/>
        </w:rPr>
        <w:t>(Loss)/Income before income tax expense</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54" w:lineRule="exact"/>
        <w:rPr>
          <w:sz w:val="20"/>
          <w:szCs w:val="20"/>
          <w:color w:val="auto"/>
        </w:rPr>
      </w:pPr>
    </w:p>
    <w:p>
      <w:pPr>
        <w:ind w:left="820" w:right="600" w:hanging="179"/>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54" w:lineRule="exact"/>
        <w:rPr>
          <w:sz w:val="20"/>
          <w:szCs w:val="20"/>
          <w:color w:val="auto"/>
        </w:rPr>
      </w:pPr>
    </w:p>
    <w:p>
      <w:pPr>
        <w:ind w:left="640" w:right="60" w:hanging="179"/>
        <w:spacing w:after="0" w:line="273" w:lineRule="auto"/>
        <w:rPr>
          <w:sz w:val="20"/>
          <w:szCs w:val="20"/>
          <w:color w:val="auto"/>
        </w:rPr>
      </w:pPr>
      <w:r>
        <w:rPr>
          <w:rFonts w:ascii="Times New Roman" w:cs="Times New Roman" w:eastAsia="Times New Roman" w:hAnsi="Times New Roman"/>
          <w:sz w:val="18"/>
          <w:szCs w:val="18"/>
          <w:color w:val="auto"/>
        </w:rPr>
        <w:t>Weighted average number of Ordinary Shares – basic and diluted</w:t>
      </w:r>
    </w:p>
    <w:p>
      <w:pPr>
        <w:spacing w:after="0" w:line="2"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(71,530)</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280" w:space="240"/>
            <w:col w:w="549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(27,514)</w:t>
            </w:r>
          </w:p>
        </w:tc>
      </w:tr>
      <w:tr>
        <w:trPr>
          <w:trHeight w:val="2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140" w:type="dxa"/>
            <w:vAlign w:val="bottom"/>
          </w:tcPr>
          <w:p>
            <w:pPr>
              <w:spacing w:after="0"/>
              <w:rPr>
                <w:sz w:val="19"/>
                <w:szCs w:val="19"/>
                <w:color w:val="auto"/>
              </w:rPr>
            </w:pPr>
          </w:p>
        </w:tc>
      </w:tr>
      <w:tr>
        <w:trPr>
          <w:trHeight w:val="36"/>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(113,439)</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launched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8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2023 Compared to Six months ended June 30, 2022</w:t>
      </w:r>
    </w:p>
    <w:p>
      <w:pPr>
        <w:spacing w:after="0" w:line="16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six months ended June 30,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739.77%</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1,087.86%</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(1,704,709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w:t>
            </w:r>
            <w:r>
              <w:rPr>
                <w:rFonts w:ascii="Times New Roman" w:cs="Times New Roman" w:eastAsia="Times New Roman" w:hAnsi="Times New Roman"/>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r>
              <w:rPr>
                <w:rFonts w:ascii="Times New Roman" w:cs="Times New Roman" w:eastAsia="Times New Roman" w:hAnsi="Times New Roman"/>
                <w:sz w:val="18"/>
                <w:szCs w:val="18"/>
                <w:color w:val="auto"/>
              </w:rPr>
              <w:t>%</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US$192,513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US$282,610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116,761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3"/>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slightly increased by 2.82%, from US$378,896 for the six months ended June 30, 2022 to US$389,569 for the six months ended June 30, 2023.</w:t>
      </w:r>
    </w:p>
    <w:p>
      <w:pPr>
        <w:spacing w:after="0" w:line="92" w:lineRule="exact"/>
        <w:rPr>
          <w:sz w:val="20"/>
          <w:szCs w:val="20"/>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Service fees.</w:t>
      </w:r>
      <w:r>
        <w:rPr>
          <w:sz w:val="20"/>
          <w:szCs w:val="20"/>
          <w:color w:val="auto"/>
        </w:rPr>
        <w:tab/>
      </w:r>
      <w:r>
        <w:rPr>
          <w:rFonts w:ascii="Times New Roman" w:cs="Times New Roman" w:eastAsia="Times New Roman" w:hAnsi="Times New Roman"/>
          <w:sz w:val="17"/>
          <w:szCs w:val="17"/>
          <w:color w:val="auto"/>
        </w:rPr>
        <w:t>Service fees increased from US$235,583 for the six months ended June 30, 2022 to</w:t>
      </w:r>
    </w:p>
    <w:p>
      <w:pPr>
        <w:spacing w:after="0" w:line="29" w:lineRule="exact"/>
        <w:rPr>
          <w:sz w:val="20"/>
          <w:szCs w:val="20"/>
          <w:color w:val="auto"/>
        </w:rPr>
      </w:pPr>
    </w:p>
    <w:p>
      <w:pPr>
        <w:ind w:left="460" w:right="639"/>
        <w:spacing w:after="0" w:line="253" w:lineRule="auto"/>
        <w:rPr>
          <w:sz w:val="20"/>
          <w:szCs w:val="20"/>
          <w:color w:val="auto"/>
        </w:rPr>
      </w:pPr>
      <w:r>
        <w:rPr>
          <w:rFonts w:ascii="Times New Roman" w:cs="Times New Roman" w:eastAsia="Times New Roman" w:hAnsi="Times New Roman"/>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19" w:lineRule="exact"/>
        <w:rPr>
          <w:sz w:val="20"/>
          <w:szCs w:val="20"/>
          <w:color w:val="auto"/>
        </w:rPr>
      </w:pPr>
    </w:p>
    <w:p>
      <w:pPr>
        <w:ind w:left="460" w:right="5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US$116,761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US$122,142 for the six months ended June 30, 2023, primarily related to increases in base salaries and bonuses to our staff since second half of 2022.</w:t>
      </w:r>
    </w:p>
    <w:p>
      <w:pPr>
        <w:spacing w:after="0" w:line="92"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Miscellaneous costs.</w:t>
      </w:r>
      <w:r>
        <w:rPr>
          <w:sz w:val="20"/>
          <w:szCs w:val="20"/>
          <w:color w:val="auto"/>
        </w:rPr>
        <w:tab/>
      </w:r>
      <w:r>
        <w:rPr>
          <w:rFonts w:ascii="Times New Roman" w:cs="Times New Roman" w:eastAsia="Times New Roman" w:hAnsi="Times New Roman"/>
          <w:sz w:val="17"/>
          <w:szCs w:val="17"/>
          <w:color w:val="auto"/>
        </w:rPr>
        <w:t>Miscellaneous cost decreased from US$26,552 for the six months ended June 30,</w:t>
      </w:r>
    </w:p>
    <w:p>
      <w:pPr>
        <w:spacing w:after="0" w:line="29" w:lineRule="exact"/>
        <w:rPr>
          <w:sz w:val="20"/>
          <w:szCs w:val="20"/>
          <w:color w:val="auto"/>
        </w:rPr>
      </w:pPr>
    </w:p>
    <w:p>
      <w:pPr>
        <w:jc w:val="both"/>
        <w:ind w:left="460" w:right="739"/>
        <w:spacing w:after="0" w:line="255" w:lineRule="auto"/>
        <w:rPr>
          <w:sz w:val="20"/>
          <w:szCs w:val="20"/>
          <w:color w:val="auto"/>
        </w:rPr>
      </w:pPr>
      <w:r>
        <w:rPr>
          <w:rFonts w:ascii="Times New Roman" w:cs="Times New Roman" w:eastAsia="Times New Roman" w:hAnsi="Times New Roman"/>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659" w:firstLine="432"/>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referral commission, and (iii) interest expenses.</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US$70,300 for the six months ended June 30, 2022 to US$44,900 for the six months ended June 30, 2023, primarily due to the decrease of government subsidies.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2022 and 2021, respectively.</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7"/>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1189.19%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(1,159,456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2022 and 2021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110"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increased from US$260,455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US$396,637 in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2022 and 2021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205.99%</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199,749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US$456,645 in 2021 to US$1,000,689 in 2022, representing a year-on-year increase of 119.14%.</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US$232,290 in 2021 to US$710,793 in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2022.</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US$199,749 in 2021 to US$239,296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increases in base salaries and bonuses to our staff in 2022.</w:t>
      </w:r>
    </w:p>
    <w:p>
      <w:pPr>
        <w:spacing w:after="0" w:line="91"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increased from US$5,693 in 2021 to US$10,082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incremental commission costs needed to obtain new sales contracts related to our newly engaged business line in providing management software solutions in 2022.</w:t>
      </w:r>
    </w:p>
    <w:p>
      <w:pPr>
        <w:spacing w:after="0" w:line="106" w:lineRule="exact"/>
        <w:rPr>
          <w:sz w:val="20"/>
          <w:szCs w:val="20"/>
          <w:color w:val="auto"/>
        </w:rPr>
      </w:pPr>
    </w:p>
    <w:p>
      <w:pPr>
        <w:jc w:val="both"/>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increased from US$18,913 in 2021 to US$40,518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increase of our outsourcing contractor fee for general project’s support, which is in line with the increase of our revenues in 2022.</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35"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fees from terminated consulting projects, (iii) referral commission, and (iv) interest expenses.</w:t>
      </w:r>
    </w:p>
    <w:p>
      <w:pPr>
        <w:spacing w:after="0" w:line="67"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US$155,475 in 2021 to US$131,790 in 2022, primarily due to the decrease of referral commissions received for client referrals.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14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3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 For the year of assessment 2024, companies will receive a 50% corporate income tax rebate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85"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6"/>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(27,514)</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(73,885)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(118,326)</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(22,754)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273,593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3,965,607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24" w:lineRule="exact"/>
        <w:rPr>
          <w:sz w:val="20"/>
          <w:szCs w:val="20"/>
          <w:color w:val="auto"/>
        </w:rPr>
      </w:pPr>
    </w:p>
    <w:p>
      <w:pPr>
        <w:ind w:left="460" w:right="71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126" w:lineRule="exact"/>
        <w:rPr>
          <w:sz w:val="20"/>
          <w:szCs w:val="20"/>
          <w:color w:val="auto"/>
        </w:rPr>
      </w:pPr>
    </w:p>
    <w:p>
      <w:pPr>
        <w:ind w:left="460" w:right="579" w:firstLine="432"/>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3" w:lineRule="exact"/>
        <w:rPr>
          <w:sz w:val="20"/>
          <w:szCs w:val="20"/>
          <w:color w:val="auto"/>
        </w:rPr>
      </w:pPr>
    </w:p>
    <w:p>
      <w:pPr>
        <w:jc w:val="both"/>
        <w:ind w:left="460" w:right="1019" w:hanging="6"/>
        <w:spacing w:after="0" w:line="255"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US$79,043, which was primarily attributable to purchase of property and equipment in the amount of US$79,043.</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2021 was US$53,313, which was primarily attributable to purchase of property and equipment in the amount of US$53,313 for business expansion.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2"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14" w:lineRule="exact"/>
        <w:rPr>
          <w:sz w:val="20"/>
          <w:szCs w:val="20"/>
          <w:color w:val="auto"/>
        </w:rPr>
      </w:pPr>
    </w:p>
    <w:p>
      <w:pPr>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June 30, 2023 are payable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12"/>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445,552</w:t>
            </w:r>
          </w:p>
        </w:tc>
      </w:tr>
      <w:tr>
        <w:trPr>
          <w:trHeight w:val="41"/>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r>
      <w:tr>
        <w:trPr>
          <w:trHeight w:val="24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0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critical accounting policies and practices include the following: (i) accounts receivable, net;</w:t>
      </w:r>
    </w:p>
    <w:p>
      <w:pPr>
        <w:spacing w:after="0" w:line="27" w:lineRule="exact"/>
        <w:rPr>
          <w:sz w:val="20"/>
          <w:szCs w:val="20"/>
          <w:color w:val="auto"/>
        </w:rPr>
      </w:pPr>
    </w:p>
    <w:p>
      <w:pPr>
        <w:jc w:val="both"/>
        <w:ind w:left="460" w:right="519" w:hanging="6"/>
        <w:spacing w:after="0" w:line="277" w:lineRule="auto"/>
        <w:tabs>
          <w:tab w:leader="none" w:pos="7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101"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Allowance for doubtful accounts for accounts receivable</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December 31,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4"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4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94"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In the fourth quarter of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three corporate offices under leases of which two expire in 2024 and one expires in 2025.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COVID-19</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COVID-19 (Temporary Measures) Act 2020 (No. 14 of 2020) of Singapore (“</w:t>
      </w:r>
      <w:r>
        <w:rPr>
          <w:rFonts w:ascii="Times New Roman" w:cs="Times New Roman" w:eastAsia="Times New Roman" w:hAnsi="Times New Roman"/>
          <w:sz w:val="18"/>
          <w:szCs w:val="18"/>
          <w:b w:val="1"/>
          <w:bCs w:val="1"/>
          <w:color w:val="auto"/>
        </w:rPr>
        <w:t>COVID-19 Act</w:t>
      </w:r>
      <w:r>
        <w:rPr>
          <w:rFonts w:ascii="Times New Roman" w:cs="Times New Roman" w:eastAsia="Times New Roman" w:hAnsi="Times New Roman"/>
          <w:sz w:val="18"/>
          <w:szCs w:val="18"/>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98" w:lineRule="auto"/>
        <w:tabs>
          <w:tab w:leader="none" w:pos="85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90"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nominee.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0"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nominee. Dr. Koh has extensive experience in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nominee.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will initially consist of three directors, namely How Teck Lim,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9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57"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80"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will initially consist of three members, namely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How Teck Lim and Chwee Koh Chua. Noi Keng Koh will be the chairwoman of our compensation committee. Each of those three directors satisfies the “independence” requirements of</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1320" w:right="91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8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Times New Roman" w:cs="Times New Roman" w:eastAsia="Times New Roman" w:hAnsi="Times New Roman"/>
          <w:sz w:val="17"/>
          <w:szCs w:val="17"/>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0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4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1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6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59" w:hanging="426"/>
        <w:spacing w:after="0" w:line="264" w:lineRule="auto"/>
        <w:tabs>
          <w:tab w:leader="none" w:pos="8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 8 Temasek Boulevard Road, #24-03 Singapore, 038988.</w:t>
      </w:r>
    </w:p>
    <w:p>
      <w:pPr>
        <w:ind w:left="880" w:right="479" w:hanging="426"/>
        <w:spacing w:after="0" w:line="264" w:lineRule="auto"/>
        <w:tabs>
          <w:tab w:leader="none" w:pos="85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w:t>
      </w:r>
    </w:p>
    <w:p>
      <w:pPr>
        <w:ind w:left="880" w:right="799"/>
        <w:spacing w:after="0" w:line="264" w:lineRule="auto"/>
        <w:rPr>
          <w:sz w:val="20"/>
          <w:szCs w:val="20"/>
          <w:color w:val="auto"/>
        </w:rPr>
      </w:pPr>
      <w:r>
        <w:rPr>
          <w:rFonts w:ascii="Times New Roman" w:cs="Times New Roman" w:eastAsia="Times New Roman" w:hAnsi="Times New Roman"/>
          <w:sz w:val="16"/>
          <w:szCs w:val="16"/>
          <w:color w:val="auto"/>
        </w:rPr>
        <w:t>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ind w:left="880" w:right="799" w:hanging="426"/>
        <w:spacing w:after="0" w:line="27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w:t>
      </w:r>
    </w:p>
    <w:p>
      <w:pPr>
        <w:sectPr>
          <w:pgSz w:w="11900" w:h="16838" w:orient="portrait"/>
          <w:cols w:equalWidth="0" w:num="1">
            <w:col w:w="9019"/>
          </w:cols>
          <w:pgMar w:left="1440" w:top="270" w:right="1440" w:bottom="974"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74"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6"/>
          <w:szCs w:val="16"/>
          <w:color w:val="auto"/>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US$959,422 to us to support our operations. The loan was due on demand. The remaining balance of the loan was fully settled in June 2023.</w:t>
      </w:r>
    </w:p>
    <w:p>
      <w:pPr>
        <w:spacing w:after="0" w:line="11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99"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Please refer to Registration Number 333-[•] when retrieving such copy.</w:t>
      </w:r>
    </w:p>
    <w:p>
      <w:pPr>
        <w:spacing w:after="0" w:line="106"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7"/>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leak-out agreement described below. All of the Public Offering ADSs and Shareholder ADSs (subject to the leak-out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03"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5%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180 days after the date of this prospectus, subject to certain exceptions and applicable notice requirements.</w:t>
      </w:r>
    </w:p>
    <w:p>
      <w:pPr>
        <w:spacing w:after="0" w:line="115"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Leak-out Agreement</w:t>
      </w:r>
    </w:p>
    <w:p>
      <w:pPr>
        <w:spacing w:after="0" w:line="135"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to enter into a leak-out agreement with the Company pursuant to which the Selling Shareholder would agree not to sell 1,925,000 ADSs of the Shareholder ADSs, or the Relevant Resale Shares, for a period of 60 days after the date this registration statement is declared effective, except as follows:</w:t>
      </w:r>
    </w:p>
    <w:p>
      <w:pPr>
        <w:spacing w:after="0" w:line="112" w:lineRule="exact"/>
        <w:rPr>
          <w:sz w:val="20"/>
          <w:szCs w:val="20"/>
          <w:color w:val="auto"/>
        </w:rPr>
      </w:pPr>
    </w:p>
    <w:p>
      <w:pPr>
        <w:ind w:left="1320" w:right="879" w:hanging="434"/>
        <w:spacing w:after="0" w:line="266" w:lineRule="auto"/>
        <w:tabs>
          <w:tab w:leader="none" w:pos="13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50% of the Relevant Resale Shares if (i) the Nasdaq official closing price of the ADSs of the Company as reported on nasdaq.com (“NOCP”) on any two consecutive trading</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79"/>
        <w:spacing w:after="0" w:line="261" w:lineRule="auto"/>
        <w:rPr>
          <w:sz w:val="20"/>
          <w:szCs w:val="20"/>
          <w:color w:val="auto"/>
        </w:rPr>
      </w:pPr>
      <w:r>
        <w:rPr>
          <w:rFonts w:ascii="Times New Roman" w:cs="Times New Roman" w:eastAsia="Times New Roman" w:hAnsi="Times New Roman"/>
          <w:sz w:val="18"/>
          <w:szCs w:val="18"/>
          <w:color w:val="auto"/>
        </w:rPr>
        <w:t>days equals or exceeds 130% of the offer price per share in the initial public offering; and (ii) the average daily trading volume (as reported as the NLS Volume on nasdaq.com) (“Trading Volume”) of the ADSs on Nasdaq over such two consecutive trading days equals or exceeds 20,000 ADSs; and</w:t>
      </w:r>
    </w:p>
    <w:p>
      <w:pPr>
        <w:spacing w:after="0" w:line="112" w:lineRule="exact"/>
        <w:rPr>
          <w:sz w:val="20"/>
          <w:szCs w:val="20"/>
          <w:color w:val="auto"/>
        </w:rPr>
      </w:pPr>
    </w:p>
    <w:p>
      <w:pPr>
        <w:ind w:left="1320" w:right="559" w:hanging="434"/>
        <w:spacing w:after="0" w:line="261"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an additional 50% of the Relevant Resale Shares if (i) the NOCP on any two consecutive trading days equals or exceeds 160% of the offer price per share in the initial public offering; and (ii) the average daily Trading Volume of the ADSs on the Nasdaq over such two consecutive trading days equals or exceeds 20,000 ADSs.</w:t>
      </w:r>
    </w:p>
    <w:p>
      <w:pPr>
        <w:spacing w:after="0" w:line="112" w:lineRule="exact"/>
        <w:rPr>
          <w:sz w:val="20"/>
          <w:szCs w:val="20"/>
          <w:color w:val="auto"/>
        </w:rPr>
      </w:pPr>
    </w:p>
    <w:p>
      <w:pPr>
        <w:ind w:left="880" w:right="619"/>
        <w:spacing w:after="0" w:line="258" w:lineRule="auto"/>
        <w:rPr>
          <w:sz w:val="20"/>
          <w:szCs w:val="20"/>
          <w:color w:val="auto"/>
        </w:rPr>
      </w:pPr>
      <w:r>
        <w:rPr>
          <w:rFonts w:ascii="Times New Roman" w:cs="Times New Roman" w:eastAsia="Times New Roman" w:hAnsi="Times New Roman"/>
          <w:sz w:val="18"/>
          <w:szCs w:val="18"/>
          <w:color w:val="auto"/>
        </w:rPr>
        <w:t>The conditions in the above subparagraphs are mutually inclusive and one condition need not be met before the others take effect. For example, if the offer price in the initial public offering is US$5.00, the average NOCP of the ADSs is US$8.00 and the average Trading Volume of the ADSs on Nasdaq is 20,000 ADSs for any two consecutive days, then both of the above-mentioned conditions have been met and all of the Relevant Resale Shares can be sold collectively.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24" w:lineRule="exact"/>
        <w:rPr>
          <w:sz w:val="20"/>
          <w:szCs w:val="20"/>
          <w:color w:val="auto"/>
        </w:rPr>
      </w:pPr>
    </w:p>
    <w:p>
      <w:pPr>
        <w:ind w:left="1320" w:right="83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80"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08"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81"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Subject to specified exceptions, Section 13W of the Income Tax Act 1947 (“</w:t>
      </w:r>
      <w:r>
        <w:rPr>
          <w:rFonts w:ascii="Times New Roman" w:cs="Times New Roman" w:eastAsia="Times New Roman" w:hAnsi="Times New Roman"/>
          <w:sz w:val="18"/>
          <w:szCs w:val="18"/>
          <w:b w:val="1"/>
          <w:bCs w:val="1"/>
          <w:color w:val="auto"/>
        </w:rPr>
        <w:t>SITA</w:t>
      </w:r>
      <w:r>
        <w:rPr>
          <w:rFonts w:ascii="Times New Roman" w:cs="Times New Roman" w:eastAsia="Times New Roman" w:hAnsi="Times New Roman"/>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4" w:lineRule="exact"/>
        <w:rPr>
          <w:sz w:val="20"/>
          <w:szCs w:val="20"/>
          <w:color w:val="auto"/>
        </w:rPr>
      </w:pPr>
    </w:p>
    <w:p>
      <w:pPr>
        <w:ind w:left="1320" w:right="81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exemption prescribed under Section 13W of the SITA is not applicable under the following scenarios:</w:t>
      </w:r>
    </w:p>
    <w:p>
      <w:pPr>
        <w:spacing w:after="0" w:line="156" w:lineRule="exact"/>
        <w:rPr>
          <w:sz w:val="20"/>
          <w:szCs w:val="20"/>
          <w:color w:val="auto"/>
        </w:rPr>
      </w:pPr>
    </w:p>
    <w:p>
      <w:pPr>
        <w:ind w:left="1320" w:right="999" w:hanging="434"/>
        <w:spacing w:after="0" w:line="282" w:lineRule="auto"/>
        <w:tabs>
          <w:tab w:leader="none" w:pos="13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the gains or profits of which are included as part of the income of an insurer company;</w:t>
      </w:r>
    </w:p>
    <w:p>
      <w:pPr>
        <w:spacing w:after="0" w:line="6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before 1 June 2022 in a company that is:</w:t>
      </w:r>
    </w:p>
    <w:p>
      <w:pPr>
        <w:spacing w:after="0" w:line="13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Singapore immovable properties; or</w:t>
      </w:r>
    </w:p>
    <w:p>
      <w:pPr>
        <w:spacing w:after="0" w:line="144" w:lineRule="exact"/>
        <w:rPr>
          <w:rFonts w:ascii="Times New Roman" w:cs="Times New Roman" w:eastAsia="Times New Roman" w:hAnsi="Times New Roman"/>
          <w:sz w:val="18"/>
          <w:szCs w:val="18"/>
          <w:color w:val="auto"/>
        </w:rPr>
      </w:pPr>
    </w:p>
    <w:p>
      <w:pPr>
        <w:ind w:left="1760" w:right="759" w:hanging="442"/>
        <w:spacing w:after="0" w:line="266" w:lineRule="auto"/>
        <w:tabs>
          <w:tab w:leader="none" w:pos="17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Singapore immovable properties, other than property development, where the shares are not listed on a stock exchange in Singapore or elsewhere;</w:t>
      </w:r>
    </w:p>
    <w:p>
      <w:pPr>
        <w:spacing w:after="0" w:line="81"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on or after 1 June 2022 not listed on a stock exchange in Singapore or elsewhere, being shares in a company that the Comptroller is satisfied:</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immovable properties situated whether in Singapore or elsewhere;</w:t>
      </w:r>
    </w:p>
    <w:p>
      <w:pPr>
        <w:spacing w:after="0" w:line="144" w:lineRule="exact"/>
        <w:rPr>
          <w:rFonts w:ascii="Times New Roman" w:cs="Times New Roman" w:eastAsia="Times New Roman" w:hAnsi="Times New Roman"/>
          <w:sz w:val="18"/>
          <w:szCs w:val="18"/>
          <w:color w:val="auto"/>
        </w:rPr>
      </w:pPr>
    </w:p>
    <w:p>
      <w:pPr>
        <w:ind w:left="1760" w:right="1099" w:hanging="442"/>
        <w:spacing w:after="0" w:line="282" w:lineRule="auto"/>
        <w:tabs>
          <w:tab w:leader="none" w:pos="17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immovable properties situated whether in Singapore or elsewhere; or</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undertaken property development on Singapore or elsewhere, except where:</w:t>
      </w:r>
    </w:p>
    <w:p>
      <w:pPr>
        <w:spacing w:after="0" w:line="130" w:lineRule="exact"/>
        <w:rPr>
          <w:rFonts w:ascii="Times New Roman" w:cs="Times New Roman" w:eastAsia="Times New Roman" w:hAnsi="Times New Roman"/>
          <w:sz w:val="18"/>
          <w:szCs w:val="18"/>
          <w:color w:val="auto"/>
        </w:rPr>
      </w:pPr>
    </w:p>
    <w:p>
      <w:pPr>
        <w:ind w:left="2180" w:right="599" w:hanging="430"/>
        <w:spacing w:after="0" w:line="266" w:lineRule="auto"/>
        <w:tabs>
          <w:tab w:leader="none" w:pos="217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94" w:lineRule="exact"/>
        <w:rPr>
          <w:rFonts w:ascii="Times New Roman" w:cs="Times New Roman" w:eastAsia="Times New Roman" w:hAnsi="Times New Roman"/>
          <w:sz w:val="18"/>
          <w:szCs w:val="18"/>
          <w:color w:val="auto"/>
        </w:rPr>
      </w:pPr>
    </w:p>
    <w:p>
      <w:pPr>
        <w:ind w:left="2180" w:right="519" w:hanging="430"/>
        <w:spacing w:after="0" w:line="282" w:lineRule="auto"/>
        <w:tabs>
          <w:tab w:leader="none" w:pos="216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undertake any property development in Singapore or elsewhere for a period of at least 60 consecutive months before the disposal of shares; or</w:t>
      </w:r>
    </w:p>
    <w:p>
      <w:pPr>
        <w:spacing w:after="0" w:line="6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by a partnership, limited partnership and limited liability partnership one or more of the partners of which is a company or are companies.</w:t>
      </w:r>
    </w:p>
    <w:p>
      <w:pPr>
        <w:spacing w:after="0" w:line="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93"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6" w:lineRule="auto"/>
        <w:rPr>
          <w:sz w:val="20"/>
          <w:szCs w:val="20"/>
          <w:color w:val="auto"/>
        </w:rPr>
      </w:pPr>
      <w:r>
        <w:rPr>
          <w:rFonts w:ascii="Times New Roman" w:cs="Times New Roman" w:eastAsia="Times New Roman" w:hAnsi="Times New Roman"/>
          <w:sz w:val="18"/>
          <w:szCs w:val="18"/>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5" w:lineRule="exact"/>
        <w:rPr>
          <w:sz w:val="20"/>
          <w:szCs w:val="20"/>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30"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80"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80"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67" w:lineRule="exact"/>
        <w:rPr>
          <w:sz w:val="20"/>
          <w:szCs w:val="20"/>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3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80"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08"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5"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10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expect to enter into an underwriting agreement with Eddid Securities USA, Inc., or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Underwriter has agreed to purchase, and we have agreed to sell to it, the number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at the initial public offering price, less the underwriting discounts and commissions, as set forth on the cover page of this prospectus and as indicated below:</w:t>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41275</wp:posOffset>
            </wp:positionV>
            <wp:extent cx="514350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720" w:space="720"/>
            <w:col w:w="15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62"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six percent (6%) of the gross proceeds of the securities being offered from investors introduced by the Underwriter, and a gross discount equal to</w:t>
      </w:r>
    </w:p>
    <w:p>
      <w:pPr>
        <w:ind w:left="460" w:right="639"/>
        <w:spacing w:after="0" w:line="260" w:lineRule="auto"/>
        <w:rPr>
          <w:sz w:val="20"/>
          <w:szCs w:val="20"/>
          <w:color w:val="auto"/>
        </w:rPr>
      </w:pPr>
      <w:r>
        <w:rPr>
          <w:rFonts w:ascii="Times New Roman" w:cs="Times New Roman" w:eastAsia="Times New Roman" w:hAnsi="Times New Roman"/>
          <w:sz w:val="18"/>
          <w:szCs w:val="18"/>
          <w:color w:val="auto"/>
        </w:rPr>
        <w:t>three percent (3%) of gross proceeds (or in cash in the equivalent amount) of the securities being offered from investors introduced by the Company.</w:t>
      </w:r>
    </w:p>
    <w:p>
      <w:pPr>
        <w:spacing w:after="0" w:line="100"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will also pay to the Underwriter by deduction from the net proceeds of this offering, a non-accountable expense allowance equal to one percent (1%) of the gross proceeds received by us from the sale of our ADSs.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US$250,000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10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underwriting discounts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and commissions and non-accountable expense allowance, will be approximately US$[</w:t>
            </w:r>
          </w:p>
        </w:tc>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654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119</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shareholders holding 5%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460" w:right="83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108"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 may bid for, and purchase, our ADSs in market making transactions, including “passive” market making transactions as described below.</w:t>
      </w:r>
    </w:p>
    <w:p>
      <w:pPr>
        <w:spacing w:after="0" w:line="94"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20"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0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6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06"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99"/>
        <w:spacing w:after="0" w:line="266" w:lineRule="auto"/>
        <w:rPr>
          <w:sz w:val="20"/>
          <w:szCs w:val="20"/>
          <w:color w:val="auto"/>
        </w:rPr>
      </w:pPr>
      <w:r>
        <w:rPr>
          <w:rFonts w:ascii="Times New Roman" w:cs="Times New Roman" w:eastAsia="Times New Roman" w:hAnsi="Times New Roman"/>
          <w:sz w:val="18"/>
          <w:szCs w:val="18"/>
          <w:color w:val="auto"/>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6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44" w:lineRule="exact"/>
        <w:rPr>
          <w:sz w:val="20"/>
          <w:szCs w:val="20"/>
          <w:color w:val="auto"/>
        </w:rPr>
      </w:pPr>
    </w:p>
    <w:p>
      <w:pPr>
        <w:jc w:val="both"/>
        <w:ind w:left="1320" w:right="71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9" w:lineRule="exact"/>
        <w:rPr>
          <w:sz w:val="20"/>
          <w:szCs w:val="20"/>
          <w:color w:val="auto"/>
        </w:rPr>
      </w:pPr>
    </w:p>
    <w:p>
      <w:pPr>
        <w:ind w:left="1320" w:right="65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33"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46"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3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1" w:lineRule="exact"/>
        <w:rPr>
          <w:sz w:val="20"/>
          <w:szCs w:val="20"/>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4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4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7"/>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5"/>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July 7,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26"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(174,377)</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4"/>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loss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shd w:val="clear" w:color="auto" w:fill="CCEEFF"/>
          </w:tcPr>
          <w:p>
            <w:pPr>
              <w:spacing w:after="0"/>
              <w:rPr>
                <w:sz w:val="23"/>
                <w:szCs w:val="23"/>
                <w:color w:val="auto"/>
              </w:rPr>
            </w:pP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74"/>
        </w:trPr>
        <w:tc>
          <w:tcPr>
            <w:tcW w:w="1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(1,323,341)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6"/>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(1,129,489)</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29,967</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in)/provided by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Amortisation of right-of-use asset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benefit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(118,779)</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166,358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51,491</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461,128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192,935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249,052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244,100</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(53,313)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(229,201)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652,789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48,370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748,533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(239,357)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66,030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255,956</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17,637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DISCLOSURE OF CASH FLOW INFORMATION: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1,561,203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42,510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 (Note 11)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74"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has not started business as of December 31, 2022.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Reorganization</w:t>
      </w:r>
    </w:p>
    <w:p>
      <w:pPr>
        <w:spacing w:after="0" w:line="15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44"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1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9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December 31,2022 and 2021.</w:t>
      </w:r>
    </w:p>
    <w:p>
      <w:pPr>
        <w:spacing w:after="0" w:line="154" w:lineRule="exact"/>
        <w:rPr>
          <w:sz w:val="20"/>
          <w:szCs w:val="20"/>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49"/>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49"/>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3" w:lineRule="exact"/>
        <w:rPr>
          <w:sz w:val="20"/>
          <w:szCs w:val="20"/>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4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2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7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ind w:left="880" w:right="799"/>
        <w:spacing w:after="0" w:line="414" w:lineRule="auto"/>
        <w:rPr>
          <w:sz w:val="20"/>
          <w:szCs w:val="20"/>
          <w:color w:val="auto"/>
        </w:rPr>
      </w:pPr>
      <w:r>
        <w:rPr>
          <w:rFonts w:ascii="Times New Roman" w:cs="Times New Roman" w:eastAsia="Times New Roman" w:hAnsi="Times New Roman"/>
          <w:sz w:val="18"/>
          <w:szCs w:val="18"/>
          <w:color w:val="auto"/>
        </w:rPr>
        <w:t xml:space="preserve">No impairment of long-lived assets was recognized for the years ended December 31, 2022 and 2021. </w:t>
      </w:r>
      <w:r>
        <w:rPr>
          <w:rFonts w:ascii="Times New Roman" w:cs="Times New Roman" w:eastAsia="Times New Roman" w:hAnsi="Times New Roman"/>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9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6" w:lineRule="exact"/>
        <w:rPr>
          <w:sz w:val="20"/>
          <w:szCs w:val="20"/>
          <w:color w:val="auto"/>
        </w:rPr>
      </w:pPr>
    </w:p>
    <w:p>
      <w:pPr>
        <w:ind w:left="1280" w:hanging="394"/>
        <w:spacing w:after="0"/>
        <w:tabs>
          <w:tab w:leader="none" w:pos="128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6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2022 and 2021:</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396,637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9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2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2022 and 2021.</w:t>
      </w:r>
    </w:p>
    <w:p>
      <w:pPr>
        <w:spacing w:after="0" w:line="77" w:lineRule="exact"/>
        <w:rPr>
          <w:sz w:val="20"/>
          <w:szCs w:val="20"/>
          <w:color w:val="auto"/>
        </w:rPr>
      </w:pPr>
    </w:p>
    <w:p>
      <w:pPr>
        <w:ind w:left="1280" w:hanging="394"/>
        <w:spacing w:after="0"/>
        <w:tabs>
          <w:tab w:leader="none" w:pos="128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6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11"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0"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280" w:hanging="394"/>
        <w:spacing w:after="0"/>
        <w:tabs>
          <w:tab w:leader="none" w:pos="128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Goods and services taxes</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  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(n)</w:t>
        <w:tab/>
        <w:t>Foreign currency transactions and translations</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362"/>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Comprehensive income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9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Loss/income per share</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7"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6" w:lineRule="exact"/>
        <w:rPr>
          <w:sz w:val="20"/>
          <w:szCs w:val="20"/>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06"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799"/>
        <w:spacing w:after="0" w:line="276" w:lineRule="auto"/>
        <w:rPr>
          <w:sz w:val="20"/>
          <w:szCs w:val="20"/>
          <w:color w:val="auto"/>
        </w:rPr>
      </w:pPr>
      <w:r>
        <w:rPr>
          <w:rFonts w:ascii="Times New Roman" w:cs="Times New Roman" w:eastAsia="Times New Roman" w:hAnsi="Times New Roman"/>
          <w:sz w:val="17"/>
          <w:szCs w:val="17"/>
          <w:color w:val="auto"/>
        </w:rPr>
        <w:t>FASB issued ASU No. 2018-19, Codification Improvements to Topic 326, to clarify that receivables arising from operating leases are within the scope of lease accounting standards. Further, the FASB issued ASU</w:t>
      </w:r>
    </w:p>
    <w:p>
      <w:pPr>
        <w:spacing w:after="0" w:line="1"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11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47,547</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458" w:lineRule="auto"/>
        <w:tabs>
          <w:tab w:leader="none" w:pos="85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141,851</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106,718</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$16,867 and $5,363 for the years ended December 31, 2022 and 2021,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483" w:lineRule="auto"/>
        <w:tabs>
          <w:tab w:leader="none" w:pos="853"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3" w:lineRule="exact"/>
        <w:rPr>
          <w:sz w:val="20"/>
          <w:szCs w:val="20"/>
          <w:color w:val="auto"/>
        </w:rPr>
      </w:pPr>
    </w:p>
    <w:p>
      <w:pPr>
        <w:ind w:left="860" w:hanging="406"/>
        <w:spacing w:after="0"/>
        <w:tabs>
          <w:tab w:leader="none" w:pos="8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345,255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1,649,507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181,521</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1,190,287</w:t>
            </w:r>
          </w:p>
        </w:tc>
      </w:tr>
    </w:tbl>
    <w:p>
      <w:pPr>
        <w:spacing w:after="0" w:line="23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4,793</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
        </w:trPr>
        <w:tc>
          <w:tcPr>
            <w:tcW w:w="5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significant components of the deferred tax assets are summarized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164,313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6,214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8,038</w:t>
            </w:r>
          </w:p>
        </w:tc>
      </w:tr>
      <w:tr>
        <w:trPr>
          <w:trHeight w:val="284"/>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238,081</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2022 and 2021, summary of the borrowings is as following:</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1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Long-  (current  Long-</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USD</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4.25% September 2021 September 2026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25,888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 Limited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2022</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298,418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55,243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719,518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expenses were $17,813 and $745 for the years ended December 31, 2022 and 2021, respectively.</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2022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56"/>
              <w:spacing w:after="0"/>
              <w:rPr>
                <w:sz w:val="20"/>
                <w:szCs w:val="20"/>
                <w:color w:val="auto"/>
              </w:rPr>
            </w:pPr>
            <w:r>
              <w:rPr>
                <w:rFonts w:ascii="Times New Roman" w:cs="Times New Roman" w:eastAsia="Times New Roman" w:hAnsi="Times New Roman"/>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136,576</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619" w:hanging="426"/>
        <w:spacing w:after="0" w:line="267"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3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0" w:type="dxa"/>
            <w:vAlign w:val="bottom"/>
          </w:tcPr>
          <w:p>
            <w:pPr>
              <w:spacing w:after="0"/>
              <w:rPr>
                <w:sz w:val="1"/>
                <w:szCs w:val="1"/>
                <w:color w:val="auto"/>
              </w:rPr>
            </w:pPr>
          </w:p>
        </w:tc>
      </w:tr>
      <w:tr>
        <w:trPr>
          <w:trHeight w:val="252"/>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party transactions</w:t>
            </w: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declared dividend to Soon Huat Lim.</w:t>
      </w:r>
    </w:p>
    <w:p>
      <w:pPr>
        <w:spacing w:after="0" w:line="21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10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1" w:lineRule="exact"/>
        <w:rPr>
          <w:sz w:val="20"/>
          <w:szCs w:val="20"/>
          <w:color w:val="auto"/>
        </w:rPr>
      </w:pPr>
    </w:p>
    <w:p>
      <w:pPr>
        <w:ind w:left="460" w:right="659" w:firstLine="432"/>
        <w:spacing w:after="0" w:line="312" w:lineRule="auto"/>
        <w:rPr>
          <w:sz w:val="20"/>
          <w:szCs w:val="20"/>
          <w:color w:val="auto"/>
        </w:rPr>
      </w:pPr>
      <w:r>
        <w:rPr>
          <w:rFonts w:ascii="Times New Roman" w:cs="Times New Roman" w:eastAsia="Times New Roman" w:hAnsi="Times New Roman"/>
          <w:sz w:val="17"/>
          <w:szCs w:val="17"/>
          <w:color w:val="auto"/>
        </w:rPr>
        <w:t>As of December 31, 2022 and 2021, subscription receivable on the consolidated balance sheets represented the unrecovered consideration of the nil and 410,205,000 ordinary shares issued by the Company.</w:t>
      </w:r>
    </w:p>
    <w:p>
      <w:pPr>
        <w:spacing w:after="0" w:line="95"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7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47625</wp:posOffset>
            </wp:positionV>
            <wp:extent cx="15944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4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47625</wp:posOffset>
            </wp:positionV>
            <wp:extent cx="1603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3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94" w:lineRule="exact"/>
        <w:rPr>
          <w:sz w:val="20"/>
          <w:szCs w:val="20"/>
          <w:color w:val="auto"/>
        </w:rPr>
      </w:pPr>
    </w:p>
    <w:p>
      <w:pPr>
        <w:ind w:left="460" w:right="619" w:firstLine="432"/>
        <w:spacing w:after="0" w:line="274" w:lineRule="auto"/>
        <w:rPr>
          <w:sz w:val="20"/>
          <w:szCs w:val="20"/>
          <w:color w:val="auto"/>
        </w:rPr>
      </w:pPr>
      <w:r>
        <w:rPr>
          <w:rFonts w:ascii="Times New Roman" w:cs="Times New Roman" w:eastAsia="Times New Roman" w:hAnsi="Times New Roman"/>
          <w:sz w:val="17"/>
          <w:szCs w:val="17"/>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9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CONDENSED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424,868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0" w:type="dxa"/>
            <w:vAlign w:val="bottom"/>
          </w:tcPr>
          <w:p>
            <w:pPr>
              <w:spacing w:after="0"/>
              <w:rPr>
                <w:sz w:val="1"/>
                <w:szCs w:val="1"/>
                <w:color w:val="auto"/>
              </w:rPr>
            </w:pPr>
          </w:p>
        </w:tc>
      </w:tr>
      <w:tr>
        <w:trPr>
          <w:trHeight w:val="23"/>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(4,102</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(306</w:t>
            </w: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(311,036)</w:t>
            </w:r>
          </w:p>
        </w:tc>
        <w:tc>
          <w:tcPr>
            <w:tcW w:w="0" w:type="dxa"/>
            <w:vAlign w:val="bottom"/>
          </w:tcPr>
          <w:p>
            <w:pPr>
              <w:spacing w:after="0"/>
              <w:rPr>
                <w:sz w:val="1"/>
                <w:szCs w:val="1"/>
                <w:color w:val="auto"/>
              </w:rPr>
            </w:pPr>
          </w:p>
        </w:tc>
      </w:tr>
      <w:tr>
        <w:trPr>
          <w:trHeight w:val="270"/>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(1,323,341</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(37,788</w:t>
            </w: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(1,324,787)</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(3,259,598</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(2,935</w:t>
            </w: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(3,226,191</w:t>
            </w: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-398145</wp:posOffset>
            </wp:positionV>
            <wp:extent cx="285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7" w:lineRule="exact"/>
        <w:rPr>
          <w:sz w:val="20"/>
          <w:szCs w:val="20"/>
          <w:color w:val="auto"/>
        </w:rPr>
      </w:pPr>
    </w:p>
    <w:p>
      <w:pPr>
        <w:ind w:left="860" w:hanging="406"/>
        <w:spacing w:after="0"/>
        <w:tabs>
          <w:tab w:leader="none" w:pos="8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UNAUDITED CONDENSED CONSOLIDATED STATEMENTS OF CASH FLOWS (In U.S. dollars, except for share and per share data, or otherwise noted)</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(2,380,926)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(113,439)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72" w:lineRule="exact"/>
        <w:rPr>
          <w:sz w:val="20"/>
          <w:szCs w:val="20"/>
          <w:color w:val="auto"/>
        </w:rPr>
      </w:pPr>
    </w:p>
    <w:p>
      <w:pPr>
        <w:ind w:left="860" w:hanging="406"/>
        <w:spacing w:after="0"/>
        <w:tabs>
          <w:tab w:leader="none" w:pos="8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7"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7"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11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70" w:lineRule="auto"/>
        <w:rPr>
          <w:sz w:val="20"/>
          <w:szCs w:val="20"/>
          <w:color w:val="auto"/>
        </w:rPr>
      </w:pPr>
      <w:r>
        <w:rPr>
          <w:rFonts w:ascii="Times New Roman" w:cs="Times New Roman" w:eastAsia="Times New Roman" w:hAnsi="Times New Roman"/>
          <w:sz w:val="17"/>
          <w:szCs w:val="17"/>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3" w:lineRule="exact"/>
        <w:rPr>
          <w:sz w:val="20"/>
          <w:szCs w:val="20"/>
          <w:color w:val="auto"/>
        </w:rPr>
      </w:pPr>
    </w:p>
    <w:p>
      <w:pPr>
        <w:ind w:left="460" w:right="559"/>
        <w:spacing w:after="0" w:line="252" w:lineRule="auto"/>
        <w:rPr>
          <w:sz w:val="20"/>
          <w:szCs w:val="20"/>
          <w:color w:val="auto"/>
        </w:rPr>
      </w:pPr>
      <w:r>
        <w:rPr>
          <w:rFonts w:ascii="Times New Roman" w:cs="Times New Roman" w:eastAsia="Times New Roman" w:hAnsi="Times New Roman"/>
          <w:sz w:val="18"/>
          <w:szCs w:val="18"/>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jc w:val="center"/>
        <w:ind w:left="2160" w:right="160"/>
        <w:spacing w:after="0" w:line="485" w:lineRule="auto"/>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06"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46"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21"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six months ended June 30, 2023 and 2022:</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539"/>
        <w:spacing w:after="0" w:line="266" w:lineRule="auto"/>
        <w:rPr>
          <w:sz w:val="20"/>
          <w:szCs w:val="20"/>
          <w:color w:val="auto"/>
        </w:rPr>
      </w:pPr>
      <w:r>
        <w:rPr>
          <w:rFonts w:ascii="Times New Roman" w:cs="Times New Roman" w:eastAsia="Times New Roman" w:hAnsi="Times New Roman"/>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08"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Other than accounts receivable and deferred revenue, the Group had no other material contract assets or contract liabilities recorded on its consolidated balance sheets as of June 30, 2023 and December 31, 2022.</w:t>
      </w:r>
    </w:p>
    <w:p>
      <w:pPr>
        <w:spacing w:after="0" w:line="5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24"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62"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00" w:hanging="414"/>
        <w:spacing w:after="0"/>
        <w:tabs>
          <w:tab w:leader="none" w:pos="130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860" w:hanging="406"/>
        <w:spacing w:after="0"/>
        <w:tabs>
          <w:tab w:leader="none" w:pos="8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458" w:lineRule="auto"/>
        <w:tabs>
          <w:tab w:leader="none" w:pos="853"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165,264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$18,837 and $5,663 for the six months ended June 30, 2023 and 2022,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483" w:lineRule="auto"/>
        <w:tabs>
          <w:tab w:leader="none" w:pos="853"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108"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200,292</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June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12"/>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156,754</w:t>
            </w:r>
          </w:p>
        </w:tc>
        <w:tc>
          <w:tcPr>
            <w:tcW w:w="20" w:type="dxa"/>
            <w:vAlign w:val="bottom"/>
          </w:tcPr>
          <w:p>
            <w:pPr>
              <w:spacing w:after="0"/>
              <w:rPr>
                <w:sz w:val="24"/>
                <w:szCs w:val="24"/>
                <w:color w:val="auto"/>
              </w:rPr>
            </w:pPr>
          </w:p>
        </w:tc>
      </w:tr>
      <w:tr>
        <w:trPr>
          <w:trHeight w:val="2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1,521,638</w:t>
            </w:r>
          </w:p>
        </w:tc>
        <w:tc>
          <w:tcPr>
            <w:tcW w:w="20" w:type="dxa"/>
            <w:vAlign w:val="bottom"/>
          </w:tcPr>
          <w:p>
            <w:pPr>
              <w:spacing w:after="0"/>
              <w:rPr>
                <w:sz w:val="20"/>
                <w:szCs w:val="20"/>
                <w:color w:val="auto"/>
              </w:rPr>
            </w:pPr>
          </w:p>
        </w:tc>
      </w:tr>
      <w:tr>
        <w:trPr>
          <w:trHeight w:val="32"/>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378,056</w:t>
            </w:r>
          </w:p>
        </w:tc>
        <w:tc>
          <w:tcPr>
            <w:tcW w:w="20" w:type="dxa"/>
            <w:vAlign w:val="bottom"/>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As of June 30, 2023 and December 31,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w w:val="91"/>
              </w:rPr>
              <w:t>As of</w:t>
            </w: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562,071</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(238,081)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286,981</w:t>
            </w:r>
          </w:p>
        </w:tc>
      </w:tr>
      <w:tr>
        <w:trPr>
          <w:trHeight w:val="40"/>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Times New Roman" w:cs="Times New Roman" w:eastAsia="Times New Roman" w:hAnsi="Times New Roman"/>
          <w:sz w:val="18"/>
          <w:szCs w:val="18"/>
          <w:color w:val="auto"/>
        </w:rPr>
        <w:t>(92,998)</w:t>
      </w:r>
      <w:r>
        <w:rPr>
          <w:sz w:val="20"/>
          <w:szCs w:val="20"/>
          <w:color w:val="auto"/>
        </w:rPr>
        <w:tab/>
      </w:r>
      <w:r>
        <w:rPr>
          <w:rFonts w:ascii="Times New Roman" w:cs="Times New Roman" w:eastAsia="Times New Roman" w:hAnsi="Times New Roman"/>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Times New Roman" w:cs="Times New Roman" w:eastAsia="Times New Roman" w:hAnsi="Times New Roman"/>
          <w:sz w:val="18"/>
          <w:szCs w:val="18"/>
          <w:color w:val="auto"/>
        </w:rPr>
        <w:t>(261,815)</w:t>
      </w:r>
      <w:r>
        <w:rPr>
          <w:sz w:val="20"/>
          <w:szCs w:val="20"/>
          <w:color w:val="auto"/>
        </w:rPr>
        <w:tab/>
      </w:r>
      <w:r>
        <w:rPr>
          <w:rFonts w:ascii="Times New Roman" w:cs="Times New Roman" w:eastAsia="Times New Roman" w:hAnsi="Times New Roman"/>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Times New Roman" w:cs="Times New Roman" w:eastAsia="Times New Roman" w:hAnsi="Times New Roman"/>
          <w:sz w:val="18"/>
          <w:szCs w:val="18"/>
          <w:color w:val="auto"/>
        </w:rPr>
        <w:t>(12,277)</w:t>
      </w:r>
      <w:r>
        <w:rPr>
          <w:sz w:val="20"/>
          <w:szCs w:val="20"/>
          <w:color w:val="auto"/>
        </w:rPr>
        <w:tab/>
      </w:r>
      <w:r>
        <w:rPr>
          <w:rFonts w:ascii="Times New Roman" w:cs="Times New Roman" w:eastAsia="Times New Roman" w:hAnsi="Times New Roman"/>
          <w:sz w:val="17"/>
          <w:szCs w:val="17"/>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Times New Roman" w:cs="Times New Roman" w:eastAsia="Times New Roman" w:hAnsi="Times New Roman"/>
          <w:sz w:val="18"/>
          <w:szCs w:val="18"/>
          <w:b w:val="1"/>
          <w:bCs w:val="1"/>
          <w:color w:val="auto"/>
        </w:rPr>
        <w:t>$</w:t>
        <w:tab/>
        <w:t>(367,090)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(286,981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242570</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53975</wp:posOffset>
            </wp:positionV>
            <wp:extent cx="1482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45720</wp:posOffset>
            </wp:positionV>
            <wp:extent cx="1482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17145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620" w:space="720"/>
            <w:col w:w="467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630,695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2023 and December 31, 2022, summary of the borrowings is as following:</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3"/>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2021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2026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25,888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12,379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5,046</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Maybank Singapore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Interest expenses were $13,394 and $3,143 for the six months ended June 30, 2023 and 2022, respectively.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June 30,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21,158</w:t>
            </w:r>
          </w:p>
        </w:tc>
        <w:tc>
          <w:tcPr>
            <w:tcW w:w="320" w:type="dxa"/>
            <w:vAlign w:val="bottom"/>
            <w:gridSpan w:val="3"/>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98" w:lineRule="auto"/>
        <w:tabs>
          <w:tab w:leader="none" w:pos="8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recorded referral fees as other income when other consulting services providers successfully engaged by customer and paid the Group referral fee.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Chief Executive Officer</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Poh Kiong Tan</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Foodtech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from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995,563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995,563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to this related party with no fixed term of repayment and interest. The Group has</w:t>
      </w:r>
    </w:p>
    <w:p>
      <w:pPr>
        <w:spacing w:after="0" w:line="26"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received the $995,563 in September</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2023.</w:t>
            </w:r>
          </w:p>
        </w:tc>
      </w:tr>
    </w:tbl>
    <w:p>
      <w:pPr>
        <w:spacing w:after="0" w:line="155"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40,197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59" w:hanging="426"/>
        <w:spacing w:after="0" w:line="269" w:lineRule="auto"/>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56,337</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899" w:hanging="426"/>
        <w:spacing w:after="0" w:line="298" w:lineRule="auto"/>
        <w:tabs>
          <w:tab w:leader="none" w:pos="8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2022, QZT received contribution from Poh Kiong Tan. The contribution was implemented to reduce the outstanding balance due to Poh Kiong Tan by $36,266.</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24"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6"/>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14%</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29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0"/>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45%</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6"/>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102870</wp:posOffset>
            </wp:positionV>
            <wp:extent cx="1320165" cy="368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201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right="53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February 20,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leak-out agreement between the Selling Shareholder and the Company.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Shareholder ADSs offered by the Selling Shareholder may be sold by the Selling Shareholder from time-to-time in the open market, through privately negotiated transactions or a combination of these methods, at market prices prevailing at the time of sale or at negotiated prices. We will not receive any of the proceeds from the sale of the Shareholder ADSs by the Selling Shareholder.</w:t>
      </w:r>
    </w:p>
    <w:p>
      <w:pPr>
        <w:spacing w:after="0" w:line="112"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9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Since there is currently no public market established for our securities, the Selling Shareholder will sell at a price between US$5.00 to US$7.00 per ADS, the price at which we sell ADSs in our public offering pursuant to the registration statement of which this prospectus is a part. 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w:t>
      </w:r>
    </w:p>
    <w:p>
      <w:pPr>
        <w:spacing w:after="0" w:line="12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of the Shareholder ADSs by the Selling Shareholder and the offering of the Public Offering ADSs,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20"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05"/>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4420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7310" cy="644207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the Selling Shareholder</w:t>
      </w:r>
    </w:p>
    <w:p>
      <w:pPr>
        <w:spacing w:after="0" w:line="200" w:lineRule="exact"/>
        <w:rPr>
          <w:sz w:val="20"/>
          <w:szCs w:val="20"/>
          <w:color w:val="auto"/>
        </w:rPr>
      </w:pPr>
    </w:p>
    <w:p>
      <w:pPr>
        <w:spacing w:after="0" w:line="201" w:lineRule="exact"/>
        <w:rPr>
          <w:sz w:val="20"/>
          <w:szCs w:val="20"/>
          <w:color w:val="auto"/>
        </w:rPr>
      </w:pPr>
    </w:p>
    <w:p>
      <w:pPr>
        <w:ind w:left="720" w:right="6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Ordinary Shares outstanding before the 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76" w:lineRule="exact"/>
        <w:rPr>
          <w:sz w:val="20"/>
          <w:szCs w:val="20"/>
          <w:color w:val="auto"/>
        </w:rPr>
      </w:pPr>
    </w:p>
    <w:p>
      <w:pPr>
        <w:ind w:left="720" w:right="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Ordinary Shares to be outstanding after our offering of the Public Offering ADSs:</w:t>
      </w:r>
    </w:p>
    <w:p>
      <w:pPr>
        <w:spacing w:after="0" w:line="144" w:lineRule="exact"/>
        <w:rPr>
          <w:sz w:val="20"/>
          <w:szCs w:val="20"/>
          <w:color w:val="auto"/>
        </w:rPr>
      </w:pPr>
    </w:p>
    <w:p>
      <w:pPr>
        <w:ind w:left="72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rFonts w:ascii="Times New Roman" w:cs="Times New Roman" w:eastAsia="Times New Roman" w:hAnsi="Times New Roman"/>
          <w:sz w:val="20"/>
          <w:szCs w:val="20"/>
          <w:b w:val="1"/>
          <w:bCs w:val="1"/>
          <w:color w:val="auto"/>
          <w:vertAlign w:val="superscript"/>
        </w:rPr>
        <w:t>(2)</w:t>
      </w:r>
    </w:p>
    <w:p>
      <w:pPr>
        <w:spacing w:after="0" w:line="276" w:lineRule="exact"/>
        <w:rPr>
          <w:sz w:val="20"/>
          <w:szCs w:val="20"/>
          <w:color w:val="auto"/>
        </w:rPr>
      </w:pPr>
    </w:p>
    <w:p>
      <w:pPr>
        <w:ind w:left="720" w:right="60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outstanding immediately after this offering</w:t>
      </w:r>
    </w:p>
    <w:p>
      <w:pPr>
        <w:spacing w:after="0" w:line="3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3,125,000 ADSs representing 25,000,000 Class B ordinary shares.</w:t>
      </w:r>
    </w:p>
    <w:p>
      <w:pPr>
        <w:spacing w:after="0" w:line="337"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351"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351"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4,925,000 ADSs representing 39,400,000 Class B ordinary shares.</w:t>
      </w:r>
    </w:p>
    <w:p>
      <w:pPr>
        <w:spacing w:after="0" w:line="351"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135" w:lineRule="exact"/>
        <w:rPr>
          <w:sz w:val="20"/>
          <w:szCs w:val="20"/>
          <w:color w:val="auto"/>
        </w:rPr>
      </w:pPr>
    </w:p>
    <w:p>
      <w:pPr>
        <w:ind w:right="559"/>
        <w:spacing w:after="0" w:line="258" w:lineRule="auto"/>
        <w:rPr>
          <w:sz w:val="20"/>
          <w:szCs w:val="20"/>
          <w:color w:val="auto"/>
        </w:rPr>
      </w:pPr>
      <w:r>
        <w:rPr>
          <w:rFonts w:ascii="Times New Roman" w:cs="Times New Roman" w:eastAsia="Times New Roman" w:hAnsi="Times New Roman"/>
          <w:sz w:val="18"/>
          <w:szCs w:val="18"/>
          <w:color w:val="auto"/>
        </w:rPr>
        <w:t>Since there is currently no public market established for our securities, the Selling Shareholder will sell at a price between US$5.00 and US$7.00 per ADS, the offering price which we sell our ADSs in our offering of the Public Offering ADSs pursuant to the registration statement of which this prospectus is a part.</w:t>
      </w:r>
    </w:p>
    <w:p>
      <w:pPr>
        <w:spacing w:after="0" w:line="116"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w:t>
      </w:r>
    </w:p>
    <w:p>
      <w:pPr>
        <w:spacing w:after="0" w:line="148" w:lineRule="exact"/>
        <w:rPr>
          <w:sz w:val="20"/>
          <w:szCs w:val="20"/>
          <w:color w:val="auto"/>
        </w:rPr>
      </w:pPr>
    </w:p>
    <w:p>
      <w:pPr>
        <w:ind w:right="659"/>
        <w:spacing w:after="0" w:line="282" w:lineRule="auto"/>
        <w:rPr>
          <w:sz w:val="20"/>
          <w:szCs w:val="20"/>
          <w:color w:val="auto"/>
        </w:rPr>
      </w:pPr>
      <w:r>
        <w:rPr>
          <w:rFonts w:ascii="Times New Roman" w:cs="Times New Roman" w:eastAsia="Times New Roman" w:hAnsi="Times New Roman"/>
          <w:sz w:val="18"/>
          <w:szCs w:val="18"/>
          <w:color w:val="auto"/>
        </w:rPr>
        <w:t>We have applied to have the ADSs listed on the Nasdaq Capital Market under the symbol “TDTH.”</w:t>
      </w:r>
    </w:p>
    <w:p>
      <w:pPr>
        <w:spacing w:after="0" w:line="135" w:lineRule="exact"/>
        <w:rPr>
          <w:sz w:val="20"/>
          <w:szCs w:val="20"/>
          <w:color w:val="auto"/>
        </w:rPr>
      </w:pPr>
    </w:p>
    <w:p>
      <w:pPr>
        <w:jc w:val="both"/>
        <w:ind w:right="939"/>
        <w:spacing w:after="0" w:line="312"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ADSs by the Selling Shareholder named in this prospectus.</w:t>
      </w:r>
    </w:p>
    <w:p>
      <w:pPr>
        <w:spacing w:after="0" w:line="320" w:lineRule="exact"/>
        <w:rPr>
          <w:sz w:val="20"/>
          <w:szCs w:val="20"/>
          <w:color w:val="auto"/>
        </w:rPr>
      </w:pPr>
    </w:p>
    <w:p>
      <w:pPr>
        <w:sectPr>
          <w:pgSz w:w="11900" w:h="16838" w:orient="portrait"/>
          <w:cols w:equalWidth="0" w:num="2">
            <w:col w:w="3660" w:space="120"/>
            <w:col w:w="5239"/>
          </w:cols>
          <w:pgMar w:left="1440" w:top="270" w:right="1440" w:bottom="1440" w:gutter="0" w:footer="0" w:header="0"/>
          <w:type w:val="continuous"/>
        </w:sectPr>
      </w:pPr>
    </w:p>
    <w:p>
      <w:pPr>
        <w:ind w:left="980" w:right="1019" w:hanging="436"/>
        <w:spacing w:after="0" w:line="269" w:lineRule="auto"/>
        <w:tabs>
          <w:tab w:leader="none" w:pos="9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2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3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jc w:val="both"/>
        <w:ind w:left="880" w:right="559" w:hanging="426"/>
        <w:spacing w:after="0" w:line="276"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 We will not receive any of the proceeds from the sale of the Shareholder ADSs.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disposing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ADSs:</w:t>
      </w:r>
    </w:p>
    <w:p>
      <w:pPr>
        <w:spacing w:after="0" w:line="139" w:lineRule="exact"/>
        <w:rPr>
          <w:sz w:val="20"/>
          <w:szCs w:val="20"/>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44"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spacing w:after="0" w:line="12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spacing w:after="0" w:line="11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spacing w:after="0" w:line="10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Leak-out Agreement</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to enter into a leak-out agreement with the Company pursuant to which the Selling Shareholder would agree not to sell 1,925,000 ADSs of the Shareholder ADSs, or the Relevant Resale Shares, for a period of 60 days after the date this registration statement is declared effective, except as follows:</w:t>
      </w:r>
    </w:p>
    <w:p>
      <w:pPr>
        <w:spacing w:after="0" w:line="112" w:lineRule="exact"/>
        <w:rPr>
          <w:sz w:val="20"/>
          <w:szCs w:val="20"/>
          <w:color w:val="auto"/>
        </w:rPr>
      </w:pPr>
    </w:p>
    <w:p>
      <w:pPr>
        <w:ind w:left="1320" w:right="559" w:hanging="434"/>
        <w:spacing w:after="0" w:line="256" w:lineRule="auto"/>
        <w:tabs>
          <w:tab w:leader="none" w:pos="131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50% of the Relevant Resale Shares if (i) the Nasdaq official closing price of the ADSs of the Company as reported on nasdaq.com (“NOCP”) on any two consecutive trading days equals or exceeds 130% of the offer price per share in the initial public offering; and (ii) the average daily trading volume (as reported as the NLS Volume on nasdaq.com) (“Trading Volume”) of the ADSs on Nasdaq over such two consecutive trading days equals or exceeds 20,000 ADSs; and</w:t>
      </w:r>
    </w:p>
    <w:p>
      <w:pPr>
        <w:spacing w:after="0" w:line="119"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an additional 50% of the Relevant Resale Shares if (i) the NOCP on any two consecutive trading days equals or exceeds 160% of the offer price per share in the initial public offering; and (ii) the average daily Trading Volume of the ADSs on the Nasdaq over such two consecutive trading days equals or exceeds 20,000 ADSs.</w:t>
      </w:r>
    </w:p>
    <w:p>
      <w:pPr>
        <w:spacing w:after="0" w:line="99"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conditions in the above subparagraphs are mutually inclusive and one condition need not be met before the others take effect. For example, if the offer price in the initial public offering is US$5.00, the average NOCP of the ADSs is US$8.00 and the average Trading Volume of the ADSs on Nasdaq is 20,000 ADSs for any two consecutive days, then both of the above-mentioned conditions have been met and all of the Relevant Resale Shares can be sold collectively.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State law. The validity of the ordinary shares represented by the ADSs offered in this offering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other legal matters as to Cayman Islands law will be passed upon for us by Maples and Calder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(Hong Kong) LLP. Resource Law LLC (in alliance with Reed Smith) will pass upon certain legal matters as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law for us. Hogan Lovells may rely upon Maples and Calder (Hong Kong) LLP with respect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matters governed by Cayman Islands law and Resource Law LLC (in alliance with Reed Smith) with respect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matters governed by the Singapore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65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869315</wp:posOffset>
            </wp:positionV>
            <wp:extent cx="514350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912495</wp:posOffset>
            </wp:positionV>
            <wp:extent cx="514350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indemnification for us and our officers and directors for certain liabilities.</w:t>
      </w:r>
    </w:p>
    <w:p>
      <w:pPr>
        <w:spacing w:after="0" w:line="81"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499.99999</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Yat Hong Lo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Shisong Mai</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ind w:left="460" w:right="739" w:firstLine="432"/>
        <w:spacing w:after="0" w:line="289" w:lineRule="auto"/>
        <w:rPr>
          <w:sz w:val="20"/>
          <w:szCs w:val="20"/>
          <w:color w:val="auto"/>
        </w:rPr>
      </w:pPr>
      <w:r>
        <w:rPr>
          <w:rFonts w:ascii="Times New Roman" w:cs="Times New Roman" w:eastAsia="Times New Roman" w:hAnsi="Times New Roman"/>
          <w:sz w:val="17"/>
          <w:szCs w:val="17"/>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related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48" w:lineRule="exact"/>
        <w:rPr>
          <w:sz w:val="20"/>
          <w:szCs w:val="20"/>
          <w:color w:val="auto"/>
        </w:rPr>
      </w:pPr>
    </w:p>
    <w:p>
      <w:pPr>
        <w:ind w:left="1320" w:hanging="434"/>
        <w:spacing w:after="0"/>
        <w:tabs>
          <w:tab w:leader="none" w:pos="1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519" w:hanging="442"/>
        <w:spacing w:after="0" w:line="282" w:lineRule="auto"/>
        <w:tabs>
          <w:tab w:leader="none" w:pos="171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180" w:right="679" w:hanging="430"/>
        <w:spacing w:after="0" w:line="261" w:lineRule="auto"/>
        <w:tabs>
          <w:tab w:leader="none" w:pos="2143"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that, individually or in the aggregate, represent a fundamental change in the information in the registration statement.</w:t>
      </w:r>
    </w:p>
    <w:p>
      <w:pPr>
        <w:spacing w:after="0" w:line="112" w:lineRule="exact"/>
        <w:rPr>
          <w:sz w:val="20"/>
          <w:szCs w:val="20"/>
          <w:color w:val="auto"/>
        </w:rPr>
      </w:pPr>
    </w:p>
    <w:p>
      <w:pPr>
        <w:ind w:left="2180" w:right="459"/>
        <w:spacing w:after="0" w:line="255"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1" w:lineRule="exact"/>
        <w:rPr>
          <w:sz w:val="20"/>
          <w:szCs w:val="20"/>
          <w:color w:val="auto"/>
        </w:rPr>
      </w:pPr>
    </w:p>
    <w:p>
      <w:pPr>
        <w:ind w:left="2180" w:right="1059" w:hanging="430"/>
        <w:spacing w:after="0" w:line="266" w:lineRule="auto"/>
        <w:tabs>
          <w:tab w:leader="none" w:pos="215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ind w:left="1760" w:right="499" w:hanging="442"/>
        <w:spacing w:after="0" w:line="261" w:lineRule="auto"/>
        <w:tabs>
          <w:tab w:leader="none" w:pos="171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760" w:right="839" w:hanging="442"/>
        <w:spacing w:after="0" w:line="282" w:lineRule="auto"/>
        <w:tabs>
          <w:tab w:leader="none" w:pos="171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79" w:hanging="442"/>
        <w:spacing w:after="0" w:line="253" w:lineRule="auto"/>
        <w:tabs>
          <w:tab w:leader="none" w:pos="171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if such financial statements and information are contained in periodic reports filed with or furnished to the SEC by the registrant pursuant to Section 13 or Section 15(d) of the Exchange Act that are incorporated by reference in the Form F-3.</w:t>
      </w:r>
    </w:p>
    <w:p>
      <w:pPr>
        <w:spacing w:after="0" w:line="122"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44" w:lineRule="exact"/>
        <w:rPr>
          <w:rFonts w:ascii="Times New Roman" w:cs="Times New Roman" w:eastAsia="Times New Roman" w:hAnsi="Times New Roman"/>
          <w:sz w:val="18"/>
          <w:szCs w:val="18"/>
          <w:color w:val="auto"/>
        </w:rPr>
      </w:pPr>
    </w:p>
    <w:p>
      <w:pPr>
        <w:ind w:left="2620" w:right="479" w:hanging="438"/>
        <w:spacing w:after="0" w:line="266" w:lineRule="auto"/>
        <w:tabs>
          <w:tab w:leader="none" w:pos="2613"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620" w:right="559" w:hanging="438"/>
        <w:spacing w:after="0" w:line="267" w:lineRule="auto"/>
        <w:tabs>
          <w:tab w:leader="none" w:pos="2603" w:val="left"/>
        </w:tabs>
        <w:numPr>
          <w:ilvl w:val="2"/>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20" w:lineRule="exact"/>
        <w:rPr>
          <w:rFonts w:ascii="Times New Roman" w:cs="Times New Roman" w:eastAsia="Times New Roman" w:hAnsi="Times New Roman"/>
          <w:sz w:val="17"/>
          <w:szCs w:val="17"/>
          <w:color w:val="auto"/>
        </w:rPr>
      </w:pPr>
    </w:p>
    <w:p>
      <w:pPr>
        <w:ind w:left="2180" w:right="479" w:hanging="430"/>
        <w:spacing w:after="0" w:line="269" w:lineRule="auto"/>
        <w:tabs>
          <w:tab w:leader="none" w:pos="2143"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99" w:hanging="442"/>
        <w:spacing w:after="0" w:line="255" w:lineRule="auto"/>
        <w:tabs>
          <w:tab w:leader="none" w:pos="171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699" w:hanging="430"/>
        <w:spacing w:after="0" w:line="282" w:lineRule="auto"/>
        <w:tabs>
          <w:tab w:leader="none" w:pos="2147"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919" w:hanging="430"/>
        <w:spacing w:after="0" w:line="282" w:lineRule="auto"/>
        <w:tabs>
          <w:tab w:leader="none" w:pos="214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180" w:right="539" w:hanging="430"/>
        <w:spacing w:after="0" w:line="266" w:lineRule="auto"/>
        <w:tabs>
          <w:tab w:leader="none" w:pos="215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979" w:hanging="430"/>
        <w:spacing w:after="0" w:line="282" w:lineRule="auto"/>
        <w:tabs>
          <w:tab w:leader="none" w:pos="214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2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1760" w:right="539" w:hanging="442"/>
        <w:spacing w:after="0" w:line="258" w:lineRule="auto"/>
        <w:tabs>
          <w:tab w:leader="none" w:pos="171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760" w:right="679" w:hanging="442"/>
        <w:spacing w:after="0" w:line="261" w:lineRule="auto"/>
        <w:tabs>
          <w:tab w:leader="none" w:pos="171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Documents</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1.1**</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5">
        <w:r>
          <w:rPr>
            <w:rFonts w:ascii="Times New Roman" w:cs="Times New Roman" w:eastAsia="Times New Roman" w:hAnsi="Times New Roman"/>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7">
        <w:r>
          <w:rPr>
            <w:rFonts w:ascii="Times New Roman" w:cs="Times New Roman" w:eastAsia="Times New Roman" w:hAnsi="Times New Roman"/>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Times New Roman" w:cs="Times New Roman" w:eastAsia="Times New Roman" w:hAnsi="Times New Roman"/>
          <w:sz w:val="18"/>
          <w:szCs w:val="18"/>
          <w:u w:val="single" w:color="auto"/>
          <w:color w:val="0000EE"/>
        </w:rPr>
      </w:pPr>
      <w:hyperlink r:id="rId258">
        <w:r>
          <w:rPr>
            <w:rFonts w:ascii="Times New Roman" w:cs="Times New Roman" w:eastAsia="Times New Roman" w:hAnsi="Times New Roman"/>
            <w:sz w:val="18"/>
            <w:szCs w:val="18"/>
            <w:u w:val="single" w:color="auto"/>
            <w:color w:val="0000EE"/>
          </w:rPr>
          <w:t>Form of Amended and Restated Memorandum and Articles of Association of the Registrant, as</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5.1**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Form of Deposit Agreement between the Registrant, the depositary and holders of the American</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rFonts w:ascii="Times New Roman" w:cs="Times New Roman" w:eastAsia="Times New Roman" w:hAnsi="Times New Roman"/>
          <w:sz w:val="18"/>
          <w:szCs w:val="18"/>
          <w:u w:val="single" w:color="auto"/>
          <w:color w:val="0000EE"/>
        </w:rPr>
      </w:pPr>
      <w:hyperlink r:id="rId263">
        <w:r>
          <w:rPr>
            <w:rFonts w:ascii="Times New Roman" w:cs="Times New Roman" w:eastAsia="Times New Roman" w:hAnsi="Times New Roman"/>
            <w:sz w:val="18"/>
            <w:szCs w:val="18"/>
            <w:u w:val="single" w:color="auto"/>
            <w:color w:val="0000EE"/>
          </w:rPr>
          <w:t>Opinion of Maples and Calder (Hong Kong) LLP regarding the validity of the Class B ordinary</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shares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rFonts w:ascii="Times New Roman" w:cs="Times New Roman" w:eastAsia="Times New Roman" w:hAnsi="Times New Roman"/>
          <w:sz w:val="18"/>
          <w:szCs w:val="18"/>
          <w:u w:val="single" w:color="auto"/>
          <w:color w:val="0000EE"/>
        </w:rPr>
      </w:pPr>
      <w:hyperlink r:id="rId263">
        <w:r>
          <w:rPr>
            <w:rFonts w:ascii="Times New Roman" w:cs="Times New Roman" w:eastAsia="Times New Roman" w:hAnsi="Times New Roman"/>
            <w:sz w:val="18"/>
            <w:szCs w:val="18"/>
            <w:u w:val="single" w:color="auto"/>
            <w:color w:val="0000EE"/>
          </w:rPr>
          <w:t>Opinion of Maples and Calder (Hong Kong) LLP regarding certain Cayman Island tax matters</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(included in Exhibit 5.1)</w:t>
        </w:r>
      </w:hyperlink>
    </w:p>
    <w:p>
      <w:pPr>
        <w:spacing w:after="0" w:line="2" w:lineRule="exact"/>
        <w:rPr>
          <w:sz w:val="20"/>
          <w:szCs w:val="20"/>
          <w:color w:val="auto"/>
        </w:rPr>
      </w:pPr>
    </w:p>
    <w:p>
      <w:pPr>
        <w:ind w:right="919"/>
        <w:spacing w:after="0" w:line="273" w:lineRule="auto"/>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Opinion of Resource Law LLC (in alliance with Reed Smith) regarding certain Singapore tax</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99"/>
        <w:spacing w:after="0" w:line="318" w:lineRule="auto"/>
        <w:rPr>
          <w:rFonts w:ascii="Times New Roman" w:cs="Times New Roman" w:eastAsia="Times New Roman" w:hAnsi="Times New Roman"/>
          <w:sz w:val="18"/>
          <w:szCs w:val="18"/>
          <w:u w:val="single" w:color="auto"/>
          <w:color w:val="0000EE"/>
        </w:rPr>
      </w:pPr>
      <w:hyperlink r:id="rId267">
        <w:r>
          <w:rPr>
            <w:rFonts w:ascii="Times New Roman" w:cs="Times New Roman" w:eastAsia="Times New Roman" w:hAnsi="Times New Roman"/>
            <w:sz w:val="18"/>
            <w:szCs w:val="18"/>
            <w:u w:val="single" w:color="auto"/>
            <w:color w:val="0000EE"/>
          </w:rPr>
          <w:t>Form of Indemnification Agreement between the Registrant and its directors and executive officers</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Form of Employment Agreement, between the Registrant and its executive officers</w:t>
        </w:r>
      </w:hyperlink>
      <w:r>
        <w:rPr>
          <w:rFonts w:ascii="Times New Roman" w:cs="Times New Roman" w:eastAsia="Times New Roman" w:hAnsi="Times New Roman"/>
          <w:sz w:val="18"/>
          <w:szCs w:val="18"/>
          <w:u w:val="single" w:color="auto"/>
          <w:color w:val="0000EE"/>
        </w:rPr>
        <w:t xml:space="preserve"> </w:t>
      </w:r>
      <w:hyperlink r:id="rId269">
        <w:r>
          <w:rPr>
            <w:rFonts w:ascii="Times New Roman" w:cs="Times New Roman" w:eastAsia="Times New Roman" w:hAnsi="Times New Roman"/>
            <w:sz w:val="18"/>
            <w:szCs w:val="18"/>
            <w:u w:val="single" w:color="auto"/>
            <w:color w:val="0000EE"/>
          </w:rPr>
          <w:t>2023 Equity Incentive Plan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-347345</wp:posOffset>
            </wp:positionV>
            <wp:extent cx="514350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939"/>
        <w:spacing w:after="0" w:line="282" w:lineRule="auto"/>
        <w:rPr>
          <w:sz w:val="20"/>
          <w:szCs w:val="20"/>
          <w:color w:val="auto"/>
        </w:rPr>
      </w:pPr>
      <w:r>
        <w:rPr>
          <w:rFonts w:ascii="Times New Roman" w:cs="Times New Roman" w:eastAsia="Times New Roman" w:hAnsi="Times New Roman"/>
          <w:sz w:val="18"/>
          <w:szCs w:val="18"/>
          <w:u w:val="single" w:color="auto"/>
          <w:color w:val="0000EE"/>
        </w:rPr>
        <w:t>Form of Leak-out Agreement by and between the Company and Infinite Partner International Limited</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-296545</wp:posOffset>
            </wp:positionV>
            <wp:extent cx="5143500" cy="3003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72">
        <w:r>
          <w:rPr>
            <w:rFonts w:ascii="Times New Roman" w:cs="Times New Roman" w:eastAsia="Times New Roman" w:hAnsi="Times New Roman"/>
            <w:sz w:val="18"/>
            <w:szCs w:val="18"/>
            <w:u w:val="single" w:color="auto"/>
            <w:color w:val="0000EE"/>
          </w:rPr>
          <w:t>Principal Subsidiaries of the Registrant</w:t>
        </w:r>
      </w:hyperlink>
    </w:p>
    <w:p>
      <w:pPr>
        <w:spacing w:after="0" w:line="5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Marcum Asia CPAs LLP, Independent Registered Public Accounting Firm</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p>
      <w:pPr>
        <w:spacing w:after="0" w:line="77"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23.3**</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24.1**</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277"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8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8"/>
          <w:szCs w:val="18"/>
          <w:color w:val="auto"/>
        </w:rPr>
        <w:t>99.9</w:t>
      </w:r>
    </w:p>
    <w:p>
      <w:pPr>
        <w:spacing w:after="0" w:line="266" w:lineRule="exact"/>
        <w:rPr>
          <w:rFonts w:ascii="Times New Roman" w:cs="Times New Roman" w:eastAsia="Times New Roman" w:hAnsi="Times New Roman"/>
          <w:sz w:val="18"/>
          <w:szCs w:val="18"/>
          <w:u w:val="single" w:color="auto"/>
          <w:color w:val="0000EE"/>
        </w:rPr>
      </w:pPr>
    </w:p>
    <w:p>
      <w:pPr>
        <w:jc w:val="center"/>
        <w:ind w:left="42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84"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63">
        <w:r>
          <w:rPr>
            <w:rFonts w:ascii="Times New Roman" w:cs="Times New Roman" w:eastAsia="Times New Roman" w:hAnsi="Times New Roman"/>
            <w:sz w:val="18"/>
            <w:szCs w:val="18"/>
            <w:u w:val="single" w:color="auto"/>
            <w:color w:val="0000EE"/>
          </w:rPr>
          <w:t>Consent of Maples and Calder (Hong Kong) LLP (included in Exhibit 5.1)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Consent of Resource Law LLC (in alliance with Reed Smith)(included in Exhibit 99.2)</w:t>
        </w:r>
      </w:hyperlink>
    </w:p>
    <w:p>
      <w:pPr>
        <w:spacing w:after="0" w:line="7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75">
        <w:r>
          <w:rPr>
            <w:rFonts w:ascii="Times New Roman" w:cs="Times New Roman" w:eastAsia="Times New Roman" w:hAnsi="Times New Roman"/>
            <w:sz w:val="18"/>
            <w:szCs w:val="18"/>
            <w:u w:val="single" w:color="auto"/>
            <w:color w:val="0000EE"/>
          </w:rPr>
          <w:t>Powers of Attorney (included on signature page)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277">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50" w:lineRule="exact"/>
        <w:rPr>
          <w:rFonts w:ascii="Times New Roman" w:cs="Times New Roman" w:eastAsia="Times New Roman" w:hAnsi="Times New Roman"/>
          <w:sz w:val="18"/>
          <w:szCs w:val="18"/>
          <w:u w:val="single" w:color="auto"/>
          <w:color w:val="0000EE"/>
        </w:rPr>
      </w:pPr>
    </w:p>
    <w:p>
      <w:pPr>
        <w:ind w:right="879"/>
        <w:spacing w:after="0" w:line="282" w:lineRule="auto"/>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Opinion of Resource Law LLC (in alliance with Reed Smith) regarding certain Singapore law</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2540</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79">
        <w:r>
          <w:rPr>
            <w:rFonts w:ascii="Times New Roman" w:cs="Times New Roman" w:eastAsia="Times New Roman" w:hAnsi="Times New Roman"/>
            <w:sz w:val="18"/>
            <w:szCs w:val="18"/>
            <w:u w:val="single" w:color="auto"/>
            <w:color w:val="0000EE"/>
          </w:rPr>
          <w:t>Consent of Frost &amp; Sullivan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0">
        <w:r>
          <w:rPr>
            <w:rFonts w:ascii="Times New Roman" w:cs="Times New Roman" w:eastAsia="Times New Roman" w:hAnsi="Times New Roman"/>
            <w:sz w:val="18"/>
            <w:szCs w:val="18"/>
            <w:u w:val="single" w:color="auto"/>
            <w:color w:val="0000EE"/>
          </w:rPr>
          <w:t>Consent of Poh Kiong Tan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2">
        <w:r>
          <w:rPr>
            <w:rFonts w:ascii="Times New Roman" w:cs="Times New Roman" w:eastAsia="Times New Roman" w:hAnsi="Times New Roman"/>
            <w:sz w:val="18"/>
            <w:szCs w:val="18"/>
            <w:u w:val="single" w:color="auto"/>
            <w:color w:val="0000EE"/>
          </w:rPr>
          <w:t>Consent of How Teck Lim</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3">
        <w:r>
          <w:rPr>
            <w:rFonts w:ascii="Times New Roman" w:cs="Times New Roman" w:eastAsia="Times New Roman" w:hAnsi="Times New Roman"/>
            <w:sz w:val="18"/>
            <w:szCs w:val="18"/>
            <w:u w:val="single" w:color="auto"/>
            <w:color w:val="0000EE"/>
          </w:rPr>
          <w:t>Consent of Noi Keng Koh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5">
        <w:r>
          <w:rPr>
            <w:rFonts w:ascii="Times New Roman" w:cs="Times New Roman" w:eastAsia="Times New Roman" w:hAnsi="Times New Roman"/>
            <w:sz w:val="18"/>
            <w:szCs w:val="18"/>
            <w:u w:val="single" w:color="auto"/>
            <w:color w:val="0000EE"/>
          </w:rPr>
          <w:t>Consent of Chwee Koh Chua</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6">
        <w:r>
          <w:rPr>
            <w:rFonts w:ascii="Times New Roman" w:cs="Times New Roman" w:eastAsia="Times New Roman" w:hAnsi="Times New Roman"/>
            <w:sz w:val="18"/>
            <w:szCs w:val="18"/>
            <w:u w:val="single" w:color="auto"/>
            <w:color w:val="0000EE"/>
          </w:rPr>
          <w:t>Representation Under Item 8.A.4 of Form 20-F</w:t>
        </w:r>
      </w:hyperlink>
    </w:p>
    <w:p>
      <w:pPr>
        <w:spacing w:after="0" w:line="50"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u w:val="single" w:color="auto"/>
          <w:color w:val="0000EE"/>
        </w:rPr>
        <w:t>Share Purchase Agreement dated January 22, 2024 by and between Tri Wealth Ltd and Infinite Partner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-296545</wp:posOffset>
            </wp:positionV>
            <wp:extent cx="5143500" cy="300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88">
        <w:r>
          <w:rPr>
            <w:rFonts w:ascii="Times New Roman" w:cs="Times New Roman" w:eastAsia="Times New Roman" w:hAnsi="Times New Roman"/>
            <w:sz w:val="18"/>
            <w:szCs w:val="18"/>
            <w:u w:val="single" w:color="auto"/>
            <w:color w:val="0000EE"/>
          </w:rPr>
          <w:t>Filing Fee Table</w:t>
        </w:r>
      </w:hyperlink>
    </w:p>
    <w:p>
      <w:pPr>
        <w:spacing w:after="0" w:line="108"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February 20, 2024.</w:t>
      </w:r>
    </w:p>
    <w:p>
      <w:pPr>
        <w:spacing w:after="0" w:line="2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51435</wp:posOffset>
            </wp:positionV>
            <wp:extent cx="22459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c>
          <w:tcPr>
            <w:tcW w:w="0" w:type="dxa"/>
            <w:vAlign w:val="bottom"/>
          </w:tcPr>
          <w:p>
            <w:pPr>
              <w:spacing w:after="0"/>
              <w:rPr>
                <w:sz w:val="1"/>
                <w:szCs w:val="1"/>
                <w:color w:val="auto"/>
              </w:rPr>
            </w:pPr>
          </w:p>
        </w:tc>
      </w:tr>
      <w:tr>
        <w:trPr>
          <w:trHeight w:val="41"/>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II-6</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February 20, 2024.</w:t>
      </w:r>
    </w:p>
    <w:p>
      <w:pPr>
        <w:spacing w:after="0" w:line="2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51435</wp:posOffset>
            </wp:positionV>
            <wp:extent cx="16198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LEAK-OUT AGREEMENT</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LEAK-OUT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 2024 by and among the following parties:</w:t>
      </w:r>
    </w:p>
    <w:p>
      <w:pPr>
        <w:spacing w:after="0" w:line="225" w:lineRule="exact"/>
        <w:rPr>
          <w:sz w:val="20"/>
          <w:szCs w:val="20"/>
          <w:color w:val="auto"/>
        </w:rPr>
      </w:pPr>
    </w:p>
    <w:p>
      <w:pPr>
        <w:ind w:left="620" w:hanging="61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Infinite Partner International Limited, a company organized and existing under the laws of British Virgin Islands (the “</w:t>
      </w:r>
      <w:r>
        <w:rPr>
          <w:rFonts w:ascii="Times New Roman" w:cs="Times New Roman" w:eastAsia="Times New Roman" w:hAnsi="Times New Roman"/>
          <w:sz w:val="18"/>
          <w:szCs w:val="18"/>
          <w:b w:val="1"/>
          <w:bCs w:val="1"/>
          <w:color w:val="auto"/>
        </w:rPr>
        <w:t>Leak-out Party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Digital Tech Holdings Ltd, a company incorporated and existing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mean the Leak-out Party and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construed accordingly.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620" w:right="120" w:hanging="612"/>
        <w:spacing w:after="0" w:line="262"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pursuant to the Share Purchase Agreement dated 22 January 2024 by and between the Leak-out Party and Tri Wealth Ltd (“</w:t>
      </w:r>
      <w:r>
        <w:rPr>
          <w:rFonts w:ascii="Times New Roman" w:cs="Times New Roman" w:eastAsia="Times New Roman" w:hAnsi="Times New Roman"/>
          <w:sz w:val="18"/>
          <w:szCs w:val="18"/>
          <w:b w:val="1"/>
          <w:bCs w:val="1"/>
          <w:color w:val="auto"/>
        </w:rPr>
        <w:t>Tri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Wealth</w:t>
      </w:r>
      <w:r>
        <w:rPr>
          <w:rFonts w:ascii="Times New Roman" w:cs="Times New Roman" w:eastAsia="Times New Roman" w:hAnsi="Times New Roman"/>
          <w:sz w:val="18"/>
          <w:szCs w:val="18"/>
          <w:color w:val="auto"/>
        </w:rPr>
        <w:t>”), a company limited by shares incorporated in British Virgin Islands and wholly owned by Mr. Soon Huat Lim, the chairman of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chief executive officer of the Company, the Leak-out Party acquired 25,000,000 Class B ordinary shares, par value US$0.00001 per share, of the Company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from Tri Wealth; and</w:t>
      </w:r>
    </w:p>
    <w:p>
      <w:pPr>
        <w:spacing w:after="0" w:line="176" w:lineRule="exact"/>
        <w:rPr>
          <w:rFonts w:ascii="Times New Roman" w:cs="Times New Roman" w:eastAsia="Times New Roman" w:hAnsi="Times New Roman"/>
          <w:sz w:val="18"/>
          <w:szCs w:val="18"/>
          <w:color w:val="auto"/>
        </w:rPr>
      </w:pPr>
    </w:p>
    <w:p>
      <w:pPr>
        <w:ind w:left="620" w:right="340" w:hanging="612"/>
        <w:spacing w:after="0" w:line="262"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Company has filed a registration statement on Form F-1 (File No. 333-274857)(the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public offering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eight Class B Ordinary Shares of the Company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which Registration Statement includes a separate prospectus for the registration for resale of 3,125,000 ADSs representing the 25,000,000 Class B Ordinary Shares held by the Leak-out Party (the “</w:t>
      </w:r>
      <w:r>
        <w:rPr>
          <w:rFonts w:ascii="Times New Roman" w:cs="Times New Roman" w:eastAsia="Times New Roman" w:hAnsi="Times New Roman"/>
          <w:sz w:val="18"/>
          <w:szCs w:val="18"/>
          <w:b w:val="1"/>
          <w:bCs w:val="1"/>
          <w:color w:val="auto"/>
        </w:rPr>
        <w:t>Registered ADSs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NOW, THEREFORE, in consideration of the mutual promises, covenants and conditions hereinafter set forth, the Parties agree as follows:</w:t>
      </w:r>
    </w:p>
    <w:p>
      <w:pPr>
        <w:spacing w:after="0" w:line="225"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LEAK-OUT AGREEMENT</w:t>
      </w:r>
    </w:p>
    <w:p>
      <w:pPr>
        <w:spacing w:after="0" w:line="221" w:lineRule="exact"/>
        <w:rPr>
          <w:sz w:val="20"/>
          <w:szCs w:val="20"/>
          <w:color w:val="auto"/>
        </w:rPr>
      </w:pPr>
    </w:p>
    <w:p>
      <w:pPr>
        <w:ind w:left="620" w:right="20" w:hanging="606"/>
        <w:spacing w:after="0" w:line="271" w:lineRule="auto"/>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 xml:space="preserve">The Leak-out Party agrees that, for a period of 60 days commencing from the date of the effective date of the Registration Statement (the “ </w:t>
      </w:r>
      <w:r>
        <w:rPr>
          <w:rFonts w:ascii="Times New Roman" w:cs="Times New Roman" w:eastAsia="Times New Roman" w:hAnsi="Times New Roman"/>
          <w:sz w:val="17"/>
          <w:szCs w:val="17"/>
          <w:b w:val="1"/>
          <w:bCs w:val="1"/>
          <w:color w:val="auto"/>
        </w:rPr>
        <w:t>Leak-Out Period</w:t>
      </w:r>
      <w:r>
        <w:rPr>
          <w:rFonts w:ascii="Times New Roman" w:cs="Times New Roman" w:eastAsia="Times New Roman" w:hAnsi="Times New Roman"/>
          <w:sz w:val="17"/>
          <w:szCs w:val="17"/>
          <w:color w:val="auto"/>
        </w:rPr>
        <w:t>”), it will not: (1) offer, pledge, announce the intention to sell, sell, contract to sell, sell any option or contract to purchase, purchase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or contract to sell, grant any option, right or warrant to purchase, make any short sale or otherwise transfer or dispose of, directly or indirectly, 1,925,000 ADSs of the Registered ADSs (the “</w:t>
      </w:r>
      <w:r>
        <w:rPr>
          <w:rFonts w:ascii="Times New Roman" w:cs="Times New Roman" w:eastAsia="Times New Roman" w:hAnsi="Times New Roman"/>
          <w:sz w:val="17"/>
          <w:szCs w:val="17"/>
          <w:b w:val="1"/>
          <w:bCs w:val="1"/>
          <w:color w:val="auto"/>
        </w:rPr>
        <w:t>Leak-out ADSs</w:t>
      </w:r>
      <w:r>
        <w:rPr>
          <w:rFonts w:ascii="Times New Roman" w:cs="Times New Roman" w:eastAsia="Times New Roman" w:hAnsi="Times New Roman"/>
          <w:sz w:val="17"/>
          <w:szCs w:val="17"/>
          <w:color w:val="auto"/>
        </w:rPr>
        <w:t>”); (2) enter into any swap or other agreement that transfers, in whole or in part, any of the economic consequences of ownership of the Leak-out ADSs, whether any such transaction described in clause (1) above or this clause (2) is to be settled by delivery of the Leak-out ADSs or such other securities, in cash or otherwise; or (3) publicly disclose the intention to do any of the foregoing. For purposes herein,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Person (which means an individual or corporation, partnership, trust, incorporated or unincorporated association, joint venture, limited liability company, joint stock company, governmental authority or other entity of any kind), any other Person that, directly or indirectly through one or more intermediaries, controls or is controlled by or is under common control with such Person as such terms are used in and construed under Rule 405 under the Securities Act of 1933, as amended.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0" w:name="page191"/>
    <w:bookmarkEnd w:id="190"/>
    <w:p>
      <w:pPr>
        <w:ind w:left="620" w:right="4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Leak-out Party agrees that the foregoing restrictions preclude the Leak-out Party from engaging in any hedging or other transaction which is designed to or which reasonably could be expected to lead to or result in a sale or disposition of the Leak-out ADSs even if such Leak-out ADSs would be disposed of by someone other than the Leak-out Party. Such prohibited hedging or other transactions would include any short sale or any purchase, sale or grant of any right (including any put or call option) with respect to any of the Leak-out ADSs or with respect to any security that includes, relates to, or derives any significant part of its value from such Leak-out ADSs.</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Notwithstanding the restrictions set forth herein, following the date of the closing of the Offering, the Leak-out Party may sell a portion of its</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Leak-out ADSs during the Leak-Out Period if the following conditions are satisfied:</w:t>
      </w:r>
    </w:p>
    <w:p>
      <w:pPr>
        <w:spacing w:after="0" w:line="203" w:lineRule="exact"/>
        <w:rPr>
          <w:sz w:val="20"/>
          <w:szCs w:val="20"/>
          <w:color w:val="auto"/>
        </w:rPr>
      </w:pPr>
    </w:p>
    <w:p>
      <w:pPr>
        <w:ind w:left="620" w:right="120" w:hanging="612"/>
        <w:spacing w:after="0" w:line="257" w:lineRule="auto"/>
        <w:tabs>
          <w:tab w:leader="none" w:pos="6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Nasdaq official closing price of the ADSs (as reported on nasdaq.com) (the “</w:t>
      </w:r>
      <w:r>
        <w:rPr>
          <w:rFonts w:ascii="Times New Roman" w:cs="Times New Roman" w:eastAsia="Times New Roman" w:hAnsi="Times New Roman"/>
          <w:sz w:val="18"/>
          <w:szCs w:val="18"/>
          <w:b w:val="1"/>
          <w:bCs w:val="1"/>
          <w:color w:val="auto"/>
        </w:rPr>
        <w:t>NOCP</w:t>
      </w:r>
      <w:r>
        <w:rPr>
          <w:rFonts w:ascii="Times New Roman" w:cs="Times New Roman" w:eastAsia="Times New Roman" w:hAnsi="Times New Roman"/>
          <w:sz w:val="18"/>
          <w:szCs w:val="18"/>
          <w:color w:val="auto"/>
        </w:rPr>
        <w:t>”) equals or exceeds the price is 130% of the public offering price per ADS in the Offering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for two (2) consecutive trading days and (ii) the average daily trading volume of the ADSs (as reported as the NLS Volume on nasdaq.com) (the “</w:t>
      </w:r>
      <w:r>
        <w:rPr>
          <w:rFonts w:ascii="Times New Roman" w:cs="Times New Roman" w:eastAsia="Times New Roman" w:hAnsi="Times New Roman"/>
          <w:sz w:val="18"/>
          <w:szCs w:val="18"/>
          <w:b w:val="1"/>
          <w:bCs w:val="1"/>
          <w:color w:val="auto"/>
        </w:rPr>
        <w:t>Trading Volume</w:t>
      </w:r>
      <w:r>
        <w:rPr>
          <w:rFonts w:ascii="Times New Roman" w:cs="Times New Roman" w:eastAsia="Times New Roman" w:hAnsi="Times New Roman"/>
          <w:sz w:val="18"/>
          <w:szCs w:val="18"/>
          <w:color w:val="auto"/>
        </w:rPr>
        <w:t>”) for the same two (2) consecutive trading days equals or exceeds 20,000 ADSs (the trading day on which condition (i) and (ii) in this subparagraph are satisfied, the “</w:t>
      </w:r>
      <w:r>
        <w:rPr>
          <w:rFonts w:ascii="Times New Roman" w:cs="Times New Roman" w:eastAsia="Times New Roman" w:hAnsi="Times New Roman"/>
          <w:sz w:val="18"/>
          <w:szCs w:val="18"/>
          <w:b w:val="1"/>
          <w:bCs w:val="1"/>
          <w:color w:val="auto"/>
        </w:rPr>
        <w:t>Condition Satisfaction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on and after the trading day following the Condition Satisfaction Date, the Leak-out Party may sell up to a number of ADSs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of its Leak-out ADSs; and</w:t>
      </w:r>
    </w:p>
    <w:p>
      <w:pPr>
        <w:spacing w:after="0" w:line="186" w:lineRule="exact"/>
        <w:rPr>
          <w:rFonts w:ascii="Times New Roman" w:cs="Times New Roman" w:eastAsia="Times New Roman" w:hAnsi="Times New Roman"/>
          <w:sz w:val="18"/>
          <w:szCs w:val="18"/>
          <w:color w:val="auto"/>
        </w:rPr>
      </w:pPr>
    </w:p>
    <w:p>
      <w:pPr>
        <w:ind w:left="620" w:hanging="612"/>
        <w:spacing w:after="0" w:line="261" w:lineRule="auto"/>
        <w:tabs>
          <w:tab w:leader="none" w:pos="6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NOCP of the ADSs equals or exceeds the price is 160% of the Public Offering Price for two (2) consecutive trading days and (ii) the average Trading Volume of the ADSs for the same two (2) consecutive trading days equals or exceeds 20,000 ADSs (the trading day on which condition (i) and (ii) in this subparagraph are satisfied, the “</w:t>
      </w:r>
      <w:r>
        <w:rPr>
          <w:rFonts w:ascii="Times New Roman" w:cs="Times New Roman" w:eastAsia="Times New Roman" w:hAnsi="Times New Roman"/>
          <w:sz w:val="18"/>
          <w:szCs w:val="18"/>
          <w:b w:val="1"/>
          <w:bCs w:val="1"/>
          <w:color w:val="auto"/>
        </w:rPr>
        <w:t>Second Condition Satisfaction Date</w:t>
      </w:r>
      <w:r>
        <w:rPr>
          <w:rFonts w:ascii="Times New Roman" w:cs="Times New Roman" w:eastAsia="Times New Roman" w:hAnsi="Times New Roman"/>
          <w:sz w:val="18"/>
          <w:szCs w:val="18"/>
          <w:color w:val="auto"/>
        </w:rPr>
        <w:t>”), then on and after the trading day following the Second Condition Satisfaction Date, the Leak-out Party may sell up to an additional number of ADSs equal to 50% of its Leak-out ADSs.</w:t>
      </w:r>
    </w:p>
    <w:p>
      <w:pPr>
        <w:spacing w:after="0" w:line="180" w:lineRule="exact"/>
        <w:rPr>
          <w:sz w:val="20"/>
          <w:szCs w:val="20"/>
          <w:color w:val="auto"/>
        </w:rPr>
      </w:pPr>
    </w:p>
    <w:p>
      <w:pPr>
        <w:ind w:left="620" w:right="30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For the avoidance of doubt, one tranche of the leak out need not be met before the other tranche takes effect. For example, if the NOCP of the ADSs for two (2) consecutive days equals or exceeds 160% of the Public Offering Price and the average Trading Volume for such two (2) days exceeds 20,000 ADSs, then all ADSs under this leak out are permitted to be sold without further restrictions or conditions.</w:t>
      </w:r>
    </w:p>
    <w:p>
      <w:pPr>
        <w:spacing w:after="0" w:line="176" w:lineRule="exact"/>
        <w:rPr>
          <w:sz w:val="20"/>
          <w:szCs w:val="20"/>
          <w:color w:val="auto"/>
        </w:rPr>
      </w:pPr>
    </w:p>
    <w:p>
      <w:pPr>
        <w:ind w:left="620" w:right="14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In furtherance of the foregoing, the Company and its transfer agent and registrar are hereby authorized to decline to make any transfer of ADSs if such transfer would constitute a violation or breach of this Agreement.</w:t>
      </w:r>
    </w:p>
    <w:p>
      <w:pPr>
        <w:spacing w:after="0" w:line="162"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LEAK-OUT PARTY</w:t>
      </w:r>
    </w:p>
    <w:p>
      <w:pPr>
        <w:spacing w:after="0" w:line="225" w:lineRule="exact"/>
        <w:rPr>
          <w:sz w:val="20"/>
          <w:szCs w:val="20"/>
          <w:color w:val="auto"/>
        </w:rPr>
      </w:pPr>
    </w:p>
    <w:p>
      <w:pPr>
        <w:ind w:left="620" w:right="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Leak-out Party hereby represents and warrants that it has full power and authority to enter into this Agreement and that upon request, it will execute any additional documents necessary to ensure the validity or enforcement of this Agreement. All authority herein conferred or agreed to be conferred and any obligations of the Leak-out Party shall be binding upon the successors and assigns of the Leak-out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1" w:name="page192"/>
    <w:bookmarkEnd w:id="191"/>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20" w:right="240" w:hanging="612"/>
        <w:spacing w:after="0" w:line="282" w:lineRule="auto"/>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Singapore, without reference to its conflict of laws principles.</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submit to the non-exclusive jurisdiction of the courts of Singapore.</w:t>
      </w:r>
    </w:p>
    <w:p>
      <w:pPr>
        <w:spacing w:after="0" w:line="225" w:lineRule="exact"/>
        <w:rPr>
          <w:sz w:val="20"/>
          <w:szCs w:val="20"/>
          <w:color w:val="auto"/>
        </w:rPr>
      </w:pPr>
    </w:p>
    <w:p>
      <w:pPr>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the provisions hereof shall inure to the benefit of, and be binding upon,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successors, permitted assigns, heirs, executors and administrators of the Parties. No Party shall (nor shall it purport to) assign, transfer, charge or otherwise deal with all or any of its rights under this Agreement nor grant, declare or dispose of any right or interest in it without the prior written consent of the other Parties.</w:t>
      </w:r>
    </w:p>
    <w:p>
      <w:pPr>
        <w:spacing w:after="0" w:line="180" w:lineRule="exact"/>
        <w:rPr>
          <w:sz w:val="20"/>
          <w:szCs w:val="20"/>
          <w:color w:val="auto"/>
        </w:rPr>
      </w:pPr>
    </w:p>
    <w:p>
      <w:pPr>
        <w:ind w:left="620" w:right="26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Share Purchase Agreement and the schedules and exhibits hereto and thereto as applicable, which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hereby expressly incorporated herein by this reference, constitute the entire understanding and agreement between the Parties with regard to the subjects hereof and thereof and supersede any prior agreement (whether oral or written) relating to the transactions contemplated in this Agreement.</w:t>
      </w:r>
    </w:p>
    <w:p>
      <w:pPr>
        <w:spacing w:after="0" w:line="180" w:lineRule="exact"/>
        <w:rPr>
          <w:sz w:val="20"/>
          <w:szCs w:val="20"/>
          <w:color w:val="auto"/>
        </w:rPr>
      </w:pPr>
    </w:p>
    <w:p>
      <w:pPr>
        <w:ind w:left="620" w:right="24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may be otherwise provided herein, all notices, requests, waivers and other communications made pursuant to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shall be in writing and shall be conclusively deemed to have been duly given: (a) when hand delivered to a Party; (b) when sent by email at the time the email is sent or (c) three (3) business days after deposit with an internationally reputable delivery service provider, postage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sending Party receives a confirmation of delivery from the delivery service provider.</w:t>
      </w:r>
    </w:p>
    <w:p>
      <w:pPr>
        <w:sectPr>
          <w:pgSz w:w="11900" w:h="16838" w:orient="portrait"/>
          <w:cols w:equalWidth="0" w:num="1">
            <w:col w:w="11220"/>
          </w:cols>
          <w:pgMar w:left="320" w:top="904" w:right="35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the Leak-out Party: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520" w:space="720"/>
            <w:col w:w="7980"/>
          </w:cols>
          <w:pgMar w:left="320" w:top="904" w:right="3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520" w:space="720"/>
            <w:col w:w="7980"/>
          </w:cols>
          <w:pgMar w:left="320" w:top="904" w:right="359" w:bottom="1440" w:gutter="0" w:footer="0" w:header="0"/>
          <w:type w:val="continuous"/>
        </w:sectPr>
      </w:pPr>
    </w:p>
    <w:p>
      <w:pPr>
        <w:spacing w:after="0" w:line="25" w:lineRule="exact"/>
        <w:rPr>
          <w:sz w:val="20"/>
          <w:szCs w:val="20"/>
          <w:color w:val="auto"/>
        </w:rPr>
      </w:pPr>
    </w:p>
    <w:p>
      <w:pPr>
        <w:ind w:left="640" w:right="340"/>
        <w:spacing w:after="0" w:line="282" w:lineRule="auto"/>
        <w:rPr>
          <w:sz w:val="20"/>
          <w:szCs w:val="20"/>
          <w:color w:val="auto"/>
        </w:rPr>
      </w:pPr>
      <w:r>
        <w:rPr>
          <w:rFonts w:ascii="Times New Roman" w:cs="Times New Roman" w:eastAsia="Times New Roman" w:hAnsi="Times New Roman"/>
          <w:sz w:val="18"/>
          <w:szCs w:val="18"/>
          <w:color w:val="auto"/>
        </w:rPr>
        <w:t>A Party may change or supplement the addresses given above, or designate additional addresses, for purposes of this Section 3.4 by giving the other Parties written notice of the new address or number (as relevant) in the manner set forth above.</w:t>
      </w:r>
    </w:p>
    <w:p>
      <w:pPr>
        <w:spacing w:after="0" w:line="162" w:lineRule="exact"/>
        <w:rPr>
          <w:sz w:val="20"/>
          <w:szCs w:val="20"/>
          <w:color w:val="auto"/>
        </w:rPr>
      </w:pPr>
    </w:p>
    <w:p>
      <w:pPr>
        <w:ind w:left="620" w:righ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Effectiveness, Amendments and Waivers</w:t>
      </w:r>
      <w:r>
        <w:rPr>
          <w:rFonts w:ascii="Times New Roman" w:cs="Times New Roman" w:eastAsia="Times New Roman" w:hAnsi="Times New Roman"/>
          <w:sz w:val="18"/>
          <w:szCs w:val="18"/>
          <w:color w:val="auto"/>
        </w:rPr>
        <w:t>. This Agreement shall come into effect upon the closing of the Offering. This Agreement may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amended only with the prior written consent of the Parties.</w:t>
      </w:r>
    </w:p>
    <w:p>
      <w:pPr>
        <w:spacing w:after="0" w:line="162" w:lineRule="exact"/>
        <w:rPr>
          <w:sz w:val="20"/>
          <w:szCs w:val="20"/>
          <w:color w:val="auto"/>
        </w:rPr>
      </w:pPr>
    </w:p>
    <w:p>
      <w:pPr>
        <w:ind w:left="620" w:right="14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of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hereto under this Agreement, shall impair any such right, power or remedy of the aggrieved Party nor shall it be construed to be a waiver of any such breach or default, or an acquiescence therein, or of any similar breach or default thereafter occurring; nor shall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the Parties shall be cumulative and not alternative.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92" w:name="page193"/>
    <w:bookmarkEnd w:id="192"/>
    <w:p>
      <w:pPr>
        <w:ind w:left="600" w:hanging="60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Each Party shall bear its own legal and other costs and expenses of and incidental to the negotiation, preparation, execution and performance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by it of this Agreement and all ancillary documents.</w:t>
      </w:r>
    </w:p>
    <w:p>
      <w:pPr>
        <w:spacing w:after="0" w:line="162" w:lineRule="exact"/>
        <w:rPr>
          <w:sz w:val="20"/>
          <w:szCs w:val="20"/>
          <w:color w:val="auto"/>
        </w:rPr>
      </w:pPr>
    </w:p>
    <w:p>
      <w:pPr>
        <w:ind w:left="600" w:right="40" w:hanging="60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construing this Agreement.</w:t>
      </w:r>
    </w:p>
    <w:p>
      <w:pPr>
        <w:spacing w:after="0" w:line="162" w:lineRule="exact"/>
        <w:rPr>
          <w:sz w:val="20"/>
          <w:szCs w:val="20"/>
          <w:color w:val="auto"/>
        </w:rPr>
      </w:pPr>
    </w:p>
    <w:p>
      <w:pPr>
        <w:ind w:left="600" w:right="40" w:hanging="606"/>
        <w:spacing w:after="0" w:line="253" w:lineRule="auto"/>
        <w:tabs>
          <w:tab w:leader="none" w:pos="5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Counterparts; Reproductions; Electronic Signatures</w:t>
      </w:r>
      <w:r>
        <w:rPr>
          <w:rFonts w:ascii="Times New Roman" w:cs="Times New Roman" w:eastAsia="Times New Roman" w:hAnsi="Times New Roman"/>
          <w:sz w:val="18"/>
          <w:szCs w:val="18"/>
          <w:color w:val="auto"/>
        </w:rPr>
        <w:t>. This Agreement may be executed in any number of counterparts, and by each Party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separate counterparts. Each counterpart is an original, but all counterparts shall together constitute one and the same instrument. A facsimile, portable document file (PDF) or other reproduction of this Agreement may be executed by one or more Parties and delivered by such Party by facsimile, electronic mail or any similar electronic transmission pursuant to which the signature of or on behalf of such Party can be seen. Delivery of a counterpart of this Agreement by e-mail attachment or facsimile shall be an effective mode of delivery. The Parties agree that this Agreement may be executed by way of electronic signatures and the Parties agree that this Agreement, or any part thereof, shall not be denied legal effect, validity or enforceability solely on the ground that it is in the form of an electronic record. The Parties further agree that they shall not dispute the validity, accuracy, legal effectiveness or authenticity or enforceability of this Agreement merely on the basis that this Agreement is executed by way of electronic signatures, and that such electronic record shall be final and conclusive of the Parties' agreement of any relevant matter as set out herein.</w:t>
      </w:r>
    </w:p>
    <w:p>
      <w:pPr>
        <w:spacing w:after="0" w:line="194" w:lineRule="exact"/>
        <w:rPr>
          <w:sz w:val="20"/>
          <w:szCs w:val="20"/>
          <w:color w:val="auto"/>
        </w:rPr>
      </w:pPr>
    </w:p>
    <w:p>
      <w:pPr>
        <w:ind w:left="600" w:right="80" w:hanging="606"/>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determined to be illegal or unenforceable, such determination shall not affect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remaining provisions of this Agreement, the relevant provision shall have no effect in that respect and the Parties shall use all reasonable efforts to replace it in that respect with a valid and enforceable substitute provision the effect of which is as close to its intended effect as possible.</w:t>
      </w:r>
    </w:p>
    <w:p>
      <w:pPr>
        <w:spacing w:after="0" w:line="176" w:lineRule="exact"/>
        <w:rPr>
          <w:sz w:val="20"/>
          <w:szCs w:val="20"/>
          <w:color w:val="auto"/>
        </w:rPr>
      </w:pPr>
    </w:p>
    <w:p>
      <w:pPr>
        <w:ind w:left="600" w:right="260" w:hanging="60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 xml:space="preserve">Third-party rights. </w:t>
      </w:r>
      <w:r>
        <w:rPr>
          <w:rFonts w:ascii="Times New Roman" w:cs="Times New Roman" w:eastAsia="Times New Roman" w:hAnsi="Times New Roman"/>
          <w:sz w:val="18"/>
          <w:szCs w:val="18"/>
          <w:color w:val="auto"/>
        </w:rPr>
        <w:t>A person who is not a party to this Agreement has no right under the Contracts (Rights of Third Parties) Act 2001 (2020 Rev</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Ed), to enforce any term of, or enjoy any benefit under,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INFINITE PARTNER INTERNATIONAL LIMITED</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LEAK-OUT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Trident Digital Tech Holdings Ltd</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SIGNATURE PAGE TO LEAK-OUT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151130</wp:posOffset>
            </wp:positionV>
            <wp:extent cx="2228850" cy="3340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222885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Trident Digital Tech Holdings Ltd on the Amendment No. 5 to Form F-1 (File No. 333-274857)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00" w:lineRule="exact"/>
        <w:rPr>
          <w:sz w:val="20"/>
          <w:szCs w:val="20"/>
          <w:color w:val="auto"/>
        </w:rPr>
      </w:pPr>
    </w:p>
    <w:p>
      <w:pPr>
        <w:spacing w:after="0" w:line="223" w:lineRule="exact"/>
        <w:rPr>
          <w:sz w:val="20"/>
          <w:szCs w:val="20"/>
          <w:color w:val="auto"/>
        </w:rPr>
      </w:pPr>
    </w:p>
    <w:p>
      <w:pPr>
        <w:jc w:val="center"/>
        <w:ind w:left="340" w:right="260"/>
        <w:spacing w:after="0" w:line="282" w:lineRule="auto"/>
        <w:rPr>
          <w:sz w:val="20"/>
          <w:szCs w:val="20"/>
          <w:color w:val="auto"/>
        </w:rPr>
      </w:pPr>
      <w:r>
        <w:rPr>
          <w:rFonts w:ascii="Times New Roman" w:cs="Times New Roman" w:eastAsia="Times New Roman" w:hAnsi="Times New Roman"/>
          <w:sz w:val="18"/>
          <w:szCs w:val="18"/>
          <w:color w:val="auto"/>
        </w:rPr>
        <w:t>BEIJING OFFICE ● Units 06-09 ● 46th Floor ● China World Tower B ● No. 1 Jian Guo Men Wai Avenue ● Chaoyang District ● Beijing ● 100004 Phone 8610.8518.7992 ● Fax 8610.8518.7993 ● www.marcumasia.com</w:t>
      </w:r>
    </w:p>
    <w:p>
      <w:pPr>
        <w:sectPr>
          <w:pgSz w:w="11900" w:h="16838" w:orient="portrait"/>
          <w:cols w:equalWidth="0" w:num="1">
            <w:col w:w="11240"/>
          </w:cols>
          <w:pgMar w:left="320" w:top="108"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442595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 WEALTH LTD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INFINITE PARTNER INTERNATIONAL LIMITED</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22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1020445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SHARE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22 January 2024 by and among the following parties:</w:t>
      </w:r>
    </w:p>
    <w:p>
      <w:pPr>
        <w:spacing w:after="0" w:line="225" w:lineRule="exact"/>
        <w:rPr>
          <w:sz w:val="20"/>
          <w:szCs w:val="20"/>
          <w:color w:val="auto"/>
        </w:rPr>
      </w:pPr>
    </w:p>
    <w:p>
      <w:pPr>
        <w:ind w:left="660" w:right="300" w:hanging="652"/>
        <w:spacing w:after="0" w:line="28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 WEALTH LTD</w:t>
      </w:r>
      <w:r>
        <w:rPr>
          <w:rFonts w:ascii="Times New Roman" w:cs="Times New Roman" w:eastAsia="Times New Roman" w:hAnsi="Times New Roman"/>
          <w:sz w:val="18"/>
          <w:szCs w:val="18"/>
          <w:color w:val="auto"/>
        </w:rPr>
        <w:t>, a company organized and existing under the laws of British Virgin Islands with its registered office at Sertus Chambers,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 Box 905, Quastisky Building, Road Town, Tortola, British Virgin Islands (the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right="420" w:hanging="652"/>
        <w:spacing w:after="0" w:line="28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INFINITE PARTNER INTERNATIONAL LIMITED, </w:t>
      </w:r>
      <w:r>
        <w:rPr>
          <w:rFonts w:ascii="Times New Roman" w:cs="Times New Roman" w:eastAsia="Times New Roman" w:hAnsi="Times New Roman"/>
          <w:sz w:val="18"/>
          <w:szCs w:val="18"/>
          <w:color w:val="auto"/>
        </w:rPr>
        <w:t>a company organized and existing under the laws of British Virgin Islands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at OMC Chambers, Wickhams Cay 1, Road Town, Tortola, British Virgin Islands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660" w:right="480" w:hanging="652"/>
        <w:spacing w:after="0" w:line="28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Trident Digital Tech Holdings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a company duly incorporated and validly existing under the laws of the Cayman Islands, and operates a Web 3.0 e-commerce platform; and</w:t>
      </w:r>
    </w:p>
    <w:p>
      <w:pPr>
        <w:spacing w:after="0" w:line="15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Purchaser wishes to purchase, and the Vendor agrees to sell, an aggregate of 25,000,000 Class B Ordinary Shares, upon the terms and conditions set out in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NOW, THEREFORE, in consideration of the mutual promises, covenants and conditions hereinafter set forth, the Parties agree as follows:</w:t>
      </w:r>
    </w:p>
    <w:p>
      <w:pPr>
        <w:spacing w:after="0" w:line="225" w:lineRule="exact"/>
        <w:rPr>
          <w:sz w:val="20"/>
          <w:szCs w:val="20"/>
          <w:color w:val="auto"/>
        </w:rPr>
      </w:pPr>
    </w:p>
    <w:p>
      <w:pPr>
        <w:ind w:left="640" w:hanging="632"/>
        <w:spacing w:after="0"/>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shall have the following respective meanings: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shall mean, in respect of a Person, any other Person that, directly or indirectly, through one or more intermediaries, Controls, is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is under common Control with,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“Agreement”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shall mean a day (other than Saturdays, Sundays or statutory holidays) on which banks generally are open to the public for business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Singapore and the United States of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shall mean the Class B ordinary shares in the share capital of the Company, with a par value of US$0.00001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“Closing” </w:t>
      </w:r>
      <w:r>
        <w:rPr>
          <w:rFonts w:ascii="Times New Roman" w:cs="Times New Roman" w:eastAsia="Times New Roman" w:hAnsi="Times New Roman"/>
          <w:sz w:val="18"/>
          <w:szCs w:val="18"/>
          <w:color w:val="auto"/>
        </w:rPr>
        <w:t>shall have the meaning ascribed to it in Section 2.3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w:t>
      </w:r>
      <w:r>
        <w:rPr>
          <w:rFonts w:ascii="Times New Roman" w:cs="Times New Roman" w:eastAsia="Times New Roman" w:hAnsi="Times New Roman"/>
          <w:sz w:val="18"/>
          <w:szCs w:val="18"/>
          <w:color w:val="auto"/>
        </w:rPr>
        <w:t>shall mean, with respect to any Person, having the ability to direct the management and affairs of such Person, whether through the ownership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securities, by contract (including any contractual arrangements) or otherwise, and such ability shall also be deemed to exist when any other Person holds a majority of the outstanding voting securities, or the economic rights and benefits, of such Person;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“Controlled” </w:t>
      </w:r>
      <w:r>
        <w:rPr>
          <w:rFonts w:ascii="Times New Roman" w:cs="Times New Roman" w:eastAsia="Times New Roman" w:hAnsi="Times New Roman"/>
          <w:sz w:val="18"/>
          <w:szCs w:val="18"/>
          <w:color w:val="auto"/>
        </w:rPr>
        <w:t>shall be construed accordingly.</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“Lien” </w:t>
      </w:r>
      <w:r>
        <w:rPr>
          <w:rFonts w:ascii="Times New Roman" w:cs="Times New Roman" w:eastAsia="Times New Roman" w:hAnsi="Times New Roman"/>
          <w:sz w:val="18"/>
          <w:szCs w:val="18"/>
          <w:color w:val="auto"/>
        </w:rPr>
        <w:t>shall mean any interest of any person (including any right to acquire, option or right of preemption or conversion), lien, pledge, charge, claim,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security interest, assignment, hypothecation, title retention, restriction or other encumbrance, security agreement or arrangement of any sort, or any agreement to create any of the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“Parties” </w:t>
      </w:r>
      <w:r>
        <w:rPr>
          <w:rFonts w:ascii="Times New Roman" w:cs="Times New Roman" w:eastAsia="Times New Roman" w:hAnsi="Times New Roman"/>
          <w:sz w:val="18"/>
          <w:szCs w:val="18"/>
          <w:color w:val="auto"/>
        </w:rPr>
        <w:t>shall mean the Vendor and the Purchaser, and</w:t>
      </w:r>
      <w:r>
        <w:rPr>
          <w:rFonts w:ascii="Times New Roman" w:cs="Times New Roman" w:eastAsia="Times New Roman" w:hAnsi="Times New Roman"/>
          <w:sz w:val="18"/>
          <w:szCs w:val="18"/>
          <w:b w:val="1"/>
          <w:bCs w:val="1"/>
          <w:i w:val="1"/>
          <w:iCs w:val="1"/>
          <w:color w:val="auto"/>
        </w:rPr>
        <w:t xml:space="preserve"> “Party” </w:t>
      </w:r>
      <w:r>
        <w:rPr>
          <w:rFonts w:ascii="Times New Roman" w:cs="Times New Roman" w:eastAsia="Times New Roman" w:hAnsi="Times New Roman"/>
          <w:sz w:val="18"/>
          <w:szCs w:val="18"/>
          <w:color w:val="auto"/>
        </w:rPr>
        <w:t>shall be construed accordingly.</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Lien” </w:t>
      </w:r>
      <w:r>
        <w:rPr>
          <w:rFonts w:ascii="Times New Roman" w:cs="Times New Roman" w:eastAsia="Times New Roman" w:hAnsi="Times New Roman"/>
          <w:sz w:val="18"/>
          <w:szCs w:val="18"/>
          <w:color w:val="auto"/>
        </w:rPr>
        <w:t>means (i) Liens for taxes not yet delinquent or the validity of which are being contested in good faith and for which there are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reserves on the applicable financial statements, and (ii) Liens incurred in the ordinary course of business, which (x) do not individually or in the aggregate materially detract from the value, use, or transferability of the assets that are subject to such Liens, and (y) were not incurred in connection with the borrowing of money.</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mean any corporation, company, partnership, firm, limited liability company, other business organization, entity,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or agency of state or any joint venture, association, works council or employee representative body (whether or not having separate legal personality) and any individual.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color w:val="auto"/>
        </w:rPr>
        <w:t>shall have the meaning ascribed to it in Section 2.1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“Purchased Shares” </w:t>
      </w:r>
      <w:r>
        <w:rPr>
          <w:rFonts w:ascii="Times New Roman" w:cs="Times New Roman" w:eastAsia="Times New Roman" w:hAnsi="Times New Roman"/>
          <w:sz w:val="18"/>
          <w:szCs w:val="18"/>
          <w:color w:val="auto"/>
        </w:rPr>
        <w:t>shall have the meaning ascribed to it in Section 2.1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shall mean the 1933 Securities Act of the United States of America, as amended, and the rules and regulations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shall have the meaning ascribed to it in Section 6.1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“Transaction Agreements” </w:t>
      </w:r>
      <w:r>
        <w:rPr>
          <w:rFonts w:ascii="Times New Roman" w:cs="Times New Roman" w:eastAsia="Times New Roman" w:hAnsi="Times New Roman"/>
          <w:sz w:val="18"/>
          <w:szCs w:val="18"/>
          <w:color w:val="auto"/>
        </w:rPr>
        <w:t>shall mean this Agreement and other agreements contemplated hereby,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“US$” </w:t>
      </w:r>
      <w:r>
        <w:rPr>
          <w:rFonts w:ascii="Times New Roman" w:cs="Times New Roman" w:eastAsia="Times New Roman" w:hAnsi="Times New Roman"/>
          <w:sz w:val="18"/>
          <w:szCs w:val="18"/>
          <w:color w:val="auto"/>
        </w:rPr>
        <w:t>shall mean the lawful currency of the United States of America from time to time.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221" w:lineRule="exact"/>
        <w:rPr>
          <w:sz w:val="20"/>
          <w:szCs w:val="20"/>
          <w:color w:val="auto"/>
        </w:rPr>
      </w:pPr>
    </w:p>
    <w:p>
      <w:pPr>
        <w:ind w:left="640" w:hanging="632"/>
        <w:spacing w:after="0" w:line="286" w:lineRule="auto"/>
        <w:tabs>
          <w:tab w:leader="none" w:pos="6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include references to any body corporate or entity with legal person status or any unincorporated body of Persons without legal person status;</w:t>
      </w:r>
    </w:p>
    <w:p>
      <w:pPr>
        <w:spacing w:after="0" w:line="15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xml:space="preserve"> include references to regulations and regulatory requirements, modified or re-enacted from time to time;</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in the singular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0" w:right="160" w:hanging="632"/>
        <w:spacing w:after="0" w:line="282" w:lineRule="auto"/>
        <w:tabs>
          <w:tab w:leader="none" w:pos="6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any words preceding them;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include all genders.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9" w:name="page200"/>
    <w:bookmarkEnd w:id="199"/>
    <w:p>
      <w:pPr>
        <w:ind w:left="652" w:hanging="652"/>
        <w:spacing w:after="0"/>
        <w:tabs>
          <w:tab w:leader="none" w:pos="6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PURCHASE AND SELL CLASS B ORDINARY SHARES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52" w:right="18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Agreement to Purchase and Sell the Purchased Shares</w:t>
      </w:r>
      <w:r>
        <w:rPr>
          <w:rFonts w:ascii="Times New Roman" w:cs="Times New Roman" w:eastAsia="Times New Roman" w:hAnsi="Times New Roman"/>
          <w:sz w:val="18"/>
          <w:szCs w:val="18"/>
          <w:color w:val="auto"/>
        </w:rPr>
        <w:t>. Subject to the terms and conditions hereof, at the Closing, the Vendor shall sell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and the Purchaser shall purchase from the Vendor, an aggregate of 25,000,000 Class B Ordinary Shares (collectively,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a price per share of US$0.63 or a total aggregate purchase price of US$15,750,000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together with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title and benefits accrued to the Purchased Shares up to and including the Closing Date.</w:t>
      </w:r>
    </w:p>
    <w:p>
      <w:pPr>
        <w:spacing w:after="0" w:line="180" w:lineRule="exact"/>
        <w:rPr>
          <w:sz w:val="20"/>
          <w:szCs w:val="20"/>
          <w:color w:val="auto"/>
        </w:rPr>
      </w:pPr>
    </w:p>
    <w:p>
      <w:pPr>
        <w:ind w:left="652" w:right="66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Payment of Purchase Price</w:t>
      </w:r>
      <w:r>
        <w:rPr>
          <w:rFonts w:ascii="Times New Roman" w:cs="Times New Roman" w:eastAsia="Times New Roman" w:hAnsi="Times New Roman"/>
          <w:sz w:val="18"/>
          <w:szCs w:val="18"/>
          <w:color w:val="auto"/>
        </w:rPr>
        <w:t>. At the Closing, the Purchaser shall pay the Purchase Price in immediately available funds to the bank account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designated by the Vendor.</w:t>
      </w:r>
    </w:p>
    <w:p>
      <w:pPr>
        <w:spacing w:after="0" w:line="158" w:lineRule="exact"/>
        <w:rPr>
          <w:sz w:val="20"/>
          <w:szCs w:val="20"/>
          <w:color w:val="auto"/>
        </w:rPr>
      </w:pPr>
    </w:p>
    <w:p>
      <w:pPr>
        <w:ind w:left="652" w:right="240" w:hanging="647"/>
        <w:spacing w:after="0" w:line="268" w:lineRule="auto"/>
        <w:tabs>
          <w:tab w:leader="none" w:pos="632"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sale and purchase of the Purchased Shares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the electronic exchange of documents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signatures, on the date that is four (4) Business Days following the date hereof, or at such other time as the Vendor and the Purchaser may mutually agree upon in writing.</w:t>
      </w:r>
    </w:p>
    <w:p>
      <w:pPr>
        <w:spacing w:after="0" w:line="175" w:lineRule="exact"/>
        <w:rPr>
          <w:sz w:val="20"/>
          <w:szCs w:val="20"/>
          <w:color w:val="auto"/>
        </w:rPr>
      </w:pPr>
    </w:p>
    <w:p>
      <w:pPr>
        <w:jc w:val="both"/>
        <w:ind w:left="652" w:right="280"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Delivery at the Closing</w:t>
      </w:r>
      <w:r>
        <w:rPr>
          <w:rFonts w:ascii="Times New Roman" w:cs="Times New Roman" w:eastAsia="Times New Roman" w:hAnsi="Times New Roman"/>
          <w:sz w:val="18"/>
          <w:szCs w:val="18"/>
          <w:color w:val="auto"/>
        </w:rPr>
        <w:t>. At the Closing, the Vendor shall procure the Company to deliver a certified true copy of the register of members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as of the date of the Closing reflecting the Purchaser’s ownership of the Purchased Shares, against the payment of the Purchase Price pursuant to the terms of this Agreement.</w:t>
      </w:r>
    </w:p>
    <w:p>
      <w:pPr>
        <w:spacing w:after="0" w:line="176" w:lineRule="exact"/>
        <w:rPr>
          <w:sz w:val="20"/>
          <w:szCs w:val="20"/>
          <w:color w:val="auto"/>
        </w:rPr>
      </w:pPr>
    </w:p>
    <w:p>
      <w:pPr>
        <w:ind w:left="632" w:hanging="632"/>
        <w:spacing w:after="0"/>
        <w:tabs>
          <w:tab w:leader="none" w:pos="63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VENDOR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Unless specifically indicated otherwise, the Vendor hereby represents and warrants to the Purchaser that the statements in this Section 3 are all true and correct as of the date hereof and the date of the Closing:</w:t>
      </w:r>
    </w:p>
    <w:p>
      <w:pPr>
        <w:spacing w:after="0" w:line="162" w:lineRule="exact"/>
        <w:rPr>
          <w:sz w:val="20"/>
          <w:szCs w:val="20"/>
          <w:color w:val="auto"/>
        </w:rPr>
      </w:pPr>
    </w:p>
    <w:p>
      <w:pPr>
        <w:ind w:left="652" w:right="4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Authorisation</w:t>
      </w:r>
      <w:r>
        <w:rPr>
          <w:rFonts w:ascii="Times New Roman" w:cs="Times New Roman" w:eastAsia="Times New Roman" w:hAnsi="Times New Roman"/>
          <w:sz w:val="18"/>
          <w:szCs w:val="18"/>
          <w:color w:val="auto"/>
        </w:rPr>
        <w:t>. The Vendor has full power and authority to enter into this Agreement and the other Transaction Agreements to which it is a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each of such Transaction Agreements, when executed and delivered by the Vendor, will constitute a valid and legally binding obligation of the Vendor, subject as to enforcement of remedies, to applicable bankruptcy, insolvency, moratorium, reorganization and similar laws affecting creditors’ rights generally and to general equitable principles.</w:t>
      </w:r>
    </w:p>
    <w:p>
      <w:pPr>
        <w:spacing w:after="0" w:line="180" w:lineRule="exact"/>
        <w:rPr>
          <w:sz w:val="20"/>
          <w:szCs w:val="20"/>
          <w:color w:val="auto"/>
        </w:rPr>
      </w:pPr>
    </w:p>
    <w:p>
      <w:pPr>
        <w:ind w:left="652" w:right="6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Vendor is currently, and shall on Closing be, the sole legal and beneficial owner of the Class B Ordinary Shares to be sold by it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Purchaser pursuant to this Agreement and has the right to exercise all rights over such Class B Ordinary Shares.</w:t>
      </w:r>
    </w:p>
    <w:p>
      <w:pPr>
        <w:spacing w:after="0" w:line="162" w:lineRule="exact"/>
        <w:rPr>
          <w:sz w:val="20"/>
          <w:szCs w:val="20"/>
          <w:color w:val="auto"/>
        </w:rPr>
      </w:pPr>
    </w:p>
    <w:p>
      <w:pPr>
        <w:ind w:left="652" w:right="38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Class B Ordinary Shares to be sold by the Vendor to the Purchaser pursuant to this Agreement have been duly authorised,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allotted, validly issued and fully paid-up.</w:t>
      </w:r>
    </w:p>
    <w:p>
      <w:pPr>
        <w:spacing w:after="0" w:line="162" w:lineRule="exact"/>
        <w:rPr>
          <w:sz w:val="20"/>
          <w:szCs w:val="20"/>
          <w:color w:val="auto"/>
        </w:rPr>
      </w:pPr>
    </w:p>
    <w:p>
      <w:pPr>
        <w:ind w:left="652" w:right="6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Encumbrance</w:t>
      </w:r>
      <w:r>
        <w:rPr>
          <w:rFonts w:ascii="Times New Roman" w:cs="Times New Roman" w:eastAsia="Times New Roman" w:hAnsi="Times New Roman"/>
          <w:sz w:val="18"/>
          <w:szCs w:val="18"/>
          <w:color w:val="auto"/>
        </w:rPr>
        <w:t>. The Class B Ordinary Shares to be sold by the Vendor to the Purchaser, when sold and delivered to the Purchaser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the terms of this Agreement, will be free and clear of any Liens, other than Permitted Liens.</w:t>
      </w:r>
    </w:p>
    <w:p>
      <w:pPr>
        <w:spacing w:after="0" w:line="162" w:lineRule="exact"/>
        <w:rPr>
          <w:sz w:val="20"/>
          <w:szCs w:val="20"/>
          <w:color w:val="auto"/>
        </w:rPr>
      </w:pPr>
    </w:p>
    <w:p>
      <w:pPr>
        <w:ind w:left="652" w:right="12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Vendor shall have obtained all approvals, consents and waivers necessary for consummation of the transactions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contemplated by this Agreement, including, but not limited to, (a) all permits, authorizations, approvals, consents or permits of any governmental authority, and (b) the waiver by the existing shareholders of the Company of any anti-dilution rights, rights of first refusal, right of co-sale, preemptive rights and all similar rights in connection with the consummation of the transactions contemplated hereunder.</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0" w:name="page201"/>
    <w:bookmarkEnd w:id="200"/>
    <w:p>
      <w:pPr>
        <w:ind w:left="632" w:hanging="632"/>
        <w:spacing w:after="0"/>
        <w:tabs>
          <w:tab w:leader="none" w:pos="63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The Purchaser hereby represents and warrants to the Vendor as follows as of the date hereof and the date of Closing:</w:t>
      </w:r>
    </w:p>
    <w:p>
      <w:pPr>
        <w:spacing w:after="0" w:line="215" w:lineRule="exact"/>
        <w:rPr>
          <w:sz w:val="20"/>
          <w:szCs w:val="20"/>
          <w:color w:val="auto"/>
        </w:rPr>
      </w:pPr>
    </w:p>
    <w:p>
      <w:pPr>
        <w:ind w:left="652" w:right="2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It is duly organized, validly existing and duly registered under, and by virtue of, the relevant laws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the jurisdiction of its incorporation, and has all requisite power and authority to carry on its business as now conducted.</w:t>
      </w:r>
    </w:p>
    <w:p>
      <w:pPr>
        <w:spacing w:after="0" w:line="162" w:lineRule="exact"/>
        <w:rPr>
          <w:sz w:val="20"/>
          <w:szCs w:val="20"/>
          <w:color w:val="auto"/>
        </w:rPr>
      </w:pPr>
    </w:p>
    <w:p>
      <w:pPr>
        <w:ind w:left="652" w:right="140"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Authorisation</w:t>
      </w:r>
      <w:r>
        <w:rPr>
          <w:rFonts w:ascii="Times New Roman" w:cs="Times New Roman" w:eastAsia="Times New Roman" w:hAnsi="Times New Roman"/>
          <w:sz w:val="18"/>
          <w:szCs w:val="18"/>
          <w:color w:val="auto"/>
        </w:rPr>
        <w:t>. All corporate action on the part of the Purchaser, its directors and shareholders necessary for the authorisation, execution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delivery of each Transaction Agreement, and the performance of its obligations under each Transaction Agreement, has been taken or will be taken prior to the Closing. The Transaction Agreements will, when executed, constitute valid and legally binding obligations of the Purchaser, enforceable in accordance with their respective terms, subject, as to enforcement of remedies, to applicable bankruptcy, insolvency, moratorium, reorganization and similar laws affecting creditors’ rights generally and to general equitable principles.</w:t>
      </w:r>
    </w:p>
    <w:p>
      <w:pPr>
        <w:spacing w:after="0" w:line="183" w:lineRule="exact"/>
        <w:rPr>
          <w:sz w:val="20"/>
          <w:szCs w:val="20"/>
          <w:color w:val="auto"/>
        </w:rPr>
      </w:pPr>
    </w:p>
    <w:p>
      <w:pPr>
        <w:ind w:left="652" w:right="56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Investigation, Economic Risk</w:t>
      </w:r>
      <w:r>
        <w:rPr>
          <w:rFonts w:ascii="Times New Roman" w:cs="Times New Roman" w:eastAsia="Times New Roman" w:hAnsi="Times New Roman"/>
          <w:sz w:val="18"/>
          <w:szCs w:val="18"/>
          <w:color w:val="auto"/>
        </w:rPr>
        <w:t>. It is able to fend for itself in the transactions contemplated by this Agreement and has the ability to bear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economic risks of its investment in the Purchased Shares.</w:t>
      </w:r>
    </w:p>
    <w:p>
      <w:pPr>
        <w:spacing w:after="0" w:line="162" w:lineRule="exact"/>
        <w:rPr>
          <w:sz w:val="20"/>
          <w:szCs w:val="20"/>
          <w:color w:val="auto"/>
        </w:rPr>
      </w:pPr>
    </w:p>
    <w:p>
      <w:pPr>
        <w:ind w:left="652" w:right="2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It is, or will be, acquiring the Purchased Shares for its own account, not as a nominee or agent, and not with a view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in connection with the sale or distribution of any part thereof. By executing this Agreement, the Purchaser further represents that it does not have any contract, undertaking, agreement or arrangement with any person to sell, transfer or grant participation to such person or any third person, with respect to any such securities.</w:t>
      </w:r>
    </w:p>
    <w:p>
      <w:pPr>
        <w:spacing w:after="0" w:line="180" w:lineRule="exact"/>
        <w:rPr>
          <w:sz w:val="20"/>
          <w:szCs w:val="20"/>
          <w:color w:val="auto"/>
        </w:rPr>
      </w:pPr>
    </w:p>
    <w:p>
      <w:pPr>
        <w:ind w:left="652" w:right="60"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Compliance with other Contracts and Agreements</w:t>
      </w:r>
      <w:r>
        <w:rPr>
          <w:rFonts w:ascii="Times New Roman" w:cs="Times New Roman" w:eastAsia="Times New Roman" w:hAnsi="Times New Roman"/>
          <w:sz w:val="18"/>
          <w:szCs w:val="18"/>
          <w:color w:val="auto"/>
        </w:rPr>
        <w:t>. The execution, delivery and performance of the Transaction Agreements by the Purchaser 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not, and will not be, in violation of any contracts or agreements to which the Purchaser is a party, or the assets and properties of the Purchaser are subject.</w:t>
      </w:r>
    </w:p>
    <w:p>
      <w:pPr>
        <w:spacing w:after="0" w:line="176" w:lineRule="exact"/>
        <w:rPr>
          <w:sz w:val="20"/>
          <w:szCs w:val="20"/>
          <w:color w:val="auto"/>
        </w:rPr>
      </w:pPr>
    </w:p>
    <w:p>
      <w:pPr>
        <w:ind w:left="612" w:hanging="620"/>
        <w:spacing w:after="0" w:line="253" w:lineRule="auto"/>
        <w:tabs>
          <w:tab w:leader="none" w:pos="59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Purchased Shares have not been, and will not be, registered under the Securities Act.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understands that the Purchased Shares will be issued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Purchased Shares are “restricted securities” under applicable U.S. federal and state securities laws and that, pursuant to these laws, the Purchaser must hold the Purchased Shares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Purchased Shares for resale. The Purchaser further acknowledges that if an exemption from registration or qualification is available, it may be conditioned on various requirements including, but not limited to, the time and manner of sale, the holding period for the Purchased Shares, and on requirements relating to the Company which are outside of the Purchaser’s control, and which the Company is under no obligation and may not be able to satisfy. The Purchaser understands that this offering is not intended to be part of the public offering, and that the Purchaser will not be able to rely on the protection of Section 11 of the Securities Act.</w:t>
      </w:r>
    </w:p>
    <w:p>
      <w:pPr>
        <w:spacing w:after="0" w:line="190" w:lineRule="exact"/>
        <w:rPr>
          <w:sz w:val="20"/>
          <w:szCs w:val="20"/>
          <w:color w:val="auto"/>
        </w:rPr>
      </w:pPr>
    </w:p>
    <w:p>
      <w:pPr>
        <w:ind w:left="612" w:right="400" w:hanging="620"/>
        <w:spacing w:after="0" w:line="282" w:lineRule="auto"/>
        <w:tabs>
          <w:tab w:leader="none" w:pos="592"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Purchased Shares, and that the Company has made no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assurances that a public market will ever exist for the Purchased Shares.</w:t>
      </w:r>
    </w:p>
    <w:p>
      <w:pPr>
        <w:spacing w:after="0" w:line="200" w:lineRule="exact"/>
        <w:rPr>
          <w:sz w:val="20"/>
          <w:szCs w:val="20"/>
          <w:color w:val="auto"/>
        </w:rPr>
      </w:pPr>
    </w:p>
    <w:p>
      <w:pPr>
        <w:spacing w:after="0" w:line="20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201" w:name="page202"/>
    <w:bookmarkEnd w:id="201"/>
    <w:p>
      <w:pPr>
        <w:ind w:left="620" w:right="160" w:hanging="620"/>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Purchased Shares and any securities issued in respect of or exchange for the Purchased Shares, may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bear one or all of the following legends:</w:t>
      </w:r>
    </w:p>
    <w:p>
      <w:pPr>
        <w:spacing w:after="0" w:line="162"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83" w:lineRule="exact"/>
        <w:rPr>
          <w:sz w:val="20"/>
          <w:szCs w:val="20"/>
          <w:color w:val="auto"/>
        </w:rPr>
      </w:pPr>
    </w:p>
    <w:p>
      <w:pPr>
        <w:ind w:left="620" w:right="100" w:hanging="620"/>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the Securities and Exchange Commission Rule 501(a) of Regulation 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 the Securities Act.</w:t>
      </w:r>
    </w:p>
    <w:p>
      <w:pPr>
        <w:spacing w:after="0" w:line="162" w:lineRule="exact"/>
        <w:rPr>
          <w:sz w:val="20"/>
          <w:szCs w:val="20"/>
          <w:color w:val="auto"/>
        </w:rPr>
      </w:pPr>
    </w:p>
    <w:p>
      <w:pPr>
        <w:ind w:left="640" w:hanging="632"/>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Vendor and the Purchaser shall, and shall use reasonable efforts to urge that any necessary third party shall, from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time to time execute such documents and perform such acts and things as either of the Vendor or the Purchaser may reasonably require to consummate the transactions contemplated under this Agreement and to give each of them the full benefit of this Agreement.</w:t>
      </w:r>
    </w:p>
    <w:p>
      <w:pPr>
        <w:spacing w:after="0" w:line="176" w:lineRule="exact"/>
        <w:rPr>
          <w:sz w:val="20"/>
          <w:szCs w:val="20"/>
          <w:color w:val="auto"/>
        </w:rPr>
      </w:pPr>
    </w:p>
    <w:p>
      <w:pPr>
        <w:ind w:left="640" w:hanging="632"/>
        <w:spacing w:after="0"/>
        <w:tabs>
          <w:tab w:leader="none" w:pos="6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NON-DISCLOSURE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4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Disclosure of Terms</w:t>
      </w:r>
      <w:r>
        <w:rPr>
          <w:rFonts w:ascii="Times New Roman" w:cs="Times New Roman" w:eastAsia="Times New Roman" w:hAnsi="Times New Roman"/>
          <w:sz w:val="18"/>
          <w:szCs w:val="18"/>
          <w:color w:val="auto"/>
        </w:rPr>
        <w:t>. Each Party acknowledges that the terms and conditions of this Agreement, the other Transaction Agreements, and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exhibits, schedules, restatements and amendments hereto and thereto, including their existence and any negotiations in connection with them (collectively, the “</w:t>
      </w: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shall be considered confidential information and shall not be disclosed by it to any third party except in accordance with the provisions set forth below.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Permitted Disclosures</w:t>
      </w:r>
      <w:r>
        <w:rPr>
          <w:rFonts w:ascii="Times New Roman" w:cs="Times New Roman" w:eastAsia="Times New Roman" w:hAnsi="Times New Roman"/>
          <w:sz w:val="17"/>
          <w:szCs w:val="17"/>
          <w:color w:val="auto"/>
        </w:rPr>
        <w:t>. The confidentiality obligations set out in this Section 6 do not apply to:</w:t>
      </w:r>
    </w:p>
    <w:p>
      <w:pPr>
        <w:spacing w:after="0" w:line="225" w:lineRule="exact"/>
        <w:rPr>
          <w:sz w:val="20"/>
          <w:szCs w:val="20"/>
          <w:color w:val="auto"/>
        </w:rPr>
      </w:pPr>
    </w:p>
    <w:p>
      <w:pPr>
        <w:ind w:left="620" w:right="100" w:hanging="612"/>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was in the public domain or otherwise known to the relevant Party before it was furnished to it by another Party or, after it was furnished to that Party, entered the public domain otherwise than as a result of (i) a breach by that Party of this Section 6, or (ii) a breach of a confidentiality obligation by the discloser, where the breach was known to that Party;</w:t>
      </w:r>
    </w:p>
    <w:p>
      <w:pPr>
        <w:spacing w:after="0" w:line="175" w:lineRule="exact"/>
        <w:rPr>
          <w:rFonts w:ascii="Times New Roman" w:cs="Times New Roman" w:eastAsia="Times New Roman" w:hAnsi="Times New Roman"/>
          <w:sz w:val="18"/>
          <w:szCs w:val="18"/>
          <w:color w:val="auto"/>
        </w:rPr>
      </w:pPr>
    </w:p>
    <w:p>
      <w:pPr>
        <w:jc w:val="both"/>
        <w:ind w:left="620" w:right="360" w:hanging="612"/>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the disclosure of which is necessary in order to comply with any applicable law, the order of any competent court or authority, the requirements of a stock exchange, parliamentary body, governmental agency or to obtain tax or other clearances or consents from any relevant authority or in connection with responding to any request from any tax authority; or</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disclosed by any Party to their respective Affiliates, and its and their employees, bankers, financial advisers, consultants, auditors, insurers and legal or other advisers for the purpose of this Agreement and the transactions contemplated hereunder.</w:t>
      </w:r>
    </w:p>
    <w:p>
      <w:pPr>
        <w:spacing w:after="0" w:line="162" w:lineRule="exact"/>
        <w:rPr>
          <w:sz w:val="20"/>
          <w:szCs w:val="20"/>
          <w:color w:val="auto"/>
        </w:rPr>
      </w:pPr>
    </w:p>
    <w:p>
      <w:pPr>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Legally Compelled Disclosure</w:t>
      </w:r>
      <w:r>
        <w:rPr>
          <w:rFonts w:ascii="Times New Roman" w:cs="Times New Roman" w:eastAsia="Times New Roman" w:hAnsi="Times New Roman"/>
          <w:sz w:val="18"/>
          <w:szCs w:val="18"/>
          <w:color w:val="auto"/>
        </w:rPr>
        <w:t>. In the event that any Party is requested or becomes legally compelled (including without limitation pursuant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securities laws and regulations) to disclose the existence of this Agreement or any Terms pursuant to Section 6.2(b) above, such Party shall, if and to the extent that it can lawfully do so, provide the other Parties with prompt written notice of that fact so that the appropriate Party may seek (with the cooperation and reasonable efforts of the other Parties) a protective order, confidential treatment or other appropriate remedy. In such event, the disclosing Party shall furnish only that portion of the information that is legally required and shall exercise reasonable efforts to obtain reliable assurance that confidential treatment will be accorded to such information to the extent reasonably requested by any non-disclosing Party.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02" w:name="page203"/>
    <w:bookmarkEnd w:id="202"/>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right="220" w:hanging="612"/>
        <w:spacing w:after="0" w:line="282" w:lineRule="auto"/>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make or authorise the making of any announcement concerning the existence or subject matter of this Agreement unless the other Parties shall have given their prior consent to such announcement (such consent not to be unreasonably withheld or delayed).</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6.4(a) shall not apply to:</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required to be announced pursuant to any applicable laws or any requirement of any competent governmental or statutory authority or rules or regulations of any relevant regulatory, administrative or supervisory body (including without limitation, any relevant stock exchange or securities council); or</w:t>
      </w:r>
    </w:p>
    <w:p>
      <w:pPr>
        <w:spacing w:after="0" w:line="175" w:lineRule="exact"/>
        <w:rPr>
          <w:rFonts w:ascii="Times New Roman" w:cs="Times New Roman" w:eastAsia="Times New Roman" w:hAnsi="Times New Roman"/>
          <w:sz w:val="18"/>
          <w:szCs w:val="18"/>
          <w:color w:val="auto"/>
        </w:rPr>
      </w:pPr>
    </w:p>
    <w:p>
      <w:pPr>
        <w:ind w:left="1300" w:right="900" w:hanging="644"/>
        <w:spacing w:after="0" w:line="282"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required to be announced pursuant to any legal process issued by any court or tribunal of competent jurisdiction.</w:t>
      </w:r>
    </w:p>
    <w:p>
      <w:pPr>
        <w:spacing w:after="0" w:line="162" w:lineRule="exact"/>
        <w:rPr>
          <w:sz w:val="20"/>
          <w:szCs w:val="20"/>
          <w:color w:val="auto"/>
        </w:rPr>
      </w:pPr>
    </w:p>
    <w:p>
      <w:pPr>
        <w:ind w:left="660" w:right="540"/>
        <w:spacing w:after="0" w:line="282" w:lineRule="auto"/>
        <w:rPr>
          <w:sz w:val="20"/>
          <w:szCs w:val="20"/>
          <w:color w:val="auto"/>
        </w:rPr>
      </w:pPr>
      <w:r>
        <w:rPr>
          <w:rFonts w:ascii="Times New Roman" w:cs="Times New Roman" w:eastAsia="Times New Roman" w:hAnsi="Times New Roman"/>
          <w:sz w:val="18"/>
          <w:szCs w:val="18"/>
          <w:color w:val="auto"/>
        </w:rPr>
        <w:t>Where any announcement is made in reliance on the foregoing exception, the Party making the announcement shall, to the extent that it can lawfully do so, consult with the relevant other Party in advance as to the form, content and timing of such announcement.</w:t>
      </w:r>
    </w:p>
    <w:p>
      <w:pPr>
        <w:spacing w:after="0" w:line="162" w:lineRule="exact"/>
        <w:rPr>
          <w:sz w:val="20"/>
          <w:szCs w:val="20"/>
          <w:color w:val="auto"/>
        </w:rPr>
      </w:pPr>
    </w:p>
    <w:p>
      <w:pPr>
        <w:ind w:left="640" w:hanging="632"/>
        <w:spacing w:after="0"/>
        <w:tabs>
          <w:tab w:leader="none" w:pos="6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20" w:right="260" w:hanging="612"/>
        <w:spacing w:after="0" w:line="282" w:lineRule="auto"/>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Singapore, without reference to its conflict of laws principles.</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submit to the non-exclusive jurisdiction of the courts of Singapore.</w:t>
      </w:r>
    </w:p>
    <w:p>
      <w:pPr>
        <w:spacing w:after="0" w:line="225" w:lineRule="exact"/>
        <w:rPr>
          <w:sz w:val="20"/>
          <w:szCs w:val="20"/>
          <w:color w:val="auto"/>
        </w:rPr>
      </w:pPr>
    </w:p>
    <w:p>
      <w:pPr>
        <w:ind w:left="660" w:right="1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the provisions hereof shall inure to the benefit of, and be binding upon,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successors, permitted assigns, heirs, executors and administrators of the Parties. No Party shall (nor shall it purport to) assign, transfer, charge or otherwise deal with all or any of its rights under this Agreement nor grant, declare or dispose of any right or interest in it without the prior written consent of the other Parties.</w:t>
      </w:r>
    </w:p>
    <w:p>
      <w:pPr>
        <w:spacing w:after="0" w:line="180" w:lineRule="exact"/>
        <w:rPr>
          <w:sz w:val="20"/>
          <w:szCs w:val="20"/>
          <w:color w:val="auto"/>
        </w:rPr>
      </w:pPr>
    </w:p>
    <w:p>
      <w:pPr>
        <w:ind w:left="660" w:right="1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other Transaction Agreements and the schedules and exhibits hereto and thereto as applicable, which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hereby expressly incorporated herein by this reference, constitute the entire understanding and agreement between the Parties with regard to the subjects hereof and thereof and supersede any prior agreement (whether oral or written) relating to the transactions contemplated in this Agreement.</w:t>
      </w:r>
    </w:p>
    <w:p>
      <w:pPr>
        <w:spacing w:after="0" w:line="180" w:lineRule="exact"/>
        <w:rPr>
          <w:sz w:val="20"/>
          <w:szCs w:val="20"/>
          <w:color w:val="auto"/>
        </w:rPr>
      </w:pPr>
    </w:p>
    <w:p>
      <w:pPr>
        <w:ind w:left="660" w:right="2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may be otherwise provided herein, all notices, requests, waivers and other communications made pursuant to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shall be in writing and shall be conclusively deemed to have been duly given: (a) when hand delivered to a Party; (b) when sent by email at the time the email is sent or (c) three (3) Business Days after deposit with an internationally reputable delivery service provider, postage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sending Party receives a confirmation of delivery from the delivery service provider.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7"/>
          <w:szCs w:val="17"/>
          <w:color w:val="auto"/>
        </w:rPr>
        <w:t>To the Vendor: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TRI WEALTH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LIM SOON HUAT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william.lim@tridentity.me</w:t>
      </w:r>
    </w:p>
    <w:p>
      <w:pPr>
        <w:spacing w:after="0" w:line="200" w:lineRule="exact"/>
        <w:rPr>
          <w:sz w:val="20"/>
          <w:szCs w:val="20"/>
          <w:color w:val="auto"/>
        </w:rPr>
      </w:pPr>
    </w:p>
    <w:p>
      <w:pPr>
        <w:sectPr>
          <w:pgSz w:w="11900" w:h="16838" w:orient="portrait"/>
          <w:cols w:equalWidth="0" w:num="2">
            <w:col w:w="2520" w:space="720"/>
            <w:col w:w="8000"/>
          </w:cols>
          <w:pgMar w:left="320" w:top="904" w:right="339" w:bottom="1440" w:gutter="0" w:footer="0" w:header="0"/>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the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INFINITE PARTNER INTERNATIONAL LIMITED</w:t>
      </w:r>
    </w:p>
    <w:p>
      <w:pPr>
        <w:spacing w:after="0" w:line="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Attention: CHEUNG, SAI HO (</w:t>
      </w:r>
      <w:r>
        <w:rPr>
          <w:rFonts w:ascii="PMingLiU" w:cs="PMingLiU" w:eastAsia="PMingLiU" w:hAnsi="PMingLiU"/>
          <w:sz w:val="18"/>
          <w:szCs w:val="18"/>
          <w:color w:val="auto"/>
        </w:rPr>
        <w:t>張世豪</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infinite.partner@outlook.com</w:t>
      </w:r>
    </w:p>
    <w:p>
      <w:pPr>
        <w:spacing w:after="0" w:line="200" w:lineRule="exact"/>
        <w:rPr>
          <w:sz w:val="20"/>
          <w:szCs w:val="20"/>
          <w:color w:val="auto"/>
        </w:rPr>
      </w:pPr>
    </w:p>
    <w:p>
      <w:pPr>
        <w:sectPr>
          <w:pgSz w:w="11900" w:h="16838" w:orient="portrait"/>
          <w:cols w:equalWidth="0" w:num="2">
            <w:col w:w="2520" w:space="720"/>
            <w:col w:w="8000"/>
          </w:cols>
          <w:pgMar w:left="320" w:top="904" w:right="339" w:bottom="1440" w:gutter="0" w:footer="0" w:header="0"/>
          <w:type w:val="continuous"/>
        </w:sectPr>
      </w:pPr>
    </w:p>
    <w:p>
      <w:pPr>
        <w:spacing w:after="0" w:line="20"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A Party may change or supplement the addresses given above, or designate additional addresses, for purposes of this Section 7.4 by giving the other Parties written notice of the new address or number (as relevant) in the manner set forth above.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This Agreement may be amended only with the prior written consent of the Parties.</w:t>
      </w:r>
    </w:p>
    <w:p>
      <w:pPr>
        <w:spacing w:after="0" w:line="225" w:lineRule="exact"/>
        <w:rPr>
          <w:sz w:val="20"/>
          <w:szCs w:val="20"/>
          <w:color w:val="auto"/>
        </w:rPr>
      </w:pPr>
    </w:p>
    <w:p>
      <w:pPr>
        <w:ind w:left="660" w:right="12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of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hereto under this Agreement, shall impair any such right, power or remedy of the aggrieved Party nor shall it be construed to be a waiver of any such breach or default, or an acquiescence therein, or of any similar breach or default thereafter occurring; nor shall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the Parties shall be cumulative and not alternative.</w:t>
      </w:r>
    </w:p>
    <w:p>
      <w:pPr>
        <w:spacing w:after="0" w:line="189" w:lineRule="exact"/>
        <w:rPr>
          <w:sz w:val="20"/>
          <w:szCs w:val="20"/>
          <w:color w:val="auto"/>
        </w:rPr>
      </w:pPr>
    </w:p>
    <w:p>
      <w:pPr>
        <w:ind w:left="660" w:right="9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Each Party shall bear its own legal and other costs and expenses of and incidental to the negotiation, preparation, execution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performance by it of this Agreement and all ancillary documents.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construing this Agreement.</w:t>
      </w:r>
    </w:p>
    <w:p>
      <w:pPr>
        <w:spacing w:after="0" w:line="162" w:lineRule="exact"/>
        <w:rPr>
          <w:sz w:val="20"/>
          <w:szCs w:val="20"/>
          <w:color w:val="auto"/>
        </w:rPr>
      </w:pPr>
    </w:p>
    <w:p>
      <w:pPr>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Counterparts; Reproductions; Electronic Signatures</w:t>
      </w:r>
      <w:r>
        <w:rPr>
          <w:rFonts w:ascii="Times New Roman" w:cs="Times New Roman" w:eastAsia="Times New Roman" w:hAnsi="Times New Roman"/>
          <w:sz w:val="18"/>
          <w:szCs w:val="18"/>
          <w:color w:val="auto"/>
        </w:rPr>
        <w:t>. This Agreement may be executed in any number of counterparts, and by each Party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separate counterparts. Each counterpart is an original, but all counterparts shall together constitute one and the same instrument. A facsimile, portable document file (PDF) or other reproduction of this Agreement may be executed by one or more Parties and delivered by such Party by facsimile, electronic mail or any similar electronic transmission pursuant to which the signature of or on behalf of such Party can be seen. Delivery of a counterpart of this Agreement by e-mail attachment or facsimile shall be an effective mode of delivery. The Parties agree that this Agreement may be executed by way of electronic signatures and the Parties agree that this Agreement, or any part thereof, shall not be denied legal effect, validity or enforceability solely on the ground that it is in the form of an electronic record. The Parties further agree that they shall not dispute the validity, accuracy, legal effectiveness or authenticity or enforceability of this Agreement merely on the basis that this Agreement is executed by way of electronic signatures, and that such electronic record shall be final and conclusive of the Parties’ agreement of any relevant matter as set out herein.</w:t>
      </w:r>
    </w:p>
    <w:p>
      <w:pPr>
        <w:spacing w:after="0" w:line="194"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determined to be illegal or unenforceable, such determination shall not affect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remaining provisions of this Agreement, the relevant provision shall have no effect in that respect and the Parties shall use all reasonable efforts to replace it in that respect with a valid and enforceable substitute provision the effect of which is as close to its intended effect as possible.</w:t>
      </w:r>
    </w:p>
    <w:p>
      <w:pPr>
        <w:spacing w:after="0" w:line="203"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u w:val="single" w:color="auto"/>
          <w:color w:val="auto"/>
        </w:rPr>
        <w:t xml:space="preserve">Third-party rights. </w:t>
      </w:r>
      <w:r>
        <w:rPr>
          <w:rFonts w:ascii="Times New Roman" w:cs="Times New Roman" w:eastAsia="Times New Roman" w:hAnsi="Times New Roman"/>
          <w:sz w:val="18"/>
          <w:szCs w:val="18"/>
          <w:color w:val="auto"/>
        </w:rPr>
        <w:t>A person who is not a party to this Agreement has no right under the Contracts (Rights of Third Parties) Act 2001 (2020 Rev</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Ed), to enforce any term of, or enjoy any benefit under, this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TRI WEALTH LTD</w:t>
      </w:r>
    </w:p>
    <w:p>
      <w:pPr>
        <w:spacing w:after="0" w:line="229" w:lineRule="exact"/>
        <w:rPr>
          <w:sz w:val="20"/>
          <w:szCs w:val="20"/>
          <w:color w:val="auto"/>
        </w:rPr>
      </w:pPr>
    </w:p>
    <w:p>
      <w:pPr>
        <w:jc w:val="both"/>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LIM SOON HUAT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LIM SOON HUAT</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INFINITE PARTNER INTERNATIONAL LIMITED</w:t>
      </w:r>
    </w:p>
    <w:p>
      <w:pPr>
        <w:spacing w:after="0" w:line="24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CHEUNG, SAI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line="219" w:lineRule="exact"/>
        <w:rPr>
          <w:sz w:val="20"/>
          <w:szCs w:val="20"/>
          <w:color w:val="auto"/>
        </w:rPr>
      </w:pPr>
      <w:r>
        <w:rPr>
          <w:rFonts w:ascii="Times New Roman" w:cs="Times New Roman" w:eastAsia="Times New Roman" w:hAnsi="Times New Roman"/>
          <w:sz w:val="18"/>
          <w:szCs w:val="18"/>
          <w:color w:val="auto"/>
        </w:rPr>
        <w:t>Name: CHEUNG, SAI HO (</w:t>
      </w:r>
      <w:r>
        <w:rPr>
          <w:rFonts w:ascii="PMingLiU" w:cs="PMingLiU" w:eastAsia="PMingLiU" w:hAnsi="PMingLiU"/>
          <w:sz w:val="18"/>
          <w:szCs w:val="18"/>
          <w:color w:val="auto"/>
        </w:rPr>
        <w:t>張世豪</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20"/>
      </w:cols>
      <w:pgMar w:left="980" w:top="90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1)"/>
      <w:numFmt w:val="decimal"/>
      <w:start w:val="1"/>
    </w:lvl>
  </w:abstractNum>
  <w:abstractNum w:abstractNumId="29">
    <w:nsid w:val="E7FFA2B"/>
    <w:multiLevelType w:val="hybridMultilevel"/>
    <w:lvl w:ilvl="0">
      <w:lvlJc w:val="left"/>
      <w:lvlText w:val="(%1)"/>
      <w:numFmt w:val="decimal"/>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1)"/>
      <w:numFmt w:val="lowerLetter"/>
      <w:start w:val="1"/>
    </w:lvl>
  </w:abstractNum>
  <w:abstractNum w:abstractNumId="34">
    <w:nsid w:val="2B0D8DBE"/>
    <w:multiLevelType w:val="hybridMultilevel"/>
    <w:lvl w:ilvl="0">
      <w:lvlJc w:val="left"/>
      <w:lvlText w:val="(%1)"/>
      <w:numFmt w:val="lowerRoman"/>
      <w:start w:val="3"/>
    </w:lvl>
  </w:abstractNum>
  <w:abstractNum w:abstractNumId="35">
    <w:nsid w:val="6C80EC70"/>
    <w:multiLevelType w:val="hybridMultilevel"/>
    <w:lvl w:ilvl="0">
      <w:lvlJc w:val="left"/>
      <w:lvlText w:val="(%1)"/>
      <w:numFmt w:val="lowerRoman"/>
      <w:start w:val="1"/>
    </w:lvl>
  </w:abstractNum>
  <w:abstractNum w:abstractNumId="36">
    <w:nsid w:val="379E21B5"/>
    <w:multiLevelType w:val="hybridMultilevel"/>
    <w:lvl w:ilvl="0">
      <w:lvlJc w:val="left"/>
      <w:lvlText w:val="(%1)"/>
      <w:numFmt w:val="lowerRoman"/>
      <w:start w:val="2"/>
    </w:lvl>
  </w:abstractNum>
  <w:abstractNum w:abstractNumId="37">
    <w:nsid w:val="69E373"/>
    <w:multiLevelType w:val="hybridMultilevel"/>
    <w:lvl w:ilvl="0">
      <w:lvlJc w:val="left"/>
      <w:lvlText w:val="(%1)"/>
      <w:numFmt w:val="lowerRoman"/>
      <w:start w:val="2"/>
    </w:lvl>
  </w:abstractNum>
  <w:abstractNum w:abstractNumId="38">
    <w:nsid w:val="2C27173B"/>
    <w:multiLevelType w:val="hybridMultilevel"/>
    <w:lvl w:ilvl="0">
      <w:lvlJc w:val="left"/>
      <w:lvlText w:val="(%1)"/>
      <w:numFmt w:val="lowerRoman"/>
      <w:start w:val="2"/>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
      <w:numFmt w:val="bullet"/>
      <w:start w:val="1"/>
    </w:lvl>
  </w:abstractNum>
  <w:abstractNum w:abstractNumId="50">
    <w:nsid w:val="34FD6B4F"/>
    <w:multiLevelType w:val="hybridMultilevel"/>
    <w:lvl w:ilvl="0">
      <w:lvlJc w:val="left"/>
      <w:lvlText w:val="(%1)"/>
      <w:numFmt w:val="lowerRoman"/>
      <w:start w:val="1"/>
    </w:lvl>
  </w:abstractNum>
  <w:abstractNum w:abstractNumId="51">
    <w:nsid w:val="5915FF32"/>
    <w:multiLevelType w:val="hybridMultilevel"/>
    <w:lvl w:ilvl="0">
      <w:lvlJc w:val="left"/>
      <w:lvlText w:val="(%1)"/>
      <w:numFmt w:val="lowerRoman"/>
      <w:start w:val="10"/>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
      <w:numFmt w:val="bullet"/>
      <w:start w:val="1"/>
    </w:lvl>
  </w:abstractNum>
  <w:abstractNum w:abstractNumId="58">
    <w:nsid w:val="5D888A08"/>
    <w:multiLevelType w:val="hybridMultilevel"/>
    <w:lvl w:ilvl="0">
      <w:lvlJc w:val="left"/>
      <w:lvlText w:val="(%1)"/>
      <w:numFmt w:val="lowerRoman"/>
      <w:start w:val="6"/>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1)"/>
      <w:numFmt w:val="decimal"/>
      <w:start w:val="1"/>
    </w:lvl>
  </w:abstractNum>
  <w:abstractNum w:abstractNumId="64">
    <w:nsid w:val="5399C654"/>
    <w:multiLevelType w:val="hybridMultilevel"/>
    <w:lvl w:ilvl="0">
      <w:lvlJc w:val="left"/>
      <w:lvlText w:val="(%1)"/>
      <w:numFmt w:val="decimal"/>
      <w:start w:val="2"/>
    </w:lvl>
  </w:abstractNum>
  <w:abstractNum w:abstractNumId="65">
    <w:nsid w:val="20EE1348"/>
    <w:multiLevelType w:val="hybridMultilevel"/>
    <w:lvl w:ilvl="0">
      <w:lvlJc w:val="left"/>
      <w:lvlText w:val="(%1)"/>
      <w:numFmt w:val="lowerRoman"/>
      <w:start w:val="2"/>
    </w:lvl>
  </w:abstractNum>
  <w:abstractNum w:abstractNumId="66">
    <w:nsid w:val="4427069A"/>
    <w:multiLevelType w:val="hybridMultilevel"/>
    <w:lvl w:ilvl="0">
      <w:lvlJc w:val="left"/>
      <w:lvlText w:val="(%1)"/>
      <w:numFmt w:val="lowerRoman"/>
      <w:start w:val="1"/>
    </w:lvl>
  </w:abstractNum>
  <w:abstractNum w:abstractNumId="67">
    <w:nsid w:val="B37E80A"/>
    <w:multiLevelType w:val="hybridMultilevel"/>
    <w:lvl w:ilvl="0">
      <w:lvlJc w:val="left"/>
      <w:lvlText w:val="•"/>
      <w:numFmt w:val="bullet"/>
      <w:start w:val="1"/>
    </w:lvl>
  </w:abstractNum>
  <w:abstractNum w:abstractNumId="68">
    <w:nsid w:val="2157F6BC"/>
    <w:multiLevelType w:val="hybridMultilevel"/>
    <w:lvl w:ilvl="0">
      <w:lvlJc w:val="left"/>
      <w:lvlText w:val="(%1)"/>
      <w:numFmt w:val="decimal"/>
      <w:start w:val="2"/>
    </w:lvl>
  </w:abstractNum>
  <w:abstractNum w:abstractNumId="69">
    <w:nsid w:val="704E1DD5"/>
    <w:multiLevelType w:val="hybridMultilevel"/>
    <w:lvl w:ilvl="0">
      <w:lvlJc w:val="left"/>
      <w:lvlText w:val="•"/>
      <w:numFmt w:val="bullet"/>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
      <w:numFmt w:val="bullet"/>
      <w:start w:val="1"/>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
      <w:numFmt w:val="bullet"/>
      <w:start w:val="1"/>
    </w:lvl>
  </w:abstractNum>
  <w:abstractNum w:abstractNumId="80">
    <w:nsid w:val="2A31B62D"/>
    <w:multiLevelType w:val="hybridMultilevel"/>
    <w:lvl w:ilvl="0">
      <w:lvlJc w:val="left"/>
      <w:lvlText w:val="•"/>
      <w:numFmt w:val="bullet"/>
      <w:start w:val="1"/>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1)"/>
      <w:numFmt w:val="lowerRoman"/>
      <w:start w:val="2"/>
    </w:lvl>
  </w:abstractNum>
  <w:abstractNum w:abstractNumId="83">
    <w:nsid w:val="754342"/>
    <w:multiLevelType w:val="hybridMultilevel"/>
    <w:lvl w:ilvl="0">
      <w:lvlJc w:val="left"/>
      <w:lvlText w:val="•"/>
      <w:numFmt w:val="bullet"/>
      <w:start w:val="1"/>
    </w:lvl>
  </w:abstractNum>
  <w:abstractNum w:abstractNumId="84">
    <w:nsid w:val="69E7F3E5"/>
    <w:multiLevelType w:val="hybridMultilevel"/>
    <w:lvl w:ilvl="0">
      <w:lvlJc w:val="left"/>
      <w:lvlText w:val="•"/>
      <w:numFmt w:val="bullet"/>
      <w:start w:val="1"/>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1)"/>
      <w:numFmt w:val="lowerLetter"/>
      <w:start w:val="2"/>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1)"/>
      <w:numFmt w:val="lowerLetter"/>
      <w:start w:val="1"/>
    </w:lvl>
  </w:abstractNum>
  <w:abstractNum w:abstractNumId="90">
    <w:nsid w:val="61E74EA3"/>
    <w:multiLevelType w:val="hybridMultilevel"/>
    <w:lvl w:ilvl="0">
      <w:lvlJc w:val="left"/>
      <w:lvlText w:val="(%1)"/>
      <w:numFmt w:val="lowerLetter"/>
      <w:start w:val="1"/>
    </w:lvl>
  </w:abstractNum>
  <w:abstractNum w:abstractNumId="91">
    <w:nsid w:val="597B4D84"/>
    <w:multiLevelType w:val="hybridMultilevel"/>
    <w:lvl w:ilvl="0">
      <w:lvlJc w:val="left"/>
      <w:lvlText w:val="(%1)"/>
      <w:numFmt w:val="lowerLetter"/>
      <w:start w:val="1"/>
    </w:lvl>
  </w:abstractNum>
  <w:abstractNum w:abstractNumId="92">
    <w:nsid w:val="F819E7F"/>
    <w:multiLevelType w:val="hybridMultilevel"/>
    <w:lvl w:ilvl="0">
      <w:lvlJc w:val="left"/>
      <w:lvlText w:val="(%1)"/>
      <w:numFmt w:val="lowerLetter"/>
      <w:start w:val="2"/>
    </w:lvl>
  </w:abstractNum>
  <w:abstractNum w:abstractNumId="93">
    <w:nsid w:val="57C7D42D"/>
    <w:multiLevelType w:val="hybridMultilevel"/>
    <w:lvl w:ilvl="0">
      <w:lvlJc w:val="left"/>
      <w:lvlText w:val="(%1)"/>
      <w:numFmt w:val="lowerLetter"/>
      <w:start w:val="1"/>
    </w:lvl>
  </w:abstractNum>
  <w:abstractNum w:abstractNumId="94">
    <w:nsid w:val="312167AD"/>
    <w:multiLevelType w:val="hybridMultilevel"/>
    <w:lvl w:ilvl="0">
      <w:lvlJc w:val="left"/>
      <w:lvlText w:val="(%1)"/>
      <w:numFmt w:val="lowerLetter"/>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7">
    <w:nsid w:val="75486E47"/>
    <w:multiLevelType w:val="hybridMultilevel"/>
    <w:lvl w:ilvl="0">
      <w:lvlJc w:val="left"/>
      <w:lvlText w:val="\emdash "/>
      <w:numFmt w:val="bullet"/>
      <w:start w:val="1"/>
    </w:lvl>
  </w:abstractNum>
  <w:abstractNum w:abstractNumId="98">
    <w:nsid w:val="6E534CDE"/>
    <w:multiLevelType w:val="hybridMultilevel"/>
    <w:lvl w:ilvl="0">
      <w:lvlJc w:val="left"/>
      <w:lvlText w:val="•"/>
      <w:numFmt w:val="bullet"/>
      <w:start w:val="1"/>
    </w:lvl>
  </w:abstractNum>
  <w:abstractNum w:abstractNumId="99">
    <w:nsid w:val="1A0DDE32"/>
    <w:multiLevelType w:val="hybridMultilevel"/>
    <w:lvl w:ilvl="0">
      <w:lvlJc w:val="left"/>
      <w:lvlText w:val="•"/>
      <w:numFmt w:val="bullet"/>
      <w:start w:val="1"/>
    </w:lvl>
  </w:abstractNum>
  <w:abstractNum w:abstractNumId="100">
    <w:nsid w:val="65968C1C"/>
    <w:multiLevelType w:val="hybridMultilevel"/>
    <w:lvl w:ilvl="0">
      <w:lvlJc w:val="left"/>
      <w:lvlText w:val="(%1)"/>
      <w:numFmt w:val="lowerRoman"/>
      <w:start w:val="3"/>
    </w:lvl>
  </w:abstractNum>
  <w:abstractNum w:abstractNumId="101">
    <w:nsid w:val="46263DEC"/>
    <w:multiLevelType w:val="hybridMultilevel"/>
    <w:lvl w:ilvl="0">
      <w:lvlJc w:val="left"/>
      <w:lvlText w:val="•"/>
      <w:numFmt w:val="bullet"/>
      <w:start w:val="1"/>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
      <w:numFmt w:val="bullet"/>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abstractNum>
  <w:abstractNum w:abstractNumId="107">
    <w:nsid w:val="49C0E823"/>
    <w:multiLevelType w:val="hybridMultilevel"/>
    <w:lvl w:ilvl="0">
      <w:lvlJc w:val="left"/>
      <w:lvlText w:val="*"/>
      <w:numFmt w:val="bullet"/>
      <w:start w:val="1"/>
    </w:lvl>
  </w:abstractNum>
  <w:abstractNum w:abstractNumId="108">
    <w:nsid w:val="14D53685"/>
    <w:multiLevelType w:val="hybridMultilevel"/>
    <w:lvl w:ilvl="0">
      <w:lvlJc w:val="left"/>
      <w:lvlText w:val="%1."/>
      <w:numFmt w:val="decimal"/>
      <w:start w:val="1"/>
    </w:lvl>
  </w:abstractNum>
  <w:abstractNum w:abstractNumId="109">
    <w:nsid w:val="230F856C"/>
    <w:multiLevelType w:val="hybridMultilevel"/>
    <w:lvl w:ilvl="0">
      <w:lvlJc w:val="left"/>
      <w:lvlText w:val="%1."/>
      <w:numFmt w:val="decimal"/>
      <w:start w:val="2"/>
    </w:lvl>
    <w:lvl w:ilvl="1">
      <w:lvlJc w:val="left"/>
      <w:lvlText w:val="(%2)"/>
      <w:numFmt w:val="lowerLetter"/>
      <w:start w:val="1"/>
    </w:lvl>
  </w:abstractNum>
  <w:abstractNum w:abstractNumId="110">
    <w:nsid w:val="6EAA85FB"/>
    <w:multiLevelType w:val="hybridMultilevel"/>
    <w:lvl w:ilvl="0">
      <w:lvlJc w:val="left"/>
      <w:lvlText w:val="%1."/>
      <w:numFmt w:val="decimal"/>
      <w:start w:val="2"/>
    </w:lvl>
  </w:abstractNum>
  <w:abstractNum w:abstractNumId="111">
    <w:nsid w:val="3F06ECB2"/>
    <w:multiLevelType w:val="hybridMultilevel"/>
    <w:lvl w:ilvl="0">
      <w:lvlJc w:val="left"/>
      <w:lvlText w:val="(%1)"/>
      <w:numFmt w:val="lowerLetter"/>
      <w:start w:val="3"/>
    </w:lvl>
  </w:abstractNum>
  <w:abstractNum w:abstractNumId="112">
    <w:nsid w:val="3B594807"/>
    <w:multiLevelType w:val="hybridMultilevel"/>
    <w:lvl w:ilvl="0">
      <w:lvlJc w:val="left"/>
      <w:lvlText w:val="(%1)"/>
      <w:numFmt w:val="lowerLetter"/>
      <w:start w:val="5"/>
    </w:lvl>
  </w:abstractNum>
  <w:abstractNum w:abstractNumId="113">
    <w:nsid w:val="6CAA2304"/>
    <w:multiLevelType w:val="hybridMultilevel"/>
    <w:lvl w:ilvl="0">
      <w:lvlJc w:val="left"/>
      <w:lvlText w:val="(%1)"/>
      <w:numFmt w:val="lowerLetter"/>
      <w:start w:val="6"/>
    </w:lvl>
  </w:abstractNum>
  <w:abstractNum w:abstractNumId="114">
    <w:nsid w:val="3F7C2FF4"/>
    <w:multiLevelType w:val="hybridMultilevel"/>
    <w:lvl w:ilvl="0">
      <w:lvlJc w:val="left"/>
      <w:lvlText w:val="%1."/>
      <w:numFmt w:val="decimal"/>
      <w:start w:val="2"/>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1."/>
      <w:numFmt w:val="decimal"/>
      <w:start w:val="2"/>
    </w:lvl>
  </w:abstractNum>
  <w:abstractNum w:abstractNumId="117">
    <w:nsid w:val="579328B9"/>
    <w:multiLevelType w:val="hybridMultilevel"/>
    <w:lvl w:ilvl="0">
      <w:lvlJc w:val="left"/>
      <w:lvlText w:val="(%1)"/>
      <w:numFmt w:val="lowerRoman"/>
      <w:start w:val="1"/>
    </w:lvl>
  </w:abstractNum>
  <w:abstractNum w:abstractNumId="118">
    <w:nsid w:val="5D205E20"/>
    <w:multiLevelType w:val="hybridMultilevel"/>
    <w:lvl w:ilvl="0">
      <w:lvlJc w:val="left"/>
      <w:lvlText w:val="%1."/>
      <w:numFmt w:val="decimal"/>
      <w:start w:val="2"/>
    </w:lvl>
  </w:abstractNum>
  <w:abstractNum w:abstractNumId="119">
    <w:nsid w:val="11CCA8BA"/>
    <w:multiLevelType w:val="hybridMultilevel"/>
    <w:lvl w:ilvl="0">
      <w:lvlJc w:val="left"/>
      <w:lvlText w:val="%1."/>
      <w:numFmt w:val="decimal"/>
      <w:start w:val="2"/>
    </w:lvl>
  </w:abstractNum>
  <w:abstractNum w:abstractNumId="120">
    <w:nsid w:val="4D32AB86"/>
    <w:multiLevelType w:val="hybridMultilevel"/>
    <w:lvl w:ilvl="0">
      <w:lvlJc w:val="left"/>
      <w:lvlText w:val="(%1)"/>
      <w:numFmt w:val="lowerLetter"/>
      <w:start w:val="10"/>
    </w:lvl>
  </w:abstractNum>
  <w:abstractNum w:abstractNumId="121">
    <w:nsid w:val="3F07ACC3"/>
    <w:multiLevelType w:val="hybridMultilevel"/>
    <w:lvl w:ilvl="0">
      <w:lvlJc w:val="left"/>
      <w:lvlText w:val="%1."/>
      <w:numFmt w:val="decimal"/>
      <w:start w:val="2"/>
    </w:lvl>
  </w:abstractNum>
  <w:abstractNum w:abstractNumId="122">
    <w:nsid w:val="6B47F63E"/>
    <w:multiLevelType w:val="hybridMultilevel"/>
    <w:lvl w:ilvl="0">
      <w:lvlJc w:val="left"/>
      <w:lvlText w:val="(%1)"/>
      <w:numFmt w:val="lowerLetter"/>
      <w:start w:val="12"/>
    </w:lvl>
  </w:abstractNum>
  <w:abstractNum w:abstractNumId="123">
    <w:nsid w:val="5CB44A05"/>
    <w:multiLevelType w:val="hybridMultilevel"/>
    <w:lvl w:ilvl="0">
      <w:lvlJc w:val="left"/>
      <w:lvlText w:val="%1."/>
      <w:numFmt w:val="decimal"/>
      <w:start w:val="2"/>
    </w:lvl>
  </w:abstractNum>
  <w:abstractNum w:abstractNumId="124">
    <w:nsid w:val="16CF80F1"/>
    <w:multiLevelType w:val="hybridMultilevel"/>
    <w:lvl w:ilvl="0">
      <w:lvlJc w:val="left"/>
      <w:lvlText w:val="(%1)"/>
      <w:numFmt w:val="lowerLetter"/>
      <w:start w:val="18"/>
    </w:lvl>
  </w:abstractNum>
  <w:abstractNum w:abstractNumId="125">
    <w:nsid w:val="1C695DEC"/>
    <w:multiLevelType w:val="hybridMultilevel"/>
    <w:lvl w:ilvl="0">
      <w:lvlJc w:val="left"/>
      <w:lvlText w:val="(%1)"/>
      <w:numFmt w:val="lowerLetter"/>
      <w:start w:val="19"/>
    </w:lvl>
  </w:abstractNum>
  <w:abstractNum w:abstractNumId="126">
    <w:nsid w:val="3FCFAED9"/>
    <w:multiLevelType w:val="hybridMultilevel"/>
    <w:lvl w:ilvl="0">
      <w:lvlJc w:val="left"/>
      <w:lvlText w:val="%1."/>
      <w:numFmt w:val="decimal"/>
      <w:start w:val="2"/>
    </w:lvl>
  </w:abstractNum>
  <w:abstractNum w:abstractNumId="127">
    <w:nsid w:val="F856867"/>
    <w:multiLevelType w:val="hybridMultilevel"/>
    <w:lvl w:ilvl="0">
      <w:lvlJc w:val="left"/>
      <w:lvlText w:val="%1."/>
      <w:numFmt w:val="decimal"/>
      <w:start w:val="3"/>
    </w:lvl>
  </w:abstractNum>
  <w:abstractNum w:abstractNumId="128">
    <w:nsid w:val="11B1CC33"/>
    <w:multiLevelType w:val="hybridMultilevel"/>
    <w:lvl w:ilvl="0">
      <w:lvlJc w:val="left"/>
      <w:lvlText w:val="%1."/>
      <w:numFmt w:val="decimal"/>
      <w:start w:val="4"/>
    </w:lvl>
  </w:abstractNum>
  <w:abstractNum w:abstractNumId="129">
    <w:nsid w:val="2E22FBB7"/>
    <w:multiLevelType w:val="hybridMultilevel"/>
    <w:lvl w:ilvl="0">
      <w:lvlJc w:val="left"/>
      <w:lvlText w:val="%1."/>
      <w:numFmt w:val="decimal"/>
      <w:start w:val="5"/>
    </w:lvl>
  </w:abstractNum>
  <w:abstractNum w:abstractNumId="130">
    <w:nsid w:val="29934699"/>
    <w:multiLevelType w:val="hybridMultilevel"/>
    <w:lvl w:ilvl="0">
      <w:lvlJc w:val="left"/>
      <w:lvlText w:val="%1."/>
      <w:numFmt w:val="decimal"/>
      <w:start w:val="6"/>
    </w:lvl>
  </w:abstractNum>
  <w:abstractNum w:abstractNumId="131">
    <w:nsid w:val="77485850"/>
    <w:multiLevelType w:val="hybridMultilevel"/>
    <w:lvl w:ilvl="0">
      <w:lvlJc w:val="left"/>
      <w:lvlText w:val="(%1)"/>
      <w:numFmt w:val="decimal"/>
      <w:start w:val="1"/>
    </w:lvl>
  </w:abstractNum>
  <w:abstractNum w:abstractNumId="132">
    <w:nsid w:val="744939A3"/>
    <w:multiLevelType w:val="hybridMultilevel"/>
    <w:lvl w:ilvl="0">
      <w:lvlJc w:val="left"/>
      <w:lvlText w:val="%1."/>
      <w:numFmt w:val="decimal"/>
      <w:start w:val="7"/>
    </w:lvl>
  </w:abstractNum>
  <w:abstractNum w:abstractNumId="133">
    <w:nsid w:val="4FA0D2E3"/>
    <w:multiLevelType w:val="hybridMultilevel"/>
    <w:lvl w:ilvl="0">
      <w:lvlJc w:val="left"/>
      <w:lvlText w:val="%1."/>
      <w:numFmt w:val="decimal"/>
      <w:start w:val="8"/>
    </w:lvl>
  </w:abstractNum>
  <w:abstractNum w:abstractNumId="134">
    <w:nsid w:val="6B1D2C14"/>
    <w:multiLevelType w:val="hybridMultilevel"/>
    <w:lvl w:ilvl="0">
      <w:lvlJc w:val="left"/>
      <w:lvlText w:val="%1."/>
      <w:numFmt w:val="decimal"/>
      <w:start w:val="8"/>
    </w:lvl>
  </w:abstractNum>
  <w:abstractNum w:abstractNumId="135">
    <w:nsid w:val="68B867D3"/>
    <w:multiLevelType w:val="hybridMultilevel"/>
    <w:lvl w:ilvl="0">
      <w:lvlJc w:val="left"/>
      <w:lvlText w:val="%1."/>
      <w:numFmt w:val="decimal"/>
      <w:start w:val="9"/>
    </w:lvl>
  </w:abstractNum>
  <w:abstractNum w:abstractNumId="136">
    <w:nsid w:val="3F7F5DD9"/>
    <w:multiLevelType w:val="hybridMultilevel"/>
    <w:lvl w:ilvl="0">
      <w:lvlJc w:val="left"/>
      <w:lvlText w:val="%1."/>
      <w:numFmt w:val="decimal"/>
      <w:start w:val="9"/>
    </w:lvl>
  </w:abstractNum>
  <w:abstractNum w:abstractNumId="137">
    <w:nsid w:val="2AE05A34"/>
    <w:multiLevelType w:val="hybridMultilevel"/>
    <w:lvl w:ilvl="0">
      <w:lvlJc w:val="left"/>
      <w:lvlText w:val="(%1)"/>
      <w:numFmt w:val="decimal"/>
      <w:start w:val="1"/>
    </w:lvl>
  </w:abstractNum>
  <w:abstractNum w:abstractNumId="138">
    <w:nsid w:val="32794FF7"/>
    <w:multiLevelType w:val="hybridMultilevel"/>
    <w:lvl w:ilvl="0">
      <w:lvlJc w:val="left"/>
      <w:lvlText w:val="(%1)"/>
      <w:numFmt w:val="decimal"/>
      <w:start w:val="1"/>
    </w:lvl>
  </w:abstractNum>
  <w:abstractNum w:abstractNumId="139">
    <w:nsid w:val="5454945E"/>
    <w:multiLevelType w:val="hybridMultilevel"/>
    <w:lvl w:ilvl="0">
      <w:lvlJc w:val="left"/>
      <w:lvlText w:val="(%1)"/>
      <w:numFmt w:val="decimal"/>
      <w:start w:val="1"/>
    </w:lvl>
  </w:abstractNum>
  <w:abstractNum w:abstractNumId="140">
    <w:nsid w:val="4DEFDFA0"/>
    <w:multiLevelType w:val="hybridMultilevel"/>
    <w:lvl w:ilvl="0">
      <w:lvlJc w:val="left"/>
      <w:lvlText w:val="*"/>
      <w:numFmt w:val="bullet"/>
      <w:start w:val="1"/>
    </w:lvl>
  </w:abstractNum>
  <w:abstractNum w:abstractNumId="141">
    <w:nsid w:val="2123D5F2"/>
    <w:multiLevelType w:val="hybridMultilevel"/>
    <w:lvl w:ilvl="0">
      <w:lvlJc w:val="left"/>
      <w:lvlText w:val="*"/>
      <w:numFmt w:val="bullet"/>
      <w:start w:val="1"/>
    </w:lvl>
  </w:abstractNum>
  <w:abstractNum w:abstractNumId="142">
    <w:nsid w:val="135B8110"/>
    <w:multiLevelType w:val="hybridMultilevel"/>
    <w:lvl w:ilvl="0">
      <w:lvlJc w:val="left"/>
      <w:lvlText w:val="*"/>
      <w:numFmt w:val="bullet"/>
      <w:start w:val="1"/>
    </w:lvl>
  </w:abstractNum>
  <w:abstractNum w:abstractNumId="143">
    <w:nsid w:val="94927A8"/>
    <w:multiLevelType w:val="hybridMultilevel"/>
    <w:lvl w:ilvl="0">
      <w:lvlJc w:val="left"/>
      <w:lvlText w:val="*"/>
      <w:numFmt w:val="bullet"/>
      <w:start w:val="1"/>
    </w:lvl>
  </w:abstractNum>
  <w:abstractNum w:abstractNumId="144">
    <w:nsid w:val="DCDF8F6"/>
    <w:multiLevelType w:val="hybridMultilevel"/>
    <w:lvl w:ilvl="0">
      <w:lvlJc w:val="left"/>
      <w:lvlText w:val="%1."/>
      <w:numFmt w:val="decimal"/>
      <w:start w:val="1"/>
    </w:lvl>
  </w:abstractNum>
  <w:abstractNum w:abstractNumId="145">
    <w:nsid w:val="52D7B105"/>
    <w:multiLevelType w:val="hybridMultilevel"/>
    <w:lvl w:ilvl="0">
      <w:lvlJc w:val="left"/>
      <w:lvlText w:val="%1."/>
      <w:numFmt w:val="decimal"/>
      <w:start w:val="2"/>
    </w:lvl>
    <w:lvl w:ilvl="1">
      <w:lvlJc w:val="left"/>
      <w:lvlText w:val="(%2)"/>
      <w:numFmt w:val="lowerLetter"/>
      <w:start w:val="1"/>
    </w:lvl>
  </w:abstractNum>
  <w:abstractNum w:abstractNumId="146">
    <w:nsid w:val="2E8A6394"/>
    <w:multiLevelType w:val="hybridMultilevel"/>
    <w:lvl w:ilvl="0">
      <w:lvlJc w:val="left"/>
      <w:lvlText w:val="%1."/>
      <w:numFmt w:val="decimal"/>
      <w:start w:val="2"/>
    </w:lvl>
  </w:abstractNum>
  <w:abstractNum w:abstractNumId="147">
    <w:nsid w:val="24E60401"/>
    <w:multiLevelType w:val="hybridMultilevel"/>
    <w:lvl w:ilvl="0">
      <w:lvlJc w:val="left"/>
      <w:lvlText w:val="(%1)"/>
      <w:numFmt w:val="lowerLetter"/>
      <w:start w:val="3"/>
    </w:lvl>
  </w:abstractNum>
  <w:abstractNum w:abstractNumId="148">
    <w:nsid w:val="2A6AD9BE"/>
    <w:multiLevelType w:val="hybridMultilevel"/>
    <w:lvl w:ilvl="0">
      <w:lvlJc w:val="left"/>
      <w:lvlText w:val="%1."/>
      <w:numFmt w:val="decimal"/>
      <w:start w:val="2"/>
    </w:lvl>
  </w:abstractNum>
  <w:abstractNum w:abstractNumId="149">
    <w:nsid w:val="BAAC1B4"/>
    <w:multiLevelType w:val="hybridMultilevel"/>
    <w:lvl w:ilvl="0">
      <w:lvlJc w:val="left"/>
      <w:lvlText w:val="%1."/>
      <w:numFmt w:val="decimal"/>
      <w:start w:val="2"/>
    </w:lvl>
  </w:abstractNum>
  <w:abstractNum w:abstractNumId="150">
    <w:nsid w:val="36B2ACBC"/>
    <w:multiLevelType w:val="hybridMultilevel"/>
    <w:lvl w:ilvl="0">
      <w:lvlJc w:val="left"/>
      <w:lvlText w:val="(%1)"/>
      <w:numFmt w:val="lowerLetter"/>
      <w:start w:val="5"/>
    </w:lvl>
  </w:abstractNum>
  <w:abstractNum w:abstractNumId="151">
    <w:nsid w:val="779D8544"/>
    <w:multiLevelType w:val="hybridMultilevel"/>
    <w:lvl w:ilvl="0">
      <w:lvlJc w:val="left"/>
      <w:lvlText w:val="%1."/>
      <w:numFmt w:val="decimal"/>
      <w:start w:val="2"/>
    </w:lvl>
  </w:abstractNum>
  <w:abstractNum w:abstractNumId="152">
    <w:nsid w:val="4AB26E78"/>
    <w:multiLevelType w:val="hybridMultilevel"/>
    <w:lvl w:ilvl="0">
      <w:lvlJc w:val="left"/>
      <w:lvlText w:val="(%1)"/>
      <w:numFmt w:val="lowerLetter"/>
      <w:start w:val="6"/>
    </w:lvl>
  </w:abstractNum>
  <w:abstractNum w:abstractNumId="153">
    <w:nsid w:val="21FAA2FA"/>
    <w:multiLevelType w:val="hybridMultilevel"/>
    <w:lvl w:ilvl="0">
      <w:lvlJc w:val="left"/>
      <w:lvlText w:val="%1."/>
      <w:numFmt w:val="decimal"/>
      <w:start w:val="3"/>
    </w:lvl>
  </w:abstractNum>
  <w:abstractNum w:abstractNumId="154">
    <w:nsid w:val="5451CF49"/>
    <w:multiLevelType w:val="hybridMultilevel"/>
    <w:lvl w:ilvl="0">
      <w:lvlJc w:val="left"/>
      <w:lvlText w:val="%1."/>
      <w:numFmt w:val="decimal"/>
      <w:start w:val="4"/>
    </w:lvl>
  </w:abstractNum>
  <w:abstractNum w:abstractNumId="155">
    <w:nsid w:val="6181EF69"/>
    <w:multiLevelType w:val="hybridMultilevel"/>
    <w:lvl w:ilvl="0">
      <w:lvlJc w:val="left"/>
      <w:lvlText w:val="%1."/>
      <w:numFmt w:val="decimal"/>
      <w:start w:val="5"/>
    </w:lvl>
  </w:abstractNum>
  <w:abstractNum w:abstractNumId="156">
    <w:nsid w:val="3E6400E6"/>
    <w:multiLevelType w:val="hybridMultilevel"/>
    <w:lvl w:ilvl="0">
      <w:lvlJc w:val="left"/>
      <w:lvlText w:val="%1."/>
      <w:numFmt w:val="decimal"/>
      <w:start w:val="6"/>
    </w:lvl>
  </w:abstractNum>
  <w:abstractNum w:abstractNumId="157">
    <w:nsid w:val="14217E23"/>
    <w:multiLevelType w:val="hybridMultilevel"/>
    <w:lvl w:ilvl="0">
      <w:lvlJc w:val="left"/>
      <w:lvlText w:val="(%1)"/>
      <w:numFmt w:val="decimal"/>
      <w:start w:val="1"/>
    </w:lvl>
  </w:abstractNum>
  <w:abstractNum w:abstractNumId="158">
    <w:nsid w:val="710757D0"/>
    <w:multiLevelType w:val="hybridMultilevel"/>
    <w:lvl w:ilvl="0">
      <w:lvlJc w:val="left"/>
      <w:lvlText w:val="%1."/>
      <w:numFmt w:val="decimal"/>
      <w:start w:val="7"/>
    </w:lvl>
  </w:abstractNum>
  <w:abstractNum w:abstractNumId="159">
    <w:nsid w:val="5015CD1A"/>
    <w:multiLevelType w:val="hybridMultilevel"/>
    <w:lvl w:ilvl="0">
      <w:lvlJc w:val="left"/>
      <w:lvlText w:val="%1."/>
      <w:numFmt w:val="decimal"/>
      <w:start w:val="8"/>
    </w:lvl>
  </w:abstractNum>
  <w:abstractNum w:abstractNumId="160">
    <w:nsid w:val="424479DA"/>
    <w:multiLevelType w:val="hybridMultilevel"/>
    <w:lvl w:ilvl="0">
      <w:lvlJc w:val="left"/>
      <w:lvlText w:val="%1."/>
      <w:numFmt w:val="decimal"/>
      <w:start w:val="9"/>
    </w:lvl>
  </w:abstractNum>
  <w:abstractNum w:abstractNumId="161">
    <w:nsid w:val="1A9A9E69"/>
    <w:multiLevelType w:val="hybridMultilevel"/>
    <w:lvl w:ilvl="0">
      <w:lvlJc w:val="left"/>
      <w:lvlText w:val="%1."/>
      <w:numFmt w:val="decimal"/>
      <w:start w:val="9"/>
    </w:lvl>
  </w:abstractNum>
  <w:abstractNum w:abstractNumId="162">
    <w:nsid w:val="475E256A"/>
    <w:multiLevelType w:val="hybridMultilevel"/>
    <w:lvl w:ilvl="0">
      <w:lvlJc w:val="left"/>
      <w:lvlText w:val="(%1)"/>
      <w:numFmt w:val="decimal"/>
      <w:start w:val="1"/>
    </w:lvl>
  </w:abstractNum>
  <w:abstractNum w:abstractNumId="163">
    <w:nsid w:val="368DB37E"/>
    <w:multiLevelType w:val="hybridMultilevel"/>
    <w:lvl w:ilvl="0">
      <w:lvlJc w:val="left"/>
      <w:lvlText w:val="(%1)"/>
      <w:numFmt w:val="decimal"/>
      <w:start w:val="1"/>
    </w:lvl>
  </w:abstractNum>
  <w:abstractNum w:abstractNumId="164">
    <w:nsid w:val="6A3B714C"/>
    <w:multiLevelType w:val="hybridMultilevel"/>
    <w:lvl w:ilvl="0">
      <w:lvlJc w:val="left"/>
      <w:lvlText w:val="(%1)"/>
      <w:numFmt w:val="decimal"/>
      <w:start w:val="1"/>
    </w:lvl>
  </w:abstractNum>
  <w:abstractNum w:abstractNumId="165">
    <w:nsid w:val="327B517E"/>
    <w:multiLevelType w:val="hybridMultilevel"/>
    <w:lvl w:ilvl="0">
      <w:lvlJc w:val="left"/>
      <w:lvlText w:val="(%1)"/>
      <w:numFmt w:val="decimal"/>
      <w:start w:val="1"/>
    </w:lvl>
  </w:abstractNum>
  <w:abstractNum w:abstractNumId="166">
    <w:nsid w:val="1F461B51"/>
    <w:multiLevelType w:val="hybridMultilevel"/>
    <w:lvl w:ilvl="0">
      <w:lvlJc w:val="left"/>
      <w:lvlText w:val="(%1)"/>
      <w:numFmt w:val="decimal"/>
      <w:start w:val="1"/>
    </w:lvl>
  </w:abstractNum>
  <w:abstractNum w:abstractNumId="167">
    <w:nsid w:val="29BACF25"/>
    <w:multiLevelType w:val="hybridMultilevel"/>
    <w:lvl w:ilvl="0">
      <w:lvlJc w:val="left"/>
      <w:lvlText w:val="(%1)"/>
      <w:numFmt w:val="decimal"/>
      <w:start w:val="1"/>
    </w:lvl>
  </w:abstractNum>
  <w:abstractNum w:abstractNumId="168">
    <w:nsid w:val="5D5BABB3"/>
    <w:multiLevelType w:val="hybridMultilevel"/>
    <w:lvl w:ilvl="0">
      <w:lvlJc w:val="left"/>
      <w:lvlText w:val="•"/>
      <w:numFmt w:val="bullet"/>
      <w:start w:val="1"/>
    </w:lvl>
  </w:abstractNum>
  <w:abstractNum w:abstractNumId="169">
    <w:nsid w:val="51BF6B48"/>
    <w:multiLevelType w:val="hybridMultilevel"/>
    <w:lvl w:ilvl="0">
      <w:lvlJc w:val="left"/>
      <w:lvlText w:val="(%1)"/>
      <w:numFmt w:val="lowerLetter"/>
      <w:start w:val="1"/>
    </w:lvl>
  </w:abstractNum>
  <w:abstractNum w:abstractNumId="170">
    <w:nsid w:val="7E0F6384"/>
    <w:multiLevelType w:val="hybridMultilevel"/>
    <w:lvl w:ilvl="0">
      <w:lvlJc w:val="left"/>
      <w:lvlText w:val="(%1)"/>
      <w:numFmt w:val="lowerLetter"/>
      <w:start w:val="1"/>
    </w:lvl>
  </w:abstractNum>
  <w:abstractNum w:abstractNumId="171">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2">
    <w:nsid w:val="72E3413A"/>
    <w:multiLevelType w:val="hybridMultilevel"/>
    <w:lvl w:ilvl="0">
      <w:lvlJc w:val="left"/>
      <w:lvlText w:val="%1"/>
      <w:numFmt w:val="decimal"/>
      <w:start w:val="1"/>
    </w:lvl>
    <w:lvl w:ilvl="1">
      <w:lvlJc w:val="left"/>
      <w:lvlText w:val="(%2)"/>
      <w:numFmt w:val="lowerRoman"/>
      <w:start w:val="3"/>
    </w:lvl>
  </w:abstractNum>
  <w:abstractNum w:abstractNumId="173">
    <w:nsid w:val="116AE494"/>
    <w:multiLevelType w:val="hybridMultilevel"/>
    <w:lvl w:ilvl="0">
      <w:lvlJc w:val="left"/>
      <w:lvlText w:val="(%1)"/>
      <w:numFmt w:val="decimal"/>
      <w:start w:val="2"/>
    </w:lvl>
    <w:lvl w:ilvl="1">
      <w:lvlJc w:val="left"/>
      <w:lvlText w:val="%2"/>
      <w:numFmt w:val="lowerRoman"/>
      <w:start w:val="1"/>
    </w:lvl>
  </w:abstractNum>
  <w:abstractNum w:abstractNumId="174">
    <w:nsid w:val="3494B2FB"/>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75">
    <w:nsid w:val="B13A3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76">
    <w:nsid w:val="6442959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7">
    <w:nsid w:val="631F1690"/>
    <w:multiLevelType w:val="hybridMultilevel"/>
    <w:lvl w:ilvl="0">
      <w:lvlJc w:val="left"/>
      <w:lvlText w:val="**"/>
      <w:numFmt w:val="bullet"/>
      <w:start w:val="1"/>
    </w:lvl>
  </w:abstractNum>
  <w:abstractNum w:abstractNumId="178">
    <w:nsid w:val="25973E32"/>
    <w:multiLevelType w:val="hybridMultilevel"/>
    <w:lvl w:ilvl="0">
      <w:lvlJc w:val="left"/>
      <w:lvlText w:val="%1."/>
      <w:numFmt w:val="upperLetter"/>
      <w:start w:val="1"/>
    </w:lvl>
  </w:abstractNum>
  <w:abstractNum w:abstractNumId="179">
    <w:nsid w:val="EAD6F57"/>
    <w:multiLevelType w:val="hybridMultilevel"/>
    <w:lvl w:ilvl="0">
      <w:lvlJc w:val="left"/>
      <w:lvlText w:val="%1."/>
      <w:numFmt w:val="upperLetter"/>
      <w:start w:val="1"/>
    </w:lvl>
  </w:abstractNum>
  <w:abstractNum w:abstractNumId="180">
    <w:nsid w:val="6EC9D844"/>
    <w:multiLevelType w:val="hybridMultilevel"/>
    <w:lvl w:ilvl="0">
      <w:lvlJc w:val="left"/>
      <w:lvlText w:val="%1."/>
      <w:numFmt w:val="decimal"/>
      <w:start w:val="1"/>
    </w:lvl>
  </w:abstractNum>
  <w:abstractNum w:abstractNumId="181">
    <w:nsid w:val="5C49EAEE"/>
    <w:multiLevelType w:val="hybridMultilevel"/>
    <w:lvl w:ilvl="0">
      <w:lvlJc w:val="left"/>
      <w:lvlText w:val="(%1)"/>
      <w:numFmt w:val="lowerLetter"/>
      <w:start w:val="1"/>
    </w:lvl>
  </w:abstractNum>
  <w:abstractNum w:abstractNumId="182">
    <w:nsid w:val="64AF49B"/>
    <w:multiLevelType w:val="hybridMultilevel"/>
    <w:lvl w:ilvl="0">
      <w:lvlJc w:val="left"/>
      <w:lvlText w:val="%1."/>
      <w:numFmt w:val="decimal"/>
      <w:start w:val="2"/>
    </w:lvl>
  </w:abstractNum>
  <w:abstractNum w:abstractNumId="183">
    <w:nsid w:val="397C46BC"/>
    <w:multiLevelType w:val="hybridMultilevel"/>
    <w:lvl w:ilvl="0">
      <w:lvlJc w:val="left"/>
      <w:lvlText w:val="%1."/>
      <w:numFmt w:val="decimal"/>
      <w:start w:val="3"/>
    </w:lvl>
  </w:abstractNum>
  <w:abstractNum w:abstractNumId="184">
    <w:nsid w:val="7E448DE9"/>
    <w:multiLevelType w:val="hybridMultilevel"/>
    <w:lvl w:ilvl="0">
      <w:lvlJc w:val="left"/>
      <w:lvlText w:val="(%1)"/>
      <w:numFmt w:val="lowerLetter"/>
      <w:start w:val="3"/>
    </w:lvl>
  </w:abstractNum>
  <w:abstractNum w:abstractNumId="185">
    <w:nsid w:val="5A9CC3E5"/>
    <w:multiLevelType w:val="hybridMultilevel"/>
    <w:lvl w:ilvl="0">
      <w:lvlJc w:val="left"/>
      <w:lvlText w:val="%1."/>
      <w:numFmt w:val="upperLetter"/>
      <w:start w:val="1"/>
    </w:lvl>
  </w:abstractNum>
  <w:abstractNum w:abstractNumId="186">
    <w:nsid w:val="1AFE3625"/>
    <w:multiLevelType w:val="hybridMultilevel"/>
    <w:lvl w:ilvl="0">
      <w:lvlJc w:val="left"/>
      <w:lvlText w:val="%1."/>
      <w:numFmt w:val="upperLetter"/>
      <w:start w:val="1"/>
    </w:lvl>
  </w:abstractNum>
  <w:abstractNum w:abstractNumId="187">
    <w:nsid w:val="3CA88ECF"/>
    <w:multiLevelType w:val="hybridMultilevel"/>
    <w:lvl w:ilvl="0">
      <w:lvlJc w:val="left"/>
      <w:lvlText w:val="%1."/>
      <w:numFmt w:val="decimal"/>
      <w:start w:val="1"/>
    </w:lvl>
  </w:abstractNum>
  <w:abstractNum w:abstractNumId="188">
    <w:nsid w:val="6EBE4208"/>
    <w:multiLevelType w:val="hybridMultilevel"/>
    <w:lvl w:ilvl="0">
      <w:lvlJc w:val="left"/>
      <w:lvlText w:val="(%1)"/>
      <w:numFmt w:val="lowerLetter"/>
      <w:start w:val="1"/>
    </w:lvl>
  </w:abstractNum>
  <w:abstractNum w:abstractNumId="189">
    <w:nsid w:val="C058DF5"/>
    <w:multiLevelType w:val="hybridMultilevel"/>
    <w:lvl w:ilvl="0">
      <w:lvlJc w:val="left"/>
      <w:lvlText w:val="%1."/>
      <w:numFmt w:val="decimal"/>
      <w:start w:val="2"/>
    </w:lvl>
  </w:abstractNum>
  <w:abstractNum w:abstractNumId="190">
    <w:nsid w:val="CBE5BE9"/>
    <w:multiLevelType w:val="hybridMultilevel"/>
    <w:lvl w:ilvl="0">
      <w:lvlJc w:val="left"/>
      <w:lvlText w:val="%1."/>
      <w:numFmt w:val="decimal"/>
      <w:start w:val="3"/>
    </w:lvl>
  </w:abstractNum>
  <w:abstractNum w:abstractNumId="191">
    <w:nsid w:val="3102BBE2"/>
    <w:multiLevelType w:val="hybridMultilevel"/>
    <w:lvl w:ilvl="0">
      <w:lvlJc w:val="left"/>
      <w:lvlText w:val="%1."/>
      <w:numFmt w:val="decimal"/>
      <w:start w:val="4"/>
    </w:lvl>
  </w:abstractNum>
  <w:abstractNum w:abstractNumId="192">
    <w:nsid w:val="26A02C5E"/>
    <w:multiLevelType w:val="hybridMultilevel"/>
    <w:lvl w:ilvl="0">
      <w:lvlJc w:val="left"/>
      <w:lvlText w:val="%1."/>
      <w:numFmt w:val="decimal"/>
      <w:start w:val="5"/>
    </w:lvl>
  </w:abstractNum>
  <w:abstractNum w:abstractNumId="193">
    <w:nsid w:val="541C8153"/>
    <w:multiLevelType w:val="hybridMultilevel"/>
    <w:lvl w:ilvl="0">
      <w:lvlJc w:val="left"/>
      <w:lvlText w:val="%1."/>
      <w:numFmt w:val="decimal"/>
      <w:start w:val="6"/>
    </w:lvl>
  </w:abstractNum>
  <w:abstractNum w:abstractNumId="194">
    <w:nsid w:val="67906F60"/>
    <w:multiLevelType w:val="hybridMultilevel"/>
    <w:lvl w:ilvl="0">
      <w:lvlJc w:val="left"/>
      <w:lvlText w:val="(%1)"/>
      <w:numFmt w:val="lowerLetter"/>
      <w:start w:val="1"/>
    </w:lvl>
  </w:abstractNum>
  <w:abstractNum w:abstractNumId="195">
    <w:nsid w:val="10DB9DAA"/>
    <w:multiLevelType w:val="hybridMultilevel"/>
    <w:lvl w:ilvl="0">
      <w:lvlJc w:val="left"/>
      <w:lvlText w:val="(%1)"/>
      <w:numFmt w:val="lowerLetter"/>
      <w:start w:val="1"/>
    </w:lvl>
    <w:lvl w:ilvl="1">
      <w:lvlJc w:val="left"/>
      <w:lvlText w:val="(%2)"/>
      <w:numFmt w:val="lowerRoman"/>
      <w:start w:val="1"/>
    </w:lvl>
  </w:abstractNum>
  <w:abstractNum w:abstractNumId="196">
    <w:nsid w:val="697D2D2"/>
    <w:multiLevelType w:val="hybridMultilevel"/>
    <w:lvl w:ilvl="0">
      <w:lvlJc w:val="left"/>
      <w:lvlText w:val="%1."/>
      <w:numFmt w:val="decimal"/>
      <w:start w:val="7"/>
    </w:lvl>
  </w:abstractNum>
  <w:abstractNum w:abstractNumId="197">
    <w:nsid w:val="6D68A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6" Type="http://schemas.openxmlformats.org/officeDocument/2006/relationships/image" Target="media/image248.png"/><Relationship Id="rId259" Type="http://schemas.openxmlformats.org/officeDocument/2006/relationships/image" Target="media/image249.png"/><Relationship Id="rId261" Type="http://schemas.openxmlformats.org/officeDocument/2006/relationships/image" Target="media/image250.png"/><Relationship Id="rId264" Type="http://schemas.openxmlformats.org/officeDocument/2006/relationships/image" Target="media/image251.png"/><Relationship Id="rId266"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6" Type="http://schemas.openxmlformats.org/officeDocument/2006/relationships/image" Target="media/image257.png"/><Relationship Id="rId278" Type="http://schemas.openxmlformats.org/officeDocument/2006/relationships/image" Target="media/image258.png"/><Relationship Id="rId281" Type="http://schemas.openxmlformats.org/officeDocument/2006/relationships/image" Target="media/image259.png"/><Relationship Id="rId284" Type="http://schemas.openxmlformats.org/officeDocument/2006/relationships/image" Target="media/image260.png"/><Relationship Id="rId287"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jpe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255" Type="http://schemas.openxmlformats.org/officeDocument/2006/relationships/hyperlink" Target="http://www.sec.gov/Archives/edgar/data/1983550/000121390024004651/ff12024a3ex1-1_trident.htm" TargetMode="External"/><Relationship Id="rId257" Type="http://schemas.openxmlformats.org/officeDocument/2006/relationships/hyperlink" Target="http://www.sec.gov/Archives/edgar/data/1983550/000101376223001433/ff12023ex3-1_trident.htm" TargetMode="External"/><Relationship Id="rId258" Type="http://schemas.openxmlformats.org/officeDocument/2006/relationships/hyperlink" Target="http://www.sec.gov/Archives/edgar/data/1983550/000101376223001433/ff12023ex3-2_trident.htm" TargetMode="External"/><Relationship Id="rId260" Type="http://schemas.openxmlformats.org/officeDocument/2006/relationships/hyperlink" Target="http://www.sec.gov/Archives/edgar/data/1983550/000101376223004960/ff12023a1ex4-3_trident.htm" TargetMode="External"/><Relationship Id="rId262" Type="http://schemas.openxmlformats.org/officeDocument/2006/relationships/hyperlink" Target="http://www.sec.gov/Archives/edgar/data/1983550/000101376223004960/ff12023a1ex4-2_trident.htm" TargetMode="External"/><Relationship Id="rId263" Type="http://schemas.openxmlformats.org/officeDocument/2006/relationships/hyperlink" Target="http://www.sec.gov/Archives/edgar/data/1983550/000121390024010696/ff12024a4ex5-1_trident.htm" TargetMode="External"/><Relationship Id="rId265" Type="http://schemas.openxmlformats.org/officeDocument/2006/relationships/hyperlink" Target="http://www.sec.gov/Archives/edgar/data/1983550/000101376223001433/ff12023ex99-2_trident.htm" TargetMode="External"/><Relationship Id="rId267" Type="http://schemas.openxmlformats.org/officeDocument/2006/relationships/hyperlink" Target="http://www.sec.gov/Archives/edgar/data/1983550/000101376223001433/ff12023ex10-1_trident.htm" TargetMode="External"/><Relationship Id="rId268" Type="http://schemas.openxmlformats.org/officeDocument/2006/relationships/hyperlink" Target="http://www.sec.gov/Archives/edgar/data/1983550/000101376223001433/ff12023ex10-2_trident.htm" TargetMode="External"/><Relationship Id="rId269" Type="http://schemas.openxmlformats.org/officeDocument/2006/relationships/hyperlink" Target="http://www.sec.gov/Archives/edgar/data/1983550/000101376223001433/ff12023ex10-3_trident.htm" TargetMode="External"/><Relationship Id="rId272" Type="http://schemas.openxmlformats.org/officeDocument/2006/relationships/hyperlink" Target="http://www.sec.gov/Archives/edgar/data/1983550/000101376223001433/ff12023ex21-1_trident.htm" TargetMode="External"/><Relationship Id="rId275" Type="http://schemas.openxmlformats.org/officeDocument/2006/relationships/hyperlink" Target="http://www.sec.gov/Archives/edgar/data/1983550/000101376223001433/ff12023_trident.htm#T7788" TargetMode="External"/><Relationship Id="rId277" Type="http://schemas.openxmlformats.org/officeDocument/2006/relationships/hyperlink" Target="http://www.sec.gov/Archives/edgar/data/1983550/000101376223001433/ff12023ex99-1_trident.htm" TargetMode="External"/><Relationship Id="rId279" Type="http://schemas.openxmlformats.org/officeDocument/2006/relationships/hyperlink" Target="http://www.sec.gov/Archives/edgar/data/1983550/000101376223001433/ff12023ex99-3_trident.htm" TargetMode="External"/><Relationship Id="rId280" Type="http://schemas.openxmlformats.org/officeDocument/2006/relationships/hyperlink" Target="http://www.sec.gov/Archives/edgar/data/1983550/000101376223001433/ff12023ex99-4_trident.htm" TargetMode="External"/><Relationship Id="rId282" Type="http://schemas.openxmlformats.org/officeDocument/2006/relationships/hyperlink" Target="http://www.sec.gov/Archives/edgar/data/1983550/000101376223001433/ff12023ex99-5_trident.htm" TargetMode="External"/><Relationship Id="rId283" Type="http://schemas.openxmlformats.org/officeDocument/2006/relationships/hyperlink" Target="http://www.sec.gov/Archives/edgar/data/1983550/000101376223001433/ff12023ex99-6_trident.htm" TargetMode="External"/><Relationship Id="rId285" Type="http://schemas.openxmlformats.org/officeDocument/2006/relationships/hyperlink" Target="http://www.sec.gov/Archives/edgar/data/1983550/000101376223001433/ff12023ex99-7_trident.htm" TargetMode="External"/><Relationship Id="rId286" Type="http://schemas.openxmlformats.org/officeDocument/2006/relationships/hyperlink" Target="http://www.sec.gov/Archives/edgar/data/1983550/000121390024004651/ff12024a3ex99-8_trident.htm" TargetMode="External"/><Relationship Id="rId288" Type="http://schemas.openxmlformats.org/officeDocument/2006/relationships/hyperlink" Target="http://www.sec.gov/Archives/edgar/data/1983550/000121390024010696/ff12024a4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2024-02-20T08:49:01Z</dcterms:created>
  <dcterms:modified xsi:type="dcterms:W3CDTF">2024-02-20T08:49:01Z</dcterms:modified>
</cp:coreProperties>
</file>