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tabs>
          <w:tab w:leader="none" w:pos="9560" w:val="left"/>
        </w:tabs>
        <w:rPr>
          <w:sz w:val="20"/>
          <w:szCs w:val="20"/>
          <w:color w:val="auto"/>
        </w:rPr>
      </w:pPr>
      <w:r>
        <w:rPr>
          <w:rFonts w:ascii="Arial" w:cs="Arial" w:eastAsia="Arial" w:hAnsi="Arial"/>
          <w:sz w:val="18"/>
          <w:szCs w:val="18"/>
          <w:b w:val="1"/>
          <w:bCs w:val="1"/>
          <w:color w:val="auto"/>
        </w:rPr>
        <w:t>As filed with the Securities and Exchange Commission on October 19, 2023</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180340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TRIDENT DIGITAL TECH HOLDINGS LTD</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4880"/>
        <w:spacing w:after="0"/>
        <w:rPr>
          <w:sz w:val="20"/>
          <w:szCs w:val="20"/>
          <w:color w:val="auto"/>
        </w:rPr>
      </w:pPr>
      <w:r>
        <w:rPr>
          <w:rFonts w:ascii="Arial" w:cs="Arial" w:eastAsia="Arial" w:hAnsi="Arial"/>
          <w:sz w:val="18"/>
          <w:szCs w:val="18"/>
          <w:color w:val="auto"/>
        </w:rPr>
        <w:t>Cogency Global Inc.</w:t>
      </w:r>
    </w:p>
    <w:p>
      <w:pPr>
        <w:spacing w:after="0" w:line="23"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122 East 42nd Street, 18th Floor</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New York, N.Y. 10168</w:t>
      </w:r>
    </w:p>
    <w:p>
      <w:pPr>
        <w:spacing w:after="0" w:line="9"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+1 (800) 221-0102</w:t>
      </w:r>
    </w:p>
    <w:p>
      <w:pPr>
        <w:spacing w:after="0" w:line="9"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1869440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8"/>
              </w:rPr>
              <w:t>Copies to:</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96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88"/>
              </w:rPr>
              <w:t>Stephanie Tang, Esq.</w:t>
            </w: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Herman H. Raspé, Esq.</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89"/>
              </w:rPr>
              <w:t>Hogan Lovells</w:t>
            </w:r>
          </w:p>
        </w:tc>
        <w:tc>
          <w:tcPr>
            <w:tcW w:w="1820" w:type="dxa"/>
            <w:vAlign w:val="bottom"/>
          </w:tcPr>
          <w:p>
            <w:pPr>
              <w:spacing w:after="0"/>
              <w:rPr>
                <w:sz w:val="18"/>
                <w:szCs w:val="18"/>
                <w:color w:val="auto"/>
              </w:rPr>
            </w:pPr>
          </w:p>
        </w:tc>
        <w:tc>
          <w:tcPr>
            <w:tcW w:w="54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89"/>
              </w:rPr>
              <w:t>11th Floor, One Pacific Place</w:t>
            </w:r>
          </w:p>
        </w:tc>
        <w:tc>
          <w:tcPr>
            <w:tcW w:w="1820" w:type="dxa"/>
            <w:vAlign w:val="bottom"/>
          </w:tcPr>
          <w:p>
            <w:pPr>
              <w:spacing w:after="0"/>
              <w:rPr>
                <w:sz w:val="18"/>
                <w:szCs w:val="18"/>
                <w:color w:val="auto"/>
              </w:rPr>
            </w:pPr>
          </w:p>
        </w:tc>
        <w:tc>
          <w:tcPr>
            <w:tcW w:w="380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88"/>
              </w:rPr>
              <w:t>1133 Avenue of the Americas</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5"/>
          </w:tcPr>
          <w:p>
            <w:pPr>
              <w:jc w:val="center"/>
              <w:ind w:left="1590"/>
              <w:spacing w:after="0"/>
              <w:rPr>
                <w:sz w:val="20"/>
                <w:szCs w:val="20"/>
                <w:color w:val="auto"/>
              </w:rPr>
            </w:pPr>
            <w:r>
              <w:rPr>
                <w:rFonts w:ascii="Arial" w:cs="Arial" w:eastAsia="Arial" w:hAnsi="Arial"/>
                <w:sz w:val="18"/>
                <w:szCs w:val="18"/>
                <w:b w:val="1"/>
                <w:bCs w:val="1"/>
                <w:color w:val="auto"/>
                <w:w w:val="89"/>
              </w:rPr>
              <w:t>88 Queensway Road</w:t>
            </w:r>
          </w:p>
        </w:tc>
        <w:tc>
          <w:tcPr>
            <w:tcW w:w="1820" w:type="dxa"/>
            <w:vAlign w:val="bottom"/>
          </w:tcPr>
          <w:p>
            <w:pPr>
              <w:spacing w:after="0"/>
              <w:rPr>
                <w:sz w:val="18"/>
                <w:szCs w:val="18"/>
                <w:color w:val="auto"/>
              </w:rPr>
            </w:pPr>
          </w:p>
        </w:tc>
        <w:tc>
          <w:tcPr>
            <w:tcW w:w="380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w w:val="91"/>
              </w:rPr>
              <w:t>New York, New York 10036</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0" w:type="dxa"/>
            <w:vAlign w:val="bottom"/>
            <w:gridSpan w:val="4"/>
          </w:tcPr>
          <w:p>
            <w:pPr>
              <w:jc w:val="center"/>
              <w:ind w:right="590"/>
              <w:spacing w:after="0"/>
              <w:rPr>
                <w:sz w:val="20"/>
                <w:szCs w:val="20"/>
                <w:color w:val="auto"/>
              </w:rPr>
            </w:pPr>
            <w:r>
              <w:rPr>
                <w:rFonts w:ascii="Arial" w:cs="Arial" w:eastAsia="Arial" w:hAnsi="Arial"/>
                <w:sz w:val="18"/>
                <w:szCs w:val="18"/>
                <w:b w:val="1"/>
                <w:bCs w:val="1"/>
                <w:color w:val="auto"/>
                <w:w w:val="90"/>
              </w:rPr>
              <w:t>Hong Kong</w:t>
            </w:r>
          </w:p>
        </w:tc>
        <w:tc>
          <w:tcPr>
            <w:tcW w:w="1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+1 212-336-2301</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5"/>
          </w:tcPr>
          <w:p>
            <w:pPr>
              <w:jc w:val="center"/>
              <w:ind w:left="1930"/>
              <w:spacing w:after="0"/>
              <w:rPr>
                <w:sz w:val="20"/>
                <w:szCs w:val="20"/>
                <w:color w:val="auto"/>
              </w:rPr>
            </w:pPr>
            <w:r>
              <w:rPr>
                <w:rFonts w:ascii="Arial" w:cs="Arial" w:eastAsia="Arial" w:hAnsi="Arial"/>
                <w:sz w:val="18"/>
                <w:szCs w:val="18"/>
                <w:b w:val="1"/>
                <w:bCs w:val="1"/>
                <w:color w:val="auto"/>
                <w:w w:val="90"/>
              </w:rPr>
              <w:t>+852 2219 0888</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780" w:type="dxa"/>
            <w:vAlign w:val="bottom"/>
            <w:gridSpan w:val="6"/>
          </w:tcPr>
          <w:p>
            <w:pPr>
              <w:spacing w:after="0"/>
              <w:rPr>
                <w:sz w:val="20"/>
                <w:szCs w:val="20"/>
                <w:color w:val="auto"/>
              </w:rPr>
            </w:pPr>
            <w:r>
              <w:rPr>
                <w:rFonts w:ascii="Arial" w:cs="Arial" w:eastAsia="Arial" w:hAnsi="Arial"/>
                <w:sz w:val="18"/>
                <w:szCs w:val="18"/>
                <w:color w:val="auto"/>
              </w:rPr>
              <w:t>It is proposed that this filing become effective under Rule 466:</w:t>
            </w:r>
          </w:p>
        </w:tc>
        <w:tc>
          <w:tcPr>
            <w:tcW w:w="3800" w:type="dxa"/>
            <w:vAlign w:val="bottom"/>
            <w:gridSpan w:val="4"/>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800" w:type="dxa"/>
            <w:vAlign w:val="bottom"/>
            <w:gridSpan w:val="4"/>
          </w:tcPr>
          <w:p>
            <w:pPr>
              <w:jc w:val="center"/>
              <w:ind w:right="190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on (Date) at (Time).</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580" w:type="dxa"/>
            <w:vAlign w:val="bottom"/>
            <w:gridSpan w:val="10"/>
          </w:tcPr>
          <w:p>
            <w:pPr>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rPr>
              <w:t>CALCULATION OF REGISTRATION FEE</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Borders>
              <w:right w:val="single" w:sz="8" w:color="auto"/>
            </w:tcBorders>
            <w:gridSpan w:val="5"/>
          </w:tcPr>
          <w:p>
            <w:pPr>
              <w:ind w:left="1200"/>
              <w:spacing w:after="0" w:line="195" w:lineRule="exact"/>
              <w:rPr>
                <w:sz w:val="20"/>
                <w:szCs w:val="20"/>
                <w:color w:val="auto"/>
              </w:rPr>
            </w:pPr>
            <w:r>
              <w:rPr>
                <w:rFonts w:ascii="Arial" w:cs="Arial" w:eastAsia="Arial" w:hAnsi="Arial"/>
                <w:sz w:val="18"/>
                <w:szCs w:val="18"/>
                <w:color w:val="auto"/>
              </w:rPr>
              <w:t>Title of Each Class of</w:t>
            </w:r>
          </w:p>
        </w:tc>
        <w:tc>
          <w:tcPr>
            <w:tcW w:w="18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Amount to be</w:t>
            </w:r>
          </w:p>
        </w:tc>
        <w:tc>
          <w:tcPr>
            <w:tcW w:w="1700" w:type="dxa"/>
            <w:vAlign w:val="bottom"/>
          </w:tcPr>
          <w:p>
            <w:pPr>
              <w:jc w:val="center"/>
              <w:ind w:left="70"/>
              <w:spacing w:after="0" w:line="195" w:lineRule="exact"/>
              <w:rPr>
                <w:sz w:val="20"/>
                <w:szCs w:val="20"/>
                <w:color w:val="auto"/>
              </w:rPr>
            </w:pPr>
            <w:r>
              <w:rPr>
                <w:rFonts w:ascii="Arial" w:cs="Arial" w:eastAsia="Arial" w:hAnsi="Arial"/>
                <w:sz w:val="18"/>
                <w:szCs w:val="18"/>
                <w:color w:val="auto"/>
                <w:w w:val="91"/>
              </w:rPr>
              <w:t>Proposed Maximum</w:t>
            </w:r>
          </w:p>
        </w:tc>
        <w:tc>
          <w:tcPr>
            <w:tcW w:w="20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2"/>
              </w:rPr>
              <w:t>Proposed Maximum</w:t>
            </w:r>
          </w:p>
        </w:tc>
        <w:tc>
          <w:tcPr>
            <w:tcW w:w="1660" w:type="dxa"/>
            <w:vAlign w:val="bottom"/>
          </w:tcPr>
          <w:p>
            <w:pPr>
              <w:jc w:val="center"/>
              <w:spacing w:after="0" w:line="195"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Borders>
              <w:right w:val="single" w:sz="8" w:color="auto"/>
            </w:tcBorders>
            <w:gridSpan w:val="5"/>
          </w:tcPr>
          <w:p>
            <w:pPr>
              <w:ind w:left="1020"/>
              <w:spacing w:after="0"/>
              <w:rPr>
                <w:sz w:val="20"/>
                <w:szCs w:val="20"/>
                <w:color w:val="auto"/>
              </w:rPr>
            </w:pPr>
            <w:r>
              <w:rPr>
                <w:rFonts w:ascii="Arial" w:cs="Arial" w:eastAsia="Arial" w:hAnsi="Arial"/>
                <w:sz w:val="18"/>
                <w:szCs w:val="18"/>
                <w:color w:val="auto"/>
              </w:rPr>
              <w:t>Securities to be Registered</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c>
          <w:tcPr>
            <w:tcW w:w="1700" w:type="dxa"/>
            <w:vAlign w:val="bottom"/>
          </w:tcPr>
          <w:p>
            <w:pPr>
              <w:jc w:val="center"/>
              <w:ind w:left="90"/>
              <w:spacing w:after="0"/>
              <w:rPr>
                <w:sz w:val="20"/>
                <w:szCs w:val="20"/>
                <w:color w:val="auto"/>
              </w:rPr>
            </w:pPr>
            <w:r>
              <w:rPr>
                <w:rFonts w:ascii="Arial" w:cs="Arial" w:eastAsia="Arial" w:hAnsi="Arial"/>
                <w:sz w:val="18"/>
                <w:szCs w:val="18"/>
                <w:color w:val="auto"/>
                <w:w w:val="88"/>
              </w:rPr>
              <w:t>Aggregate Price Per</w:t>
            </w:r>
          </w:p>
        </w:tc>
        <w:tc>
          <w:tcPr>
            <w:tcW w:w="20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2"/>
              </w:rPr>
              <w:t>Aggregate Offering</w:t>
            </w:r>
          </w:p>
        </w:tc>
        <w:tc>
          <w:tcPr>
            <w:tcW w:w="1660" w:type="dxa"/>
            <w:vAlign w:val="bottom"/>
          </w:tcPr>
          <w:p>
            <w:pPr>
              <w:jc w:val="center"/>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Unit*</w:t>
            </w:r>
          </w:p>
        </w:tc>
        <w:tc>
          <w:tcPr>
            <w:tcW w:w="20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gridSpan w:val="2"/>
          </w:tcPr>
          <w:p>
            <w:pPr>
              <w:jc w:val="center"/>
              <w:ind w:right="60"/>
              <w:spacing w:after="0"/>
              <w:rPr>
                <w:sz w:val="20"/>
                <w:szCs w:val="20"/>
                <w:color w:val="auto"/>
              </w:rPr>
            </w:pPr>
            <w:r>
              <w:rPr>
                <w:rFonts w:ascii="Arial" w:cs="Arial" w:eastAsia="Arial" w:hAnsi="Arial"/>
                <w:sz w:val="18"/>
                <w:szCs w:val="18"/>
                <w:color w:val="auto"/>
              </w:rPr>
              <w:t>Price**</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60" w:type="dxa"/>
            <w:vAlign w:val="bottom"/>
            <w:tcBorders>
              <w:right w:val="single" w:sz="8" w:color="auto"/>
            </w:tcBorders>
            <w:gridSpan w:val="5"/>
          </w:tcPr>
          <w:p>
            <w:pPr>
              <w:spacing w:after="0" w:line="169" w:lineRule="exact"/>
              <w:rPr>
                <w:sz w:val="20"/>
                <w:szCs w:val="20"/>
                <w:color w:val="auto"/>
              </w:rPr>
            </w:pPr>
            <w:r>
              <w:rPr>
                <w:rFonts w:ascii="Arial" w:cs="Arial" w:eastAsia="Arial" w:hAnsi="Arial"/>
                <w:sz w:val="18"/>
                <w:szCs w:val="18"/>
                <w:color w:val="auto"/>
                <w:w w:val="96"/>
              </w:rPr>
              <w:t>American Depositary Shares (“ADS(s)”), each ADS</w:t>
            </w:r>
          </w:p>
        </w:tc>
        <w:tc>
          <w:tcPr>
            <w:tcW w:w="18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Borders>
              <w:right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2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Borders>
              <w:right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6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representing the right to receive ten (10) Class B</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100,000,000 ADSs</w:t>
            </w:r>
          </w:p>
        </w:tc>
        <w:tc>
          <w:tcPr>
            <w:tcW w:w="1700" w:type="dxa"/>
            <w:vAlign w:val="bottom"/>
            <w:vMerge w:val="restart"/>
          </w:tcPr>
          <w:p>
            <w:pPr>
              <w:jc w:val="center"/>
              <w:ind w:left="90"/>
              <w:spacing w:after="0"/>
              <w:rPr>
                <w:sz w:val="20"/>
                <w:szCs w:val="20"/>
                <w:color w:val="auto"/>
              </w:rPr>
            </w:pPr>
            <w:r>
              <w:rPr>
                <w:rFonts w:ascii="Arial" w:cs="Arial" w:eastAsia="Arial" w:hAnsi="Arial"/>
                <w:sz w:val="18"/>
                <w:szCs w:val="18"/>
                <w:color w:val="auto"/>
                <w:w w:val="88"/>
              </w:rPr>
              <w:t>$5.00</w:t>
            </w:r>
          </w:p>
        </w:tc>
        <w:tc>
          <w:tcPr>
            <w:tcW w:w="20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88"/>
              </w:rPr>
              <w:t>$5,000,000</w:t>
            </w:r>
          </w:p>
        </w:tc>
        <w:tc>
          <w:tcPr>
            <w:tcW w:w="1660" w:type="dxa"/>
            <w:vAlign w:val="bottom"/>
            <w:vMerge w:val="restart"/>
          </w:tcPr>
          <w:p>
            <w:pPr>
              <w:jc w:val="center"/>
              <w:spacing w:after="0"/>
              <w:rPr>
                <w:sz w:val="20"/>
                <w:szCs w:val="20"/>
                <w:color w:val="auto"/>
              </w:rPr>
            </w:pPr>
            <w:r>
              <w:rPr>
                <w:rFonts w:ascii="Arial" w:cs="Arial" w:eastAsia="Arial" w:hAnsi="Arial"/>
                <w:sz w:val="18"/>
                <w:szCs w:val="18"/>
                <w:color w:val="auto"/>
                <w:w w:val="89"/>
              </w:rPr>
              <w:t>$738.00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6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w w:val="93"/>
              </w:rPr>
              <w:t>ordinary shares, par value US$0.00001 per share, of</w:t>
            </w:r>
          </w:p>
        </w:tc>
        <w:tc>
          <w:tcPr>
            <w:tcW w:w="1820" w:type="dxa"/>
            <w:vAlign w:val="bottom"/>
            <w:tcBorders>
              <w:right w:val="single" w:sz="8" w:color="auto"/>
            </w:tcBorders>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960" w:type="dxa"/>
            <w:vAlign w:val="bottom"/>
            <w:tcBorders>
              <w:right w:val="single" w:sz="8" w:color="auto"/>
            </w:tcBorders>
            <w:gridSpan w:val="5"/>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Borders>
              <w:right w:val="single" w:sz="8" w:color="auto"/>
            </w:tcBorders>
            <w:gridSpan w:val="5"/>
          </w:tcPr>
          <w:p>
            <w:pPr>
              <w:spacing w:after="0" w:line="190" w:lineRule="exact"/>
              <w:rPr>
                <w:sz w:val="20"/>
                <w:szCs w:val="20"/>
                <w:color w:val="auto"/>
              </w:rPr>
            </w:pPr>
            <w:r>
              <w:rPr>
                <w:rFonts w:ascii="Arial" w:cs="Arial" w:eastAsia="Arial" w:hAnsi="Arial"/>
                <w:sz w:val="18"/>
                <w:szCs w:val="18"/>
                <w:color w:val="auto"/>
                <w:w w:val="98"/>
              </w:rPr>
              <w:t>Trident Digital Tech Holdings Ltd (the “Company”)</w:t>
            </w:r>
          </w:p>
        </w:tc>
        <w:tc>
          <w:tcPr>
            <w:tcW w:w="182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3980" w:type="dxa"/>
            <w:vAlign w:val="bottom"/>
            <w:gridSpan w:val="6"/>
          </w:tcPr>
          <w:p>
            <w:pPr>
              <w:spacing w:after="0"/>
              <w:rPr>
                <w:sz w:val="20"/>
                <w:szCs w:val="20"/>
                <w:color w:val="auto"/>
              </w:rPr>
            </w:pPr>
            <w:r>
              <w:rPr>
                <w:rFonts w:ascii="Arial" w:cs="Arial" w:eastAsia="Arial" w:hAnsi="Arial"/>
                <w:sz w:val="18"/>
                <w:szCs w:val="18"/>
                <w:color w:val="auto"/>
              </w:rPr>
              <w:t>*   Each unit represents 100 ADSs.</w:t>
            </w:r>
          </w:p>
        </w:tc>
        <w:tc>
          <w:tcPr>
            <w:tcW w:w="18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472" w:right="339" w:bottom="0" w:gutter="0" w:footer="0" w:header="0"/>
        </w:sectPr>
      </w:pPr>
    </w:p>
    <w:bookmarkStart w:id="1" w:name="page2"/>
    <w:bookmarkEnd w:id="1"/>
    <w:p>
      <w:pPr>
        <w:ind w:left="275" w:hanging="275"/>
        <w:spacing w:after="0" w:line="277" w:lineRule="auto"/>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395" w:lineRule="exact"/>
        <w:rPr>
          <w:rFonts w:ascii="Arial" w:cs="Arial" w:eastAsia="Arial" w:hAnsi="Arial"/>
          <w:sz w:val="18"/>
          <w:szCs w:val="18"/>
          <w:color w:val="auto"/>
        </w:rPr>
      </w:pPr>
    </w:p>
    <w:p>
      <w:pPr>
        <w:ind w:left="275" w:right="26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-705485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356870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55"/>
          </w:cols>
          <w:pgMar w:left="305" w:top="125" w:right="639" w:bottom="1440"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340360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0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Pr>
          <w:p>
            <w:pPr>
              <w:jc w:val="center"/>
              <w:ind w:left="291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00" w:type="dxa"/>
            <w:vAlign w:val="bottom"/>
            <w:gridSpan w:val="6"/>
          </w:tcPr>
          <w:p>
            <w:pPr>
              <w:jc w:val="center"/>
              <w:ind w:right="1560"/>
              <w:spacing w:after="0"/>
              <w:rPr>
                <w:sz w:val="20"/>
                <w:szCs w:val="20"/>
                <w:color w:val="auto"/>
              </w:rPr>
            </w:pPr>
            <w:r>
              <w:rPr>
                <w:rFonts w:ascii="Arial" w:cs="Arial" w:eastAsia="Arial" w:hAnsi="Arial"/>
                <w:sz w:val="18"/>
                <w:szCs w:val="18"/>
                <w:b w:val="1"/>
                <w:bCs w:val="1"/>
                <w:color w:val="auto"/>
              </w:rPr>
              <w:t>INFORMATION REQUIRED IN PROSPECTUS</w:t>
            </w: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gridSpan w:val="2"/>
          </w:tcPr>
          <w:p>
            <w:pPr>
              <w:jc w:val="center"/>
              <w:ind w:left="1770"/>
              <w:spacing w:after="0"/>
              <w:rPr>
                <w:sz w:val="20"/>
                <w:szCs w:val="20"/>
                <w:color w:val="auto"/>
              </w:rPr>
            </w:pPr>
            <w:r>
              <w:rPr>
                <w:rFonts w:ascii="Arial" w:cs="Arial" w:eastAsia="Arial" w:hAnsi="Arial"/>
                <w:sz w:val="18"/>
                <w:szCs w:val="18"/>
                <w:b w:val="1"/>
                <w:bCs w:val="1"/>
                <w:color w:val="auto"/>
                <w:w w:val="87"/>
              </w:rPr>
              <w:t>Cross Reference Sheet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1.</w:t>
            </w:r>
          </w:p>
        </w:tc>
        <w:tc>
          <w:tcPr>
            <w:tcW w:w="48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20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14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56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Arial" w:cs="Arial" w:eastAsia="Arial" w:hAnsi="Arial"/>
                <w:sz w:val="18"/>
                <w:szCs w:val="18"/>
                <w:color w:val="auto"/>
              </w:rPr>
              <w:t>1.</w:t>
            </w: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560" w:type="dxa"/>
            <w:vAlign w:val="bottom"/>
          </w:tcPr>
          <w:p>
            <w:pPr>
              <w:spacing w:after="0"/>
              <w:rPr>
                <w:sz w:val="20"/>
                <w:szCs w:val="20"/>
                <w:color w:val="auto"/>
              </w:rPr>
            </w:pPr>
            <w:r>
              <w:rPr>
                <w:rFonts w:ascii="Arial" w:cs="Arial" w:eastAsia="Arial" w:hAnsi="Arial"/>
                <w:sz w:val="18"/>
                <w:szCs w:val="18"/>
                <w:color w:val="auto"/>
              </w:rPr>
              <w:t>2.</w:t>
            </w:r>
          </w:p>
        </w:tc>
        <w:tc>
          <w:tcPr>
            <w:tcW w:w="5640" w:type="dxa"/>
            <w:vAlign w:val="bottom"/>
            <w:gridSpan w:val="3"/>
          </w:tcPr>
          <w:p>
            <w:pPr>
              <w:ind w:left="20"/>
              <w:spacing w:after="0"/>
              <w:rPr>
                <w:sz w:val="20"/>
                <w:szCs w:val="20"/>
                <w:color w:val="auto"/>
              </w:rPr>
            </w:pPr>
            <w:r>
              <w:rPr>
                <w:rFonts w:ascii="Arial" w:cs="Arial" w:eastAsia="Arial" w:hAnsi="Arial"/>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40" w:type="dxa"/>
            <w:vAlign w:val="bottom"/>
            <w:gridSpan w:val="4"/>
          </w:tcPr>
          <w:p>
            <w:pPr>
              <w:ind w:left="100"/>
              <w:spacing w:after="0"/>
              <w:rPr>
                <w:sz w:val="20"/>
                <w:szCs w:val="20"/>
                <w:color w:val="auto"/>
              </w:rPr>
            </w:pPr>
            <w:r>
              <w:rPr>
                <w:rFonts w:ascii="Arial" w:cs="Arial" w:eastAsia="Arial" w:hAnsi="Arial"/>
                <w:sz w:val="18"/>
                <w:szCs w:val="18"/>
                <w:color w:val="auto"/>
              </w:rPr>
              <w:t>- Top Center.</w:t>
            </w:r>
          </w:p>
        </w:tc>
      </w:tr>
      <w:tr>
        <w:trPr>
          <w:trHeight w:val="453"/>
        </w:trPr>
        <w:tc>
          <w:tcPr>
            <w:tcW w:w="6200" w:type="dxa"/>
            <w:vAlign w:val="bottom"/>
            <w:gridSpan w:val="4"/>
          </w:tcPr>
          <w:p>
            <w:pPr>
              <w:spacing w:after="0"/>
              <w:rPr>
                <w:sz w:val="20"/>
                <w:szCs w:val="20"/>
                <w:color w:val="auto"/>
              </w:rPr>
            </w:pPr>
            <w:r>
              <w:rPr>
                <w:rFonts w:ascii="Arial" w:cs="Arial" w:eastAsia="Arial" w:hAnsi="Arial"/>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40" w:type="dxa"/>
            <w:vAlign w:val="bottom"/>
            <w:gridSpan w:val="4"/>
          </w:tcPr>
          <w:p>
            <w:pPr>
              <w:ind w:left="100"/>
              <w:spacing w:after="0"/>
              <w:rPr>
                <w:sz w:val="20"/>
                <w:szCs w:val="20"/>
                <w:color w:val="auto"/>
              </w:rPr>
            </w:pPr>
            <w:r>
              <w:rPr>
                <w:rFonts w:ascii="Arial" w:cs="Arial" w:eastAsia="Arial" w:hAnsi="Arial"/>
                <w:sz w:val="18"/>
                <w:szCs w:val="18"/>
                <w:color w:val="auto"/>
              </w:rPr>
              <w:t>- Upper right corner.</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American 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6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(iii)</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6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(iv)</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40" w:type="dxa"/>
            <w:vAlign w:val="bottom"/>
            <w:gridSpan w:val="4"/>
          </w:tcPr>
          <w:p>
            <w:pPr>
              <w:ind w:left="100"/>
              <w:spacing w:after="0"/>
              <w:rPr>
                <w:sz w:val="20"/>
                <w:szCs w:val="20"/>
                <w:color w:val="auto"/>
              </w:rPr>
            </w:pPr>
            <w:r>
              <w:rPr>
                <w:rFonts w:ascii="Arial" w:cs="Arial" w:eastAsia="Arial" w:hAnsi="Arial"/>
                <w:sz w:val="18"/>
                <w:szCs w:val="18"/>
                <w:color w:val="auto"/>
              </w:rPr>
              <w:t>- Paragraph (14);</w:t>
            </w: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material</w:t>
            </w: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(v)</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6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(vi)</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splits or plans of reorganization</w:t>
            </w: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(vii)</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w:t>
            </w:r>
          </w:p>
        </w:tc>
        <w:tc>
          <w:tcPr>
            <w:tcW w:w="4560" w:type="dxa"/>
            <w:vAlign w:val="bottom"/>
            <w:gridSpan w:val="5"/>
          </w:tcPr>
          <w:p>
            <w:pPr>
              <w:spacing w:after="0"/>
              <w:rPr>
                <w:sz w:val="20"/>
                <w:szCs w:val="20"/>
                <w:color w:val="auto"/>
              </w:rPr>
            </w:pPr>
            <w:r>
              <w:rPr>
                <w:rFonts w:ascii="Arial" w:cs="Arial" w:eastAsia="Arial" w:hAnsi="Arial"/>
                <w:sz w:val="18"/>
                <w:szCs w:val="18"/>
                <w:color w:val="auto"/>
                <w:w w:val="89"/>
              </w:rPr>
              <w:t>Reverse of Receipt - Paragraphs (23) and (24) (no provision for</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(viii)</w:t>
            </w: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Arial" w:cs="Arial" w:eastAsia="Arial" w:hAnsi="Arial"/>
                <w:sz w:val="18"/>
                <w:szCs w:val="18"/>
                <w:color w:val="auto"/>
              </w:rPr>
              <w:t>the 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702" w:right="819" w:bottom="1440" w:gutter="0" w:footer="0" w:header="0"/>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Number and Caption</w:t>
      </w:r>
    </w:p>
    <w:p>
      <w:pPr>
        <w:spacing w:after="0" w:line="229" w:lineRule="exact"/>
        <w:rPr>
          <w:sz w:val="20"/>
          <w:szCs w:val="20"/>
          <w:color w:val="auto"/>
        </w:rPr>
      </w:pPr>
    </w:p>
    <w:p>
      <w:pPr>
        <w:ind w:left="1140" w:right="480" w:hanging="565"/>
        <w:spacing w:after="0" w:line="277" w:lineRule="auto"/>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Restrictions upon the right to deposit or withdraw the underlying securities</w:t>
      </w:r>
    </w:p>
    <w:p>
      <w:pPr>
        <w:spacing w:after="0" w:line="170" w:lineRule="exact"/>
        <w:rPr>
          <w:rFonts w:ascii="Arial" w:cs="Arial" w:eastAsia="Arial" w:hAnsi="Arial"/>
          <w:sz w:val="18"/>
          <w:szCs w:val="18"/>
          <w:color w:val="auto"/>
        </w:rPr>
      </w:pPr>
    </w:p>
    <w:p>
      <w:pPr>
        <w:ind w:left="1140" w:hanging="565"/>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Limitation upon the liability of the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Location in Form of American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Receipt (“</w:t>
      </w:r>
      <w:r>
        <w:rPr>
          <w:rFonts w:ascii="Arial" w:cs="Arial" w:eastAsia="Arial" w:hAnsi="Arial"/>
          <w:sz w:val="18"/>
          <w:szCs w:val="18"/>
          <w:b w:val="1"/>
          <w:bCs w:val="1"/>
          <w:u w:val="single" w:color="auto"/>
          <w:color w:val="auto"/>
        </w:rPr>
        <w:t>Receipt</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Filed Herewith as Prospectus</w:t>
      </w:r>
    </w:p>
    <w:p>
      <w:pPr>
        <w:spacing w:after="0" w:line="2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u w:val="single" w:color="auto"/>
          <w:color w:val="auto"/>
        </w:rPr>
        <w:t>Face of Receipt</w:t>
      </w:r>
      <w:r>
        <w:rPr>
          <w:rFonts w:ascii="Arial" w:cs="Arial" w:eastAsia="Arial" w:hAnsi="Arial"/>
          <w:sz w:val="18"/>
          <w:szCs w:val="18"/>
          <w:color w:val="auto"/>
        </w:rPr>
        <w:t xml:space="preserve"> – Paragraphs (2), (4), (6), (8), (9) and (10); </w:t>
      </w:r>
      <w:r>
        <w:rPr>
          <w:rFonts w:ascii="Arial" w:cs="Arial" w:eastAsia="Arial" w:hAnsi="Arial"/>
          <w:sz w:val="18"/>
          <w:szCs w:val="18"/>
          <w:u w:val="single" w:color="auto"/>
          <w:color w:val="auto"/>
        </w:rPr>
        <w:t>Reverse of Receipt</w:t>
      </w:r>
      <w:r>
        <w:rPr>
          <w:rFonts w:ascii="Arial" w:cs="Arial" w:eastAsia="Arial" w:hAnsi="Arial"/>
          <w:sz w:val="18"/>
          <w:szCs w:val="18"/>
          <w:color w:val="auto"/>
        </w:rPr>
        <w:t xml:space="preserve"> - Paragraph (25).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Face of Receipt</w:t>
      </w:r>
      <w:r>
        <w:rPr>
          <w:rFonts w:ascii="Arial" w:cs="Arial" w:eastAsia="Arial" w:hAnsi="Arial"/>
          <w:sz w:val="18"/>
          <w:szCs w:val="18"/>
          <w:color w:val="auto"/>
        </w:rPr>
        <w:t xml:space="preserve"> - Paragraphs (8) and (12);</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u w:val="single" w:color="auto"/>
          <w:color w:val="auto"/>
        </w:rPr>
        <w:t>Reverse of Receipt</w:t>
      </w:r>
      <w:r>
        <w:rPr>
          <w:rFonts w:ascii="Arial" w:cs="Arial" w:eastAsia="Arial" w:hAnsi="Arial"/>
          <w:sz w:val="18"/>
          <w:szCs w:val="18"/>
          <w:color w:val="auto"/>
        </w:rPr>
        <w:t xml:space="preserve"> - Paragraphs (15), (16), (18), (19), (20), (21) and (25).</w:t>
      </w:r>
    </w:p>
    <w:p>
      <w:pPr>
        <w:spacing w:after="0" w:line="168" w:lineRule="exact"/>
        <w:rPr>
          <w:sz w:val="20"/>
          <w:szCs w:val="20"/>
          <w:color w:val="auto"/>
        </w:rPr>
      </w:pPr>
    </w:p>
    <w:p>
      <w:pPr>
        <w:sectPr>
          <w:pgSz w:w="11900" w:h="16838" w:orient="portrait"/>
          <w:cols w:equalWidth="0" w:num="2">
            <w:col w:w="5480" w:space="720"/>
            <w:col w:w="5040"/>
          </w:cols>
          <w:pgMar w:left="320" w:top="729"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3.</w:t>
            </w:r>
          </w:p>
        </w:tc>
        <w:tc>
          <w:tcPr>
            <w:tcW w:w="5640" w:type="dxa"/>
            <w:vAlign w:val="bottom"/>
          </w:tcPr>
          <w:p>
            <w:pPr>
              <w:ind w:left="20"/>
              <w:spacing w:after="0"/>
              <w:rPr>
                <w:sz w:val="20"/>
                <w:szCs w:val="20"/>
                <w:color w:val="auto"/>
              </w:rPr>
            </w:pPr>
            <w:r>
              <w:rPr>
                <w:rFonts w:ascii="Arial" w:cs="Arial" w:eastAsia="Arial" w:hAnsi="Arial"/>
                <w:sz w:val="18"/>
                <w:szCs w:val="18"/>
                <w:color w:val="auto"/>
              </w:rPr>
              <w:t>Fees and charges which may be imposed directly or indirectly on</w:t>
            </w:r>
          </w:p>
        </w:tc>
        <w:tc>
          <w:tcPr>
            <w:tcW w:w="2380" w:type="dxa"/>
            <w:vAlign w:val="bottom"/>
            <w:gridSpan w:val="2"/>
          </w:tcPr>
          <w:p>
            <w:pPr>
              <w:spacing w:after="0"/>
              <w:rPr>
                <w:sz w:val="20"/>
                <w:szCs w:val="20"/>
                <w:color w:val="auto"/>
              </w:rPr>
            </w:pPr>
            <w:r>
              <w:rPr>
                <w:rFonts w:ascii="Arial" w:cs="Arial" w:eastAsia="Arial" w:hAnsi="Arial"/>
                <w:sz w:val="18"/>
                <w:szCs w:val="18"/>
                <w:color w:val="auto"/>
                <w:w w:val="88"/>
              </w:rPr>
              <w:t>Face of Receipt - Paragraph (11).</w:t>
            </w:r>
          </w:p>
        </w:tc>
      </w:tr>
      <w:tr>
        <w:trPr>
          <w:trHeight w:val="237"/>
        </w:trPr>
        <w:tc>
          <w:tcPr>
            <w:tcW w:w="560" w:type="dxa"/>
            <w:vAlign w:val="bottom"/>
          </w:tcPr>
          <w:p>
            <w:pPr>
              <w:spacing w:after="0"/>
              <w:rPr>
                <w:sz w:val="20"/>
                <w:szCs w:val="20"/>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1260" w:type="dxa"/>
            <w:vAlign w:val="bottom"/>
          </w:tcPr>
          <w:p>
            <w:pPr>
              <w:spacing w:after="0"/>
              <w:rPr>
                <w:sz w:val="20"/>
                <w:szCs w:val="20"/>
                <w:color w:val="auto"/>
              </w:rPr>
            </w:pPr>
          </w:p>
        </w:tc>
      </w:tr>
      <w:tr>
        <w:trPr>
          <w:trHeight w:val="391"/>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2.</w:t>
            </w:r>
          </w:p>
        </w:tc>
        <w:tc>
          <w:tcPr>
            <w:tcW w:w="5640" w:type="dxa"/>
            <w:vAlign w:val="bottom"/>
          </w:tcPr>
          <w:p>
            <w:pPr>
              <w:ind w:left="580"/>
              <w:spacing w:after="0"/>
              <w:rPr>
                <w:sz w:val="20"/>
                <w:szCs w:val="20"/>
                <w:color w:val="auto"/>
              </w:rPr>
            </w:pPr>
            <w:r>
              <w:rPr>
                <w:rFonts w:ascii="Arial" w:cs="Arial" w:eastAsia="Arial" w:hAnsi="Arial"/>
                <w:sz w:val="18"/>
                <w:szCs w:val="18"/>
                <w:b w:val="1"/>
                <w:bCs w:val="1"/>
                <w:color w:val="auto"/>
              </w:rPr>
              <w:t>AVAILABLE INFORMATION</w:t>
            </w:r>
          </w:p>
        </w:tc>
        <w:tc>
          <w:tcPr>
            <w:tcW w:w="2380" w:type="dxa"/>
            <w:vAlign w:val="bottom"/>
            <w:gridSpan w:val="2"/>
          </w:tcPr>
          <w:p>
            <w:pPr>
              <w:spacing w:after="0"/>
              <w:rPr>
                <w:sz w:val="20"/>
                <w:szCs w:val="20"/>
                <w:color w:val="auto"/>
              </w:rPr>
            </w:pPr>
            <w:r>
              <w:rPr>
                <w:rFonts w:ascii="Arial" w:cs="Arial" w:eastAsia="Arial" w:hAnsi="Arial"/>
                <w:sz w:val="18"/>
                <w:szCs w:val="18"/>
                <w:color w:val="auto"/>
                <w:w w:val="88"/>
              </w:rPr>
              <w:t>Face of Receipt - Paragraph (14).</w:t>
            </w:r>
          </w:p>
        </w:tc>
      </w:tr>
      <w:tr>
        <w:trPr>
          <w:trHeight w:val="20"/>
        </w:trPr>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3"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02"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jc w:val="both"/>
        <w:ind w:left="1300" w:hanging="644"/>
        <w:spacing w:after="0" w:line="226" w:lineRule="auto"/>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Form of Deposit Agreement, by and among Trident Digital Tech Holdings Ltd (the “</w:t>
      </w:r>
      <w:r>
        <w:rPr>
          <w:rFonts w:ascii="Arial" w:cs="Arial" w:eastAsia="Arial" w:hAnsi="Arial"/>
          <w:sz w:val="17"/>
          <w:szCs w:val="17"/>
          <w:u w:val="single" w:color="auto"/>
          <w:color w:val="auto"/>
        </w:rPr>
        <w:t>Company</w:t>
      </w:r>
      <w:r>
        <w:rPr>
          <w:rFonts w:ascii="Arial" w:cs="Arial" w:eastAsia="Arial" w:hAnsi="Arial"/>
          <w:sz w:val="17"/>
          <w:szCs w:val="17"/>
          <w:color w:val="auto"/>
        </w:rPr>
        <w:t>”), Citibank, N.A., as depositary (the “</w:t>
      </w:r>
      <w:r>
        <w:rPr>
          <w:rFonts w:ascii="Arial" w:cs="Arial" w:eastAsia="Arial" w:hAnsi="Arial"/>
          <w:sz w:val="17"/>
          <w:szCs w:val="17"/>
          <w:u w:val="single" w:color="auto"/>
          <w:color w:val="auto"/>
        </w:rPr>
        <w:t>Depositary</w:t>
      </w:r>
      <w:r>
        <w:rPr>
          <w:rFonts w:ascii="Arial" w:cs="Arial" w:eastAsia="Arial" w:hAnsi="Arial"/>
          <w:sz w:val="17"/>
          <w:szCs w:val="17"/>
          <w:color w:val="auto"/>
        </w:rPr>
        <w:t>”), and all Holders and Beneficial Owners of American Depositary Shares issued thereunder (“</w:t>
      </w:r>
      <w:r>
        <w:rPr>
          <w:rFonts w:ascii="Arial" w:cs="Arial" w:eastAsia="Arial" w:hAnsi="Arial"/>
          <w:sz w:val="17"/>
          <w:szCs w:val="17"/>
          <w:u w:val="single" w:color="auto"/>
          <w:color w:val="auto"/>
        </w:rPr>
        <w:t>Deposit Agreement</w:t>
      </w:r>
      <w:r>
        <w:rPr>
          <w:rFonts w:ascii="Arial" w:cs="Arial" w:eastAsia="Arial" w:hAnsi="Arial"/>
          <w:sz w:val="17"/>
          <w:szCs w:val="17"/>
          <w:color w:val="auto"/>
        </w:rPr>
        <w:t xml:space="preserve">”). </w:t>
      </w:r>
      <w:r>
        <w:rPr>
          <w:rFonts w:ascii="Arial" w:cs="Arial" w:eastAsia="Arial" w:hAnsi="Arial"/>
          <w:sz w:val="28"/>
          <w:szCs w:val="28"/>
          <w:color w:val="auto"/>
          <w:vertAlign w:val="superscript"/>
        </w:rPr>
        <w:t>___</w:t>
      </w:r>
    </w:p>
    <w:p>
      <w:pPr>
        <w:spacing w:after="0" w:line="1"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Filed herewith as Exhibit (a).</w:t>
      </w:r>
    </w:p>
    <w:p>
      <w:pPr>
        <w:spacing w:after="0" w:line="209" w:lineRule="exact"/>
        <w:rPr>
          <w:rFonts w:ascii="Arial" w:cs="Arial" w:eastAsia="Arial" w:hAnsi="Arial"/>
          <w:sz w:val="17"/>
          <w:szCs w:val="17"/>
          <w:color w:val="auto"/>
        </w:rPr>
      </w:pPr>
    </w:p>
    <w:p>
      <w:pPr>
        <w:ind w:left="1300" w:hanging="644"/>
        <w:spacing w:after="0" w:line="28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Arial" w:cs="Arial" w:eastAsia="Arial" w:hAnsi="Arial"/>
          <w:sz w:val="29"/>
          <w:szCs w:val="29"/>
          <w:color w:val="auto"/>
          <w:vertAlign w:val="superscript"/>
        </w:rPr>
        <w:t>___</w:t>
      </w:r>
      <w:r>
        <w:rPr>
          <w:rFonts w:ascii="Arial" w:cs="Arial" w:eastAsia="Arial" w:hAnsi="Arial"/>
          <w:sz w:val="18"/>
          <w:szCs w:val="18"/>
          <w:color w:val="auto"/>
        </w:rPr>
        <w:t xml:space="preserve"> None.</w:t>
      </w:r>
    </w:p>
    <w:p>
      <w:pPr>
        <w:spacing w:after="0" w:line="37" w:lineRule="exact"/>
        <w:rPr>
          <w:rFonts w:ascii="Arial" w:cs="Arial" w:eastAsia="Arial" w:hAnsi="Arial"/>
          <w:sz w:val="18"/>
          <w:szCs w:val="18"/>
          <w:color w:val="auto"/>
        </w:rPr>
      </w:pPr>
    </w:p>
    <w:p>
      <w:pPr>
        <w:ind w:left="1300" w:hanging="644"/>
        <w:spacing w:after="0" w:line="28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Every material contract relating to the deposited securities between the Depositary and the issuer of the deposited securities in effect at any time within the last three years. </w:t>
      </w:r>
      <w:r>
        <w:rPr>
          <w:rFonts w:ascii="Arial" w:cs="Arial" w:eastAsia="Arial" w:hAnsi="Arial"/>
          <w:sz w:val="29"/>
          <w:szCs w:val="29"/>
          <w:color w:val="auto"/>
          <w:vertAlign w:val="superscript"/>
        </w:rPr>
        <w:t>___</w:t>
      </w:r>
      <w:r>
        <w:rPr>
          <w:rFonts w:ascii="Arial" w:cs="Arial" w:eastAsia="Arial" w:hAnsi="Arial"/>
          <w:sz w:val="18"/>
          <w:szCs w:val="18"/>
          <w:color w:val="auto"/>
        </w:rPr>
        <w:t xml:space="preserve"> None.</w:t>
      </w:r>
    </w:p>
    <w:p>
      <w:pPr>
        <w:spacing w:after="0" w:line="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 xml:space="preserve">Opinion of counsel for the Depositary as to the legality of the securities to be registered. </w:t>
      </w:r>
      <w:r>
        <w:rPr>
          <w:rFonts w:ascii="Arial" w:cs="Arial" w:eastAsia="Arial" w:hAnsi="Arial"/>
          <w:sz w:val="29"/>
          <w:szCs w:val="29"/>
          <w:color w:val="auto"/>
          <w:vertAlign w:val="superscript"/>
        </w:rPr>
        <w:t>___</w:t>
      </w:r>
      <w:r>
        <w:rPr>
          <w:rFonts w:ascii="Arial" w:cs="Arial" w:eastAsia="Arial" w:hAnsi="Arial"/>
          <w:sz w:val="18"/>
          <w:szCs w:val="18"/>
          <w:color w:val="auto"/>
        </w:rPr>
        <w:t xml:space="preserve"> Filed herewith as Exhibit (d).</w:t>
      </w:r>
    </w:p>
    <w:p>
      <w:pPr>
        <w:spacing w:after="0" w:line="77" w:lineRule="exact"/>
        <w:rPr>
          <w:rFonts w:ascii="Arial" w:cs="Arial" w:eastAsia="Arial" w:hAnsi="Arial"/>
          <w:sz w:val="36"/>
          <w:szCs w:val="36"/>
          <w:color w:val="auto"/>
          <w:vertAlign w:val="superscript"/>
        </w:rPr>
      </w:pPr>
    </w:p>
    <w:p>
      <w:pPr>
        <w:ind w:left="1300" w:hanging="644"/>
        <w:spacing w:after="0" w:line="229" w:lineRule="auto"/>
        <w:tabs>
          <w:tab w:leader="none" w:pos="130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 xml:space="preserve">Certificate under Rule 466. </w:t>
      </w:r>
      <w:r>
        <w:rPr>
          <w:rFonts w:ascii="Arial" w:cs="Arial" w:eastAsia="Arial" w:hAnsi="Arial"/>
          <w:sz w:val="29"/>
          <w:szCs w:val="29"/>
          <w:color w:val="auto"/>
          <w:vertAlign w:val="superscript"/>
        </w:rPr>
        <w:t>___</w:t>
      </w:r>
      <w:r>
        <w:rPr>
          <w:rFonts w:ascii="Arial" w:cs="Arial" w:eastAsia="Arial" w:hAnsi="Arial"/>
          <w:sz w:val="18"/>
          <w:szCs w:val="18"/>
          <w:color w:val="auto"/>
        </w:rPr>
        <w:t xml:space="preserve"> None.</w:t>
      </w:r>
    </w:p>
    <w:p>
      <w:pPr>
        <w:spacing w:after="0" w:line="82" w:lineRule="exact"/>
        <w:rPr>
          <w:rFonts w:ascii="Arial" w:cs="Arial" w:eastAsia="Arial" w:hAnsi="Arial"/>
          <w:sz w:val="36"/>
          <w:szCs w:val="36"/>
          <w:color w:val="auto"/>
          <w:vertAlign w:val="superscript"/>
        </w:rPr>
      </w:pPr>
    </w:p>
    <w:p>
      <w:pPr>
        <w:ind w:left="1300" w:hanging="644"/>
        <w:spacing w:after="0" w:line="186" w:lineRule="auto"/>
        <w:tabs>
          <w:tab w:leader="none" w:pos="130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 xml:space="preserve">Powers of Attorney for certain officers and directors and the authorized representative of the Company. </w:t>
      </w:r>
      <w:r>
        <w:rPr>
          <w:rFonts w:ascii="Arial" w:cs="Arial" w:eastAsia="Arial" w:hAnsi="Arial"/>
          <w:sz w:val="29"/>
          <w:szCs w:val="29"/>
          <w:color w:val="auto"/>
          <w:vertAlign w:val="superscript"/>
        </w:rPr>
        <w:t>___</w:t>
      </w:r>
      <w:r>
        <w:rPr>
          <w:rFonts w:ascii="Arial" w:cs="Arial" w:eastAsia="Arial" w:hAnsi="Arial"/>
          <w:sz w:val="18"/>
          <w:szCs w:val="18"/>
          <w:color w:val="auto"/>
        </w:rPr>
        <w:t xml:space="preserve"> Set forth on the signature pages hereto.</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jc w:val="both"/>
        <w:ind w:left="1300" w:hanging="644"/>
        <w:spacing w:after="0" w:line="31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8"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to be created by the Deposit Agreement, by and among Trident Digital Tech Holdings Ltd, Citibank, N.A., as depositary, and all Holders and Beneficial Owners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October, 2023.</w:t>
      </w:r>
    </w:p>
    <w:p>
      <w:pPr>
        <w:spacing w:after="0" w:line="5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Legal entity created by the Deposit Agreement under which the American</w:t>
      </w:r>
    </w:p>
    <w:p>
      <w:pPr>
        <w:spacing w:after="0" w:line="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Depositary Shares registered hereunder are to be issued, each American</w:t>
      </w:r>
    </w:p>
    <w:p>
      <w:pPr>
        <w:spacing w:after="0" w:line="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Depositary Share representing the right to receive ten (10) Class B</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ordinary shares of Trident Digital Tech Holdings Ltd.</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p>
      <w:pPr>
        <w:ind w:left="58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Name:</w:t>
        <w:tab/>
        <w:t>Joseph Connor</w:t>
      </w:r>
    </w:p>
    <w:p>
      <w:pPr>
        <w:spacing w:after="0" w:line="23" w:lineRule="exact"/>
        <w:rPr>
          <w:sz w:val="20"/>
          <w:szCs w:val="20"/>
          <w:color w:val="auto"/>
        </w:rPr>
      </w:pPr>
    </w:p>
    <w:p>
      <w:pPr>
        <w:ind w:left="6440"/>
        <w:spacing w:after="0"/>
        <w:tabs>
          <w:tab w:leader="none" w:pos="7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Attorney-in-Fact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undersigned certifies that it has reasonable grounds to believe that it meets all of the requirements for filing on Form F-6 and has duly caused this registration statement to be signed on its behalf by the undersigned thereunto duly authorized, in Singapore, on October 19, 2023.</w:t>
      </w:r>
    </w:p>
    <w:p>
      <w:pPr>
        <w:spacing w:after="0" w:line="1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TRIDENT DIGITAL TECH HOLDINGS LTD</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Soon Huat Lim</w:t>
            </w:r>
          </w:p>
        </w:tc>
      </w:tr>
      <w:tr>
        <w:trPr>
          <w:trHeight w:val="195"/>
        </w:trPr>
        <w:tc>
          <w:tcPr>
            <w:tcW w:w="58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00"/>
              <w:spacing w:after="0" w:line="195" w:lineRule="exact"/>
              <w:rPr>
                <w:sz w:val="20"/>
                <w:szCs w:val="20"/>
                <w:color w:val="auto"/>
              </w:rPr>
            </w:pPr>
            <w:r>
              <w:rPr>
                <w:rFonts w:ascii="Arial" w:cs="Arial" w:eastAsia="Arial" w:hAnsi="Arial"/>
                <w:sz w:val="18"/>
                <w:szCs w:val="18"/>
                <w:color w:val="auto"/>
              </w:rPr>
              <w:t>Soon Huat Lim</w:t>
            </w:r>
          </w:p>
        </w:tc>
      </w:tr>
      <w:tr>
        <w:trPr>
          <w:trHeight w:val="230"/>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220" w:type="dxa"/>
            <w:vAlign w:val="bottom"/>
          </w:tcPr>
          <w:p>
            <w:pPr>
              <w:ind w:left="100"/>
              <w:spacing w:after="0"/>
              <w:rPr>
                <w:sz w:val="20"/>
                <w:szCs w:val="20"/>
                <w:color w:val="auto"/>
              </w:rPr>
            </w:pPr>
            <w:r>
              <w:rPr>
                <w:rFonts w:ascii="Arial" w:cs="Arial" w:eastAsia="Arial" w:hAnsi="Arial"/>
                <w:sz w:val="18"/>
                <w:szCs w:val="18"/>
                <w:color w:val="auto"/>
              </w:rPr>
              <w:t>Chairman and Chief Executive Officer</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Soon Huat Lim, his</w:t>
      </w:r>
      <w:r>
        <w:rPr>
          <w:rFonts w:ascii="Arial" w:cs="Arial" w:eastAsia="Arial" w:hAnsi="Arial"/>
          <w:sz w:val="18"/>
          <w:szCs w:val="18"/>
          <w:b w:val="1"/>
          <w:bCs w:val="1"/>
          <w:color w:val="auto"/>
        </w:rPr>
        <w:t xml:space="preserve"> </w:t>
      </w:r>
      <w:r>
        <w:rPr>
          <w:rFonts w:ascii="Arial" w:cs="Arial" w:eastAsia="Arial" w:hAnsi="Arial"/>
          <w:sz w:val="18"/>
          <w:szCs w:val="18"/>
          <w:color w:val="auto"/>
        </w:rPr>
        <w:t>or her true and lawful attorney-in-fact and agent, with full power of substitution and resubstitution, for him or her and in his or her name, place and stead, in any and all capacities, to sign any or all amendments (including post-effective amendments) to this registration statement and any and all related registration statements pursuant to Rule 462(b) of the Securities Act of 1933, as amended, and to file the same, with all exhibits thereto, and other documents in connection therewith, with the Securities and Exchange Commission, hereby ratifying and confirming that said attorney-in-fact and agent, or his substitute, may lawfully do or cause to be done by virtue hereof.</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requirements of the Securities Act of 1933, as amended, this registration statement has been signed by the following persons in the capacities indicated on October 19, 2023.</w:t>
      </w:r>
    </w:p>
    <w:p>
      <w:pPr>
        <w:spacing w:after="0" w:line="170"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u w:val="single" w:color="auto"/>
          <w:color w:val="auto"/>
        </w:rPr>
        <w:t>Signature</w:t>
      </w:r>
      <w:r>
        <w:rPr>
          <w:sz w:val="20"/>
          <w:szCs w:val="20"/>
          <w:color w:val="auto"/>
        </w:rPr>
        <w:tab/>
      </w:r>
      <w:r>
        <w:rPr>
          <w:rFonts w:ascii="Arial" w:cs="Arial" w:eastAsia="Arial" w:hAnsi="Arial"/>
          <w:sz w:val="18"/>
          <w:szCs w:val="18"/>
          <w:u w:val="single" w:color="auto"/>
          <w:color w:val="auto"/>
        </w:rPr>
        <w:t>Title</w:t>
      </w:r>
    </w:p>
    <w:p>
      <w:pPr>
        <w:spacing w:after="0" w:line="22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spacing w:after="0"/>
        <w:tabs>
          <w:tab w:leader="none" w:pos="5260" w:val="left"/>
        </w:tabs>
        <w:rPr>
          <w:sz w:val="20"/>
          <w:szCs w:val="20"/>
          <w:color w:val="auto"/>
        </w:rPr>
      </w:pPr>
      <w:r>
        <w:rPr>
          <w:rFonts w:ascii="Arial" w:cs="Arial" w:eastAsia="Arial" w:hAnsi="Arial"/>
          <w:sz w:val="18"/>
          <w:szCs w:val="18"/>
          <w:color w:val="auto"/>
        </w:rPr>
        <w:t>/s/ Soon Huat Lim</w:t>
      </w:r>
      <w:r>
        <w:rPr>
          <w:sz w:val="20"/>
          <w:szCs w:val="20"/>
          <w:color w:val="auto"/>
        </w:rPr>
        <w:tab/>
      </w: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9317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Soon Huat Lim</w:t>
      </w: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right="1480"/>
        <w:spacing w:after="0" w:line="258" w:lineRule="auto"/>
        <w:rPr>
          <w:sz w:val="20"/>
          <w:szCs w:val="20"/>
          <w:color w:val="auto"/>
        </w:rPr>
      </w:pPr>
      <w:r>
        <w:rPr>
          <w:rFonts w:ascii="Arial" w:cs="Arial" w:eastAsia="Arial" w:hAnsi="Arial"/>
          <w:sz w:val="18"/>
          <w:szCs w:val="18"/>
          <w:color w:val="auto"/>
        </w:rPr>
        <w:t>/s/ Haiyan Huang (Principal Financial Officer and Principal Accounting Officer) Name: Haiyan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9317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1" w:name="page12"/>
    <w:bookmarkEnd w:id="11"/>
    <w:p>
      <w:pPr>
        <w:ind w:left="1440"/>
        <w:spacing w:after="0"/>
        <w:rPr>
          <w:sz w:val="20"/>
          <w:szCs w:val="20"/>
          <w:color w:val="auto"/>
        </w:rPr>
      </w:pPr>
      <w:r>
        <w:rPr>
          <w:rFonts w:ascii="Arial" w:cs="Arial" w:eastAsia="Arial" w:hAnsi="Arial"/>
          <w:sz w:val="18"/>
          <w:szCs w:val="18"/>
          <w:b w:val="1"/>
          <w:bCs w:val="1"/>
          <w:color w:val="auto"/>
        </w:rPr>
        <w:t>SIGNATURE OF AUTHORIZED REPRESENTATIVE OF THE REGISTRANT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Securities Act of 1933, as amended, the undersigned, the duly authorized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representative in the United States of America has signed this registration statement or amendment thereto in New York, New York on October 19,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Cogency Global Inc.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Colleen A. De Vries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Colleen A. De Vries</w:t>
            </w:r>
          </w:p>
        </w:tc>
        <w:tc>
          <w:tcPr>
            <w:tcW w:w="5940" w:type="dxa"/>
            <w:vAlign w:val="bottom"/>
          </w:tcPr>
          <w:p>
            <w:pPr>
              <w:spacing w:after="0"/>
              <w:rPr>
                <w:sz w:val="16"/>
                <w:szCs w:val="16"/>
                <w:color w:val="auto"/>
              </w:rPr>
            </w:pPr>
          </w:p>
        </w:tc>
      </w:tr>
      <w:tr>
        <w:trPr>
          <w:trHeight w:val="230"/>
        </w:trPr>
        <w:tc>
          <w:tcPr>
            <w:tcW w:w="46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240" w:type="dxa"/>
            <w:vAlign w:val="bottom"/>
          </w:tcPr>
          <w:p>
            <w:pPr>
              <w:ind w:left="100"/>
              <w:spacing w:after="0"/>
              <w:rPr>
                <w:sz w:val="20"/>
                <w:szCs w:val="20"/>
                <w:color w:val="auto"/>
              </w:rPr>
            </w:pPr>
            <w:r>
              <w:rPr>
                <w:rFonts w:ascii="Arial" w:cs="Arial" w:eastAsia="Arial" w:hAnsi="Arial"/>
                <w:sz w:val="18"/>
                <w:szCs w:val="18"/>
                <w:color w:val="auto"/>
              </w:rPr>
              <w:t>Senior Vice President</w:t>
            </w:r>
          </w:p>
        </w:tc>
        <w:tc>
          <w:tcPr>
            <w:tcW w:w="5940" w:type="dxa"/>
            <w:vAlign w:val="bottom"/>
          </w:tcPr>
          <w:p>
            <w:pPr>
              <w:spacing w:after="0"/>
              <w:rPr>
                <w:sz w:val="20"/>
                <w:szCs w:val="20"/>
                <w:color w:val="auto"/>
              </w:rPr>
            </w:pPr>
          </w:p>
        </w:tc>
      </w:tr>
      <w:tr>
        <w:trPr>
          <w:trHeight w:val="567"/>
        </w:trPr>
        <w:tc>
          <w:tcPr>
            <w:tcW w:w="4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2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2940" w:type="dxa"/>
            <w:vAlign w:val="bottom"/>
            <w:gridSpan w:val="2"/>
          </w:tcPr>
          <w:p>
            <w:pPr>
              <w:ind w:left="1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Form of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Opinion of counsel to the Depositary</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689"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9440" w:type="dxa"/>
            <w:vAlign w:val="bottom"/>
          </w:tcPr>
          <w:p>
            <w:pPr>
              <w:ind w:left="3340"/>
              <w:spacing w:after="0"/>
              <w:rPr>
                <w:sz w:val="20"/>
                <w:szCs w:val="20"/>
                <w:color w:val="auto"/>
              </w:rPr>
            </w:pPr>
            <w:r>
              <w:rPr>
                <w:rFonts w:ascii="Arial" w:cs="Arial" w:eastAsia="Arial" w:hAnsi="Arial"/>
                <w:sz w:val="18"/>
                <w:szCs w:val="18"/>
                <w:color w:val="auto"/>
              </w:rPr>
              <w:t>TABLE OF CONTENTS</w:t>
            </w:r>
          </w:p>
        </w:tc>
        <w:tc>
          <w:tcPr>
            <w:tcW w:w="42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“ADS Record Date”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1.2</w:t>
            </w:r>
          </w:p>
        </w:tc>
        <w:tc>
          <w:tcPr>
            <w:tcW w:w="9440" w:type="dxa"/>
            <w:vAlign w:val="bottom"/>
          </w:tcPr>
          <w:p>
            <w:pPr>
              <w:ind w:left="480"/>
              <w:spacing w:after="0"/>
              <w:rPr>
                <w:sz w:val="20"/>
                <w:szCs w:val="20"/>
                <w:color w:val="auto"/>
              </w:rPr>
            </w:pPr>
            <w:r>
              <w:rPr>
                <w:rFonts w:ascii="Arial" w:cs="Arial" w:eastAsia="Arial" w:hAnsi="Arial"/>
                <w:sz w:val="18"/>
                <w:szCs w:val="18"/>
                <w:color w:val="auto"/>
              </w:rPr>
              <w:t>“Affiliate”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“American Depositary Receipt(s)”, “ADR(s)” and “Receipt(s)”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1.4</w:t>
            </w:r>
          </w:p>
        </w:tc>
        <w:tc>
          <w:tcPr>
            <w:tcW w:w="9440" w:type="dxa"/>
            <w:vAlign w:val="bottom"/>
          </w:tcPr>
          <w:p>
            <w:pPr>
              <w:ind w:left="480"/>
              <w:spacing w:after="0"/>
              <w:rPr>
                <w:sz w:val="20"/>
                <w:szCs w:val="20"/>
                <w:color w:val="auto"/>
              </w:rPr>
            </w:pPr>
            <w:r>
              <w:rPr>
                <w:rFonts w:ascii="Arial" w:cs="Arial" w:eastAsia="Arial" w:hAnsi="Arial"/>
                <w:sz w:val="18"/>
                <w:szCs w:val="18"/>
                <w:color w:val="auto"/>
              </w:rPr>
              <w:t>“American Depositary Share(s)” and “ADS(s)”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1.5</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“Articles of Association”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1.6</w:t>
            </w:r>
          </w:p>
        </w:tc>
        <w:tc>
          <w:tcPr>
            <w:tcW w:w="9440" w:type="dxa"/>
            <w:vAlign w:val="bottom"/>
          </w:tcPr>
          <w:p>
            <w:pPr>
              <w:ind w:left="480"/>
              <w:spacing w:after="0"/>
              <w:rPr>
                <w:sz w:val="20"/>
                <w:szCs w:val="20"/>
                <w:color w:val="auto"/>
              </w:rPr>
            </w:pPr>
            <w:r>
              <w:rPr>
                <w:rFonts w:ascii="Arial" w:cs="Arial" w:eastAsia="Arial" w:hAnsi="Arial"/>
                <w:sz w:val="18"/>
                <w:szCs w:val="18"/>
                <w:color w:val="auto"/>
              </w:rPr>
              <w:t>“Beneficial Owner”</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1.7</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“Certificated ADS(s)”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1.8</w:t>
            </w:r>
          </w:p>
        </w:tc>
        <w:tc>
          <w:tcPr>
            <w:tcW w:w="9440" w:type="dxa"/>
            <w:vAlign w:val="bottom"/>
          </w:tcPr>
          <w:p>
            <w:pPr>
              <w:ind w:left="480"/>
              <w:spacing w:after="0"/>
              <w:rPr>
                <w:sz w:val="20"/>
                <w:szCs w:val="20"/>
                <w:color w:val="auto"/>
              </w:rPr>
            </w:pPr>
            <w:r>
              <w:rPr>
                <w:rFonts w:ascii="Arial" w:cs="Arial" w:eastAsia="Arial" w:hAnsi="Arial"/>
                <w:sz w:val="18"/>
                <w:szCs w:val="18"/>
                <w:color w:val="auto"/>
              </w:rPr>
              <w:t>“Citibank”</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1.9</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“Commission”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1.10</w:t>
            </w:r>
          </w:p>
        </w:tc>
        <w:tc>
          <w:tcPr>
            <w:tcW w:w="9440" w:type="dxa"/>
            <w:vAlign w:val="bottom"/>
          </w:tcPr>
          <w:p>
            <w:pPr>
              <w:ind w:left="480"/>
              <w:spacing w:after="0"/>
              <w:rPr>
                <w:sz w:val="20"/>
                <w:szCs w:val="20"/>
                <w:color w:val="auto"/>
              </w:rPr>
            </w:pPr>
            <w:r>
              <w:rPr>
                <w:rFonts w:ascii="Arial" w:cs="Arial" w:eastAsia="Arial" w:hAnsi="Arial"/>
                <w:sz w:val="18"/>
                <w:szCs w:val="18"/>
                <w:color w:val="auto"/>
              </w:rPr>
              <w:t>“Company”</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1.11</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“Custodian”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1.12</w:t>
            </w:r>
          </w:p>
        </w:tc>
        <w:tc>
          <w:tcPr>
            <w:tcW w:w="9440" w:type="dxa"/>
            <w:vAlign w:val="bottom"/>
          </w:tcPr>
          <w:p>
            <w:pPr>
              <w:ind w:left="480"/>
              <w:spacing w:after="0"/>
              <w:rPr>
                <w:sz w:val="20"/>
                <w:szCs w:val="20"/>
                <w:color w:val="auto"/>
              </w:rPr>
            </w:pPr>
            <w:r>
              <w:rPr>
                <w:rFonts w:ascii="Arial" w:cs="Arial" w:eastAsia="Arial" w:hAnsi="Arial"/>
                <w:sz w:val="18"/>
                <w:szCs w:val="18"/>
                <w:color w:val="auto"/>
              </w:rPr>
              <w:t>“Deliver” and “Delivery”</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1.13</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“Deposit Agreement”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1.14</w:t>
            </w:r>
          </w:p>
        </w:tc>
        <w:tc>
          <w:tcPr>
            <w:tcW w:w="9440" w:type="dxa"/>
            <w:vAlign w:val="bottom"/>
          </w:tcPr>
          <w:p>
            <w:pPr>
              <w:ind w:left="480"/>
              <w:spacing w:after="0"/>
              <w:rPr>
                <w:sz w:val="20"/>
                <w:szCs w:val="20"/>
                <w:color w:val="auto"/>
              </w:rPr>
            </w:pPr>
            <w:r>
              <w:rPr>
                <w:rFonts w:ascii="Arial" w:cs="Arial" w:eastAsia="Arial" w:hAnsi="Arial"/>
                <w:sz w:val="18"/>
                <w:szCs w:val="18"/>
                <w:color w:val="auto"/>
              </w:rPr>
              <w:t>“Depositary”</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1.15</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“Deposited Property”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1.16</w:t>
            </w:r>
          </w:p>
        </w:tc>
        <w:tc>
          <w:tcPr>
            <w:tcW w:w="9440" w:type="dxa"/>
            <w:vAlign w:val="bottom"/>
          </w:tcPr>
          <w:p>
            <w:pPr>
              <w:ind w:left="480"/>
              <w:spacing w:after="0"/>
              <w:rPr>
                <w:sz w:val="20"/>
                <w:szCs w:val="20"/>
                <w:color w:val="auto"/>
              </w:rPr>
            </w:pPr>
            <w:r>
              <w:rPr>
                <w:rFonts w:ascii="Arial" w:cs="Arial" w:eastAsia="Arial" w:hAnsi="Arial"/>
                <w:sz w:val="18"/>
                <w:szCs w:val="18"/>
                <w:color w:val="auto"/>
              </w:rPr>
              <w:t>“Deposited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1.17</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“Dollars” and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1.18</w:t>
            </w:r>
          </w:p>
        </w:tc>
        <w:tc>
          <w:tcPr>
            <w:tcW w:w="9440" w:type="dxa"/>
            <w:vAlign w:val="bottom"/>
          </w:tcPr>
          <w:p>
            <w:pPr>
              <w:ind w:left="480"/>
              <w:spacing w:after="0"/>
              <w:rPr>
                <w:sz w:val="20"/>
                <w:szCs w:val="20"/>
                <w:color w:val="auto"/>
              </w:rPr>
            </w:pPr>
            <w:r>
              <w:rPr>
                <w:rFonts w:ascii="Arial" w:cs="Arial" w:eastAsia="Arial" w:hAnsi="Arial"/>
                <w:sz w:val="18"/>
                <w:szCs w:val="18"/>
                <w:color w:val="auto"/>
              </w:rPr>
              <w:t>“DTC”</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1.19</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“DTC Participant”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1.20</w:t>
            </w:r>
          </w:p>
        </w:tc>
        <w:tc>
          <w:tcPr>
            <w:tcW w:w="9440" w:type="dxa"/>
            <w:vAlign w:val="bottom"/>
          </w:tcPr>
          <w:p>
            <w:pPr>
              <w:ind w:left="480"/>
              <w:spacing w:after="0"/>
              <w:rPr>
                <w:sz w:val="20"/>
                <w:szCs w:val="20"/>
                <w:color w:val="auto"/>
              </w:rPr>
            </w:pPr>
            <w:r>
              <w:rPr>
                <w:rFonts w:ascii="Arial" w:cs="Arial" w:eastAsia="Arial" w:hAnsi="Arial"/>
                <w:sz w:val="18"/>
                <w:szCs w:val="18"/>
                <w:color w:val="auto"/>
              </w:rPr>
              <w:t>“Exchange Act”</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1.21</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“Foreign Currency”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1.22</w:t>
            </w:r>
          </w:p>
        </w:tc>
        <w:tc>
          <w:tcPr>
            <w:tcW w:w="9440" w:type="dxa"/>
            <w:vAlign w:val="bottom"/>
          </w:tcPr>
          <w:p>
            <w:pPr>
              <w:ind w:left="48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1.23</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“Holder(s)”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1.24</w:t>
            </w:r>
          </w:p>
        </w:tc>
        <w:tc>
          <w:tcPr>
            <w:tcW w:w="9440" w:type="dxa"/>
            <w:vAlign w:val="bottom"/>
          </w:tcPr>
          <w:p>
            <w:pPr>
              <w:ind w:left="48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1.25</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“Principal Office”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1.26</w:t>
            </w:r>
          </w:p>
        </w:tc>
        <w:tc>
          <w:tcPr>
            <w:tcW w:w="9440" w:type="dxa"/>
            <w:vAlign w:val="bottom"/>
          </w:tcPr>
          <w:p>
            <w:pPr>
              <w:ind w:left="480"/>
              <w:spacing w:after="0"/>
              <w:rPr>
                <w:sz w:val="20"/>
                <w:szCs w:val="20"/>
                <w:color w:val="auto"/>
              </w:rPr>
            </w:pPr>
            <w:r>
              <w:rPr>
                <w:rFonts w:ascii="Arial" w:cs="Arial" w:eastAsia="Arial" w:hAnsi="Arial"/>
                <w:sz w:val="18"/>
                <w:szCs w:val="18"/>
                <w:color w:val="auto"/>
              </w:rPr>
              <w:t>“Registrar”</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1.27</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“Restricted Securities”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1.28</w:t>
            </w:r>
          </w:p>
        </w:tc>
        <w:tc>
          <w:tcPr>
            <w:tcW w:w="9440" w:type="dxa"/>
            <w:vAlign w:val="bottom"/>
          </w:tcPr>
          <w:p>
            <w:pPr>
              <w:ind w:left="480"/>
              <w:spacing w:after="0"/>
              <w:rPr>
                <w:sz w:val="20"/>
                <w:szCs w:val="20"/>
                <w:color w:val="auto"/>
              </w:rPr>
            </w:pPr>
            <w:r>
              <w:rPr>
                <w:rFonts w:ascii="Arial" w:cs="Arial" w:eastAsia="Arial" w:hAnsi="Arial"/>
                <w:sz w:val="18"/>
                <w:szCs w:val="18"/>
                <w:color w:val="auto"/>
              </w:rPr>
              <w:t>“Restricted ADR(s)”, “Restricted ADS(s)” and “Restricted Shares”</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1.29</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“Securities Act”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1.30</w:t>
            </w:r>
          </w:p>
        </w:tc>
        <w:tc>
          <w:tcPr>
            <w:tcW w:w="9440" w:type="dxa"/>
            <w:vAlign w:val="bottom"/>
          </w:tcPr>
          <w:p>
            <w:pPr>
              <w:ind w:left="480"/>
              <w:spacing w:after="0"/>
              <w:rPr>
                <w:sz w:val="20"/>
                <w:szCs w:val="20"/>
                <w:color w:val="auto"/>
              </w:rPr>
            </w:pPr>
            <w:r>
              <w:rPr>
                <w:rFonts w:ascii="Arial" w:cs="Arial" w:eastAsia="Arial" w:hAnsi="Arial"/>
                <w:sz w:val="18"/>
                <w:szCs w:val="18"/>
                <w:color w:val="auto"/>
              </w:rPr>
              <w:t>“Share Registrar”</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1.31</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1.32</w:t>
            </w:r>
          </w:p>
        </w:tc>
        <w:tc>
          <w:tcPr>
            <w:tcW w:w="9440" w:type="dxa"/>
            <w:vAlign w:val="bottom"/>
          </w:tcPr>
          <w:p>
            <w:pPr>
              <w:ind w:left="480"/>
              <w:spacing w:after="0"/>
              <w:rPr>
                <w:sz w:val="20"/>
                <w:szCs w:val="20"/>
                <w:color w:val="auto"/>
              </w:rPr>
            </w:pPr>
            <w:r>
              <w:rPr>
                <w:rFonts w:ascii="Arial" w:cs="Arial" w:eastAsia="Arial" w:hAnsi="Arial"/>
                <w:sz w:val="18"/>
                <w:szCs w:val="18"/>
                <w:color w:val="auto"/>
              </w:rPr>
              <w:t>“Uncertificated ADS(s)”</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1.33</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“United States” and “U.S.”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9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02"/>
        </w:trPr>
        <w:tc>
          <w:tcPr>
            <w:tcW w:w="1380" w:type="dxa"/>
            <w:vAlign w:val="bottom"/>
          </w:tcPr>
          <w:p>
            <w:pPr>
              <w:spacing w:after="0"/>
              <w:rPr>
                <w:sz w:val="17"/>
                <w:szCs w:val="17"/>
                <w:color w:val="auto"/>
              </w:rPr>
            </w:pPr>
          </w:p>
        </w:tc>
        <w:tc>
          <w:tcPr>
            <w:tcW w:w="9440" w:type="dxa"/>
            <w:vAlign w:val="bottom"/>
          </w:tcPr>
          <w:p>
            <w:pPr>
              <w:ind w:left="320"/>
              <w:spacing w:after="0" w:line="201" w:lineRule="exact"/>
              <w:rPr>
                <w:sz w:val="20"/>
                <w:szCs w:val="20"/>
                <w:color w:val="auto"/>
              </w:rPr>
            </w:pPr>
            <w:r>
              <w:rPr>
                <w:rFonts w:ascii="Arial" w:cs="Arial" w:eastAsia="Arial" w:hAnsi="Arial"/>
                <w:sz w:val="18"/>
                <w:szCs w:val="18"/>
                <w:color w:val="auto"/>
                <w:w w:val="98"/>
              </w:rPr>
              <w:t>APPOINTMENT OF DEPOSITARY; FORM OF RECEIPTS; DEPOSIT OF SHARES; EXECUTION AND DELIVERY,</w:t>
            </w:r>
          </w:p>
        </w:tc>
        <w:tc>
          <w:tcPr>
            <w:tcW w:w="420" w:type="dxa"/>
            <w:vAlign w:val="bottom"/>
          </w:tcPr>
          <w:p>
            <w:pPr>
              <w:spacing w:after="0"/>
              <w:rPr>
                <w:sz w:val="17"/>
                <w:szCs w:val="17"/>
                <w:color w:val="auto"/>
              </w:rPr>
            </w:pPr>
          </w:p>
        </w:tc>
      </w:tr>
      <w:tr>
        <w:trPr>
          <w:trHeight w:val="230"/>
        </w:trPr>
        <w:tc>
          <w:tcPr>
            <w:tcW w:w="1380" w:type="dxa"/>
            <w:vAlign w:val="bottom"/>
          </w:tcPr>
          <w:p>
            <w:pPr>
              <w:spacing w:after="0"/>
              <w:rPr>
                <w:sz w:val="20"/>
                <w:szCs w:val="20"/>
                <w:color w:val="auto"/>
              </w:rPr>
            </w:pPr>
          </w:p>
        </w:tc>
        <w:tc>
          <w:tcPr>
            <w:tcW w:w="9440" w:type="dxa"/>
            <w:vAlign w:val="bottom"/>
          </w:tcPr>
          <w:p>
            <w:pPr>
              <w:ind w:left="320"/>
              <w:spacing w:after="0"/>
              <w:rPr>
                <w:sz w:val="20"/>
                <w:szCs w:val="20"/>
                <w:color w:val="auto"/>
              </w:rPr>
            </w:pPr>
            <w:r>
              <w:rPr>
                <w:rFonts w:ascii="Arial" w:cs="Arial" w:eastAsia="Arial" w:hAnsi="Arial"/>
                <w:sz w:val="18"/>
                <w:szCs w:val="18"/>
                <w:color w:val="auto"/>
              </w:rPr>
              <w:t>TRANSFER AND SURRENDER OF RECEIPTS</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w:t>
            </w:r>
          </w:p>
        </w:tc>
        <w:tc>
          <w:tcPr>
            <w:tcW w:w="9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Appointment of Depositary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9440" w:type="dxa"/>
            <w:vAlign w:val="bottom"/>
          </w:tcPr>
          <w:p>
            <w:pPr>
              <w:ind w:left="480"/>
              <w:spacing w:after="0"/>
              <w:rPr>
                <w:sz w:val="20"/>
                <w:szCs w:val="20"/>
                <w:color w:val="auto"/>
              </w:rPr>
            </w:pPr>
            <w:r>
              <w:rPr>
                <w:rFonts w:ascii="Arial" w:cs="Arial" w:eastAsia="Arial" w:hAnsi="Arial"/>
                <w:sz w:val="18"/>
                <w:szCs w:val="18"/>
                <w:color w:val="auto"/>
              </w:rPr>
              <w:t>Form and Transferability of ADSs</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2.3</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Deposit of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8700" w:type="dxa"/>
            <w:vAlign w:val="bottom"/>
          </w:tcPr>
          <w:p>
            <w:pPr>
              <w:ind w:left="480"/>
              <w:spacing w:after="0"/>
              <w:rPr>
                <w:sz w:val="20"/>
                <w:szCs w:val="20"/>
                <w:color w:val="auto"/>
              </w:rPr>
            </w:pPr>
            <w:r>
              <w:rPr>
                <w:rFonts w:ascii="Arial" w:cs="Arial" w:eastAsia="Arial" w:hAnsi="Arial"/>
                <w:sz w:val="18"/>
                <w:szCs w:val="18"/>
                <w:color w:val="auto"/>
              </w:rPr>
              <w:t>Registration and Safekeeping of Deposited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2.5</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Issuance of ADSs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8700" w:type="dxa"/>
            <w:vAlign w:val="bottom"/>
          </w:tcPr>
          <w:p>
            <w:pPr>
              <w:ind w:left="480"/>
              <w:spacing w:after="0"/>
              <w:rPr>
                <w:sz w:val="20"/>
                <w:szCs w:val="20"/>
                <w:color w:val="auto"/>
              </w:rPr>
            </w:pPr>
            <w:r>
              <w:rPr>
                <w:rFonts w:ascii="Arial" w:cs="Arial" w:eastAsia="Arial" w:hAnsi="Arial"/>
                <w:sz w:val="18"/>
                <w:szCs w:val="18"/>
                <w:color w:val="auto"/>
              </w:rPr>
              <w:t>Transfer, Combination and Split-up of ADRs</w:t>
            </w: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2.7</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Surrender of ADSs and Withdrawal of Deposited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8700" w:type="dxa"/>
            <w:vAlign w:val="bottom"/>
          </w:tcPr>
          <w:p>
            <w:pPr>
              <w:ind w:left="48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2.9</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Lost ADRs, etc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8700" w:type="dxa"/>
            <w:vAlign w:val="bottom"/>
          </w:tcPr>
          <w:p>
            <w:pPr>
              <w:ind w:left="48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2.11</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Escheatment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8700" w:type="dxa"/>
            <w:vAlign w:val="bottom"/>
          </w:tcPr>
          <w:p>
            <w:pPr>
              <w:ind w:left="480"/>
              <w:spacing w:after="0"/>
              <w:rPr>
                <w:sz w:val="20"/>
                <w:szCs w:val="20"/>
                <w:color w:val="auto"/>
              </w:rPr>
            </w:pPr>
            <w:r>
              <w:rPr>
                <w:rFonts w:ascii="Arial" w:cs="Arial" w:eastAsia="Arial" w:hAnsi="Arial"/>
                <w:sz w:val="18"/>
                <w:szCs w:val="18"/>
                <w:color w:val="auto"/>
              </w:rPr>
              <w:t>Partial Entitlement ADSs</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2.13</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Certificated/Uncertificated ADSs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2.14</w:t>
            </w:r>
          </w:p>
        </w:tc>
        <w:tc>
          <w:tcPr>
            <w:tcW w:w="8700" w:type="dxa"/>
            <w:vAlign w:val="bottom"/>
          </w:tcPr>
          <w:p>
            <w:pPr>
              <w:ind w:left="480"/>
              <w:spacing w:after="0"/>
              <w:rPr>
                <w:sz w:val="20"/>
                <w:szCs w:val="20"/>
                <w:color w:val="auto"/>
              </w:rPr>
            </w:pPr>
            <w:r>
              <w:rPr>
                <w:rFonts w:ascii="Arial" w:cs="Arial" w:eastAsia="Arial" w:hAnsi="Arial"/>
                <w:sz w:val="18"/>
                <w:szCs w:val="18"/>
                <w:color w:val="auto"/>
              </w:rPr>
              <w:t>Restricted ADSs</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380" w:type="dxa"/>
            <w:vAlign w:val="bottom"/>
            <w:shd w:val="clear" w:color="auto" w:fill="CCEEFF"/>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III</w:t>
            </w:r>
          </w:p>
        </w:tc>
        <w:tc>
          <w:tcPr>
            <w:tcW w:w="8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8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CERTAIN OBLIGATIONS OF HOLDERS AND BENEFICIAL OWNERS OF ADSs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8700" w:type="dxa"/>
            <w:vAlign w:val="bottom"/>
          </w:tcPr>
          <w:p>
            <w:pPr>
              <w:ind w:left="480"/>
              <w:spacing w:after="0"/>
              <w:rPr>
                <w:sz w:val="20"/>
                <w:szCs w:val="20"/>
                <w:color w:val="auto"/>
              </w:rPr>
            </w:pPr>
            <w:r>
              <w:rPr>
                <w:rFonts w:ascii="Arial" w:cs="Arial" w:eastAsia="Arial" w:hAnsi="Arial"/>
                <w:sz w:val="18"/>
                <w:szCs w:val="18"/>
                <w:color w:val="auto"/>
              </w:rPr>
              <w:t>Proofs, Certificates and Other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3.2</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Liability for Taxes and Other Charges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8700" w:type="dxa"/>
            <w:vAlign w:val="bottom"/>
          </w:tcPr>
          <w:p>
            <w:pPr>
              <w:ind w:left="480"/>
              <w:spacing w:after="0"/>
              <w:rPr>
                <w:sz w:val="20"/>
                <w:szCs w:val="20"/>
                <w:color w:val="auto"/>
              </w:rPr>
            </w:pPr>
            <w:r>
              <w:rPr>
                <w:rFonts w:ascii="Arial" w:cs="Arial" w:eastAsia="Arial" w:hAnsi="Arial"/>
                <w:sz w:val="18"/>
                <w:szCs w:val="18"/>
                <w:color w:val="auto"/>
              </w:rPr>
              <w:t>Representations and Warranties on Deposit of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3.4</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Compliance with Information Requests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3.5</w:t>
            </w:r>
          </w:p>
        </w:tc>
        <w:tc>
          <w:tcPr>
            <w:tcW w:w="8700" w:type="dxa"/>
            <w:vAlign w:val="bottom"/>
          </w:tcPr>
          <w:p>
            <w:pPr>
              <w:ind w:left="480"/>
              <w:spacing w:after="0"/>
              <w:rPr>
                <w:sz w:val="20"/>
                <w:szCs w:val="20"/>
                <w:color w:val="auto"/>
              </w:rPr>
            </w:pPr>
            <w:r>
              <w:rPr>
                <w:rFonts w:ascii="Arial" w:cs="Arial" w:eastAsia="Arial" w:hAnsi="Arial"/>
                <w:sz w:val="18"/>
                <w:szCs w:val="18"/>
                <w:color w:val="auto"/>
              </w:rPr>
              <w:t>Ownership Restrictions</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3.6</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Reporting Obligations and Regulatory Approvals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3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ARTICLE IV</w:t>
            </w:r>
          </w:p>
        </w:tc>
        <w:tc>
          <w:tcPr>
            <w:tcW w:w="8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THE DEPOSITED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Distributions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8700" w:type="dxa"/>
            <w:vAlign w:val="bottom"/>
          </w:tcPr>
          <w:p>
            <w:pPr>
              <w:ind w:left="480"/>
              <w:spacing w:after="0"/>
              <w:rPr>
                <w:sz w:val="20"/>
                <w:szCs w:val="20"/>
                <w:color w:val="auto"/>
              </w:rPr>
            </w:pPr>
            <w:r>
              <w:rPr>
                <w:rFonts w:ascii="Arial" w:cs="Arial" w:eastAsia="Arial" w:hAnsi="Arial"/>
                <w:sz w:val="18"/>
                <w:szCs w:val="18"/>
                <w:color w:val="auto"/>
              </w:rPr>
              <w:t>Distribution in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4.3</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Elective Distributions in Cash or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8700" w:type="dxa"/>
            <w:vAlign w:val="bottom"/>
          </w:tcPr>
          <w:p>
            <w:pPr>
              <w:ind w:left="480"/>
              <w:spacing w:after="0"/>
              <w:rPr>
                <w:sz w:val="20"/>
                <w:szCs w:val="20"/>
                <w:color w:val="auto"/>
              </w:rPr>
            </w:pPr>
            <w:r>
              <w:rPr>
                <w:rFonts w:ascii="Arial" w:cs="Arial" w:eastAsia="Arial" w:hAnsi="Arial"/>
                <w:sz w:val="18"/>
                <w:szCs w:val="18"/>
                <w:color w:val="auto"/>
              </w:rPr>
              <w:t>Distribution of Rights to Purchase Additional ADSs</w:t>
            </w: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4.5</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8700" w:type="dxa"/>
            <w:vAlign w:val="bottom"/>
          </w:tcPr>
          <w:p>
            <w:pPr>
              <w:ind w:left="48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4.7</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Redemption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8700" w:type="dxa"/>
            <w:vAlign w:val="bottom"/>
          </w:tcPr>
          <w:p>
            <w:pPr>
              <w:ind w:left="480"/>
              <w:spacing w:after="0"/>
              <w:rPr>
                <w:sz w:val="20"/>
                <w:szCs w:val="20"/>
                <w:color w:val="auto"/>
              </w:rPr>
            </w:pPr>
            <w:r>
              <w:rPr>
                <w:rFonts w:ascii="Arial" w:cs="Arial" w:eastAsia="Arial" w:hAnsi="Arial"/>
                <w:sz w:val="18"/>
                <w:szCs w:val="18"/>
                <w:color w:val="auto"/>
              </w:rPr>
              <w:t>Conversion of Foreign Currency</w:t>
            </w: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4.9</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Fixing of ADS Record Date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4.10</w:t>
            </w:r>
          </w:p>
        </w:tc>
        <w:tc>
          <w:tcPr>
            <w:tcW w:w="8700" w:type="dxa"/>
            <w:vAlign w:val="bottom"/>
          </w:tcPr>
          <w:p>
            <w:pPr>
              <w:ind w:left="480"/>
              <w:spacing w:after="0"/>
              <w:rPr>
                <w:sz w:val="20"/>
                <w:szCs w:val="20"/>
                <w:color w:val="auto"/>
              </w:rPr>
            </w:pPr>
            <w:r>
              <w:rPr>
                <w:rFonts w:ascii="Arial" w:cs="Arial" w:eastAsia="Arial" w:hAnsi="Arial"/>
                <w:sz w:val="18"/>
                <w:szCs w:val="18"/>
                <w:color w:val="auto"/>
              </w:rPr>
              <w:t>Voting of Deposited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4.11</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Changes Affecting Deposited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4.12</w:t>
            </w:r>
          </w:p>
        </w:tc>
        <w:tc>
          <w:tcPr>
            <w:tcW w:w="8700" w:type="dxa"/>
            <w:vAlign w:val="bottom"/>
          </w:tcPr>
          <w:p>
            <w:pPr>
              <w:ind w:left="480"/>
              <w:spacing w:after="0"/>
              <w:rPr>
                <w:sz w:val="20"/>
                <w:szCs w:val="20"/>
                <w:color w:val="auto"/>
              </w:rPr>
            </w:pPr>
            <w:r>
              <w:rPr>
                <w:rFonts w:ascii="Arial" w:cs="Arial" w:eastAsia="Arial" w:hAnsi="Arial"/>
                <w:sz w:val="18"/>
                <w:szCs w:val="18"/>
                <w:color w:val="auto"/>
              </w:rPr>
              <w:t>Available Information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4.13</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Reports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4.14</w:t>
            </w:r>
          </w:p>
        </w:tc>
        <w:tc>
          <w:tcPr>
            <w:tcW w:w="8700" w:type="dxa"/>
            <w:vAlign w:val="bottom"/>
          </w:tcPr>
          <w:p>
            <w:pPr>
              <w:ind w:left="480"/>
              <w:spacing w:after="0"/>
              <w:rPr>
                <w:sz w:val="20"/>
                <w:szCs w:val="20"/>
                <w:color w:val="auto"/>
              </w:rPr>
            </w:pPr>
            <w:r>
              <w:rPr>
                <w:rFonts w:ascii="Arial" w:cs="Arial" w:eastAsia="Arial" w:hAnsi="Arial"/>
                <w:sz w:val="18"/>
                <w:szCs w:val="18"/>
                <w:color w:val="auto"/>
              </w:rPr>
              <w:t>List of 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4.15</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Taxation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38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8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THE DEPOSITARY, THE CUSTODIAN AND THE COMPANY</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w:t>
            </w:r>
          </w:p>
        </w:tc>
        <w:tc>
          <w:tcPr>
            <w:tcW w:w="8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Maintenance of Office and Transfer Books by the Registrar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8700" w:type="dxa"/>
            <w:vAlign w:val="bottom"/>
          </w:tcPr>
          <w:p>
            <w:pPr>
              <w:ind w:left="480"/>
              <w:spacing w:after="0"/>
              <w:rPr>
                <w:sz w:val="20"/>
                <w:szCs w:val="20"/>
                <w:color w:val="auto"/>
              </w:rPr>
            </w:pPr>
            <w:r>
              <w:rPr>
                <w:rFonts w:ascii="Arial" w:cs="Arial" w:eastAsia="Arial" w:hAnsi="Arial"/>
                <w:sz w:val="18"/>
                <w:szCs w:val="18"/>
                <w:color w:val="auto"/>
              </w:rPr>
              <w:t>Exoneration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5.3</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Standard of Care</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8020" w:type="dxa"/>
            <w:vAlign w:val="bottom"/>
          </w:tcPr>
          <w:p>
            <w:pPr>
              <w:ind w:left="48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8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5.5</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Custodian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5.6</w:t>
            </w:r>
          </w:p>
        </w:tc>
        <w:tc>
          <w:tcPr>
            <w:tcW w:w="8020" w:type="dxa"/>
            <w:vAlign w:val="bottom"/>
          </w:tcPr>
          <w:p>
            <w:pPr>
              <w:ind w:left="480"/>
              <w:spacing w:after="0"/>
              <w:rPr>
                <w:sz w:val="20"/>
                <w:szCs w:val="20"/>
                <w:color w:val="auto"/>
              </w:rPr>
            </w:pPr>
            <w:r>
              <w:rPr>
                <w:rFonts w:ascii="Arial" w:cs="Arial" w:eastAsia="Arial" w:hAnsi="Arial"/>
                <w:sz w:val="18"/>
                <w:szCs w:val="18"/>
                <w:color w:val="auto"/>
              </w:rPr>
              <w:t>Notices and Reports</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5.7</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Issuance of Additional Shares, ADSs etc</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5.8</w:t>
            </w:r>
          </w:p>
        </w:tc>
        <w:tc>
          <w:tcPr>
            <w:tcW w:w="8020" w:type="dxa"/>
            <w:vAlign w:val="bottom"/>
          </w:tcPr>
          <w:p>
            <w:pPr>
              <w:ind w:left="480"/>
              <w:spacing w:after="0"/>
              <w:rPr>
                <w:sz w:val="20"/>
                <w:szCs w:val="20"/>
                <w:color w:val="auto"/>
              </w:rPr>
            </w:pPr>
            <w:r>
              <w:rPr>
                <w:rFonts w:ascii="Arial" w:cs="Arial" w:eastAsia="Arial" w:hAnsi="Arial"/>
                <w:sz w:val="18"/>
                <w:szCs w:val="18"/>
                <w:color w:val="auto"/>
              </w:rPr>
              <w:t>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5.9</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ADS Fees and Charges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5.10</w:t>
            </w:r>
          </w:p>
        </w:tc>
        <w:tc>
          <w:tcPr>
            <w:tcW w:w="8020" w:type="dxa"/>
            <w:vAlign w:val="bottom"/>
          </w:tcPr>
          <w:p>
            <w:pPr>
              <w:ind w:left="480"/>
              <w:spacing w:after="0"/>
              <w:rPr>
                <w:sz w:val="20"/>
                <w:szCs w:val="20"/>
                <w:color w:val="auto"/>
              </w:rPr>
            </w:pPr>
            <w:r>
              <w:rPr>
                <w:rFonts w:ascii="Arial" w:cs="Arial" w:eastAsia="Arial" w:hAnsi="Arial"/>
                <w:sz w:val="18"/>
                <w:szCs w:val="18"/>
                <w:color w:val="auto"/>
              </w:rPr>
              <w:t>Restricted Securities Owners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VI</w:t>
            </w:r>
          </w:p>
        </w:tc>
        <w:tc>
          <w:tcPr>
            <w:tcW w:w="8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 AND TERMINATION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8020" w:type="dxa"/>
            <w:vAlign w:val="bottom"/>
          </w:tcPr>
          <w:p>
            <w:pPr>
              <w:ind w:left="480"/>
              <w:spacing w:after="0"/>
              <w:rPr>
                <w:sz w:val="20"/>
                <w:szCs w:val="20"/>
                <w:color w:val="auto"/>
              </w:rPr>
            </w:pPr>
            <w:r>
              <w:rPr>
                <w:rFonts w:ascii="Arial" w:cs="Arial" w:eastAsia="Arial" w:hAnsi="Arial"/>
                <w:sz w:val="18"/>
                <w:szCs w:val="18"/>
                <w:color w:val="auto"/>
              </w:rPr>
              <w:t>Amendment/Supplement</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6.2</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Termination</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38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8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MISCELLANEOUS</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7.1</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Counterparts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8020" w:type="dxa"/>
            <w:vAlign w:val="bottom"/>
          </w:tcPr>
          <w:p>
            <w:pPr>
              <w:ind w:left="480"/>
              <w:spacing w:after="0"/>
              <w:rPr>
                <w:sz w:val="20"/>
                <w:szCs w:val="20"/>
                <w:color w:val="auto"/>
              </w:rPr>
            </w:pPr>
            <w:r>
              <w:rPr>
                <w:rFonts w:ascii="Arial" w:cs="Arial" w:eastAsia="Arial" w:hAnsi="Arial"/>
                <w:sz w:val="18"/>
                <w:szCs w:val="18"/>
                <w:color w:val="auto"/>
              </w:rPr>
              <w:t>No Third Party Beneficiaries/Acknowledgments</w:t>
            </w:r>
          </w:p>
        </w:tc>
        <w:tc>
          <w:tcPr>
            <w:tcW w:w="1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7.3</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Severability</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8020" w:type="dxa"/>
            <w:vAlign w:val="bottom"/>
          </w:tcPr>
          <w:p>
            <w:pPr>
              <w:ind w:left="480"/>
              <w:spacing w:after="0"/>
              <w:rPr>
                <w:sz w:val="20"/>
                <w:szCs w:val="20"/>
                <w:color w:val="auto"/>
              </w:rPr>
            </w:pPr>
            <w:r>
              <w:rPr>
                <w:rFonts w:ascii="Arial" w:cs="Arial" w:eastAsia="Arial" w:hAnsi="Arial"/>
                <w:sz w:val="18"/>
                <w:szCs w:val="18"/>
                <w:color w:val="auto"/>
              </w:rPr>
              <w:t>Holders and Beneficial Owners as Parties; Binding Effect</w:t>
            </w:r>
          </w:p>
        </w:tc>
        <w:tc>
          <w:tcPr>
            <w:tcW w:w="1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7.5</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Notices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7.6</w:t>
            </w:r>
          </w:p>
        </w:tc>
        <w:tc>
          <w:tcPr>
            <w:tcW w:w="8020" w:type="dxa"/>
            <w:vAlign w:val="bottom"/>
          </w:tcPr>
          <w:p>
            <w:pPr>
              <w:ind w:left="480"/>
              <w:spacing w:after="0"/>
              <w:rPr>
                <w:sz w:val="20"/>
                <w:szCs w:val="20"/>
                <w:color w:val="auto"/>
              </w:rPr>
            </w:pPr>
            <w:r>
              <w:rPr>
                <w:rFonts w:ascii="Arial" w:cs="Arial" w:eastAsia="Arial" w:hAnsi="Arial"/>
                <w:sz w:val="18"/>
                <w:szCs w:val="18"/>
                <w:color w:val="auto"/>
              </w:rPr>
              <w:t>Governing Law and Jurisdiction</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7.7</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Assignment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7.8</w:t>
            </w:r>
          </w:p>
        </w:tc>
        <w:tc>
          <w:tcPr>
            <w:tcW w:w="8020" w:type="dxa"/>
            <w:vAlign w:val="bottom"/>
          </w:tcPr>
          <w:p>
            <w:pPr>
              <w:ind w:left="480"/>
              <w:spacing w:after="0"/>
              <w:rPr>
                <w:sz w:val="20"/>
                <w:szCs w:val="20"/>
                <w:color w:val="auto"/>
              </w:rPr>
            </w:pPr>
            <w:r>
              <w:rPr>
                <w:rFonts w:ascii="Arial" w:cs="Arial" w:eastAsia="Arial" w:hAnsi="Arial"/>
                <w:sz w:val="18"/>
                <w:szCs w:val="18"/>
                <w:color w:val="auto"/>
              </w:rPr>
              <w:t>Compliance with, and No Disclaimer under, U.S. Securities Laws</w:t>
            </w:r>
          </w:p>
        </w:tc>
        <w:tc>
          <w:tcPr>
            <w:tcW w:w="18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7.9</w:t>
            </w:r>
          </w:p>
        </w:tc>
        <w:tc>
          <w:tcPr>
            <w:tcW w:w="8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Cayman Islands Law References</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7.10</w:t>
            </w:r>
          </w:p>
        </w:tc>
        <w:tc>
          <w:tcPr>
            <w:tcW w:w="8020" w:type="dxa"/>
            <w:vAlign w:val="bottom"/>
          </w:tcPr>
          <w:p>
            <w:pPr>
              <w:ind w:left="480"/>
              <w:spacing w:after="0"/>
              <w:rPr>
                <w:sz w:val="20"/>
                <w:szCs w:val="20"/>
                <w:color w:val="auto"/>
              </w:rPr>
            </w:pPr>
            <w:r>
              <w:rPr>
                <w:rFonts w:ascii="Arial" w:cs="Arial" w:eastAsia="Arial" w:hAnsi="Arial"/>
                <w:sz w:val="18"/>
                <w:szCs w:val="18"/>
                <w:color w:val="auto"/>
              </w:rPr>
              <w:t>Titles and References</w:t>
            </w: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EXHIBITS</w:t>
            </w:r>
          </w:p>
        </w:tc>
        <w:tc>
          <w:tcPr>
            <w:tcW w:w="80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1380" w:type="dxa"/>
            <w:vAlign w:val="bottom"/>
            <w:shd w:val="clear" w:color="auto" w:fill="CCEEFF"/>
          </w:tcPr>
          <w:p>
            <w:pPr>
              <w:spacing w:after="0"/>
              <w:rPr>
                <w:sz w:val="18"/>
                <w:szCs w:val="18"/>
                <w:color w:val="auto"/>
              </w:rPr>
            </w:pPr>
          </w:p>
        </w:tc>
        <w:tc>
          <w:tcPr>
            <w:tcW w:w="8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ADR.</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380" w:type="dxa"/>
            <w:vAlign w:val="bottom"/>
          </w:tcPr>
          <w:p>
            <w:pPr>
              <w:spacing w:after="0"/>
              <w:rPr>
                <w:sz w:val="20"/>
                <w:szCs w:val="20"/>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Fee Schedule.</w:t>
            </w:r>
          </w:p>
        </w:tc>
        <w:tc>
          <w:tcPr>
            <w:tcW w:w="184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 ], 2023, by and among (i) TRIDENT DIGITAL TECH HOLDINGS LTD, an exempted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with limited liability under the laws of the Cayman Islands,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establish with the Depositary an ADR (as hereinafter defined) facility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alia</w:t>
      </w:r>
      <w:r>
        <w:rPr>
          <w:rFonts w:ascii="Arial" w:cs="Arial" w:eastAsia="Arial" w:hAnsi="Arial"/>
          <w:sz w:val="16"/>
          <w:szCs w:val="16"/>
          <w:color w:val="auto"/>
        </w:rPr>
        <w:t>, provide for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Shares (as 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4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any American Depositary Receipts issued pursuant to the terms of the Deposit Agreement are to be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with appropriate insertions, modifications and omissions, as hereinafter provided in the Deposit Agreement; and</w:t>
      </w:r>
    </w:p>
    <w:p>
      <w:pPr>
        <w:spacing w:after="0" w:line="14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given to such term in Section 4.9.</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 “</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b w:val="1"/>
          <w:bCs w:val="1"/>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certificate(s) issued by the Depositary to</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8" w:name="page19"/>
    <w:bookmarkEnd w:id="18"/>
    <w:p>
      <w:pPr>
        <w:jc w:val="both"/>
        <w:ind w:firstLine="648"/>
        <w:spacing w:after="0" w:line="289" w:lineRule="auto"/>
        <w:rPr>
          <w:sz w:val="20"/>
          <w:szCs w:val="20"/>
          <w:color w:val="auto"/>
        </w:rPr>
      </w:pPr>
      <w:r>
        <w:rPr>
          <w:rFonts w:ascii="Arial" w:cs="Arial" w:eastAsia="Arial" w:hAnsi="Arial"/>
          <w:sz w:val="16"/>
          <w:szCs w:val="16"/>
          <w:b w:val="1"/>
          <w:bCs w:val="1"/>
          <w:color w:val="auto"/>
        </w:rPr>
        <w:t>Section 1.4 “</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jc w:val="both"/>
        <w:ind w:firstLine="8"/>
        <w:spacing w:after="0" w:line="267" w:lineRule="auto"/>
        <w:tabs>
          <w:tab w:leader="none" w:pos="249"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1.5 “</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memorandum and articles of association of the Company, and any other constitutional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of the Company, as amended or restated and in effect from time to time.</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1.6 “</w:t>
      </w:r>
      <w:r>
        <w:rPr>
          <w:rFonts w:ascii="Arial" w:cs="Arial" w:eastAsia="Arial" w:hAnsi="Arial"/>
          <w:sz w:val="16"/>
          <w:szCs w:val="16"/>
          <w:b w:val="1"/>
          <w:bCs w:val="1"/>
          <w:u w:val="single" w:color="auto"/>
          <w:color w:val="auto"/>
        </w:rPr>
        <w:t>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as to any ADS, any person or entity having a beneficial interest deriving from the ownership</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Section 1.8</w:t>
            </w:r>
          </w:p>
        </w:tc>
        <w:tc>
          <w:tcPr>
            <w:tcW w:w="912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 xml:space="preserve">“Citibank” </w:t>
            </w:r>
            <w:r>
              <w:rPr>
                <w:rFonts w:ascii="Arial" w:cs="Arial" w:eastAsia="Arial" w:hAnsi="Arial"/>
                <w:sz w:val="18"/>
                <w:szCs w:val="18"/>
                <w:color w:val="auto"/>
                <w:w w:val="97"/>
              </w:rPr>
              <w:t>shall mean Citibank, N.A., a national banking association organized under the laws of the United States of</w:t>
            </w:r>
          </w:p>
        </w:tc>
      </w:tr>
      <w:tr>
        <w:trPr>
          <w:trHeight w:val="237"/>
        </w:trPr>
        <w:tc>
          <w:tcPr>
            <w:tcW w:w="2120" w:type="dxa"/>
            <w:vAlign w:val="bottom"/>
          </w:tcPr>
          <w:p>
            <w:pPr>
              <w:spacing w:after="0"/>
              <w:rPr>
                <w:sz w:val="20"/>
                <w:szCs w:val="20"/>
                <w:color w:val="auto"/>
              </w:rPr>
            </w:pPr>
            <w:r>
              <w:rPr>
                <w:rFonts w:ascii="Arial" w:cs="Arial" w:eastAsia="Arial" w:hAnsi="Arial"/>
                <w:sz w:val="18"/>
                <w:szCs w:val="18"/>
                <w:color w:val="auto"/>
                <w:w w:val="91"/>
              </w:rPr>
              <w:t>America, and its successors.</w:t>
            </w:r>
          </w:p>
        </w:tc>
        <w:tc>
          <w:tcPr>
            <w:tcW w:w="24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00" w:type="dxa"/>
            <w:vAlign w:val="bottom"/>
          </w:tcPr>
          <w:p>
            <w:pPr>
              <w:spacing w:after="0"/>
              <w:rPr>
                <w:sz w:val="20"/>
                <w:szCs w:val="20"/>
                <w:color w:val="auto"/>
              </w:rPr>
            </w:pPr>
          </w:p>
        </w:tc>
      </w:tr>
      <w:tr>
        <w:trPr>
          <w:trHeight w:val="392"/>
        </w:trPr>
        <w:tc>
          <w:tcPr>
            <w:tcW w:w="2120" w:type="dxa"/>
            <w:vAlign w:val="bottom"/>
          </w:tcPr>
          <w:p>
            <w:pPr>
              <w:ind w:left="660"/>
              <w:spacing w:after="0"/>
              <w:rPr>
                <w:sz w:val="20"/>
                <w:szCs w:val="20"/>
                <w:color w:val="auto"/>
              </w:rPr>
            </w:pPr>
            <w:r>
              <w:rPr>
                <w:rFonts w:ascii="Arial" w:cs="Arial" w:eastAsia="Arial" w:hAnsi="Arial"/>
                <w:sz w:val="18"/>
                <w:szCs w:val="18"/>
                <w:b w:val="1"/>
                <w:bCs w:val="1"/>
                <w:color w:val="auto"/>
              </w:rPr>
              <w:t>Section 1.9</w:t>
            </w:r>
          </w:p>
        </w:tc>
        <w:tc>
          <w:tcPr>
            <w:tcW w:w="9120" w:type="dxa"/>
            <w:vAlign w:val="bottom"/>
            <w:gridSpan w:val="4"/>
          </w:tcPr>
          <w:p>
            <w:pPr>
              <w:jc w:val="right"/>
              <w:spacing w:after="0"/>
              <w:rPr>
                <w:sz w:val="20"/>
                <w:szCs w:val="20"/>
                <w:color w:val="auto"/>
              </w:rPr>
            </w:pPr>
            <w:r>
              <w:rPr>
                <w:rFonts w:ascii="Arial" w:cs="Arial" w:eastAsia="Arial" w:hAnsi="Arial"/>
                <w:sz w:val="18"/>
                <w:szCs w:val="18"/>
                <w:b w:val="1"/>
                <w:bCs w:val="1"/>
                <w:color w:val="auto"/>
                <w:w w:val="93"/>
              </w:rPr>
              <w:t xml:space="preserve">“Commission” </w:t>
            </w:r>
            <w:r>
              <w:rPr>
                <w:rFonts w:ascii="Arial" w:cs="Arial" w:eastAsia="Arial" w:hAnsi="Arial"/>
                <w:sz w:val="18"/>
                <w:szCs w:val="18"/>
                <w:color w:val="auto"/>
                <w:w w:val="93"/>
              </w:rPr>
              <w:t>shall mean the Securities and Exchange Commission of the United States or any successor governmental</w:t>
            </w:r>
          </w:p>
        </w:tc>
      </w:tr>
      <w:tr>
        <w:trPr>
          <w:trHeight w:val="20"/>
        </w:trPr>
        <w:tc>
          <w:tcPr>
            <w:tcW w:w="21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agency thereto in the United States.</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Trident Digital Tech Holdings Ltd, an exempted company incorporated with limited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Cayman Islands, and its successors.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1.11 “</w:t>
      </w:r>
      <w:r>
        <w:rPr>
          <w:rFonts w:ascii="Arial" w:cs="Arial" w:eastAsia="Arial" w:hAnsi="Arial"/>
          <w:sz w:val="18"/>
          <w:szCs w:val="18"/>
          <w:b w:val="1"/>
          <w:bCs w:val="1"/>
          <w:u w:val="single" w:color="auto"/>
          <w:color w:val="auto"/>
        </w:rPr>
        <w:t>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as of the date hereof, Citibank, N.A. – Hong Kong, having its principal office at 9/F Citi Tower, One</w:t>
      </w:r>
      <w:r>
        <w:rPr>
          <w:rFonts w:ascii="Arial" w:cs="Arial" w:eastAsia="Arial" w:hAnsi="Arial"/>
          <w:sz w:val="18"/>
          <w:szCs w:val="18"/>
          <w:b w:val="1"/>
          <w:bCs w:val="1"/>
          <w:color w:val="auto"/>
        </w:rPr>
        <w:t xml:space="preserve"> </w:t>
      </w:r>
      <w:r>
        <w:rPr>
          <w:rFonts w:ascii="Arial" w:cs="Arial" w:eastAsia="Arial" w:hAnsi="Arial"/>
          <w:sz w:val="18"/>
          <w:szCs w:val="18"/>
          <w:color w:val="auto"/>
        </w:rPr>
        <w:t>Bay East, 83 Hoi Bun Road, Kwun Tong, Kowloon, Hong Kong,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1.12 “</w:t>
      </w:r>
      <w:r>
        <w:rPr>
          <w:rFonts w:ascii="Arial" w:cs="Arial" w:eastAsia="Arial" w:hAnsi="Arial"/>
          <w:sz w:val="18"/>
          <w:szCs w:val="18"/>
          <w:b w:val="1"/>
          <w:bCs w:val="1"/>
          <w:u w:val="single" w:color="auto"/>
          <w:color w:val="auto"/>
        </w:rPr>
        <w:t>Deliver</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applicable book-entry settlement system, if available,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1.13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supplemented from time to time in accordance with the terms of the Deposit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1.14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jc w:val="both"/>
        <w:ind w:firstLine="648"/>
        <w:spacing w:after="0" w:line="274" w:lineRule="auto"/>
        <w:rPr>
          <w:sz w:val="20"/>
          <w:szCs w:val="20"/>
          <w:color w:val="auto"/>
        </w:rPr>
      </w:pPr>
      <w:r>
        <w:rPr>
          <w:rFonts w:ascii="Arial" w:cs="Arial" w:eastAsia="Arial" w:hAnsi="Arial"/>
          <w:sz w:val="17"/>
          <w:szCs w:val="17"/>
          <w:b w:val="1"/>
          <w:bCs w:val="1"/>
          <w:color w:val="auto"/>
        </w:rPr>
        <w:t>Section 1.15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7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Dollars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refer to the lawful currency of the United States.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1.18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1.19 “</w:t>
      </w:r>
      <w:r>
        <w:rPr>
          <w:rFonts w:ascii="Arial" w:cs="Arial" w:eastAsia="Arial" w:hAnsi="Arial"/>
          <w:sz w:val="16"/>
          <w:szCs w:val="16"/>
          <w:b w:val="1"/>
          <w:bCs w:val="1"/>
          <w:u w:val="single" w:color="auto"/>
          <w:color w:val="auto"/>
        </w:rPr>
        <w:t>DTC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currency other than Dollars.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2.12.</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1.23 “</w:t>
      </w:r>
      <w:r>
        <w:rPr>
          <w:rFonts w:ascii="Arial" w:cs="Arial" w:eastAsia="Arial" w:hAnsi="Arial"/>
          <w:sz w:val="16"/>
          <w:szCs w:val="16"/>
          <w:b w:val="1"/>
          <w:bCs w:val="1"/>
          <w:u w:val="single" w:color="auto"/>
          <w:color w:val="auto"/>
        </w:rPr>
        <w:t>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1" w:name="page22"/>
    <w:bookmarkEnd w:id="21"/>
    <w:p>
      <w:pPr>
        <w:jc w:val="both"/>
        <w:ind w:firstLine="648"/>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1.25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1.26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1.27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the Cayman Islands, or under a shareholder agreement or the Articles of Association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2.14.</w:t>
      </w:r>
    </w:p>
    <w:p>
      <w:pPr>
        <w:spacing w:after="0" w:line="20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1.29</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United States Securities Act of 1933, as amended from time to time.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Section 1.30 “</w:t>
      </w:r>
      <w:r>
        <w:rPr>
          <w:rFonts w:ascii="Arial" w:cs="Arial" w:eastAsia="Arial" w:hAnsi="Arial"/>
          <w:sz w:val="17"/>
          <w:szCs w:val="17"/>
          <w:b w:val="1"/>
          <w:bCs w:val="1"/>
          <w:u w:val="single" w:color="auto"/>
          <w:color w:val="auto"/>
        </w:rPr>
        <w:t>Share 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Sertus Incorporations (Cayman) Limited or any other institution organized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Cayman Islands appointed by the Company from time to time to carry out the duties of registrar for the Shares, and any successor thereto.</w:t>
      </w: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2" w:name="page23"/>
    <w:bookmarkEnd w:id="22"/>
    <w:p>
      <w:pPr>
        <w:jc w:val="both"/>
        <w:ind w:firstLine="648"/>
        <w:spacing w:after="0" w:line="294" w:lineRule="auto"/>
        <w:rPr>
          <w:sz w:val="20"/>
          <w:szCs w:val="20"/>
          <w:color w:val="auto"/>
        </w:rPr>
      </w:pPr>
      <w:r>
        <w:rPr>
          <w:rFonts w:ascii="Arial" w:cs="Arial" w:eastAsia="Arial" w:hAnsi="Arial"/>
          <w:sz w:val="16"/>
          <w:szCs w:val="16"/>
          <w:b w:val="1"/>
          <w:bCs w:val="1"/>
          <w:color w:val="auto"/>
        </w:rPr>
        <w:t>Section 1.31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Class B ordinary shares, par value US$0.00001 per share, validly issued and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1.33 “</w:t>
      </w:r>
      <w:r>
        <w:rPr>
          <w:rFonts w:ascii="Arial" w:cs="Arial" w:eastAsia="Arial" w:hAnsi="Arial"/>
          <w:sz w:val="18"/>
          <w:szCs w:val="18"/>
          <w:b w:val="1"/>
          <w:bCs w:val="1"/>
          <w:u w:val="single" w:color="auto"/>
          <w:color w:val="auto"/>
        </w:rPr>
        <w:t>United States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as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9" w:lineRule="auto"/>
        <w:tabs>
          <w:tab w:leader="none" w:pos="1019"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jc w:val="both"/>
        <w:ind w:right="20" w:firstLine="656"/>
        <w:spacing w:after="0" w:line="293" w:lineRule="auto"/>
        <w:tabs>
          <w:tab w:leader="none" w:pos="1012"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jc w:val="both"/>
        <w:ind w:firstLine="8"/>
        <w:spacing w:after="0" w:line="270" w:lineRule="auto"/>
        <w:tabs>
          <w:tab w:leader="none" w:pos="27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jc w:val="both"/>
        <w:ind w:firstLine="656"/>
        <w:spacing w:after="0" w:line="254" w:lineRule="auto"/>
        <w:tabs>
          <w:tab w:leader="none" w:pos="996"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Arial" w:cs="Arial" w:eastAsia="Arial" w:hAnsi="Arial"/>
          <w:sz w:val="18"/>
          <w:szCs w:val="18"/>
          <w:b w:val="1"/>
          <w:bCs w:val="1"/>
          <w:color w:val="auto"/>
        </w:rPr>
      </w:pPr>
    </w:p>
    <w:p>
      <w:pPr>
        <w:jc w:val="both"/>
        <w:ind w:firstLine="656"/>
        <w:spacing w:after="0" w:line="268" w:lineRule="auto"/>
        <w:tabs>
          <w:tab w:leader="none" w:pos="971"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Book-Entry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arrangements for the acceptance of the ADSs into DTC. All ADSs held through DTC will</w:t>
      </w:r>
      <w:r>
        <w:rPr>
          <w:rFonts w:ascii="Arial" w:cs="Arial" w:eastAsia="Arial" w:hAnsi="Arial"/>
          <w:sz w:val="17"/>
          <w:szCs w:val="17"/>
          <w:b w:val="1"/>
          <w:bCs w:val="1"/>
          <w:color w:val="auto"/>
        </w:rPr>
        <w:t xml:space="preserve"> </w:t>
      </w:r>
      <w:r>
        <w:rPr>
          <w:rFonts w:ascii="Arial" w:cs="Arial" w:eastAsia="Arial" w:hAnsi="Arial"/>
          <w:sz w:val="17"/>
          <w:szCs w:val="17"/>
          <w:color w:val="auto"/>
        </w:rPr>
        <w:t>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4" w:name="page25"/>
    <w:bookmarkEnd w:id="24"/>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case of Shares represented by certificates issued in registered form</w:t>
      </w:r>
      <w:r>
        <w:rPr>
          <w:rFonts w:ascii="Arial" w:cs="Arial" w:eastAsia="Arial" w:hAnsi="Arial"/>
          <w:sz w:val="16"/>
          <w:szCs w:val="16"/>
          <w:color w:val="auto"/>
        </w:rPr>
        <w:t>, appropriate instruments of transfer or endorsement, in a form reasonably satisfactory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w:t>
      </w:r>
      <w:r>
        <w:rPr>
          <w:rFonts w:ascii="Arial" w:cs="Arial" w:eastAsia="Arial" w:hAnsi="Arial"/>
          <w:sz w:val="16"/>
          <w:szCs w:val="16"/>
          <w:color w:val="auto"/>
        </w:rPr>
        <w:t xml:space="preserve"> </w:t>
      </w:r>
      <w:r>
        <w:rPr>
          <w:rFonts w:ascii="Arial" w:cs="Arial" w:eastAsia="Arial" w:hAnsi="Arial"/>
          <w:sz w:val="16"/>
          <w:szCs w:val="16"/>
          <w:i w:val="1"/>
          <w:iCs w:val="1"/>
          <w:color w:val="auto"/>
        </w:rPr>
        <w:t>of Shares delivered by book-entry transfer and recordation</w:t>
      </w:r>
      <w:r>
        <w:rPr>
          <w:rFonts w:ascii="Arial" w:cs="Arial" w:eastAsia="Arial" w:hAnsi="Arial"/>
          <w:sz w:val="16"/>
          <w:szCs w:val="16"/>
          <w:color w:val="auto"/>
        </w:rPr>
        <w:t>, confirmation of such book-entry transfer and recordation in the books of the Share Registrar or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applicable book-entry settlement entity, as applicable, to the Custodian or that irrevocable instructions have been given to cause such Shares to be so issued,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the Cayman Islands,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5" w:name="page26"/>
    <w:bookmarkEnd w:id="25"/>
    <w:p>
      <w:pPr>
        <w:jc w:val="both"/>
        <w:ind w:firstLine="648"/>
        <w:spacing w:after="0" w:line="269"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applicable governmental body in the Cayman Islands,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6" w:name="page27"/>
    <w:bookmarkEnd w:id="26"/>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color w:val="auto"/>
        </w:rPr>
        <w:t>. The Depositary has made arrangements with the Custodian for the Custodian to confirm to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the applicable book-entry settlement entity,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ADS fees and charges of the Depositary for accepting a deposit of Shares and issuing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ADS(s). Upon receipt of satisfactory instructions from ADS Holders and payment of applicable taxes and the ADS fees and charges of the Depositary for the issuance, cancellation and conversion of ADSs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the Depositary shall also, subject to the applicable terms and conditions of, and contemplated in, the Deposit Agreement and applicable law, issue new ADSs in connection with the conversion of existing ADSs of one series for ADSs of another series (e.g. in connection with the conversion of Restricted ADSs into freely transferable ADSs and the conversion of Partial Entitlement ADSs into Full Entitlement ADSs), in which case the Depositary shall (i) only issue such number of new ADSs of one series as equals the number of existing ADSs cancelled of the corresponding series, and</w:t>
      </w:r>
    </w:p>
    <w:p>
      <w:pPr>
        <w:spacing w:after="0" w:line="2" w:lineRule="exact"/>
        <w:rPr>
          <w:sz w:val="20"/>
          <w:szCs w:val="20"/>
          <w:color w:val="auto"/>
        </w:rPr>
      </w:pPr>
    </w:p>
    <w:p>
      <w:pPr>
        <w:jc w:val="both"/>
        <w:ind w:right="20" w:firstLine="8"/>
        <w:spacing w:after="0" w:line="255" w:lineRule="auto"/>
        <w:tabs>
          <w:tab w:leader="none" w:pos="287" w:val="left"/>
        </w:tabs>
        <w:numPr>
          <w:ilvl w:val="0"/>
          <w:numId w:val="9"/>
        </w:numPr>
        <w:rPr>
          <w:rFonts w:ascii="Arial" w:cs="Arial" w:eastAsia="Arial" w:hAnsi="Arial"/>
          <w:sz w:val="18"/>
          <w:szCs w:val="18"/>
          <w:color w:val="auto"/>
        </w:rPr>
      </w:pPr>
      <w:r>
        <w:rPr>
          <w:rFonts w:ascii="Arial" w:cs="Arial" w:eastAsia="Arial" w:hAnsi="Arial"/>
          <w:sz w:val="18"/>
          <w:szCs w:val="18"/>
          <w:color w:val="auto"/>
        </w:rPr>
        <w:t>only process such ADS conversion to the extent the Depositary has to the extent applicable instructed the Custodian to transfer the corresponding Shares from and into the applicable custody accounts maintained for the applicable ADS series. The Depositary shall only issue ADSs in whole numbers and deliver, if applicable, ADR(s) evidencing whole numbers of ADSs.</w:t>
      </w:r>
    </w:p>
    <w:p>
      <w:pPr>
        <w:spacing w:after="0" w:line="29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7" w:name="page28"/>
    <w:bookmarkEnd w:id="27"/>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1006"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Arial" w:cs="Arial" w:eastAsia="Arial" w:hAnsi="Arial"/>
          <w:sz w:val="16"/>
          <w:szCs w:val="16"/>
          <w:b w:val="1"/>
          <w:bCs w:val="1"/>
          <w:color w:val="auto"/>
        </w:rPr>
      </w:pPr>
    </w:p>
    <w:p>
      <w:pPr>
        <w:jc w:val="both"/>
        <w:ind w:firstLine="8"/>
        <w:spacing w:after="0" w:line="253" w:lineRule="auto"/>
        <w:tabs>
          <w:tab w:leader="none" w:pos="32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188" w:lineRule="exact"/>
        <w:rPr>
          <w:rFonts w:ascii="Arial" w:cs="Arial" w:eastAsia="Arial" w:hAnsi="Arial"/>
          <w:sz w:val="18"/>
          <w:szCs w:val="18"/>
          <w:color w:val="auto"/>
        </w:rPr>
      </w:pPr>
    </w:p>
    <w:p>
      <w:pPr>
        <w:jc w:val="both"/>
        <w:ind w:firstLine="656"/>
        <w:spacing w:after="0" w:line="272" w:lineRule="auto"/>
        <w:tabs>
          <w:tab w:leader="none" w:pos="985" w:val="left"/>
        </w:tabs>
        <w:numPr>
          <w:ilvl w:val="1"/>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Combination &amp; Split-Up</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split-up or combination of ADRs (and of the ADSs represented thereby) 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ADSs shall be entitled to Delivery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have been paid, </w:t>
      </w:r>
      <w:r>
        <w:rPr>
          <w:rFonts w:ascii="Arial" w:cs="Arial" w:eastAsia="Arial" w:hAnsi="Arial"/>
          <w:sz w:val="17"/>
          <w:szCs w:val="17"/>
          <w:i w:val="1"/>
          <w:iCs w:val="1"/>
          <w:color w:val="auto"/>
        </w:rPr>
        <w:t>subject, however, in each</w:t>
      </w:r>
      <w:r>
        <w:rPr>
          <w:rFonts w:ascii="Arial" w:cs="Arial" w:eastAsia="Arial" w:hAnsi="Arial"/>
          <w:sz w:val="17"/>
          <w:szCs w:val="17"/>
          <w:color w:val="auto"/>
        </w:rPr>
        <w:t xml:space="preserve"> </w:t>
      </w:r>
      <w:r>
        <w:rPr>
          <w:rFonts w:ascii="Arial" w:cs="Arial" w:eastAsia="Arial" w:hAnsi="Arial"/>
          <w:sz w:val="17"/>
          <w:szCs w:val="17"/>
          <w:i w:val="1"/>
          <w:iCs w:val="1"/>
          <w:color w:val="auto"/>
        </w:rPr>
        <w:t>case</w:t>
      </w:r>
      <w:r>
        <w:rPr>
          <w:rFonts w:ascii="Arial" w:cs="Arial" w:eastAsia="Arial" w:hAnsi="Arial"/>
          <w:sz w:val="17"/>
          <w:szCs w:val="17"/>
          <w:color w:val="auto"/>
        </w:rPr>
        <w:t>, to the terms and conditions of the ADRs evidencing the surrendered ADSs, of the Deposit Agreement, of the Articles of Association, and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laws and the rules of the applicable book-entry settlement entity, and to any provisions of or governing the Deposited Securities, in each case as in effect at the time thereof.</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8" w:name="page29"/>
    <w:bookmarkEnd w:id="28"/>
    <w:p>
      <w:pPr>
        <w:jc w:val="both"/>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any applicable laws and of the rules of the applicable book-entry settlement entity, and to the terms and conditions of or governing the Deposited Securities, in each case as in effect at the time thereof.</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Upon receipt of satisfactory instructions from ADS Holders and payment of applicable taxes and the ADS fees and charges of the Depositary for the issuance, cancellation, and conversion of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Depositary shall also, subject to the applicable terms and conditions of, and contemplated in, the Deposit Agreement and applicable law, cancel ADSs in connection with the conversion of ADSs of one series for ADSs of another series (e.g. in connection with the conversion of Restricted ADSs into freely transferable ADSs and the conversion of Partial Entitlement ADSs into Full Entitlement ADSs), in which case, (i) the number of ADSs of one series so cancelled shall equal the number of ADSs issued of the corresponding series, and (ii) the Depositary shall to the extent applicable direct the Custodian to transfer the corresponding Shares from and into the applicable custody accounts maintained for the applicable ADS series.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9" w:name="page30"/>
    <w:bookmarkEnd w:id="29"/>
    <w:p>
      <w:pPr>
        <w:jc w:val="both"/>
        <w:ind w:firstLine="648"/>
        <w:spacing w:after="0" w:line="254"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9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jc w:val="both"/>
        <w:ind w:firstLine="656"/>
        <w:spacing w:after="0" w:line="285" w:lineRule="auto"/>
        <w:tabs>
          <w:tab w:leader="none" w:pos="1127" w:val="left"/>
        </w:tabs>
        <w:numPr>
          <w:ilvl w:val="1"/>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ind w:right="20" w:firstLine="8"/>
        <w:spacing w:after="0" w:line="260" w:lineRule="auto"/>
        <w:tabs>
          <w:tab w:leader="none" w:pos="2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reasonable regulations as the Depositary and the Company may establish consistent with the provisions of the representative ADR, if applicable, the Deposit Agreement and applicable law.</w:t>
      </w:r>
    </w:p>
    <w:p>
      <w:pPr>
        <w:spacing w:after="0" w:line="181" w:lineRule="exact"/>
        <w:rPr>
          <w:rFonts w:ascii="Arial" w:cs="Arial" w:eastAsia="Arial" w:hAnsi="Arial"/>
          <w:sz w:val="18"/>
          <w:szCs w:val="18"/>
          <w:color w:val="auto"/>
        </w:rPr>
      </w:pPr>
    </w:p>
    <w:p>
      <w:pPr>
        <w:jc w:val="both"/>
        <w:ind w:firstLine="656"/>
        <w:spacing w:after="0" w:line="292" w:lineRule="auto"/>
        <w:tabs>
          <w:tab w:leader="none" w:pos="1025"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1" w:lineRule="exact"/>
        <w:rPr>
          <w:rFonts w:ascii="Arial" w:cs="Arial" w:eastAsia="Arial" w:hAnsi="Arial"/>
          <w:sz w:val="16"/>
          <w:szCs w:val="16"/>
          <w:b w:val="1"/>
          <w:bCs w:val="1"/>
          <w:color w:val="auto"/>
        </w:rPr>
      </w:pPr>
    </w:p>
    <w:p>
      <w:pPr>
        <w:jc w:val="both"/>
        <w:ind w:firstLine="656"/>
        <w:spacing w:after="0" w:line="274" w:lineRule="auto"/>
        <w:tabs>
          <w:tab w:leader="none" w:pos="1023" w:val="left"/>
        </w:tabs>
        <w:numPr>
          <w:ilvl w:val="1"/>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 w:name="page31"/>
    <w:bookmarkEnd w:id="30"/>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b w:val="1"/>
          <w:bCs w:val="1"/>
          <w:u w:val="single" w:color="auto"/>
          <w:color w:val="auto"/>
        </w:rPr>
        <w:t>Lost ADRs, etc</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ADR shall be mutilated, destroyed, lost, or stolen, the Depositary shall execute and deliver a new</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ADR of like tenor at the expense of the Holder (a) </w:t>
      </w:r>
      <w:r>
        <w:rPr>
          <w:rFonts w:ascii="Arial" w:cs="Arial" w:eastAsia="Arial" w:hAnsi="Arial"/>
          <w:sz w:val="18"/>
          <w:szCs w:val="18"/>
          <w:i w:val="1"/>
          <w:iCs w:val="1"/>
          <w:color w:val="auto"/>
        </w:rPr>
        <w:t>in the case of a mutilated ADR,</w:t>
      </w:r>
      <w:r>
        <w:rPr>
          <w:rFonts w:ascii="Arial" w:cs="Arial" w:eastAsia="Arial" w:hAnsi="Arial"/>
          <w:sz w:val="18"/>
          <w:szCs w:val="18"/>
          <w:color w:val="auto"/>
        </w:rPr>
        <w:t xml:space="preserve"> in exchange of and substitution for such mutilated ADR upon cancellation thereof, or (b) </w:t>
      </w:r>
      <w:r>
        <w:rPr>
          <w:rFonts w:ascii="Arial" w:cs="Arial" w:eastAsia="Arial" w:hAnsi="Arial"/>
          <w:sz w:val="18"/>
          <w:szCs w:val="18"/>
          <w:i w:val="1"/>
          <w:iCs w:val="1"/>
          <w:color w:val="auto"/>
        </w:rPr>
        <w:t>in the case of a destroyed, lost or stolen ADR,</w:t>
      </w:r>
      <w:r>
        <w:rPr>
          <w:rFonts w:ascii="Arial" w:cs="Arial" w:eastAsia="Arial" w:hAnsi="Arial"/>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reasonably satisfactory to the Depositary of such destruction, loss or theft of such ADR, the authenticity thereof and the Holder’s ownership thereof.</w:t>
      </w:r>
    </w:p>
    <w:p>
      <w:pPr>
        <w:spacing w:after="0" w:line="19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the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xml:space="preserve">”, respectively). If and when Partial Entitlement Shares become Full Entitlement Shares, the Depositary shall convert the Partial Entitlement ADSs for Full Entitlement ADSs only upon receipt of applicable and satisfactory instructions from ADS Holders (to the extent ADS Holder instructions are deemed necessary and appropriate by the Depositary) and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distinctions between the Partial Entitlement ADRs, the Partial Entitlement ADSs and/or the Partial Entitlement Shares (on the one hand) and the Full Entitlement ADRs, the Full Entitlement ADSs and/or the Full Entitlement Shares (on the other hand), and subject to the applicable terms and conditions of, and contemplated in, the Deposit Agreement and applicable law, by (a) giving notice thereof to Holders of Partial Entitlement ADSs and giving Holders of Partial Entitlement ADRs the opportunity to exchange such Partial Entitlement ADRs for Full Entitlement ADRs, (b) causing the Custodian to transfer the Partial Entitlement Shares into the account of the Full Entitlement Shares, and (c) taking such actions as are necessary to convert the Partial Entitlement ADRs and ADSs, for the corresponding Full Entitlement ADRs and ADSs on the other, in which case, the number of Full Entitlement ADSs issued shall equal the number of Partial Entitlement ADSs cancelled.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1" w:name="page32"/>
    <w:bookmarkEnd w:id="31"/>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issue ADSs that are not evidenced by ADRs (such ADSs, the “</w:t>
      </w:r>
      <w:r>
        <w:rPr>
          <w:rFonts w:ascii="Arial" w:cs="Arial" w:eastAsia="Arial" w:hAnsi="Arial"/>
          <w:sz w:val="16"/>
          <w:szCs w:val="16"/>
          <w:u w:val="single" w:color="auto"/>
          <w:color w:val="auto"/>
        </w:rPr>
        <w:t>Uncertificated ADS(s)</w:t>
      </w:r>
      <w:r>
        <w:rPr>
          <w:rFonts w:ascii="Arial" w:cs="Arial" w:eastAsia="Arial" w:hAnsi="Arial"/>
          <w:sz w:val="16"/>
          <w:szCs w:val="16"/>
          <w:color w:val="auto"/>
        </w:rPr>
        <w:t>” and the ADS(s) evidenced by ADR(s), the “</w:t>
      </w:r>
      <w:r>
        <w:rPr>
          <w:rFonts w:ascii="Arial" w:cs="Arial" w:eastAsia="Arial" w:hAnsi="Arial"/>
          <w:sz w:val="16"/>
          <w:szCs w:val="16"/>
          <w:u w:val="single" w:color="auto"/>
          <w:color w:val="auto"/>
        </w:rPr>
        <w:t>Certificated ADS(s)</w:t>
      </w:r>
      <w:r>
        <w:rPr>
          <w:rFonts w:ascii="Arial" w:cs="Arial" w:eastAsia="Arial" w:hAnsi="Arial"/>
          <w:sz w:val="16"/>
          <w:szCs w:val="16"/>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5" w:lineRule="exact"/>
        <w:rPr>
          <w:sz w:val="20"/>
          <w:szCs w:val="20"/>
          <w:color w:val="auto"/>
        </w:rPr>
      </w:pPr>
    </w:p>
    <w:p>
      <w:pPr>
        <w:jc w:val="both"/>
        <w:ind w:firstLine="8"/>
        <w:spacing w:after="0" w:line="281" w:lineRule="auto"/>
        <w:tabs>
          <w:tab w:leader="none" w:pos="2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w:t>
      </w:r>
    </w:p>
    <w:p>
      <w:pPr>
        <w:spacing w:after="0" w:line="4" w:lineRule="exact"/>
        <w:rPr>
          <w:rFonts w:ascii="Arial" w:cs="Arial" w:eastAsia="Arial" w:hAnsi="Arial"/>
          <w:sz w:val="16"/>
          <w:szCs w:val="16"/>
          <w:color w:val="auto"/>
        </w:rPr>
      </w:pPr>
    </w:p>
    <w:p>
      <w:pPr>
        <w:jc w:val="both"/>
        <w:ind w:firstLine="8"/>
        <w:spacing w:after="0" w:line="283" w:lineRule="auto"/>
        <w:tabs>
          <w:tab w:leader="none" w:pos="291"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2" w:name="page33"/>
    <w:bookmarkEnd w:id="32"/>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 The Company shall assist the Depositary in the establishment of such procedures and agrees that it shall take all steps necessary and reasonably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30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3" w:name="page34"/>
    <w:bookmarkEnd w:id="33"/>
    <w:p>
      <w:pPr>
        <w:ind w:left="1300"/>
        <w:spacing w:after="0"/>
        <w:rPr>
          <w:sz w:val="20"/>
          <w:szCs w:val="20"/>
          <w:color w:val="auto"/>
        </w:rPr>
      </w:pPr>
      <w:r>
        <w:rPr>
          <w:rFonts w:ascii="Arial" w:cs="Arial" w:eastAsia="Arial" w:hAnsi="Arial"/>
          <w:sz w:val="16"/>
          <w:szCs w:val="16"/>
          <w:color w:val="auto"/>
        </w:rPr>
        <w:t>If the Restricted ADRs, the Restricted ADSs and the Restricted Shares cease to be Restricted Securities, the Depositary, upon receipt of</w:t>
      </w:r>
    </w:p>
    <w:p>
      <w:pPr>
        <w:spacing w:after="0" w:line="46" w:lineRule="exact"/>
        <w:rPr>
          <w:sz w:val="20"/>
          <w:szCs w:val="20"/>
          <w:color w:val="auto"/>
        </w:rPr>
      </w:pPr>
    </w:p>
    <w:p>
      <w:pPr>
        <w:jc w:val="both"/>
        <w:ind w:firstLine="8"/>
        <w:spacing w:after="0" w:line="284" w:lineRule="auto"/>
        <w:tabs>
          <w:tab w:leader="none" w:pos="289"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an opinion of counsel reasonably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that the Restricted ADRs, the Restricted ADSs and the Restricted Shares are not as of such time, or in connection with a transaction, Restricted Securities, (y) instructions from the Company and/or the applicable ADS Holder to remove the restrictions applicable to the Restricted ADRs, the Restricted ADSs and the Restricted Shares, and (z) payment of applicable taxes and the ADS fees and charges of the Depositary (as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for each of the issuance, cancellation, transfer and conversion processes undertaken in connection with the removal of the restrictions applicable to the Restricted ADRs, Restricted ADSs and/or Restricted Shares (as the case may be), shall (i) eliminate the distinctions and separations that may have been established between the applicable Restricted Shares held on deposit under this Section 2.14 and the other Shares held on deposit under the terms of the Deposit Agreement that are not Restricted Shares by converting the Restricted ADSs into freely transferable ADSs (which shall entail, inter alia, the cancellation of the Restricted ADSs and the issuance of the corresponding freely transferable ADSs, and instructing the Custodian to transfer the corresponding Shares from and into the applicable custody accounts maintained for the applicable ADS series),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w:t>
      </w:r>
      <w:r>
        <w:rPr>
          <w:rFonts w:ascii="Arial" w:cs="Arial" w:eastAsia="Arial" w:hAnsi="Arial"/>
          <w:sz w:val="17"/>
          <w:szCs w:val="17"/>
          <w:b w:val="1"/>
          <w:bCs w:val="1"/>
          <w:color w:val="auto"/>
        </w:rPr>
        <w:t xml:space="preserve"> </w:t>
      </w:r>
      <w:r>
        <w:rPr>
          <w:rFonts w:ascii="Arial" w:cs="Arial" w:eastAsia="Arial" w:hAnsi="Arial"/>
          <w:sz w:val="17"/>
          <w:szCs w:val="17"/>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5" w:name="page36"/>
    <w:bookmarkEnd w:id="35"/>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6" w:name="page37"/>
    <w:bookmarkEnd w:id="36"/>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color w:val="auto"/>
        </w:rPr>
        <w:t>. Notwithstanding any other provision of the Deposit Agreement or any ADR(s),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person(s) interested in such ADSs and the nature of such interest and various other matters, whether or not they are Holders and/or Beneficial Owners at the time of such request. The Depositary shall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the Deposit Agreement or any ADR(s)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07"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 xml:space="preserve"> </w:t>
      </w:r>
      <w:r>
        <w:rPr>
          <w:rFonts w:ascii="Arial" w:cs="Arial" w:eastAsia="Arial" w:hAnsi="Arial"/>
          <w:sz w:val="16"/>
          <w:szCs w:val="16"/>
          <w:color w:val="auto"/>
        </w:rPr>
        <w:t>Whenever the Company intends to make a distribution of a cash dividend or other cash distribution in</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 xml:space="preserve">respect of any Deposited Securities, the Company shall give notice thereof to the Depositary at least twenty (20)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on any Deposited Property (whether from the Company or otherwise), or (y) proceeds from the sale of any Deposited Property held in respect of the ADSs under the terms hereof, the Depositary will (i) if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shall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8" w:name="page39"/>
    <w:bookmarkEnd w:id="38"/>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distribution of, Shares, the Company shall give notice thereof to the Depositary at least twenty (20) days prior to the proposed distribution, specifying,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alia</w:t>
      </w:r>
      <w:r>
        <w:rPr>
          <w:rFonts w:ascii="Arial" w:cs="Arial" w:eastAsia="Arial" w:hAnsi="Arial"/>
          <w:sz w:val="16"/>
          <w:szCs w:val="16"/>
          <w:color w:val="auto"/>
        </w:rPr>
        <w:t>, the record date applicable to holders of Deposited Securities entitled to receive such distribution. Upon the timely receipt of such notice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obligations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shall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the Depositary and the Company may agree in writing at such time)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reasonably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the Cayman Islands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shall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9" w:name="page40"/>
    <w:bookmarkEnd w:id="3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5" w:lineRule="exact"/>
        <w:rPr>
          <w:sz w:val="20"/>
          <w:szCs w:val="20"/>
          <w:color w:val="auto"/>
        </w:rPr>
      </w:pPr>
    </w:p>
    <w:p>
      <w:pPr>
        <w:jc w:val="both"/>
        <w:ind w:firstLine="656"/>
        <w:spacing w:after="0" w:line="286" w:lineRule="auto"/>
        <w:tabs>
          <w:tab w:leader="none" w:pos="992"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additional Shares, the Company shall give notice thereof to the Depositary at least sixty (60) days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reasonably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0" w:name="page41"/>
    <w:bookmarkEnd w:id="40"/>
    <w:p>
      <w:pPr>
        <w:jc w:val="both"/>
        <w:ind w:firstLine="656"/>
        <w:spacing w:after="0" w:line="273" w:lineRule="auto"/>
        <w:tabs>
          <w:tab w:leader="none" w:pos="971"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1" w:lineRule="exact"/>
        <w:rPr>
          <w:rFonts w:ascii="Arial" w:cs="Arial" w:eastAsia="Arial" w:hAnsi="Arial"/>
          <w:sz w:val="17"/>
          <w:szCs w:val="17"/>
          <w:b w:val="1"/>
          <w:bCs w:val="1"/>
          <w:color w:val="auto"/>
        </w:rPr>
      </w:pPr>
    </w:p>
    <w:p>
      <w:pPr>
        <w:ind w:firstLine="656"/>
        <w:spacing w:after="0" w:line="282" w:lineRule="auto"/>
        <w:tabs>
          <w:tab w:leader="none" w:pos="996"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Lapse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If the Depositary is unable to make any rights available to Holders upon the terms described in Section 4.4(a) or to arrange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sale of the rights upon the terms described in Section 4.4(b), the Depositary shall allow such rights to lapse.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1" w:name="page42"/>
    <w:bookmarkEnd w:id="41"/>
    <w:p>
      <w:pPr>
        <w:jc w:val="both"/>
        <w:ind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firstLine="656"/>
        <w:spacing w:after="0" w:line="254" w:lineRule="auto"/>
        <w:tabs>
          <w:tab w:leader="none" w:pos="1033"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94" w:lineRule="exact"/>
        <w:rPr>
          <w:rFonts w:ascii="Arial" w:cs="Arial" w:eastAsia="Arial" w:hAnsi="Arial"/>
          <w:sz w:val="18"/>
          <w:szCs w:val="18"/>
          <w:b w:val="1"/>
          <w:bCs w:val="1"/>
          <w:color w:val="auto"/>
        </w:rPr>
      </w:pPr>
    </w:p>
    <w:p>
      <w:pPr>
        <w:jc w:val="both"/>
        <w:ind w:firstLine="656"/>
        <w:spacing w:after="0" w:line="254" w:lineRule="auto"/>
        <w:tabs>
          <w:tab w:leader="none" w:pos="971"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4" w:lineRule="exact"/>
        <w:rPr>
          <w:rFonts w:ascii="Arial" w:cs="Arial" w:eastAsia="Arial" w:hAnsi="Arial"/>
          <w:sz w:val="18"/>
          <w:szCs w:val="18"/>
          <w:b w:val="1"/>
          <w:bCs w:val="1"/>
          <w:color w:val="auto"/>
        </w:rPr>
      </w:pPr>
    </w:p>
    <w:p>
      <w:pPr>
        <w:jc w:val="both"/>
        <w:ind w:firstLine="656"/>
        <w:spacing w:after="0" w:line="286" w:lineRule="auto"/>
        <w:tabs>
          <w:tab w:leader="none" w:pos="1063" w:val="left"/>
        </w:tabs>
        <w:numPr>
          <w:ilvl w:val="1"/>
          <w:numId w:val="19"/>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1" w:lineRule="exact"/>
        <w:rPr>
          <w:rFonts w:ascii="Arial" w:cs="Arial" w:eastAsia="Arial" w:hAnsi="Arial"/>
          <w:sz w:val="16"/>
          <w:szCs w:val="16"/>
          <w:b w:val="1"/>
          <w:bCs w:val="1"/>
          <w:color w:val="auto"/>
        </w:rPr>
      </w:pPr>
    </w:p>
    <w:p>
      <w:pPr>
        <w:jc w:val="both"/>
        <w:ind w:firstLine="8"/>
        <w:spacing w:after="0" w:line="277" w:lineRule="auto"/>
        <w:tabs>
          <w:tab w:leader="none" w:pos="298"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2" w:name="page43"/>
    <w:bookmarkEnd w:id="42"/>
    <w:p>
      <w:pPr>
        <w:jc w:val="both"/>
        <w:ind w:firstLine="656"/>
        <w:spacing w:after="0" w:line="263" w:lineRule="auto"/>
        <w:tabs>
          <w:tab w:leader="none" w:pos="971"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sixty (60) days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shall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3" w:name="page44"/>
    <w:bookmarkEnd w:id="43"/>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the Cayman Islands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4" w:name="page45"/>
    <w:bookmarkEnd w:id="44"/>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5" w:name="page46"/>
    <w:bookmarkEnd w:id="45"/>
    <w:p>
      <w:pPr>
        <w:jc w:val="both"/>
        <w:ind w:firstLine="648"/>
        <w:spacing w:after="0" w:line="268" w:lineRule="auto"/>
        <w:rPr>
          <w:sz w:val="20"/>
          <w:szCs w:val="20"/>
          <w:color w:val="auto"/>
        </w:rPr>
      </w:pPr>
      <w:r>
        <w:rPr>
          <w:rFonts w:ascii="Arial" w:cs="Arial" w:eastAsia="Arial" w:hAnsi="Arial"/>
          <w:sz w:val="17"/>
          <w:szCs w:val="17"/>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w:t>
      </w: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xml:space="preserve">, the Depositary will instruct the Custodian to vote all Deposited Securities in accordance with the voting instructions received timely from a majority of Holders of ADSs who provided voting instructions, and (b) </w:t>
      </w:r>
      <w:r>
        <w:rPr>
          <w:rFonts w:ascii="Arial" w:cs="Arial" w:eastAsia="Arial" w:hAnsi="Arial"/>
          <w:sz w:val="17"/>
          <w:szCs w:val="17"/>
          <w:i w:val="1"/>
          <w:iCs w:val="1"/>
          <w:color w:val="auto"/>
        </w:rPr>
        <w:t>in the event voting takes place at a shareholders’ meeting by poll</w:t>
      </w:r>
      <w:r>
        <w:rPr>
          <w:rFonts w:ascii="Arial" w:cs="Arial" w:eastAsia="Arial" w:hAnsi="Arial"/>
          <w:sz w:val="17"/>
          <w:szCs w:val="17"/>
          <w:color w:val="auto"/>
        </w:rPr>
        <w:t xml:space="preserve"> ,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this Section 4.10).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6" w:name="page47"/>
    <w:bookmarkEnd w:id="46"/>
    <w:p>
      <w:pPr>
        <w:jc w:val="both"/>
        <w:ind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sz w:val="20"/>
          <w:szCs w:val="20"/>
          <w:color w:val="auto"/>
        </w:rPr>
      </w:pPr>
    </w:p>
    <w:p>
      <w:pPr>
        <w:jc w:val="both"/>
        <w:ind w:firstLine="8"/>
        <w:spacing w:after="0" w:line="267"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reasonably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7" w:name="page48"/>
    <w:bookmarkEnd w:id="47"/>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u w:val="single" w:color="auto"/>
          <w:color w:val="auto"/>
        </w:rPr>
        <w:t>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available for inspection by Holders at its Principal Office any reports and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addresses and holdings of ADSs of all Holders.</w:t>
      </w:r>
    </w:p>
    <w:p>
      <w:pPr>
        <w:spacing w:after="0" w:line="1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8" w:name="page49"/>
    <w:bookmarkEnd w:id="48"/>
    <w:p>
      <w:pPr>
        <w:jc w:val="both"/>
        <w:ind w:firstLine="648"/>
        <w:spacing w:after="0" w:line="270"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1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9" w:name="page50"/>
    <w:bookmarkEnd w:id="49"/>
    <w:p>
      <w:pPr>
        <w:jc w:val="both"/>
        <w:ind w:firstLine="648"/>
        <w:spacing w:after="0" w:line="257" w:lineRule="auto"/>
        <w:rPr>
          <w:sz w:val="20"/>
          <w:szCs w:val="20"/>
          <w:color w:val="auto"/>
        </w:rPr>
      </w:pPr>
      <w:r>
        <w:rPr>
          <w:rFonts w:ascii="Arial" w:cs="Arial" w:eastAsia="Arial" w:hAnsi="Arial"/>
          <w:sz w:val="18"/>
          <w:szCs w:val="18"/>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The Depositary shall notify the Company of any such removal or appointment as commercially practicable.</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w:t>
      </w:r>
    </w:p>
    <w:p>
      <w:pPr>
        <w:spacing w:after="0" w:line="1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0" w:name="page51"/>
    <w:bookmarkEnd w:id="5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w:t>
      </w:r>
      <w:r>
        <w:rPr>
          <w:rFonts w:ascii="Arial" w:cs="Arial" w:eastAsia="Arial" w:hAnsi="Arial"/>
          <w:sz w:val="17"/>
          <w:szCs w:val="17"/>
          <w:b w:val="1"/>
          <w:bCs w:val="1"/>
          <w:color w:val="auto"/>
        </w:rPr>
        <w:t xml:space="preserve"> </w:t>
      </w:r>
      <w:r>
        <w:rPr>
          <w:rFonts w:ascii="Arial" w:cs="Arial" w:eastAsia="Arial" w:hAnsi="Arial"/>
          <w:sz w:val="17"/>
          <w:szCs w:val="17"/>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90th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 Hong Kong as Custodian for the purpose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authorized to act as custodian in the Cayman Islands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2" w:name="page53"/>
    <w:bookmarkEnd w:id="52"/>
    <w:p>
      <w:pPr>
        <w:jc w:val="both"/>
        <w:ind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that may be relevant or pertain to such notice of meeting or be the subject of a vote thereat.</w:t>
      </w:r>
    </w:p>
    <w:p>
      <w:pPr>
        <w:spacing w:after="0" w:line="19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 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3" w:name="page54"/>
    <w:bookmarkEnd w:id="53"/>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w:t>
      </w:r>
    </w:p>
    <w:p>
      <w:pPr>
        <w:spacing w:after="0" w:line="1" w:lineRule="exact"/>
        <w:rPr>
          <w:sz w:val="20"/>
          <w:szCs w:val="20"/>
          <w:color w:val="auto"/>
        </w:rPr>
      </w:pPr>
    </w:p>
    <w:p>
      <w:pPr>
        <w:jc w:val="both"/>
        <w:ind w:firstLine="8"/>
        <w:spacing w:after="0" w:line="267" w:lineRule="auto"/>
        <w:tabs>
          <w:tab w:leader="none" w:pos="258"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requires a registration statement under the Securities Act to be in effect or (2) is exempt from the registration requirements of the Securities Act and (b) an opinion of Cayman Islands counsel stating that (1) making the transaction available to Holders and Beneficial Owners does not violate the laws or regulations of the Cayman Islands and (2) all requisite regulatory consents and approvals have been obtained in the Cayman Islands.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18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and/or the Custodian (for as long as the Custodian is a branch of Citibank) under the terms hereof due to the negligence or bad faith of the Depositary and/or the Custodian (for as long as the Custodian is a branch of Citibank).</w:t>
      </w:r>
    </w:p>
    <w:p>
      <w:pPr>
        <w:spacing w:after="0" w:line="2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4" w:name="page55"/>
    <w:bookmarkEnd w:id="54"/>
    <w:p>
      <w:pPr>
        <w:jc w:val="both"/>
        <w:ind w:firstLine="648"/>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the Custodian or any of their respective directors, officers, employees, agents or Affiliates against any liability or expense arising out of information relating to the Depositary or such Custodian , as the case may be, furnished in writing by the Depositary to the Company, executed by the Depositary or such Custodian expressly for use in any registration statement, proxy statement, prospectus, preliminary prospectus or any other offering documents relating to any Deposited Securities represented by the ADSs.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set forth in this Section shall survive the termination of the Deposit Agreement and the succession or substitution of any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Deposited Securities in connection with the issuance and cancellation of ADSs, and persons receiving ADSs upon issuance or whose ADSs are being cancelled shall be required to pay the Depositary’s fees and related charges (some of which may be cumulative)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5" w:name="page56"/>
    <w:bookmarkEnd w:id="55"/>
    <w:p>
      <w:pPr>
        <w:jc w:val="both"/>
        <w:ind w:firstLine="1296"/>
        <w:spacing w:after="0" w:line="267"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(which may entail the cancellation, issuance and transfer of ADSs and the conversion of ADSs from one series to another series), the applicable ADS issuance, cancellation, transfer and conversion fees will be payable by the Holder whose ADSs are converted or by the person to whom the converted ADSs are delivered.</w:t>
      </w:r>
    </w:p>
    <w:p>
      <w:pPr>
        <w:spacing w:after="0" w:line="19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6" w:name="page57"/>
    <w:bookmarkEnd w:id="56"/>
    <w:p>
      <w:pPr>
        <w:jc w:val="both"/>
        <w:ind w:firstLine="1296"/>
        <w:spacing w:after="0" w:line="263" w:lineRule="auto"/>
        <w:rPr>
          <w:sz w:val="20"/>
          <w:szCs w:val="20"/>
          <w:color w:val="auto"/>
        </w:rPr>
      </w:pPr>
      <w:r>
        <w:rPr>
          <w:rFonts w:ascii="Arial" w:cs="Arial" w:eastAsia="Arial" w:hAnsi="Arial"/>
          <w:sz w:val="18"/>
          <w:szCs w:val="18"/>
          <w:color w:val="auto"/>
        </w:rPr>
        <w:t>The obligations of Holders and Beneficial Owners to pay ADS fees and charges shall survive the termination of the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0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Amendment/Supplement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Section 6.1 and applicable law, the ADRs outstanding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each such case, the notice given to the Holders identifies a means for Holders and Beneficial Owners to retrieve or receive the text of such amendment (</w:t>
      </w:r>
      <w:r>
        <w:rPr>
          <w:rFonts w:ascii="Arial" w:cs="Arial" w:eastAsia="Arial" w:hAnsi="Arial"/>
          <w:sz w:val="17"/>
          <w:szCs w:val="17"/>
          <w:i w:val="1"/>
          <w:iCs w:val="1"/>
          <w:color w:val="auto"/>
        </w:rPr>
        <w:t>e.g.</w:t>
      </w:r>
      <w:r>
        <w:rPr>
          <w:rFonts w:ascii="Arial" w:cs="Arial" w:eastAsia="Arial" w:hAnsi="Arial"/>
          <w:sz w:val="17"/>
          <w:szCs w:val="17"/>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7" w:name="page58"/>
    <w:bookmarkEnd w:id="57"/>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sz w:val="20"/>
          <w:szCs w:val="20"/>
          <w:color w:val="auto"/>
        </w:rPr>
      </w:pPr>
    </w:p>
    <w:p>
      <w:pPr>
        <w:jc w:val="both"/>
        <w:ind w:firstLine="8"/>
        <w:spacing w:after="0" w:line="252" w:lineRule="auto"/>
        <w:tabs>
          <w:tab w:leader="none" w:pos="2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9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8" w:name="page59"/>
    <w:bookmarkEnd w:id="58"/>
    <w:p>
      <w:pPr>
        <w:jc w:val="both"/>
        <w:ind w:firstLine="648"/>
        <w:spacing w:after="0" w:line="254" w:lineRule="auto"/>
        <w:rPr>
          <w:sz w:val="20"/>
          <w:szCs w:val="20"/>
          <w:color w:val="auto"/>
        </w:rPr>
      </w:pPr>
      <w:r>
        <w:rPr>
          <w:rFonts w:ascii="Arial" w:cs="Arial" w:eastAsia="Arial" w:hAnsi="Arial"/>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the ADS fees and charges of, and reimbursement of the applicable expenses incurred by, the Depositary.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9" w:name="page60"/>
    <w:bookmarkEnd w:id="59"/>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mail, air courier or cable, telex or facsimile transmission, confirmed by letter personally delivered or sent by mail or air courier, addressed to Suntec Tower 3, 8 Temasek Boulevard Road, #24-03, Singapore, 038988, </w:t>
      </w:r>
      <w:r>
        <w:rPr>
          <w:rFonts w:ascii="Arial" w:cs="Arial" w:eastAsia="Arial" w:hAnsi="Arial"/>
          <w:sz w:val="18"/>
          <w:szCs w:val="18"/>
          <w:u w:val="single" w:color="auto"/>
          <w:color w:val="auto"/>
        </w:rPr>
        <w:t>Attention</w:t>
      </w:r>
      <w:r>
        <w:rPr>
          <w:rFonts w:ascii="Arial" w:cs="Arial" w:eastAsia="Arial" w:hAnsi="Arial"/>
          <w:sz w:val="18"/>
          <w:szCs w:val="18"/>
          <w:color w:val="auto"/>
        </w:rPr>
        <w:t>: Chief Executive Officer, or to any other address which the Company may specify in writing to the Depositary.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0" w:name="page61"/>
    <w:bookmarkEnd w:id="60"/>
    <w:p>
      <w:pPr>
        <w:jc w:val="both"/>
        <w:ind w:firstLine="648"/>
        <w:spacing w:after="0" w:line="275"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the ADRs and the ADSs shall be interpreted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(including claims arising under the Exchange Act or the Securities Act), and, for such purposes, each irrevocably submits to the non-exclusive jurisdiction of such courts.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Holders and Beneficial Owners understand, and by holding an American Depositary Share or an interest therein such Holders and Beneficial Owners each irrevocably agrees, that any legal suit, action or proceeding against or involving the Company or the Depositary, regardless of whether such legal suit, action or proceeding also involves parties other than the Company or the Depositary (including, but not limited to, any underwriters retained by the Company), arising out of or relating in any way to this Deposit Agreement, the American Depositary Shares or Receipts, or the transactions contemplated hereby or thereby or by virtue of ownership thereof, including without limitation claims under the Exchange Act or the Securities Act, may only be instituted in the United States District Court for the Southern District of New York (or, if the Southern District of New York lacks subject matter jurisdiction over a particular dispute, in the state courts of New York County,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jc w:val="both"/>
        <w:ind w:firstLine="648"/>
        <w:spacing w:after="0" w:line="269" w:lineRule="auto"/>
        <w:rPr>
          <w:sz w:val="20"/>
          <w:szCs w:val="20"/>
          <w:color w:val="auto"/>
        </w:rPr>
      </w:pPr>
      <w:r>
        <w:rPr>
          <w:rFonts w:ascii="Arial" w:cs="Arial" w:eastAsia="Arial" w:hAnsi="Arial"/>
          <w:sz w:val="17"/>
          <w:szCs w:val="17"/>
          <w:color w:val="auto"/>
        </w:rPr>
        <w:t>The Company hereby irrevocably designates, appoints and empowers Cogency Global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122 East 42nd Street, 18th Floor, New York, NY 10168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jc w:val="both"/>
        <w:ind w:firstLine="8"/>
        <w:spacing w:after="0" w:line="290" w:lineRule="auto"/>
        <w:tabs>
          <w:tab w:leader="none" w:pos="2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2" w:name="page63"/>
    <w:bookmarkEnd w:id="62"/>
    <w:p>
      <w:pPr>
        <w:jc w:val="both"/>
        <w:ind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3" w:lineRule="auto"/>
        <w:tabs>
          <w:tab w:leader="none" w:pos="992"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b w:val="1"/>
          <w:bCs w:val="1"/>
          <w:color w:val="auto"/>
        </w:rPr>
      </w:pPr>
    </w:p>
    <w:p>
      <w:pPr>
        <w:jc w:val="both"/>
        <w:ind w:firstLine="656"/>
        <w:spacing w:after="0" w:line="263" w:lineRule="auto"/>
        <w:tabs>
          <w:tab w:leader="none" w:pos="958"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Cayman Islands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the laws and regulations of the Cayman Islands and of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Articles of Association may change after the date of the Deposit Agreement. Neither the Depositary nor the Company has any obligation under the terms of the Deposit Agreement to update any such summaries.</w:t>
      </w: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3" w:name="page64"/>
    <w:bookmarkEnd w:id="63"/>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71" w:lineRule="auto"/>
        <w:tabs>
          <w:tab w:leader="none" w:pos="1019"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the Deposit Agreement to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173" w:lineRule="exact"/>
        <w:rPr>
          <w:rFonts w:ascii="Arial" w:cs="Arial" w:eastAsia="Arial" w:hAnsi="Arial"/>
          <w:sz w:val="17"/>
          <w:szCs w:val="17"/>
          <w:b w:val="1"/>
          <w:bCs w:val="1"/>
          <w:color w:val="auto"/>
        </w:rPr>
      </w:pPr>
    </w:p>
    <w:p>
      <w:pPr>
        <w:jc w:val="both"/>
        <w:ind w:firstLine="656"/>
        <w:spacing w:after="0" w:line="254" w:lineRule="auto"/>
        <w:tabs>
          <w:tab w:leader="none" w:pos="98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in any ADR(s) to paragraphs, exhibits, articles, sections, subsections, and other subdivisions refer to the paragraphs,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on following page]</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4" w:name="page65"/>
    <w:bookmarkEnd w:id="64"/>
    <w:p>
      <w:pPr>
        <w:jc w:val="both"/>
        <w:ind w:firstLine="648"/>
        <w:spacing w:after="0" w:line="263" w:lineRule="auto"/>
        <w:rPr>
          <w:sz w:val="20"/>
          <w:szCs w:val="20"/>
          <w:color w:val="auto"/>
        </w:rPr>
      </w:pPr>
      <w:r>
        <w:rPr>
          <w:rFonts w:ascii="Arial" w:cs="Arial" w:eastAsia="Arial" w:hAnsi="Arial"/>
          <w:sz w:val="18"/>
          <w:szCs w:val="18"/>
          <w:color w:val="auto"/>
        </w:rPr>
        <w:t>IN WITNESS WHEREOF, TRIDENT DIGITAL TECH HOLDINGS LTD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0"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TRIDENT DIGITAL TECH HOLDINGS LTD</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518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8780" w:type="dxa"/>
            <w:vAlign w:val="bottom"/>
          </w:tcPr>
          <w:p>
            <w:pPr>
              <w:jc w:val="center"/>
              <w:ind w:right="235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b w:val="1"/>
                <w:bCs w:val="1"/>
                <w:color w:val="auto"/>
              </w:rPr>
              <w:t>[FORM OF ADR]</w:t>
            </w: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0"/>
                <w:szCs w:val="20"/>
                <w:color w:val="auto"/>
              </w:rPr>
            </w:pPr>
            <w:r>
              <w:rPr>
                <w:rFonts w:ascii="Arial" w:cs="Arial" w:eastAsia="Arial" w:hAnsi="Arial"/>
                <w:sz w:val="18"/>
                <w:szCs w:val="18"/>
                <w:color w:val="auto"/>
              </w:rPr>
              <w:t>Number</w:t>
            </w:r>
          </w:p>
        </w:tc>
        <w:tc>
          <w:tcPr>
            <w:tcW w:w="8780" w:type="dxa"/>
            <w:vAlign w:val="bottom"/>
          </w:tcPr>
          <w:p>
            <w:pPr>
              <w:ind w:left="6680"/>
              <w:spacing w:after="0"/>
              <w:rPr>
                <w:sz w:val="20"/>
                <w:szCs w:val="20"/>
                <w:color w:val="auto"/>
              </w:rPr>
            </w:pPr>
            <w:r>
              <w:rPr>
                <w:rFonts w:ascii="Arial" w:cs="Arial" w:eastAsia="Arial" w:hAnsi="Arial"/>
                <w:sz w:val="18"/>
                <w:szCs w:val="18"/>
                <w:color w:val="auto"/>
                <w:w w:val="95"/>
              </w:rPr>
              <w:t>CUSIP NUMBER: _______</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r>
              <w:rPr>
                <w:rFonts w:ascii="Arial" w:cs="Arial" w:eastAsia="Arial" w:hAnsi="Arial"/>
                <w:sz w:val="18"/>
                <w:szCs w:val="18"/>
                <w:color w:val="auto"/>
              </w:rPr>
              <w:t>_____________</w:t>
            </w:r>
          </w:p>
        </w:tc>
        <w:tc>
          <w:tcPr>
            <w:tcW w:w="8780" w:type="dxa"/>
            <w:vAlign w:val="bottom"/>
            <w:vMerge w:val="restart"/>
          </w:tcPr>
          <w:p>
            <w:pPr>
              <w:ind w:left="4860"/>
              <w:spacing w:after="0"/>
              <w:rPr>
                <w:sz w:val="20"/>
                <w:szCs w:val="20"/>
                <w:color w:val="auto"/>
              </w:rPr>
            </w:pPr>
            <w:r>
              <w:rPr>
                <w:rFonts w:ascii="Arial" w:cs="Arial" w:eastAsia="Arial" w:hAnsi="Arial"/>
                <w:sz w:val="18"/>
                <w:szCs w:val="18"/>
                <w:color w:val="auto"/>
              </w:rPr>
              <w:t>American Depositary Shares (each American</w:t>
            </w: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8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780" w:type="dxa"/>
            <w:vAlign w:val="bottom"/>
          </w:tcPr>
          <w:p>
            <w:pPr>
              <w:ind w:left="4860"/>
              <w:spacing w:after="0"/>
              <w:rPr>
                <w:sz w:val="20"/>
                <w:szCs w:val="20"/>
                <w:color w:val="auto"/>
              </w:rPr>
            </w:pPr>
            <w:r>
              <w:rPr>
                <w:rFonts w:ascii="Arial" w:cs="Arial" w:eastAsia="Arial" w:hAnsi="Arial"/>
                <w:sz w:val="18"/>
                <w:szCs w:val="18"/>
                <w:color w:val="auto"/>
                <w:w w:val="91"/>
              </w:rPr>
              <w:t>Depositary Share representing the right to receive ten</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8780" w:type="dxa"/>
            <w:vAlign w:val="bottom"/>
          </w:tcPr>
          <w:p>
            <w:pPr>
              <w:ind w:left="4860"/>
              <w:spacing w:after="0"/>
              <w:rPr>
                <w:sz w:val="20"/>
                <w:szCs w:val="20"/>
                <w:color w:val="auto"/>
              </w:rPr>
            </w:pPr>
            <w:r>
              <w:rPr>
                <w:rFonts w:ascii="Arial" w:cs="Arial" w:eastAsia="Arial" w:hAnsi="Arial"/>
                <w:sz w:val="18"/>
                <w:szCs w:val="18"/>
                <w:color w:val="auto"/>
              </w:rPr>
              <w:t>(10) fully paid Class B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color w:val="auto"/>
                <w:w w:val="96"/>
              </w:rPr>
              <w:t>AMERICAN DEPOSITARY RECEIPT</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color w:val="auto"/>
                <w:w w:val="94"/>
              </w:rPr>
              <w:t>for</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color w:val="auto"/>
                <w:w w:val="96"/>
              </w:rPr>
              <w:t>AMERICAN DEPOSITARY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color w:val="auto"/>
                <w:w w:val="87"/>
              </w:rPr>
              <w:t>representing</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50"/>
              <w:spacing w:after="0"/>
              <w:rPr>
                <w:sz w:val="20"/>
                <w:szCs w:val="20"/>
                <w:color w:val="auto"/>
              </w:rPr>
            </w:pPr>
            <w:r>
              <w:rPr>
                <w:rFonts w:ascii="Arial" w:cs="Arial" w:eastAsia="Arial" w:hAnsi="Arial"/>
                <w:sz w:val="18"/>
                <w:szCs w:val="18"/>
                <w:color w:val="auto"/>
                <w:w w:val="95"/>
              </w:rPr>
              <w:t>DEPOSITED ORDINARY SHARES</w:t>
            </w:r>
          </w:p>
        </w:tc>
        <w:tc>
          <w:tcPr>
            <w:tcW w:w="0" w:type="dxa"/>
            <w:vAlign w:val="bottom"/>
          </w:tcPr>
          <w:p>
            <w:pPr>
              <w:spacing w:after="0"/>
              <w:rPr>
                <w:sz w:val="1"/>
                <w:szCs w:val="1"/>
                <w:color w:val="auto"/>
              </w:rPr>
            </w:pPr>
          </w:p>
        </w:tc>
      </w:tr>
      <w:tr>
        <w:trPr>
          <w:trHeight w:val="432"/>
        </w:trPr>
        <w:tc>
          <w:tcPr>
            <w:tcW w:w="2460" w:type="dxa"/>
            <w:vAlign w:val="bottom"/>
          </w:tcPr>
          <w:p>
            <w:pPr>
              <w:spacing w:after="0"/>
              <w:rPr>
                <w:sz w:val="24"/>
                <w:szCs w:val="24"/>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418"/>
        </w:trPr>
        <w:tc>
          <w:tcPr>
            <w:tcW w:w="2460" w:type="dxa"/>
            <w:vAlign w:val="bottom"/>
          </w:tcPr>
          <w:p>
            <w:pPr>
              <w:spacing w:after="0"/>
              <w:rPr>
                <w:sz w:val="24"/>
                <w:szCs w:val="24"/>
                <w:color w:val="auto"/>
              </w:rPr>
            </w:pPr>
          </w:p>
        </w:tc>
        <w:tc>
          <w:tcPr>
            <w:tcW w:w="8780" w:type="dxa"/>
            <w:vAlign w:val="bottom"/>
          </w:tcPr>
          <w:p>
            <w:pPr>
              <w:jc w:val="center"/>
              <w:ind w:right="2430"/>
              <w:spacing w:after="0"/>
              <w:rPr>
                <w:sz w:val="20"/>
                <w:szCs w:val="20"/>
                <w:color w:val="auto"/>
              </w:rPr>
            </w:pPr>
            <w:r>
              <w:rPr>
                <w:rFonts w:ascii="Arial" w:cs="Arial" w:eastAsia="Arial" w:hAnsi="Arial"/>
                <w:sz w:val="18"/>
                <w:szCs w:val="18"/>
                <w:color w:val="auto"/>
                <w:w w:val="97"/>
              </w:rPr>
              <w:t>TRIDENT DIGITAL TECH HOLDINGS LTD</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8780" w:type="dxa"/>
            <w:vAlign w:val="bottom"/>
          </w:tcPr>
          <w:p>
            <w:pPr>
              <w:jc w:val="center"/>
              <w:ind w:right="2370"/>
              <w:spacing w:after="0"/>
              <w:rPr>
                <w:sz w:val="20"/>
                <w:szCs w:val="20"/>
                <w:color w:val="auto"/>
              </w:rPr>
            </w:pPr>
            <w:r>
              <w:rPr>
                <w:rFonts w:ascii="Arial" w:cs="Arial" w:eastAsia="Arial" w:hAnsi="Arial"/>
                <w:sz w:val="18"/>
                <w:szCs w:val="18"/>
                <w:color w:val="auto"/>
                <w:w w:val="90"/>
              </w:rPr>
              <w:t>(Incorporated under the laws of the Cayman Islands)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 is the owner of ______________ American Depositary Shares (hereinafter “ADS”) representing</w:t>
      </w:r>
    </w:p>
    <w:p>
      <w:pPr>
        <w:ind w:right="40"/>
        <w:spacing w:after="0" w:line="252" w:lineRule="auto"/>
        <w:rPr>
          <w:sz w:val="20"/>
          <w:szCs w:val="20"/>
          <w:color w:val="auto"/>
        </w:rPr>
      </w:pPr>
      <w:r>
        <w:rPr>
          <w:rFonts w:ascii="Arial" w:cs="Arial" w:eastAsia="Arial" w:hAnsi="Arial"/>
          <w:sz w:val="18"/>
          <w:szCs w:val="18"/>
          <w:color w:val="auto"/>
        </w:rPr>
        <w:t>deposited Class B ordinary shares, including evidence of rights to receive such Class B ordinary shares (the “Shares”), of TRIDENT DIGITAL TECH HOLDINGS LTD, an exempted company incorporated with limited liability under the laws of the Cayman Islands, and its successors (the “Company”). As of the date of issuance of this ADR, each ADS represents the right to receive ten (10) Shares deposited under the Deposit Agreement (as hereinafter defined) with the Custodian, which at the date of issuance of this ADR is Citibank, N.A. – Hong Kong (the “Custodian”). The ADS(s)-to-Share(s) ratio is subject to amendment as provided in Articles IV and VI of the Deposit Agreement. The Depositary’s Principal Office is located at 388 Greenwich Street, New York, New York 10013, U.S.A.</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6" w:name="page67"/>
    <w:bookmarkEnd w:id="66"/>
    <w:p>
      <w:pPr>
        <w:ind w:right="20" w:firstLine="656"/>
        <w:spacing w:after="0" w:line="286" w:lineRule="auto"/>
        <w:tabs>
          <w:tab w:leader="none" w:pos="1532"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to be issued upon the terms and conditions set forth in the Deposit Agreement, dated as of </w:t>
      </w:r>
      <w:r>
        <w:rPr>
          <w:rFonts w:ascii="Arial" w:cs="Arial" w:eastAsia="Arial" w:hAnsi="Arial"/>
          <w:sz w:val="16"/>
          <w:szCs w:val="16"/>
          <w:b w:val="1"/>
          <w:bCs w:val="1"/>
          <w:color w:val="auto"/>
        </w:rPr>
        <w:t>[●][●]</w:t>
      </w:r>
      <w:r>
        <w:rPr>
          <w:rFonts w:ascii="Arial" w:cs="Arial" w:eastAsia="Arial" w:hAnsi="Arial"/>
          <w:sz w:val="16"/>
          <w:szCs w:val="16"/>
          <w:color w:val="auto"/>
        </w:rPr>
        <w:t>, 2023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7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firstLine="656"/>
        <w:spacing w:after="0" w:line="287" w:lineRule="auto"/>
        <w:tabs>
          <w:tab w:leader="none" w:pos="153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ADS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Articles of Association, and of any applicable laws and the rules of the applicable book entry settlement entity, and to any provisions of or governing the Deposited Securities, in each case as in effect at the time thereof.</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7" w:name="page68"/>
    <w:bookmarkEnd w:id="67"/>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any applicable laws and of the rules of the applicable book entry settlement entity, and to the terms and conditions of or governing the Deposited Securities, in each case as in effect at the time thereof.</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taxes withheld) to the person surrendering the ADSs.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8" w:name="page69"/>
    <w:bookmarkEnd w:id="68"/>
    <w:p>
      <w:pPr>
        <w:ind w:firstLine="656"/>
        <w:spacing w:after="0" w:line="289" w:lineRule="auto"/>
        <w:tabs>
          <w:tab w:leader="none" w:pos="153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6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2" w:lineRule="exact"/>
        <w:rPr>
          <w:sz w:val="20"/>
          <w:szCs w:val="20"/>
          <w:color w:val="auto"/>
        </w:rPr>
      </w:pPr>
    </w:p>
    <w:p>
      <w:pPr>
        <w:ind w:right="280" w:firstLine="8"/>
        <w:spacing w:after="0" w:line="255"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all applicable fees and charges of, and expenses incurred by, the Depositary and all applicable taxes and governmental charges (as are set forth in Section 5.9 of,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Deposit Agreement)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to the terms and conditions of this ADR, of the Deposit Agreement and of applicable law, in each case as in effect at the time thereof.</w:t>
      </w:r>
    </w:p>
    <w:p>
      <w:pPr>
        <w:spacing w:after="0" w:line="185" w:lineRule="exact"/>
        <w:rPr>
          <w:rFonts w:ascii="Arial" w:cs="Arial" w:eastAsia="Arial" w:hAnsi="Arial"/>
          <w:sz w:val="18"/>
          <w:szCs w:val="18"/>
          <w:color w:val="auto"/>
        </w:rPr>
      </w:pPr>
    </w:p>
    <w:p>
      <w:pPr>
        <w:ind w:right="20" w:firstLine="656"/>
        <w:spacing w:after="0" w:line="289" w:lineRule="auto"/>
        <w:tabs>
          <w:tab w:leader="none" w:pos="1532" w:val="left"/>
        </w:tabs>
        <w:numPr>
          <w:ilvl w:val="1"/>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9" w:name="page70"/>
    <w:bookmarkEnd w:id="69"/>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right="40" w:firstLine="656"/>
        <w:spacing w:after="0" w:line="294" w:lineRule="auto"/>
        <w:tabs>
          <w:tab w:leader="none" w:pos="153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Beneficial Owner of the ADSs represented hereby agrees to comply with requests from the Company pursuant to applicable law, the rules and requirements of any stock exchange on which the Shares or ADSs are, or will be, registered, traded or listed or the Articles of Association,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w:t>
      </w:r>
    </w:p>
    <w:p>
      <w:pPr>
        <w:spacing w:after="0" w:line="159" w:lineRule="exact"/>
        <w:rPr>
          <w:rFonts w:ascii="Arial" w:cs="Arial" w:eastAsia="Arial" w:hAnsi="Arial"/>
          <w:sz w:val="16"/>
          <w:szCs w:val="16"/>
          <w:b w:val="1"/>
          <w:bCs w:val="1"/>
          <w:color w:val="auto"/>
        </w:rPr>
      </w:pPr>
    </w:p>
    <w:p>
      <w:pPr>
        <w:ind w:right="20" w:firstLine="656"/>
        <w:spacing w:after="0" w:line="289" w:lineRule="auto"/>
        <w:tabs>
          <w:tab w:leader="none" w:pos="1532"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contained in this ADR or of the Deposit Agreement to the contrary,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the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0" w:name="page71"/>
    <w:bookmarkEnd w:id="70"/>
    <w:p>
      <w:pPr>
        <w:ind w:left="-20" w:firstLine="656"/>
        <w:spacing w:after="0" w:line="273" w:lineRule="auto"/>
        <w:tabs>
          <w:tab w:leader="none" w:pos="151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1" w:lineRule="exact"/>
        <w:rPr>
          <w:rFonts w:ascii="Arial" w:cs="Arial" w:eastAsia="Arial" w:hAnsi="Arial"/>
          <w:sz w:val="17"/>
          <w:szCs w:val="17"/>
          <w:b w:val="1"/>
          <w:bCs w:val="1"/>
          <w:color w:val="auto"/>
        </w:rPr>
      </w:pPr>
    </w:p>
    <w:p>
      <w:pPr>
        <w:ind w:left="-20" w:firstLine="656"/>
        <w:spacing w:after="0" w:line="286" w:lineRule="auto"/>
        <w:tabs>
          <w:tab w:leader="none" w:pos="151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71" w:name="page72"/>
    <w:bookmarkEnd w:id="71"/>
    <w:p>
      <w:pPr>
        <w:ind w:right="40" w:firstLine="656"/>
        <w:spacing w:after="0" w:line="289" w:lineRule="auto"/>
        <w:tabs>
          <w:tab w:leader="none" w:pos="153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rFonts w:ascii="Arial" w:cs="Arial" w:eastAsia="Arial" w:hAnsi="Arial"/>
          <w:sz w:val="16"/>
          <w:szCs w:val="16"/>
          <w:b w:val="1"/>
          <w:bCs w:val="1"/>
          <w:color w:val="auto"/>
        </w:rPr>
      </w:pPr>
    </w:p>
    <w:p>
      <w:pPr>
        <w:ind w:firstLine="656"/>
        <w:spacing w:after="0" w:line="287" w:lineRule="auto"/>
        <w:tabs>
          <w:tab w:leader="none" w:pos="1442"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w:t>
      </w:r>
    </w:p>
    <w:p>
      <w:pPr>
        <w:spacing w:after="0" w:line="167" w:lineRule="exact"/>
        <w:rPr>
          <w:rFonts w:ascii="Arial" w:cs="Arial" w:eastAsia="Arial" w:hAnsi="Arial"/>
          <w:sz w:val="16"/>
          <w:szCs w:val="16"/>
          <w:b w:val="1"/>
          <w:bCs w:val="1"/>
          <w:color w:val="auto"/>
        </w:rPr>
      </w:pPr>
    </w:p>
    <w:p>
      <w:pPr>
        <w:ind w:left="1440" w:hanging="784"/>
        <w:spacing w:after="0"/>
        <w:tabs>
          <w:tab w:leader="none" w:pos="144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ADS Fees and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ADS fees (some of which may be cumulative) are payable under the terms of the Deposit</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b w:val="1"/>
          <w:bCs w:val="1"/>
          <w:color w:val="auto"/>
        </w:rPr>
      </w:pPr>
    </w:p>
    <w:p>
      <w:pPr>
        <w:ind w:left="1960" w:right="160" w:hanging="656"/>
        <w:spacing w:after="0" w:line="311" w:lineRule="auto"/>
        <w:tabs>
          <w:tab w:leader="none" w:pos="196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ADS Issuance Fee</w:t>
      </w:r>
      <w:r>
        <w:rPr>
          <w:rFonts w:ascii="Arial" w:cs="Arial" w:eastAsia="Arial" w:hAnsi="Arial"/>
          <w:sz w:val="16"/>
          <w:szCs w:val="16"/>
          <w:color w:val="auto"/>
        </w:rPr>
        <w:t>: by any person for whom ADSs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48" w:lineRule="exact"/>
        <w:rPr>
          <w:rFonts w:ascii="Arial" w:cs="Arial" w:eastAsia="Arial" w:hAnsi="Arial"/>
          <w:sz w:val="16"/>
          <w:szCs w:val="16"/>
          <w:color w:val="auto"/>
        </w:rPr>
      </w:pPr>
    </w:p>
    <w:p>
      <w:pPr>
        <w:ind w:left="1960" w:right="180" w:hanging="656"/>
        <w:spacing w:after="0" w:line="263" w:lineRule="auto"/>
        <w:tabs>
          <w:tab w:leader="none" w:pos="196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72" w:name="page73"/>
    <w:bookmarkEnd w:id="72"/>
    <w:p>
      <w:pPr>
        <w:ind w:left="1960" w:right="60" w:hanging="656"/>
        <w:spacing w:after="0" w:line="308" w:lineRule="auto"/>
        <w:tabs>
          <w:tab w:leader="none" w:pos="196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46" w:lineRule="exact"/>
        <w:rPr>
          <w:rFonts w:ascii="Arial" w:cs="Arial" w:eastAsia="Arial" w:hAnsi="Arial"/>
          <w:sz w:val="17"/>
          <w:szCs w:val="17"/>
          <w:color w:val="auto"/>
        </w:rPr>
      </w:pPr>
    </w:p>
    <w:p>
      <w:pPr>
        <w:jc w:val="both"/>
        <w:ind w:left="1960" w:right="160" w:hanging="656"/>
        <w:spacing w:after="0" w:line="263"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83" w:lineRule="exact"/>
        <w:rPr>
          <w:rFonts w:ascii="Arial" w:cs="Arial" w:eastAsia="Arial" w:hAnsi="Arial"/>
          <w:sz w:val="18"/>
          <w:szCs w:val="18"/>
          <w:color w:val="auto"/>
        </w:rPr>
      </w:pPr>
    </w:p>
    <w:p>
      <w:pPr>
        <w:ind w:left="1960" w:right="160" w:hanging="656"/>
        <w:spacing w:after="0" w:line="263"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financial instruments, including, without limitation,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 and contingent value rights);</w:t>
      </w:r>
    </w:p>
    <w:p>
      <w:pPr>
        <w:spacing w:after="0" w:line="183" w:lineRule="exact"/>
        <w:rPr>
          <w:rFonts w:ascii="Arial" w:cs="Arial" w:eastAsia="Arial" w:hAnsi="Arial"/>
          <w:sz w:val="18"/>
          <w:szCs w:val="18"/>
          <w:color w:val="auto"/>
        </w:rPr>
      </w:pPr>
    </w:p>
    <w:p>
      <w:pPr>
        <w:ind w:left="1960" w:right="60" w:hanging="656"/>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Registration of ADS Transfer Fee</w:t>
      </w:r>
      <w:r>
        <w:rPr>
          <w:rFonts w:ascii="Arial" w:cs="Arial" w:eastAsia="Arial" w:hAnsi="Arial"/>
          <w:sz w:val="18"/>
          <w:szCs w:val="18"/>
          <w:color w:val="auto"/>
        </w:rPr>
        <w:t>: by any Holder of ADS(s) being transferred or by any person to whom ADSs are transferred, a fee not in excess of U.S. $5.00 per 100 ADSs (or fraction thereof) transferred; and</w:t>
      </w:r>
    </w:p>
    <w:p>
      <w:pPr>
        <w:spacing w:after="0" w:line="170" w:lineRule="exact"/>
        <w:rPr>
          <w:rFonts w:ascii="Arial" w:cs="Arial" w:eastAsia="Arial" w:hAnsi="Arial"/>
          <w:sz w:val="18"/>
          <w:szCs w:val="18"/>
          <w:color w:val="auto"/>
        </w:rPr>
      </w:pPr>
    </w:p>
    <w:p>
      <w:pPr>
        <w:ind w:left="1960" w:right="40" w:hanging="656"/>
        <w:spacing w:after="0" w:line="259" w:lineRule="auto"/>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84"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300" w:right="220" w:hanging="320"/>
        <w:spacing w:after="0" w:line="263"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3" w:name="page74"/>
    <w:bookmarkEnd w:id="73"/>
    <w:p>
      <w:pPr>
        <w:ind w:left="1300" w:right="540" w:hanging="320"/>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23" w:lineRule="exact"/>
        <w:rPr>
          <w:rFonts w:ascii="Arial" w:cs="Arial" w:eastAsia="Arial" w:hAnsi="Arial"/>
          <w:sz w:val="16"/>
          <w:szCs w:val="16"/>
          <w:color w:val="auto"/>
        </w:rPr>
      </w:pPr>
    </w:p>
    <w:p>
      <w:pPr>
        <w:ind w:left="1300" w:right="300" w:hanging="320"/>
        <w:spacing w:after="0" w:line="263"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w:t>
      </w:r>
    </w:p>
    <w:p>
      <w:pPr>
        <w:spacing w:after="0" w:line="248"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4" w:name="page75"/>
    <w:bookmarkEnd w:id="74"/>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40" w:firstLine="656"/>
        <w:spacing w:after="0" w:line="271" w:lineRule="auto"/>
        <w:tabs>
          <w:tab w:leader="none" w:pos="1442"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3" w:lineRule="exact"/>
        <w:rPr>
          <w:rFonts w:ascii="Arial" w:cs="Arial" w:eastAsia="Arial" w:hAnsi="Arial"/>
          <w:sz w:val="17"/>
          <w:szCs w:val="17"/>
          <w:b w:val="1"/>
          <w:bCs w:val="1"/>
          <w:color w:val="auto"/>
        </w:rPr>
      </w:pPr>
    </w:p>
    <w:p>
      <w:pPr>
        <w:ind w:right="60" w:firstLine="656"/>
        <w:spacing w:after="0" w:line="273" w:lineRule="auto"/>
        <w:tabs>
          <w:tab w:leader="none" w:pos="1442"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5" w:name="page76"/>
    <w:bookmarkEnd w:id="75"/>
    <w:p>
      <w:pPr>
        <w:ind w:firstLine="656"/>
        <w:spacing w:after="0" w:line="255" w:lineRule="auto"/>
        <w:tabs>
          <w:tab w:leader="none" w:pos="144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w:t>
      </w:r>
    </w:p>
    <w:p>
      <w:pPr>
        <w:spacing w:after="0" w:line="193"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 of the Deposit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40"/>
          </w:cols>
          <w:pgMar w:left="320" w:top="702"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02" w:right="339" w:bottom="1440" w:gutter="0" w:footer="0" w:header="0"/>
          <w:type w:val="continuous"/>
        </w:sectPr>
      </w:pPr>
    </w:p>
    <w:p>
      <w:pPr>
        <w:spacing w:after="0" w:line="1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07" w:lineRule="exact"/>
        <w:rPr>
          <w:sz w:val="20"/>
          <w:szCs w:val="20"/>
          <w:color w:val="auto"/>
        </w:rPr>
      </w:pPr>
    </w:p>
    <w:p>
      <w:pPr>
        <w:ind w:left="1440" w:hanging="804"/>
        <w:spacing w:after="0"/>
        <w:tabs>
          <w:tab w:leader="none" w:pos="1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Dividends and Distributions in Cash, Shares, etc</w:t>
      </w:r>
      <w:r>
        <w:rPr>
          <w:rFonts w:ascii="Arial" w:cs="Arial" w:eastAsia="Arial" w:hAnsi="Arial"/>
          <w:sz w:val="18"/>
          <w:szCs w:val="18"/>
          <w:b w:val="1"/>
          <w:bCs w:val="1"/>
          <w:color w:val="auto"/>
        </w:rPr>
        <w:t>.</w:t>
      </w:r>
    </w:p>
    <w:p>
      <w:pPr>
        <w:spacing w:after="0" w:line="229" w:lineRule="exact"/>
        <w:rPr>
          <w:sz w:val="20"/>
          <w:szCs w:val="20"/>
          <w:color w:val="auto"/>
        </w:rPr>
      </w:pPr>
    </w:p>
    <w:p>
      <w:pPr>
        <w:ind w:left="-20" w:firstLine="656"/>
        <w:spacing w:after="0" w:line="267" w:lineRule="auto"/>
        <w:tabs>
          <w:tab w:leader="none" w:pos="872"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Cash Distributions</w:t>
      </w:r>
      <w:r>
        <w:rPr>
          <w:rFonts w:ascii="Arial" w:cs="Arial" w:eastAsia="Arial" w:hAnsi="Arial"/>
          <w:sz w:val="17"/>
          <w:szCs w:val="17"/>
          <w:color w:val="auto"/>
        </w:rPr>
        <w:t>: Upon the timely receipt by the Depositary of a notice from the Company that it intends to make a distribution of a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dividend or other cash distribution, the Depositary shall establish the ADS Record Date upon the terms described in Section 4.9 of the Deposit Agreement. Upon confirmation of receipt of (x) any cash dividend or other cash distribution on any Deposited Securities, or (y) proceeds from the sale of any Deposited Property held in respect of the ADSs under the terms of the Deposit Agreement, the Depositary will (i) if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described in the Fee Schedule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02" w:right="339" w:bottom="1440" w:gutter="0" w:footer="0" w:header="0"/>
        </w:sectPr>
      </w:pPr>
    </w:p>
    <w:bookmarkStart w:id="77" w:name="page78"/>
    <w:bookmarkEnd w:id="77"/>
    <w:p>
      <w:pPr>
        <w:ind w:firstLine="656"/>
        <w:spacing w:after="0" w:line="287" w:lineRule="auto"/>
        <w:tabs>
          <w:tab w:leader="none" w:pos="903"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Share Distributions</w:t>
      </w:r>
      <w:r>
        <w:rPr>
          <w:rFonts w:ascii="Arial" w:cs="Arial" w:eastAsia="Arial" w:hAnsi="Arial"/>
          <w:sz w:val="16"/>
          <w:szCs w:val="16"/>
          <w:color w:val="auto"/>
        </w:rPr>
        <w:t>: Upon the timely receipt by the Depositary of a notice from the Company that it intends to make a distribution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spacing w:after="0" w:line="2" w:lineRule="exact"/>
        <w:rPr>
          <w:rFonts w:ascii="Arial" w:cs="Arial" w:eastAsia="Arial" w:hAnsi="Arial"/>
          <w:sz w:val="16"/>
          <w:szCs w:val="16"/>
          <w:color w:val="auto"/>
        </w:rPr>
      </w:pPr>
    </w:p>
    <w:p>
      <w:pPr>
        <w:ind w:firstLine="8"/>
        <w:spacing w:after="0" w:line="281" w:lineRule="auto"/>
        <w:tabs>
          <w:tab w:leader="none" w:pos="215" w:val="left"/>
        </w:tabs>
        <w:numPr>
          <w:ilvl w:val="0"/>
          <w:numId w:val="44"/>
        </w:numPr>
        <w:rPr>
          <w:rFonts w:ascii="Arial" w:cs="Arial" w:eastAsia="Arial" w:hAnsi="Arial"/>
          <w:sz w:val="16"/>
          <w:szCs w:val="16"/>
          <w:color w:val="auto"/>
        </w:rPr>
      </w:pPr>
      <w:r>
        <w:rPr>
          <w:rFonts w:ascii="Arial" w:cs="Arial" w:eastAsia="Arial" w:hAnsi="Arial"/>
          <w:sz w:val="16"/>
          <w:szCs w:val="16"/>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Arial" w:cs="Arial" w:eastAsia="Arial" w:hAnsi="Arial"/>
          <w:sz w:val="16"/>
          <w:szCs w:val="16"/>
          <w:color w:val="auto"/>
        </w:rPr>
      </w:pPr>
    </w:p>
    <w:p>
      <w:pPr>
        <w:ind w:right="80" w:firstLine="8"/>
        <w:spacing w:after="0" w:line="271" w:lineRule="auto"/>
        <w:tabs>
          <w:tab w:leader="none" w:pos="2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taxes).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taxes and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8" w:name="page79"/>
    <w:bookmarkEnd w:id="78"/>
    <w:p>
      <w:pPr>
        <w:ind w:right="240" w:firstLine="656"/>
        <w:spacing w:after="0" w:line="286" w:lineRule="auto"/>
        <w:tabs>
          <w:tab w:leader="none" w:pos="892" w:val="left"/>
        </w:tabs>
        <w:numPr>
          <w:ilvl w:val="1"/>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1" w:lineRule="exact"/>
        <w:rPr>
          <w:rFonts w:ascii="Arial" w:cs="Arial" w:eastAsia="Arial" w:hAnsi="Arial"/>
          <w:sz w:val="16"/>
          <w:szCs w:val="16"/>
          <w:color w:val="auto"/>
        </w:rPr>
      </w:pPr>
    </w:p>
    <w:p>
      <w:pPr>
        <w:ind w:firstLine="8"/>
        <w:spacing w:after="0" w:line="284" w:lineRule="auto"/>
        <w:tabs>
          <w:tab w:leader="none" w:pos="265"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Depositary shall have determined that such distribution is reasonably practicable and (iii) the Depositary shall have received reasonably satisfactory documentation within the terms of Section 5.7 of the Deposit Agreement. If the above conditions are satisfied, the Depositary shall, subject to the terms and conditions of the Deposit Agreement, establish the ADS Record Date upon the terms of Section 4.9 of the Deposit Agreement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or in the Deposit Agreement shall obligate the Depositary to make available to the Holder hereof a method to receive the elective distribution in Shares (rather than ADSs). There can be no assurance that the Holder hereof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above, the Depositary shall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72" w:lineRule="exact"/>
        <w:rPr>
          <w:rFonts w:ascii="Arial" w:cs="Arial" w:eastAsia="Arial" w:hAnsi="Arial"/>
          <w:sz w:val="16"/>
          <w:szCs w:val="16"/>
          <w:color w:val="auto"/>
        </w:rPr>
      </w:pPr>
    </w:p>
    <w:p>
      <w:pPr>
        <w:ind w:right="100" w:firstLine="656"/>
        <w:spacing w:after="0" w:line="284" w:lineRule="auto"/>
        <w:tabs>
          <w:tab w:leader="none" w:pos="903" w:val="left"/>
        </w:tabs>
        <w:numPr>
          <w:ilvl w:val="1"/>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reasonably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9" w:name="page80"/>
    <w:bookmarkEnd w:id="79"/>
    <w:p>
      <w:pPr>
        <w:ind w:firstLine="648"/>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reasonably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6"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0" w:name="page81"/>
    <w:bookmarkEnd w:id="80"/>
    <w:p>
      <w:pPr>
        <w:ind w:right="60" w:firstLine="656"/>
        <w:spacing w:after="0" w:line="288" w:lineRule="auto"/>
        <w:tabs>
          <w:tab w:leader="none" w:pos="892"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Distributions other than Cash, Shares or Rights to Purchase Shares</w:t>
      </w:r>
      <w:r>
        <w:rPr>
          <w:rFonts w:ascii="Arial" w:cs="Arial" w:eastAsia="Arial" w:hAnsi="Arial"/>
          <w:sz w:val="16"/>
          <w:szCs w:val="16"/>
          <w:color w:val="auto"/>
        </w:rPr>
        <w:t>: Upon receipt of a notice indicating that the Company wishes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the documentation contemplated in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8"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in the Deposit Agreement. If the Depositary is unable to sell such property, the Depositary may dispose of such property for the account of the Holders in any way it deems reasonably practicable under the circumstances.</w:t>
      </w:r>
    </w:p>
    <w:p>
      <w:pPr>
        <w:spacing w:after="0" w:line="161"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firstLine="656"/>
        <w:spacing w:after="0" w:line="285" w:lineRule="auto"/>
        <w:tabs>
          <w:tab w:leader="none" w:pos="1442"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Upon timely receipt of notice from the Company that it intends to exercise its right of redemption in respect of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and satisfactory documentation, and upon determining that such proposed redemption is practicable, the Depositary shall (to the extent practicable) provide to each Holder a notice setting forth the Company’s intention to exercise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above, the Depositary shall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81" w:name="page82"/>
    <w:bookmarkEnd w:id="81"/>
    <w:p>
      <w:pPr>
        <w:ind w:left="-20" w:firstLine="656"/>
        <w:spacing w:after="0" w:line="289" w:lineRule="auto"/>
        <w:tabs>
          <w:tab w:leader="none" w:pos="142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Subject to applicable law, the terms and conditions of this ADR and Sections 4.1 through 4.8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160" w:lineRule="exact"/>
        <w:rPr>
          <w:rFonts w:ascii="Arial" w:cs="Arial" w:eastAsia="Arial" w:hAnsi="Arial"/>
          <w:sz w:val="16"/>
          <w:szCs w:val="16"/>
          <w:b w:val="1"/>
          <w:bCs w:val="1"/>
          <w:color w:val="auto"/>
        </w:rPr>
      </w:pPr>
    </w:p>
    <w:p>
      <w:pPr>
        <w:ind w:left="-20" w:right="40" w:firstLine="656"/>
        <w:spacing w:after="0" w:line="270" w:lineRule="auto"/>
        <w:tabs>
          <w:tab w:leader="none" w:pos="1422"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82" w:name="page83"/>
    <w:bookmarkEnd w:id="82"/>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(before or on the declaration of the result of the show of hands) a poll is demanded. The Depositary will not join in demanding a poll, whether or not requested to do so by Holders of ADSs. Under the Articles of Association of the Company as in effect on the date of the Deposit Agreement, a poll may be demanded by (a) the chairman of the meeting, or (b) any shareholder(s) present in person or by proxy and representing not less than 10% of the total voting rights of the shareholders present in person or by proxy on the resolution (excluding any shares held in treasury).</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as follows: (a) </w:t>
      </w:r>
      <w:r>
        <w:rPr>
          <w:rFonts w:ascii="Arial" w:cs="Arial" w:eastAsia="Arial" w:hAnsi="Arial"/>
          <w:sz w:val="17"/>
          <w:szCs w:val="17"/>
          <w:i w:val="1"/>
          <w:iCs w:val="1"/>
          <w:color w:val="auto"/>
        </w:rPr>
        <w:t>in the event voting takes place at a shareholders’ meeting by a show of hands,</w:t>
      </w:r>
      <w:r>
        <w:rPr>
          <w:rFonts w:ascii="Arial" w:cs="Arial" w:eastAsia="Arial" w:hAnsi="Arial"/>
          <w:sz w:val="17"/>
          <w:szCs w:val="17"/>
          <w:color w:val="auto"/>
        </w:rPr>
        <w:t xml:space="preserve"> the Depositary will instruct the Custodian to vote all Deposited Securities in accordance with such voting instructions received timely from a majority of the Holders of ADSs who provided voting instructions, and (b)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the event voting takes place at a shareholders’ meeting by poll</w:t>
      </w:r>
      <w:r>
        <w:rPr>
          <w:rFonts w:ascii="Arial" w:cs="Arial" w:eastAsia="Arial" w:hAnsi="Arial"/>
          <w:sz w:val="17"/>
          <w:szCs w:val="17"/>
          <w:color w:val="auto"/>
        </w:rPr>
        <w:t>, the Depositary will instruct the Custodian to vote the Deposited Securities in accordance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3" w:name="page84"/>
    <w:bookmarkEnd w:id="83"/>
    <w:p>
      <w:pPr>
        <w:ind w:right="60" w:firstLine="648"/>
        <w:spacing w:after="0" w:line="269"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or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this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to enable Holders and Beneficial Owners to exercise the voting rights accruing to the Deposited Securities and to deliver to the Depositary an opinion of U.S. counsel in a form reasonably satisfactory to the Depositary addressing any actions requested to be taken if so requested by the Depositary.</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56"/>
        <w:spacing w:after="0" w:line="284" w:lineRule="auto"/>
        <w:tabs>
          <w:tab w:leader="none" w:pos="1442"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taxes) and receipt of an opinion of counsel to the Company reasonably satisfactory to the Depositary that such actions are not in violation of any applicable laws or regulations, (i) issue and deliver additional ADSs as in the case of a stock dividend on the Shares,</w:t>
      </w:r>
    </w:p>
    <w:p>
      <w:pPr>
        <w:spacing w:after="0" w:line="1" w:lineRule="exact"/>
        <w:rPr>
          <w:rFonts w:ascii="Arial" w:cs="Arial" w:eastAsia="Arial" w:hAnsi="Arial"/>
          <w:sz w:val="16"/>
          <w:szCs w:val="16"/>
          <w:b w:val="1"/>
          <w:bCs w:val="1"/>
          <w:color w:val="auto"/>
        </w:rPr>
      </w:pPr>
    </w:p>
    <w:p>
      <w:pPr>
        <w:ind w:firstLine="8"/>
        <w:spacing w:after="0" w:line="281" w:lineRule="auto"/>
        <w:tabs>
          <w:tab w:leader="none" w:pos="26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w:t>
      </w:r>
    </w:p>
    <w:p>
      <w:pPr>
        <w:spacing w:after="0" w:line="5" w:lineRule="exact"/>
        <w:rPr>
          <w:rFonts w:ascii="Arial" w:cs="Arial" w:eastAsia="Arial" w:hAnsi="Arial"/>
          <w:sz w:val="16"/>
          <w:szCs w:val="16"/>
          <w:color w:val="auto"/>
        </w:rPr>
      </w:pPr>
    </w:p>
    <w:p>
      <w:pPr>
        <w:ind w:left="280" w:hanging="272"/>
        <w:spacing w:after="0"/>
        <w:tabs>
          <w:tab w:leader="none" w:pos="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foreign exchange exposure or loss incurred in connection with such sale, or (iii) any liability to the purchaser of such Deposited Property.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4" w:name="page85"/>
    <w:bookmarkEnd w:id="84"/>
    <w:p>
      <w:pPr>
        <w:ind w:left="-20" w:firstLine="656"/>
        <w:spacing w:after="0" w:line="267" w:lineRule="auto"/>
        <w:tabs>
          <w:tab w:leader="none" w:pos="142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obligated to do or perform any act or thing which is inconsistent with the provisions of the Deposit Agreement or incur any liability (to the extent not limited by paragraph (25) hereof)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the Cayman Islands or any other country, or of any other governmental authority or regulatory authority or stock exchange, or on account of potential criminal or civil penalties or restraint, or by reason of any provision, present or future, of the Articles of Association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02" w:right="359" w:bottom="1440" w:gutter="0" w:footer="0" w:header="0"/>
        </w:sectPr>
      </w:pPr>
    </w:p>
    <w:bookmarkStart w:id="85" w:name="page86"/>
    <w:bookmarkEnd w:id="85"/>
    <w:p>
      <w:pPr>
        <w:ind w:firstLine="656"/>
        <w:spacing w:after="0" w:line="292" w:lineRule="auto"/>
        <w:tabs>
          <w:tab w:leader="none" w:pos="1442"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6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any financial transaction entered into by any person in respect of the ADSs or any Deposited Property, for any tax consequences that may result from the ownership of, or any transaction involving, ADSs or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6" w:name="page87"/>
    <w:bookmarkEnd w:id="86"/>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40" w:firstLine="656"/>
        <w:spacing w:after="0" w:line="285" w:lineRule="auto"/>
        <w:tabs>
          <w:tab w:leader="none" w:pos="144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7" w:name="page88"/>
    <w:bookmarkEnd w:id="87"/>
    <w:p>
      <w:pPr>
        <w:ind w:left="-8" w:firstLine="656"/>
        <w:spacing w:after="0" w:line="284" w:lineRule="auto"/>
        <w:tabs>
          <w:tab w:leader="none" w:pos="1434"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178" w:lineRule="exact"/>
        <w:rPr>
          <w:rFonts w:ascii="Arial" w:cs="Arial" w:eastAsia="Arial" w:hAnsi="Arial"/>
          <w:sz w:val="16"/>
          <w:szCs w:val="16"/>
          <w:b w:val="1"/>
          <w:bCs w:val="1"/>
          <w:color w:val="auto"/>
        </w:rPr>
      </w:pPr>
    </w:p>
    <w:p>
      <w:pPr>
        <w:ind w:left="-8" w:right="160" w:firstLine="656"/>
        <w:spacing w:after="0" w:line="289" w:lineRule="auto"/>
        <w:tabs>
          <w:tab w:leader="none" w:pos="1434" w:val="left"/>
        </w:tabs>
        <w:numPr>
          <w:ilvl w:val="1"/>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Arial" w:cs="Arial" w:eastAsia="Arial" w:hAnsi="Arial"/>
          <w:sz w:val="16"/>
          <w:szCs w:val="16"/>
          <w:b w:val="1"/>
          <w:bCs w:val="1"/>
          <w:color w:val="auto"/>
        </w:rPr>
      </w:pPr>
    </w:p>
    <w:p>
      <w:pPr>
        <w:ind w:left="-8" w:right="20" w:firstLine="8"/>
        <w:spacing w:after="0" w:line="284" w:lineRule="auto"/>
        <w:tabs>
          <w:tab w:leader="none" w:pos="257" w:val="left"/>
        </w:tabs>
        <w:numPr>
          <w:ilvl w:val="0"/>
          <w:numId w:val="58"/>
        </w:numPr>
        <w:rPr>
          <w:rFonts w:ascii="Arial" w:cs="Arial" w:eastAsia="Arial" w:hAnsi="Arial"/>
          <w:sz w:val="16"/>
          <w:szCs w:val="16"/>
          <w:color w:val="auto"/>
        </w:rPr>
      </w:pPr>
      <w:r>
        <w:rPr>
          <w:rFonts w:ascii="Arial" w:cs="Arial" w:eastAsia="Arial" w:hAnsi="Arial"/>
          <w:sz w:val="16"/>
          <w:szCs w:val="16"/>
          <w:color w:val="auto"/>
        </w:rPr>
        <w:t>ninety (90)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7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702" w:right="339" w:bottom="1440" w:gutter="0" w:footer="0" w:header="0"/>
        </w:sectPr>
      </w:pPr>
    </w:p>
    <w:bookmarkStart w:id="88" w:name="page89"/>
    <w:bookmarkEnd w:id="88"/>
    <w:p>
      <w:pPr>
        <w:ind w:right="80"/>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taxes and fees and charges of, and reimbursement of the applicable expenses incurred by, the Depositary.</w:t>
      </w:r>
    </w:p>
    <w:p>
      <w:pPr>
        <w:spacing w:after="0" w:line="160" w:lineRule="exact"/>
        <w:rPr>
          <w:sz w:val="20"/>
          <w:szCs w:val="20"/>
          <w:color w:val="auto"/>
        </w:rPr>
      </w:pPr>
    </w:p>
    <w:p>
      <w:pPr>
        <w:ind w:left="1000" w:hanging="344"/>
        <w:spacing w:after="0"/>
        <w:tabs>
          <w:tab w:leader="none" w:pos="10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and No Disclaimer under, U.S. Securities Laws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56"/>
        <w:spacing w:after="0" w:line="263" w:lineRule="auto"/>
        <w:tabs>
          <w:tab w:leader="none" w:pos="8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Notwithstanding any provisions in this ADR or the Deposit 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89" w:name="page90"/>
    <w:bookmarkEnd w:id="89"/>
    <w:p>
      <w:pPr>
        <w:ind w:left="-8" w:right="60" w:firstLine="656"/>
        <w:spacing w:after="0" w:line="263" w:lineRule="auto"/>
        <w:tabs>
          <w:tab w:leader="none" w:pos="8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8" w:firstLine="656"/>
        <w:spacing w:after="0" w:line="284" w:lineRule="auto"/>
        <w:tabs>
          <w:tab w:leader="none" w:pos="1434"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Arial" w:cs="Arial" w:eastAsia="Arial" w:hAnsi="Arial"/>
          <w:sz w:val="16"/>
          <w:szCs w:val="16"/>
          <w:b w:val="1"/>
          <w:bCs w:val="1"/>
          <w:color w:val="auto"/>
        </w:rPr>
      </w:pPr>
    </w:p>
    <w:p>
      <w:pPr>
        <w:ind w:left="-8" w:right="60" w:firstLine="8"/>
        <w:spacing w:after="0" w:line="268" w:lineRule="auto"/>
        <w:tabs>
          <w:tab w:leader="none" w:pos="297"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the Cayman Islands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79" w:lineRule="exact"/>
        <w:rPr>
          <w:rFonts w:ascii="Arial" w:cs="Arial" w:eastAsia="Arial" w:hAnsi="Arial"/>
          <w:sz w:val="17"/>
          <w:szCs w:val="17"/>
          <w:color w:val="auto"/>
        </w:rPr>
      </w:pPr>
    </w:p>
    <w:p>
      <w:pPr>
        <w:ind w:left="-8" w:firstLine="656"/>
        <w:spacing w:after="0" w:line="274" w:lineRule="auto"/>
        <w:tabs>
          <w:tab w:leader="none" w:pos="1434"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 Waiver of Jury Trial</w:t>
      </w:r>
      <w:r>
        <w:rPr>
          <w:rFonts w:ascii="Arial" w:cs="Arial" w:eastAsia="Arial" w:hAnsi="Arial"/>
          <w:sz w:val="17"/>
          <w:szCs w:val="17"/>
          <w:color w:val="auto"/>
        </w:rPr>
        <w:t>. The Deposit Agreement, the ADRs and the ADSs shall be interpreted in accordance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the Cayman Islands (or, if applicable, such other laws as may govern the Deposited Securities).</w:t>
      </w: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706" w:right="359" w:bottom="1440" w:gutter="0" w:footer="0" w:header="0"/>
        </w:sectPr>
      </w:pPr>
    </w:p>
    <w:bookmarkStart w:id="90" w:name="page91"/>
    <w:bookmarkEnd w:id="90"/>
    <w:p>
      <w:pPr>
        <w:ind w:right="4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unto________________________ whose taxpayer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number is __________________________and whose address including postal zip code is ________________, the within ADR and all rights thereunder,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irrevocably constituting and appointing ________________________ attorney-in-fact to transfer said ADR on the books of the Depositary with full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Dated:</w:t>
            </w:r>
          </w:p>
        </w:tc>
        <w:tc>
          <w:tcPr>
            <w:tcW w:w="7240" w:type="dxa"/>
            <w:vAlign w:val="bottom"/>
          </w:tcPr>
          <w:p>
            <w:pPr>
              <w:ind w:left="16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222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222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5"/>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8"/>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8"/>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7"/>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1"/>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9"/>
              </w:rPr>
              <w:t>full title in such capacity and proper evidence of authority to act in such</w:t>
            </w:r>
          </w:p>
        </w:tc>
        <w:tc>
          <w:tcPr>
            <w:tcW w:w="0" w:type="dxa"/>
            <w:vAlign w:val="bottom"/>
          </w:tcPr>
          <w:p>
            <w:pPr>
              <w:spacing w:after="0"/>
              <w:rPr>
                <w:sz w:val="1"/>
                <w:szCs w:val="1"/>
                <w:color w:val="auto"/>
              </w:rPr>
            </w:pPr>
          </w:p>
        </w:tc>
      </w:tr>
      <w:tr>
        <w:trPr>
          <w:trHeight w:val="230"/>
        </w:trPr>
        <w:tc>
          <w:tcPr>
            <w:tcW w:w="39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240" w:type="dxa"/>
            <w:vAlign w:val="bottom"/>
          </w:tcPr>
          <w:p>
            <w:pPr>
              <w:ind w:left="1640"/>
              <w:spacing w:after="0"/>
              <w:rPr>
                <w:sz w:val="20"/>
                <w:szCs w:val="20"/>
                <w:color w:val="auto"/>
              </w:rPr>
            </w:pPr>
            <w:r>
              <w:rPr>
                <w:rFonts w:ascii="Arial" w:cs="Arial" w:eastAsia="Arial" w:hAnsi="Arial"/>
                <w:sz w:val="18"/>
                <w:szCs w:val="18"/>
                <w:color w:val="auto"/>
                <w:w w:val="92"/>
              </w:rPr>
              <w:t>capacity, if not on file with the Depositary, must be forwarded with this ADR.</w:t>
            </w:r>
          </w:p>
        </w:tc>
        <w:tc>
          <w:tcPr>
            <w:tcW w:w="0" w:type="dxa"/>
            <w:vAlign w:val="bottom"/>
          </w:tcPr>
          <w:p>
            <w:pPr>
              <w:spacing w:after="0"/>
              <w:rPr>
                <w:sz w:val="1"/>
                <w:szCs w:val="1"/>
                <w:color w:val="auto"/>
              </w:rPr>
            </w:pPr>
          </w:p>
        </w:tc>
      </w:tr>
      <w:tr>
        <w:trPr>
          <w:trHeight w:val="202"/>
        </w:trPr>
        <w:tc>
          <w:tcPr>
            <w:tcW w:w="3980" w:type="dxa"/>
            <w:vAlign w:val="bottom"/>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SIGNATURE GUARANTEED</w:t>
            </w:r>
          </w:p>
        </w:tc>
        <w:tc>
          <w:tcPr>
            <w:tcW w:w="7240" w:type="dxa"/>
            <w:vAlign w:val="bottom"/>
            <w:vMerge w:val="restart"/>
          </w:tcPr>
          <w:p>
            <w:pPr>
              <w:ind w:left="1640"/>
              <w:spacing w:after="0"/>
              <w:rPr>
                <w:sz w:val="20"/>
                <w:szCs w:val="20"/>
                <w:color w:val="auto"/>
              </w:rPr>
            </w:pPr>
            <w:r>
              <w:rPr>
                <w:rFonts w:ascii="Arial" w:cs="Arial" w:eastAsia="Arial" w:hAnsi="Arial"/>
                <w:sz w:val="18"/>
                <w:szCs w:val="18"/>
                <w:color w:val="auto"/>
                <w:w w:val="90"/>
              </w:rPr>
              <w:t>All endorsements or assignments of ADRs must be guaranteed by a member</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9"/>
              </w:rPr>
              <w:t>of a Medallion Signature Program approved by the Securities Transfer</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Legends</w:t>
      </w:r>
    </w:p>
    <w:p>
      <w:pPr>
        <w:spacing w:after="0" w:line="23"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80"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(some of which may be cumulative) are payable under the terms of the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Service</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Rate</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By Whom Paid</w:t>
            </w: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9"/>
              </w:rPr>
              <w:t>(1) Issuance of ADSs (</w:t>
            </w:r>
            <w:r>
              <w:rPr>
                <w:rFonts w:ascii="Arial" w:cs="Arial" w:eastAsia="Arial" w:hAnsi="Arial"/>
                <w:sz w:val="18"/>
                <w:szCs w:val="18"/>
                <w:i w:val="1"/>
                <w:iCs w:val="1"/>
                <w:color w:val="auto"/>
                <w:w w:val="99"/>
              </w:rPr>
              <w:t>e.g.</w:t>
            </w:r>
            <w:r>
              <w:rPr>
                <w:rFonts w:ascii="Arial" w:cs="Arial" w:eastAsia="Arial" w:hAnsi="Arial"/>
                <w:sz w:val="18"/>
                <w:szCs w:val="18"/>
                <w:color w:val="auto"/>
                <w:w w:val="99"/>
              </w:rPr>
              <w:t>, an issuance upon 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deposit of Shares, upon a change in the ADS(s)-to-</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Share(s) ratio, ADS conversions, or for any other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reason), excluding issuances as a result of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distributions described in 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1"/>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8"/>
              </w:rPr>
              <w:t>(2) Cancellation of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a cancellation of</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ADSs for Delivery of deposited Shares, upon 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change in the ADS(s)-to-Share(s) ratio, ADS</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conversions,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Agreement,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(3) Distribution of cash dividends or other cash</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distributions (</w:t>
            </w:r>
            <w:r>
              <w:rPr>
                <w:rFonts w:ascii="Arial" w:cs="Arial" w:eastAsia="Arial" w:hAnsi="Arial"/>
                <w:sz w:val="18"/>
                <w:szCs w:val="18"/>
                <w:i w:val="1"/>
                <w:iCs w:val="1"/>
                <w:color w:val="auto"/>
                <w:w w:val="95"/>
              </w:rPr>
              <w:t>e.g.</w:t>
            </w:r>
            <w:r>
              <w:rPr>
                <w:rFonts w:ascii="Arial" w:cs="Arial" w:eastAsia="Arial" w:hAnsi="Arial"/>
                <w:sz w:val="18"/>
                <w:szCs w:val="18"/>
                <w:color w:val="auto"/>
                <w:w w:val="95"/>
              </w:rPr>
              <w:t>, upon a sale of rights and other</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 Distribution of ADSs pursuant to (i) stock</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dividends or other free stock distributions, or (ii) an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840" w:type="dxa"/>
            <w:vAlign w:val="bottom"/>
            <w:tcBorders>
              <w:left w:val="single" w:sz="8" w:color="auto"/>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3" w:name="page94"/>
    <w:bookmarkEnd w:id="93"/>
    <w:tbl>
      <w:tblPr>
        <w:tblLayout w:type="fixed"/>
        <w:tblInd w:w="10" w:type="dxa"/>
        <w:tblCellMar>
          <w:top w:w="0" w:type="dxa"/>
          <w:left w:w="0" w:type="dxa"/>
          <w:bottom w:w="0" w:type="dxa"/>
          <w:right w:w="0" w:type="dxa"/>
        </w:tblCellMar>
      </w:tblPr>
      <w:tr>
        <w:trPr>
          <w:trHeight w:val="256"/>
        </w:trPr>
        <w:tc>
          <w:tcPr>
            <w:tcW w:w="300" w:type="dxa"/>
            <w:vAlign w:val="bottom"/>
            <w:tcBorders>
              <w:top w:val="single" w:sz="8" w:color="auto"/>
              <w:left w:val="single" w:sz="8" w:color="auto"/>
            </w:tcBorders>
          </w:tcPr>
          <w:p>
            <w:pPr>
              <w:ind w:left="60"/>
              <w:spacing w:after="0"/>
              <w:rPr>
                <w:sz w:val="20"/>
                <w:szCs w:val="20"/>
                <w:color w:val="auto"/>
              </w:rPr>
            </w:pPr>
            <w:r>
              <w:rPr>
                <w:rFonts w:ascii="Arial" w:cs="Arial" w:eastAsia="Arial" w:hAnsi="Arial"/>
                <w:sz w:val="18"/>
                <w:szCs w:val="18"/>
                <w:color w:val="auto"/>
                <w:w w:val="99"/>
              </w:rPr>
              <w:t>(5)</w:t>
            </w:r>
          </w:p>
        </w:tc>
        <w:tc>
          <w:tcPr>
            <w:tcW w:w="35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5"/>
              </w:rPr>
              <w:t>Distribution of financial instruments, including,</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7"/>
              </w:rPr>
              <w:t>without limitation, securities, other than ADSs or</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6"/>
              </w:rPr>
              <w:t>rights to purchase additional ADSs (</w:t>
            </w:r>
            <w:r>
              <w:rPr>
                <w:rFonts w:ascii="Arial" w:cs="Arial" w:eastAsia="Arial" w:hAnsi="Arial"/>
                <w:sz w:val="18"/>
                <w:szCs w:val="18"/>
                <w:i w:val="1"/>
                <w:iCs w:val="1"/>
                <w:color w:val="auto"/>
                <w:w w:val="96"/>
              </w:rPr>
              <w:t>e.g.</w:t>
            </w:r>
            <w:r>
              <w:rPr>
                <w:rFonts w:ascii="Arial" w:cs="Arial" w:eastAsia="Arial" w:hAnsi="Arial"/>
                <w:sz w:val="18"/>
                <w:szCs w:val="18"/>
                <w:color w:val="auto"/>
                <w:w w:val="96"/>
              </w:rPr>
              <w:t>, spin-off</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shares and contingent value rights).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(6)</w:t>
            </w:r>
          </w:p>
        </w:tc>
        <w:tc>
          <w:tcPr>
            <w:tcW w:w="3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ADS Services.</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Person holding ADSs on the applicable record</w:t>
            </w:r>
          </w:p>
        </w:tc>
      </w:tr>
      <w:tr>
        <w:trPr>
          <w:trHeight w:val="216"/>
        </w:trPr>
        <w:tc>
          <w:tcPr>
            <w:tcW w:w="300" w:type="dxa"/>
            <w:vAlign w:val="bottom"/>
            <w:tcBorders>
              <w:left w:val="single" w:sz="8" w:color="auto"/>
            </w:tcBorders>
          </w:tcPr>
          <w:p>
            <w:pPr>
              <w:spacing w:after="0"/>
              <w:rPr>
                <w:sz w:val="18"/>
                <w:szCs w:val="18"/>
                <w:color w:val="auto"/>
              </w:rPr>
            </w:pPr>
          </w:p>
        </w:tc>
        <w:tc>
          <w:tcPr>
            <w:tcW w:w="354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held on the applicable record date(s)</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300" w:type="dxa"/>
            <w:vAlign w:val="bottom"/>
            <w:tcBorders>
              <w:left w:val="single" w:sz="8" w:color="auto"/>
            </w:tcBorders>
          </w:tcPr>
          <w:p>
            <w:pPr>
              <w:spacing w:after="0"/>
              <w:rPr>
                <w:sz w:val="20"/>
                <w:szCs w:val="20"/>
                <w:color w:val="auto"/>
              </w:rPr>
            </w:pPr>
          </w:p>
        </w:tc>
        <w:tc>
          <w:tcPr>
            <w:tcW w:w="35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(7)</w:t>
            </w:r>
          </w:p>
        </w:tc>
        <w:tc>
          <w:tcPr>
            <w:tcW w:w="3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4"/>
              </w:rPr>
              <w:t>registration of the transfer of registered ownership</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transferred.</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transferred.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36"/>
        </w:trPr>
        <w:tc>
          <w:tcPr>
            <w:tcW w:w="30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9"/>
              </w:rPr>
              <w:t>(8)</w:t>
            </w:r>
          </w:p>
        </w:tc>
        <w:tc>
          <w:tcPr>
            <w:tcW w:w="35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Conversion of ADSs of one series for ADSs of</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converted or to</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another series (</w:t>
            </w:r>
            <w:r>
              <w:rPr>
                <w:rFonts w:ascii="Arial" w:cs="Arial" w:eastAsia="Arial" w:hAnsi="Arial"/>
                <w:sz w:val="18"/>
                <w:szCs w:val="18"/>
                <w:i w:val="1"/>
                <w:iCs w:val="1"/>
                <w:color w:val="auto"/>
              </w:rPr>
              <w:t>e.g.</w:t>
            </w:r>
            <w:r>
              <w:rPr>
                <w:rFonts w:ascii="Arial" w:cs="Arial" w:eastAsia="Arial" w:hAnsi="Arial"/>
                <w:sz w:val="18"/>
                <w:szCs w:val="18"/>
                <w:color w:val="auto"/>
              </w:rPr>
              <w:t>, upon conversion of Partial</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thereof) converted.</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whom the converted ADSs are delivered.</w:t>
            </w: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5"/>
              </w:rPr>
              <w:t xml:space="preserve">transferable ADSs, and </w:t>
            </w:r>
            <w:r>
              <w:rPr>
                <w:rFonts w:ascii="Arial" w:cs="Arial" w:eastAsia="Arial" w:hAnsi="Arial"/>
                <w:sz w:val="18"/>
                <w:szCs w:val="18"/>
                <w:i w:val="1"/>
                <w:iCs w:val="1"/>
                <w:color w:val="auto"/>
                <w:w w:val="95"/>
              </w:rPr>
              <w:t>vice versa</w:t>
            </w:r>
            <w:r>
              <w:rPr>
                <w:rFonts w:ascii="Arial" w:cs="Arial" w:eastAsia="Arial" w:hAnsi="Arial"/>
                <w:sz w:val="18"/>
                <w:szCs w:val="18"/>
                <w:color w:val="auto"/>
                <w:w w:val="95"/>
              </w:rPr>
              <w:t>) or conversion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of ADSs for unsponsored American Depositary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Shares (e.g., upon termination of the Deposit</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Agreement).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40"/>
        </w:trPr>
        <w:tc>
          <w:tcPr>
            <w:tcW w:w="300" w:type="dxa"/>
            <w:vAlign w:val="bottom"/>
            <w:tcBorders>
              <w:left w:val="single" w:sz="8" w:color="auto"/>
              <w:bottom w:val="single" w:sz="8" w:color="auto"/>
            </w:tcBorders>
          </w:tcPr>
          <w:p>
            <w:pPr>
              <w:spacing w:after="0"/>
              <w:rPr>
                <w:sz w:val="3"/>
                <w:szCs w:val="3"/>
                <w:color w:val="auto"/>
              </w:rPr>
            </w:pPr>
          </w:p>
        </w:tc>
        <w:tc>
          <w:tcPr>
            <w:tcW w:w="354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2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(some of which may be cumulative) under the terms of the Deposit Agreement:</w:t>
      </w:r>
    </w:p>
    <w:p>
      <w:pPr>
        <w:spacing w:after="0" w:line="18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bookmarkStart w:id="94" w:name="page95"/>
    <w:bookmarkEnd w:id="94"/>
    <w:p>
      <w:pPr>
        <w:ind w:left="660" w:right="30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right="14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660" w:right="48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fees, charges, costs and expenses incurred by the Depositary, the Custodian, or any nominee in connection with the ADR program; and</w:t>
      </w:r>
    </w:p>
    <w:p>
      <w:pPr>
        <w:spacing w:after="0" w:line="236" w:lineRule="exact"/>
        <w:rPr>
          <w:rFonts w:ascii="Arial" w:cs="Arial" w:eastAsia="Arial" w:hAnsi="Arial"/>
          <w:sz w:val="17"/>
          <w:szCs w:val="17"/>
          <w:color w:val="auto"/>
        </w:rPr>
      </w:pPr>
    </w:p>
    <w:p>
      <w:pPr>
        <w:ind w:left="660" w:right="4320" w:hanging="652"/>
        <w:spacing w:after="0" w:line="263"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above fees and charges may at any time and from time to time be changed by agreement between the Company and the Depositary and may be assessed cumulatively based on cumulative functions of services rendered.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154305</wp:posOffset>
            </wp:positionV>
            <wp:extent cx="5349240" cy="1131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4924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19,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100,000,000 American Depositary Shares (the “</w:t>
      </w:r>
      <w:r>
        <w:rPr>
          <w:rFonts w:ascii="Arial" w:cs="Arial" w:eastAsia="Arial" w:hAnsi="Arial"/>
          <w:sz w:val="17"/>
          <w:szCs w:val="17"/>
          <w:u w:val="single" w:color="auto"/>
          <w:color w:val="auto"/>
        </w:rPr>
        <w:t>ADSs</w:t>
      </w:r>
      <w:r>
        <w:rPr>
          <w:rFonts w:ascii="Arial" w:cs="Arial" w:eastAsia="Arial" w:hAnsi="Arial"/>
          <w:sz w:val="17"/>
          <w:szCs w:val="17"/>
          <w:color w:val="auto"/>
        </w:rPr>
        <w:t>”) to be issued under the Deposit Agreement, by and among Citibank, N.A., as Depositary, Trident Digital Tech Holdings Ltd, an exempted company incorporated with limited liability under the laws of the Cayman Islands, and its successors (the “</w:t>
      </w:r>
      <w:r>
        <w:rPr>
          <w:rFonts w:ascii="Arial" w:cs="Arial" w:eastAsia="Arial" w:hAnsi="Arial"/>
          <w:sz w:val="17"/>
          <w:szCs w:val="17"/>
          <w:u w:val="single" w:color="auto"/>
          <w:color w:val="auto"/>
        </w:rPr>
        <w:t>Company</w:t>
      </w:r>
      <w:r>
        <w:rPr>
          <w:rFonts w:ascii="Arial" w:cs="Arial" w:eastAsia="Arial" w:hAnsi="Arial"/>
          <w:sz w:val="17"/>
          <w:szCs w:val="17"/>
          <w:color w:val="auto"/>
        </w:rPr>
        <w:t>”), and all Holders and Beneficial Owners (each as defined in the Deposit Agreement and hereinafter used as so defined) of ADSs issued thereunder, a form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ADS will represent, subject to the terms and conditions of the Deposit Agreement and, if applicable, the American Depositary Receipt (“</w:t>
      </w:r>
      <w:r>
        <w:rPr>
          <w:rFonts w:ascii="Arial" w:cs="Arial" w:eastAsia="Arial" w:hAnsi="Arial"/>
          <w:sz w:val="17"/>
          <w:szCs w:val="17"/>
          <w:u w:val="single" w:color="auto"/>
          <w:color w:val="auto"/>
        </w:rPr>
        <w:t>ADR</w:t>
      </w:r>
      <w:r>
        <w:rPr>
          <w:rFonts w:ascii="Arial" w:cs="Arial" w:eastAsia="Arial" w:hAnsi="Arial"/>
          <w:sz w:val="17"/>
          <w:szCs w:val="17"/>
          <w:color w:val="auto"/>
        </w:rPr>
        <w:t>”) evidencing such ADS, the right to receive ten (10) Class B ordinary shares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00" w:lineRule="exact"/>
        <w:rPr>
          <w:sz w:val="20"/>
          <w:szCs w:val="20"/>
          <w:color w:val="auto"/>
        </w:rPr>
      </w:pPr>
    </w:p>
    <w:p>
      <w:pPr>
        <w:spacing w:after="0" w:line="245"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Jean-Claude Lanza</w:t>
            </w:r>
          </w:p>
        </w:tc>
      </w:tr>
      <w:tr>
        <w:trPr>
          <w:trHeight w:val="224"/>
        </w:trPr>
        <w:tc>
          <w:tcPr>
            <w:tcW w:w="6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 Member of the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128270</wp:posOffset>
            </wp:positionV>
            <wp:extent cx="5597525" cy="4889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97525" cy="488950"/>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Roman"/>
      <w:start w:val="9"/>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1"/>
    </w:lvl>
    <w:lvl w:ilvl="1">
      <w:lvlJc w:val="left"/>
      <w:lvlText w:val="(%2)"/>
      <w:numFmt w:val="lowerLetter"/>
      <w:start w:val="2"/>
    </w:lvl>
  </w:abstractNum>
  <w:abstractNum w:abstractNumId="7">
    <w:nsid w:val="7724C67E"/>
    <w:multiLevelType w:val="hybridMultilevel"/>
    <w:lvl w:ilvl="0">
      <w:lvlJc w:val="left"/>
      <w:lvlText w:val="(%1)"/>
      <w:numFmt w:val="lowerLetter"/>
      <w:start w:val="35"/>
    </w:lvl>
    <w:lvl w:ilvl="1">
      <w:lvlJc w:val="left"/>
      <w:lvlText w:val="(%2)"/>
      <w:numFmt w:val="lowerLetter"/>
      <w:start w:val="3"/>
    </w:lvl>
  </w:abstractNum>
  <w:abstractNum w:abstractNumId="8">
    <w:nsid w:val="5C482A97"/>
    <w:multiLevelType w:val="hybridMultilevel"/>
    <w:lvl w:ilvl="0">
      <w:lvlJc w:val="left"/>
      <w:lvlText w:val="(%1)"/>
      <w:numFmt w:val="lowerRoman"/>
      <w:start w:val="2"/>
    </w:lvl>
  </w:abstractNum>
  <w:abstractNum w:abstractNumId="9">
    <w:nsid w:val="2463B9EA"/>
    <w:multiLevelType w:val="hybridMultilevel"/>
    <w:lvl w:ilvl="0">
      <w:lvlJc w:val="left"/>
      <w:lvlText w:val="%1"/>
      <w:numFmt w:val="lowerLetter"/>
      <w:start w:val="1"/>
    </w:lvl>
    <w:lvl w:ilvl="1">
      <w:lvlJc w:val="left"/>
      <w:lvlText w:val="(%2)"/>
      <w:numFmt w:val="lowerLetter"/>
      <w:start w:val="1"/>
    </w:lvl>
  </w:abstractNum>
  <w:abstractNum w:abstractNumId="10">
    <w:nsid w:val="5E884ADC"/>
    <w:multiLevelType w:val="hybridMultilevel"/>
    <w:lvl w:ilvl="0">
      <w:lvlJc w:val="left"/>
      <w:lvlText w:val="(%1)"/>
      <w:numFmt w:val="lowerLetter"/>
      <w:start w:val="61"/>
    </w:lvl>
    <w:lvl w:ilvl="1">
      <w:lvlJc w:val="left"/>
      <w:lvlText w:val="(%2)"/>
      <w:numFmt w:val="lowerLetter"/>
      <w:start w:val="2"/>
    </w:lvl>
  </w:abstractNum>
  <w:abstractNum w:abstractNumId="11">
    <w:nsid w:val="51EAD36B"/>
    <w:multiLevelType w:val="hybridMultilevel"/>
    <w:lvl w:ilvl="0">
      <w:lvlJc w:val="left"/>
      <w:lvlText w:val="%1"/>
      <w:numFmt w:val="upperLetter"/>
      <w:start w:val="1"/>
    </w:lvl>
    <w:lvl w:ilvl="1">
      <w:lvlJc w:val="left"/>
      <w:lvlText w:val="(%2)"/>
      <w:numFmt w:val="lowerLetter"/>
      <w:start w:val="1"/>
    </w:lvl>
  </w:abstractNum>
  <w:abstractNum w:abstractNumId="12">
    <w:nsid w:val="2D517796"/>
    <w:multiLevelType w:val="hybridMultilevel"/>
    <w:lvl w:ilvl="0">
      <w:lvlJc w:val="left"/>
      <w:lvlText w:val="(%1)"/>
      <w:numFmt w:val="upperLetter"/>
      <w:start w:val="2"/>
    </w:lvl>
    <w:lvl w:ilvl="1">
      <w:lvlJc w:val="left"/>
      <w:lvlText w:val="(%2)"/>
      <w:numFmt w:val="lowerLetter"/>
      <w:start w:val="2"/>
    </w:lvl>
  </w:abstractNum>
  <w:abstractNum w:abstractNumId="13">
    <w:nsid w:val="580BD78F"/>
    <w:multiLevelType w:val="hybridMultilevel"/>
    <w:lvl w:ilvl="0">
      <w:lvlJc w:val="left"/>
      <w:lvlText w:val="(%1)"/>
      <w:numFmt w:val="lowerRoman"/>
      <w:start w:val="10"/>
    </w:lvl>
  </w:abstractNum>
  <w:abstractNum w:abstractNumId="14">
    <w:nsid w:val="153EA438"/>
    <w:multiLevelType w:val="hybridMultilevel"/>
    <w:lvl w:ilvl="0">
      <w:lvlJc w:val="left"/>
      <w:lvlText w:val="(%1)"/>
      <w:numFmt w:val="lowerRoman"/>
      <w:start w:val="2"/>
    </w:lvl>
  </w:abstractNum>
  <w:abstractNum w:abstractNumId="15">
    <w:nsid w:val="3855585C"/>
    <w:multiLevelType w:val="hybridMultilevel"/>
    <w:lvl w:ilvl="0">
      <w:lvlJc w:val="left"/>
      <w:lvlText w:val="(%1)"/>
      <w:numFmt w:val="lowerRoman"/>
      <w:start w:val="10"/>
    </w:lvl>
  </w:abstractNum>
  <w:abstractNum w:abstractNumId="16">
    <w:nsid w:val="70A64E2A"/>
    <w:multiLevelType w:val="hybridMultilevel"/>
    <w:lvl w:ilvl="0">
      <w:lvlJc w:val="left"/>
      <w:lvlText w:val="(%1)"/>
      <w:numFmt w:val="lowerLetter"/>
      <w:start w:val="1"/>
    </w:lvl>
  </w:abstractNum>
  <w:abstractNum w:abstractNumId="17">
    <w:nsid w:val="6A2342EC"/>
    <w:multiLevelType w:val="hybridMultilevel"/>
    <w:lvl w:ilvl="0">
      <w:lvlJc w:val="left"/>
      <w:lvlText w:val="(%1)"/>
      <w:numFmt w:val="lowerLetter"/>
      <w:start w:val="2"/>
    </w:lvl>
  </w:abstractNum>
  <w:abstractNum w:abstractNumId="18">
    <w:nsid w:val="2A487CB0"/>
    <w:multiLevelType w:val="hybridMultilevel"/>
    <w:lvl w:ilvl="0">
      <w:lvlJc w:val="left"/>
      <w:lvlText w:val="%1"/>
      <w:numFmt w:val="lowerLetter"/>
      <w:start w:val="1"/>
    </w:lvl>
    <w:lvl w:ilvl="1">
      <w:lvlJc w:val="left"/>
      <w:lvlText w:val="(%2)"/>
      <w:numFmt w:val="lowerLetter"/>
      <w:start w:val="1"/>
    </w:lvl>
  </w:abstractNum>
  <w:abstractNum w:abstractNumId="19">
    <w:nsid w:val="1D4ED43B"/>
    <w:multiLevelType w:val="hybridMultilevel"/>
    <w:lvl w:ilvl="0">
      <w:lvlJc w:val="left"/>
      <w:lvlText w:val="(%1)"/>
      <w:numFmt w:val="lowerLetter"/>
      <w:start w:val="35"/>
    </w:lvl>
    <w:lvl w:ilvl="1">
      <w:lvlJc w:val="left"/>
      <w:lvlText w:val="%2"/>
      <w:numFmt w:val="lowerLetter"/>
      <w:start w:val="1"/>
    </w:lvl>
  </w:abstractNum>
  <w:abstractNum w:abstractNumId="20">
    <w:nsid w:val="725A06FB"/>
    <w:multiLevelType w:val="hybridMultilevel"/>
    <w:lvl w:ilvl="0">
      <w:lvlJc w:val="left"/>
      <w:lvlText w:val="(%1)"/>
      <w:numFmt w:val="lowerLetter"/>
      <w:start w:val="4"/>
    </w:lvl>
  </w:abstractNum>
  <w:abstractNum w:abstractNumId="21">
    <w:nsid w:val="2CD89A32"/>
    <w:multiLevelType w:val="hybridMultilevel"/>
    <w:lvl w:ilvl="0">
      <w:lvlJc w:val="left"/>
      <w:lvlText w:val="(%1)"/>
      <w:numFmt w:val="lowerRoman"/>
      <w:start w:val="2"/>
    </w:lvl>
  </w:abstractNum>
  <w:abstractNum w:abstractNumId="22">
    <w:nsid w:val="57E4CCAF"/>
    <w:multiLevelType w:val="hybridMultilevel"/>
    <w:lvl w:ilvl="0">
      <w:lvlJc w:val="left"/>
      <w:lvlText w:val="(%1)"/>
      <w:numFmt w:val="lowerRoman"/>
      <w:start w:val="1"/>
    </w:lvl>
  </w:abstractNum>
  <w:abstractNum w:abstractNumId="23">
    <w:nsid w:val="7A6D8D3C"/>
    <w:multiLevelType w:val="hybridMultilevel"/>
    <w:lvl w:ilvl="0">
      <w:lvlJc w:val="left"/>
      <w:lvlText w:val="(%1)"/>
      <w:numFmt w:val="decimal"/>
      <w:start w:val="1"/>
    </w:lvl>
  </w:abstractNum>
  <w:abstractNum w:abstractNumId="24">
    <w:nsid w:val="4B588F54"/>
    <w:multiLevelType w:val="hybridMultilevel"/>
    <w:lvl w:ilvl="0">
      <w:lvlJc w:val="left"/>
      <w:lvlText w:val="(%1)"/>
      <w:numFmt w:val="lowerRoman"/>
      <w:start w:val="2"/>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decimal"/>
      <w:start w:val="1"/>
    </w:lvl>
  </w:abstractNum>
  <w:abstractNum w:abstractNumId="29">
    <w:nsid w:val="32FFF902"/>
    <w:multiLevelType w:val="hybridMultilevel"/>
    <w:lvl w:ilvl="0">
      <w:lvlJc w:val="left"/>
      <w:lvlText w:val="(%1)"/>
      <w:numFmt w:val="decimal"/>
      <w:start w:val="2"/>
    </w:lvl>
  </w:abstractNum>
  <w:abstractNum w:abstractNumId="30">
    <w:nsid w:val="684A481A"/>
    <w:multiLevelType w:val="hybridMultilevel"/>
    <w:lvl w:ilvl="0">
      <w:lvlJc w:val="left"/>
      <w:lvlText w:val="(%1)"/>
      <w:numFmt w:val="decimal"/>
      <w:start w:val="3"/>
    </w:lvl>
  </w:abstractNum>
  <w:abstractNum w:abstractNumId="31">
    <w:nsid w:val="579478FE"/>
    <w:multiLevelType w:val="hybridMultilevel"/>
    <w:lvl w:ilvl="0">
      <w:lvlJc w:val="left"/>
      <w:lvlText w:val="(%1)"/>
      <w:numFmt w:val="lowerRoman"/>
      <w:start w:val="2"/>
    </w:lvl>
    <w:lvl w:ilvl="1">
      <w:lvlJc w:val="left"/>
      <w:lvlText w:val="(%2)"/>
      <w:numFmt w:val="decimal"/>
      <w:start w:val="4"/>
    </w:lvl>
  </w:abstractNum>
  <w:abstractNum w:abstractNumId="32">
    <w:nsid w:val="749ABB43"/>
    <w:multiLevelType w:val="hybridMultilevel"/>
    <w:lvl w:ilvl="0">
      <w:lvlJc w:val="left"/>
      <w:lvlText w:val="(%1)"/>
      <w:numFmt w:val="decimal"/>
      <w:start w:val="5"/>
    </w:lvl>
  </w:abstractNum>
  <w:abstractNum w:abstractNumId="33">
    <w:nsid w:val="3DC240FB"/>
    <w:multiLevelType w:val="hybridMultilevel"/>
    <w:lvl w:ilvl="0">
      <w:lvlJc w:val="left"/>
      <w:lvlText w:val="(%1)"/>
      <w:numFmt w:val="decimal"/>
      <w:start w:val="7"/>
    </w:lvl>
  </w:abstractNum>
  <w:abstractNum w:abstractNumId="34">
    <w:nsid w:val="1BA026FA"/>
    <w:multiLevelType w:val="hybridMultilevel"/>
    <w:lvl w:ilvl="0">
      <w:lvlJc w:val="left"/>
      <w:lvlText w:val="(%1)"/>
      <w:numFmt w:val="decimal"/>
      <w:start w:val="9"/>
    </w:lvl>
    <w:lvl w:ilvl="1">
      <w:lvlJc w:val="left"/>
      <w:lvlText w:val="(%2)"/>
      <w:numFmt w:val="lowerRoman"/>
      <w:start w:val="1"/>
    </w:lvl>
  </w:abstractNum>
  <w:abstractNum w:abstractNumId="35">
    <w:nsid w:val="79A1DEAA"/>
    <w:multiLevelType w:val="hybridMultilevel"/>
    <w:lvl w:ilvl="0">
      <w:lvlJc w:val="left"/>
      <w:lvlText w:val="(%1)"/>
      <w:numFmt w:val="lowerRoman"/>
      <w:start w:val="3"/>
    </w:lvl>
  </w:abstractNum>
  <w:abstractNum w:abstractNumId="36">
    <w:nsid w:val="75C6C33A"/>
    <w:multiLevelType w:val="hybridMultilevel"/>
    <w:lvl w:ilvl="0">
      <w:lvlJc w:val="left"/>
      <w:lvlText w:val="(%1)"/>
      <w:numFmt w:val="lowerRoman"/>
      <w:start w:val="1"/>
    </w:lvl>
  </w:abstractNum>
  <w:abstractNum w:abstractNumId="37">
    <w:nsid w:val="12E685FB"/>
    <w:multiLevelType w:val="hybridMultilevel"/>
    <w:lvl w:ilvl="0">
      <w:lvlJc w:val="left"/>
      <w:lvlText w:val="(%1)"/>
      <w:numFmt w:val="lowerRoman"/>
      <w:start w:val="3"/>
    </w:lvl>
  </w:abstractNum>
  <w:abstractNum w:abstractNumId="38">
    <w:nsid w:val="70C6A529"/>
    <w:multiLevelType w:val="hybridMultilevel"/>
    <w:lvl w:ilvl="0">
      <w:lvlJc w:val="left"/>
      <w:lvlText w:val="(%1)"/>
      <w:numFmt w:val="decimal"/>
      <w:start w:val="12"/>
    </w:lvl>
  </w:abstractNum>
  <w:abstractNum w:abstractNumId="39">
    <w:nsid w:val="520EEDD1"/>
    <w:multiLevelType w:val="hybridMultilevel"/>
    <w:lvl w:ilvl="0">
      <w:lvlJc w:val="left"/>
      <w:lvlText w:val="(%1)"/>
      <w:numFmt w:val="decimal"/>
      <w:start w:val="14"/>
    </w:lvl>
  </w:abstractNum>
  <w:abstractNum w:abstractNumId="40">
    <w:nsid w:val="374A3FE6"/>
    <w:multiLevelType w:val="hybridMultilevel"/>
    <w:lvl w:ilvl="0">
      <w:lvlJc w:val="left"/>
      <w:lvlText w:val="(%1)"/>
      <w:numFmt w:val="decimal"/>
      <w:start w:val="15"/>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lowerLetter"/>
      <w:start w:val="1"/>
    </w:lvl>
    <w:lvl w:ilvl="1">
      <w:lvlJc w:val="left"/>
      <w:lvlText w:val="(%2)"/>
      <w:numFmt w:val="lowerLetter"/>
      <w:start w:val="2"/>
    </w:lvl>
  </w:abstractNum>
  <w:abstractNum w:abstractNumId="43">
    <w:nsid w:val="649BB77C"/>
    <w:multiLevelType w:val="hybridMultilevel"/>
    <w:lvl w:ilvl="0">
      <w:lvlJc w:val="left"/>
      <w:lvlText w:val="(%1)"/>
      <w:numFmt w:val="lowerLetter"/>
      <w:start w:val="9"/>
    </w:lvl>
    <w:lvl w:ilvl="1">
      <w:lvlJc w:val="left"/>
      <w:lvlText w:val="%2"/>
      <w:numFmt w:val="lowerLetter"/>
      <w:start w:val="1"/>
    </w:lvl>
  </w:abstractNum>
  <w:abstractNum w:abstractNumId="44">
    <w:nsid w:val="275AC794"/>
    <w:multiLevelType w:val="hybridMultilevel"/>
    <w:lvl w:ilvl="0">
      <w:lvlJc w:val="left"/>
      <w:lvlText w:val="(%1)"/>
      <w:numFmt w:val="lowerLetter"/>
      <w:start w:val="2"/>
    </w:lvl>
    <w:lvl w:ilvl="1">
      <w:lvlJc w:val="left"/>
      <w:lvlText w:val="%2"/>
      <w:numFmt w:val="lowerLetter"/>
      <w:start w:val="1"/>
    </w:lvl>
  </w:abstractNum>
  <w:abstractNum w:abstractNumId="45">
    <w:nsid w:val="39386575"/>
    <w:multiLevelType w:val="hybridMultilevel"/>
    <w:lvl w:ilvl="0">
      <w:lvlJc w:val="left"/>
      <w:lvlText w:val="%1"/>
      <w:numFmt w:val="lowerLetter"/>
      <w:start w:val="1"/>
    </w:lvl>
    <w:lvl w:ilvl="1">
      <w:lvlJc w:val="left"/>
      <w:lvlText w:val="(%2)"/>
      <w:numFmt w:val="lowerLetter"/>
      <w:start w:val="3"/>
    </w:lvl>
  </w:abstractNum>
  <w:abstractNum w:abstractNumId="46">
    <w:nsid w:val="1CF10FD8"/>
    <w:multiLevelType w:val="hybridMultilevel"/>
    <w:lvl w:ilvl="0">
      <w:lvlJc w:val="left"/>
      <w:lvlText w:val="(%1)"/>
      <w:numFmt w:val="lowerLetter"/>
      <w:start w:val="35"/>
    </w:lvl>
    <w:lvl w:ilvl="1">
      <w:lvlJc w:val="left"/>
      <w:lvlText w:val="(%2)"/>
      <w:numFmt w:val="lowerLetter"/>
      <w:start w:val="4"/>
    </w:lvl>
  </w:abstractNum>
  <w:abstractNum w:abstractNumId="47">
    <w:nsid w:val="180115BE"/>
    <w:multiLevelType w:val="hybridMultilevel"/>
    <w:lvl w:ilvl="0">
      <w:lvlJc w:val="left"/>
      <w:lvlText w:val="(%1)"/>
      <w:numFmt w:val="lowerLetter"/>
      <w:start w:val="5"/>
    </w:lvl>
  </w:abstractNum>
  <w:abstractNum w:abstractNumId="48">
    <w:nsid w:val="235BA861"/>
    <w:multiLevelType w:val="hybridMultilevel"/>
    <w:lvl w:ilvl="0">
      <w:lvlJc w:val="left"/>
      <w:lvlText w:val="(%1)"/>
      <w:numFmt w:val="decimal"/>
      <w:start w:val="16"/>
    </w:lvl>
  </w:abstractNum>
  <w:abstractNum w:abstractNumId="49">
    <w:nsid w:val="47398C89"/>
    <w:multiLevelType w:val="hybridMultilevel"/>
    <w:lvl w:ilvl="0">
      <w:lvlJc w:val="left"/>
      <w:lvlText w:val="(%1)"/>
      <w:numFmt w:val="decimal"/>
      <w:start w:val="17"/>
    </w:lvl>
  </w:abstractNum>
  <w:abstractNum w:abstractNumId="50">
    <w:nsid w:val="354FE9F9"/>
    <w:multiLevelType w:val="hybridMultilevel"/>
    <w:lvl w:ilvl="0">
      <w:lvlJc w:val="left"/>
      <w:lvlText w:val="%1"/>
      <w:numFmt w:val="lowerRoman"/>
      <w:start w:val="1"/>
    </w:lvl>
    <w:lvl w:ilvl="1">
      <w:lvlJc w:val="left"/>
      <w:lvlText w:val="(%2)"/>
      <w:numFmt w:val="decimal"/>
      <w:start w:val="19"/>
    </w:lvl>
  </w:abstractNum>
  <w:abstractNum w:abstractNumId="51">
    <w:nsid w:val="15B5AF5C"/>
    <w:multiLevelType w:val="hybridMultilevel"/>
    <w:lvl w:ilvl="0">
      <w:lvlJc w:val="left"/>
      <w:lvlText w:val="(%1)"/>
      <w:numFmt w:val="lowerRoman"/>
      <w:start w:val="2"/>
    </w:lvl>
    <w:lvl w:ilvl="1">
      <w:lvlJc w:val="left"/>
      <w:lvlText w:val="%2"/>
      <w:numFmt w:val="decimal"/>
      <w:start w:val="1"/>
    </w:lvl>
  </w:abstractNum>
  <w:abstractNum w:abstractNumId="52">
    <w:nsid w:val="741226BB"/>
    <w:multiLevelType w:val="hybridMultilevel"/>
    <w:lvl w:ilvl="0">
      <w:lvlJc w:val="left"/>
      <w:lvlText w:val="(%1)"/>
      <w:numFmt w:val="lowerRoman"/>
      <w:start w:val="2"/>
    </w:lvl>
    <w:lvl w:ilvl="1">
      <w:lvlJc w:val="left"/>
      <w:lvlText w:val="%2"/>
      <w:numFmt w:val="decimal"/>
      <w:start w:val="1"/>
    </w:lvl>
  </w:abstractNum>
  <w:abstractNum w:abstractNumId="53">
    <w:nsid w:val="D34B6A8"/>
    <w:multiLevelType w:val="hybridMultilevel"/>
    <w:lvl w:ilvl="0">
      <w:lvlJc w:val="left"/>
      <w:lvlText w:val="(%1)"/>
      <w:numFmt w:val="decimal"/>
      <w:start w:val="20"/>
    </w:lvl>
  </w:abstractNum>
  <w:abstractNum w:abstractNumId="54">
    <w:nsid w:val="10233C99"/>
    <w:multiLevelType w:val="hybridMultilevel"/>
    <w:lvl w:ilvl="0">
      <w:lvlJc w:val="left"/>
      <w:lvlText w:val="(%1)"/>
      <w:numFmt w:val="decimal"/>
      <w:start w:val="21"/>
    </w:lvl>
  </w:abstractNum>
  <w:abstractNum w:abstractNumId="55">
    <w:nsid w:val="3F6AB60F"/>
    <w:multiLevelType w:val="hybridMultilevel"/>
    <w:lvl w:ilvl="0">
      <w:lvlJc w:val="left"/>
      <w:lvlText w:val="(%1)"/>
      <w:numFmt w:val="decimal"/>
      <w:start w:val="22"/>
    </w:lvl>
  </w:abstractNum>
  <w:abstractNum w:abstractNumId="56">
    <w:nsid w:val="61574095"/>
    <w:multiLevelType w:val="hybridMultilevel"/>
    <w:lvl w:ilvl="0">
      <w:lvlJc w:val="left"/>
      <w:lvlText w:val="%1"/>
      <w:numFmt w:val="lowerRoman"/>
      <w:start w:val="1"/>
    </w:lvl>
    <w:lvl w:ilvl="1">
      <w:lvlJc w:val="left"/>
      <w:lvlText w:val="(%2)"/>
      <w:numFmt w:val="decimal"/>
      <w:start w:val="23"/>
    </w:lvl>
  </w:abstractNum>
  <w:abstractNum w:abstractNumId="57">
    <w:nsid w:val="7E0C57B1"/>
    <w:multiLevelType w:val="hybridMultilevel"/>
    <w:lvl w:ilvl="0">
      <w:lvlJc w:val="left"/>
      <w:lvlText w:val="(%1)"/>
      <w:numFmt w:val="lowerRoman"/>
      <w:start w:val="2"/>
    </w:lvl>
    <w:lvl w:ilvl="1">
      <w:lvlJc w:val="left"/>
      <w:lvlText w:val="%2"/>
      <w:numFmt w:val="decimal"/>
      <w:start w:val="1"/>
    </w:lvl>
  </w:abstractNum>
  <w:abstractNum w:abstractNumId="58">
    <w:nsid w:val="77AE35EB"/>
    <w:multiLevelType w:val="hybridMultilevel"/>
    <w:lvl w:ilvl="0">
      <w:lvlJc w:val="left"/>
      <w:lvlText w:val="(%1)"/>
      <w:numFmt w:val="decimal"/>
      <w:start w:val="25"/>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2"/>
    </w:lvl>
  </w:abstractNum>
  <w:abstractNum w:abstractNumId="61">
    <w:nsid w:val="5FF87E05"/>
    <w:multiLevelType w:val="hybridMultilevel"/>
    <w:lvl w:ilvl="0">
      <w:lvlJc w:val="left"/>
      <w:lvlText w:val="%1"/>
      <w:numFmt w:val="lowerRoman"/>
      <w:start w:val="1"/>
    </w:lvl>
    <w:lvl w:ilvl="1">
      <w:lvlJc w:val="left"/>
      <w:lvlText w:val="(%2)"/>
      <w:numFmt w:val="decimal"/>
      <w:start w:val="26"/>
    </w:lvl>
  </w:abstractNum>
  <w:abstractNum w:abstractNumId="62">
    <w:nsid w:val="2F305DEF"/>
    <w:multiLevelType w:val="hybridMultilevel"/>
    <w:lvl w:ilvl="0">
      <w:lvlJc w:val="left"/>
      <w:lvlText w:val="(%1)"/>
      <w:numFmt w:val="lowerRoman"/>
      <w:start w:val="4"/>
    </w:lvl>
    <w:lvl w:ilvl="1">
      <w:lvlJc w:val="left"/>
      <w:lvlText w:val="(%2)"/>
      <w:numFmt w:val="decimal"/>
      <w:start w:val="27"/>
    </w:lvl>
  </w:abstractNum>
  <w:abstractNum w:abstractNumId="63">
    <w:nsid w:val="25A70BF7"/>
    <w:multiLevelType w:val="hybridMultilevel"/>
    <w:lvl w:ilvl="0">
      <w:lvlJc w:val="left"/>
      <w:lvlText w:val="%1."/>
      <w:numFmt w:val="upperLetter"/>
      <w:start w:val="9"/>
    </w:lvl>
  </w:abstractNum>
  <w:abstractNum w:abstractNumId="64">
    <w:nsid w:val="1DBABF00"/>
    <w:multiLevelType w:val="hybridMultilevel"/>
    <w:lvl w:ilvl="0">
      <w:lvlJc w:val="left"/>
      <w:lvlText w:val="%1."/>
      <w:numFmt w:val="upperLetter"/>
      <w:start w:val="35"/>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2023-10-19T14:59:29Z</dcterms:created>
  <dcterms:modified xsi:type="dcterms:W3CDTF">2023-10-19T14:59:29Z</dcterms:modified>
</cp:coreProperties>
</file>