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880"/>
        <w:spacing w:after="0"/>
        <w:rPr>
          <w:sz w:val="20"/>
          <w:szCs w:val="20"/>
          <w:color w:val="auto"/>
        </w:rPr>
      </w:pPr>
      <w:r>
        <w:rPr>
          <w:rFonts w:ascii="Times New Roman" w:cs="Times New Roman" w:eastAsia="Times New Roman" w:hAnsi="Times New Roman"/>
          <w:sz w:val="18"/>
          <w:szCs w:val="18"/>
          <w:color w:val="auto"/>
        </w:rPr>
        <w:t>Hogan Lovells</w:t>
      </w:r>
    </w:p>
    <w:p>
      <w:pPr>
        <w:spacing w:after="0" w:line="27"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7"/>
          <w:szCs w:val="17"/>
          <w:color w:val="auto"/>
        </w:rPr>
        <w:t>11th Floor, One Pacific Place</w:t>
      </w:r>
    </w:p>
    <w:p>
      <w:pPr>
        <w:spacing w:after="0" w:line="21"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88 Queensway</w:t>
      </w:r>
    </w:p>
    <w:p>
      <w:pPr>
        <w:spacing w:after="0" w:line="9"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Hong Kong</w:t>
      </w:r>
    </w:p>
    <w:p>
      <w:pPr>
        <w:spacing w:after="0" w:line="227" w:lineRule="exact"/>
        <w:rPr>
          <w:sz w:val="24"/>
          <w:szCs w:val="24"/>
          <w:color w:val="auto"/>
        </w:rPr>
      </w:pPr>
    </w:p>
    <w:p>
      <w:pPr>
        <w:ind w:left="7880"/>
        <w:spacing w:after="0" w:line="216" w:lineRule="exact"/>
        <w:rPr>
          <w:sz w:val="20"/>
          <w:szCs w:val="20"/>
          <w:color w:val="auto"/>
        </w:rPr>
      </w:pPr>
      <w:r>
        <w:rPr>
          <w:rFonts w:ascii="PMingLiU" w:cs="PMingLiU" w:eastAsia="PMingLiU" w:hAnsi="PMingLiU"/>
          <w:sz w:val="18"/>
          <w:szCs w:val="18"/>
          <w:color w:val="auto"/>
        </w:rPr>
        <w:t>霍金路偉律師行</w:t>
      </w:r>
    </w:p>
    <w:p>
      <w:pPr>
        <w:spacing w:after="0" w:line="20" w:lineRule="exact"/>
        <w:rPr>
          <w:sz w:val="24"/>
          <w:szCs w:val="24"/>
          <w:color w:val="auto"/>
        </w:rPr>
      </w:pPr>
    </w:p>
    <w:p>
      <w:pPr>
        <w:ind w:left="7880" w:right="1820" w:hanging="7879"/>
        <w:spacing w:after="0" w:line="239" w:lineRule="exact"/>
        <w:tabs>
          <w:tab w:leader="none" w:pos="7860" w:val="left"/>
        </w:tabs>
        <w:rPr>
          <w:sz w:val="20"/>
          <w:szCs w:val="20"/>
          <w:color w:val="auto"/>
        </w:rPr>
      </w:pPr>
      <w:r>
        <w:rPr>
          <w:rFonts w:ascii="PMingLiU" w:cs="PMingLiU" w:eastAsia="PMingLiU" w:hAnsi="PMingLiU"/>
          <w:sz w:val="17"/>
          <w:szCs w:val="17"/>
          <w:color w:val="auto"/>
        </w:rPr>
        <w:t>霍金路偉律師行</w:t>
      </w:r>
      <w:r>
        <w:rPr>
          <w:sz w:val="20"/>
          <w:szCs w:val="20"/>
          <w:color w:val="auto"/>
        </w:rPr>
        <w:tab/>
      </w:r>
      <w:r>
        <w:rPr>
          <w:rFonts w:ascii="PMingLiU" w:cs="PMingLiU" w:eastAsia="PMingLiU" w:hAnsi="PMingLiU"/>
          <w:sz w:val="17"/>
          <w:szCs w:val="17"/>
          <w:color w:val="auto"/>
        </w:rPr>
        <w:t>香港金鐘道</w:t>
      </w:r>
      <w:r>
        <w:rPr>
          <w:rFonts w:ascii="Times New Roman" w:cs="Times New Roman" w:eastAsia="Times New Roman" w:hAnsi="Times New Roman"/>
          <w:sz w:val="17"/>
          <w:szCs w:val="17"/>
          <w:color w:val="auto"/>
        </w:rPr>
        <w:t>88</w:t>
      </w:r>
      <w:r>
        <w:rPr>
          <w:rFonts w:ascii="PMingLiU" w:cs="PMingLiU" w:eastAsia="PMingLiU" w:hAnsi="PMingLiU"/>
          <w:sz w:val="17"/>
          <w:szCs w:val="17"/>
          <w:color w:val="auto"/>
        </w:rPr>
        <w:t>號太古廣場一座</w:t>
      </w:r>
      <w:r>
        <w:rPr>
          <w:rFonts w:ascii="Times New Roman" w:cs="Times New Roman" w:eastAsia="Times New Roman" w:hAnsi="Times New Roman"/>
          <w:sz w:val="17"/>
          <w:szCs w:val="17"/>
          <w:color w:val="auto"/>
        </w:rPr>
        <w:t>11</w:t>
      </w:r>
      <w:r>
        <w:rPr>
          <w:rFonts w:ascii="PMingLiU" w:cs="PMingLiU" w:eastAsia="PMingLiU" w:hAnsi="PMingLiU"/>
          <w:sz w:val="17"/>
          <w:szCs w:val="17"/>
          <w:color w:val="auto"/>
        </w:rPr>
        <w:t>樓</w:t>
      </w:r>
    </w:p>
    <w:p>
      <w:pPr>
        <w:spacing w:after="0" w:line="225" w:lineRule="exact"/>
        <w:rPr>
          <w:sz w:val="24"/>
          <w:szCs w:val="24"/>
          <w:color w:val="auto"/>
        </w:rPr>
      </w:pPr>
    </w:p>
    <w:p>
      <w:pPr>
        <w:ind w:left="7880"/>
        <w:spacing w:after="0" w:line="207" w:lineRule="exact"/>
        <w:tabs>
          <w:tab w:leader="none" w:pos="8100" w:val="left"/>
        </w:tabs>
        <w:rPr>
          <w:sz w:val="20"/>
          <w:szCs w:val="20"/>
          <w:color w:val="auto"/>
        </w:rPr>
      </w:pPr>
      <w:r>
        <w:rPr>
          <w:rFonts w:ascii="Times New Roman" w:cs="Times New Roman" w:eastAsia="Times New Roman" w:hAnsi="Times New Roman"/>
          <w:sz w:val="18"/>
          <w:szCs w:val="18"/>
          <w:color w:val="auto"/>
        </w:rPr>
        <w:t>T</w:t>
      </w:r>
      <w:r>
        <w:rPr>
          <w:sz w:val="20"/>
          <w:szCs w:val="20"/>
          <w:color w:val="auto"/>
        </w:rPr>
        <w:tab/>
      </w:r>
      <w:r>
        <w:rPr>
          <w:rFonts w:ascii="PMingLiU" w:cs="PMingLiU" w:eastAsia="PMingLiU" w:hAnsi="PMingLiU"/>
          <w:sz w:val="17"/>
          <w:szCs w:val="17"/>
          <w:color w:val="auto"/>
        </w:rPr>
        <w:t xml:space="preserve">電話 </w:t>
      </w:r>
      <w:r>
        <w:rPr>
          <w:rFonts w:ascii="Times New Roman" w:cs="Times New Roman" w:eastAsia="Times New Roman" w:hAnsi="Times New Roman"/>
          <w:sz w:val="17"/>
          <w:szCs w:val="17"/>
          <w:color w:val="auto"/>
        </w:rPr>
        <w:t>+852 2219 0888</w:t>
      </w:r>
    </w:p>
    <w:p>
      <w:pPr>
        <w:spacing w:after="0" w:line="36" w:lineRule="exact"/>
        <w:rPr>
          <w:sz w:val="24"/>
          <w:szCs w:val="24"/>
          <w:color w:val="auto"/>
        </w:rPr>
      </w:pPr>
    </w:p>
    <w:p>
      <w:pPr>
        <w:ind w:left="7880"/>
        <w:spacing w:after="0" w:line="207" w:lineRule="exact"/>
        <w:tabs>
          <w:tab w:leader="none" w:pos="810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PMingLiU" w:cs="PMingLiU" w:eastAsia="PMingLiU" w:hAnsi="PMingLiU"/>
          <w:sz w:val="17"/>
          <w:szCs w:val="17"/>
          <w:color w:val="auto"/>
        </w:rPr>
        <w:t xml:space="preserve">傳真 </w:t>
      </w:r>
      <w:r>
        <w:rPr>
          <w:rFonts w:ascii="Times New Roman" w:cs="Times New Roman" w:eastAsia="Times New Roman" w:hAnsi="Times New Roman"/>
          <w:sz w:val="17"/>
          <w:szCs w:val="17"/>
          <w:color w:val="auto"/>
        </w:rPr>
        <w:t>+852 2219 0222</w:t>
      </w:r>
    </w:p>
    <w:p>
      <w:pPr>
        <w:spacing w:after="0" w:line="27"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DX No 225017 Wanchai 1</w:t>
      </w:r>
    </w:p>
    <w:p>
      <w:pPr>
        <w:spacing w:after="0" w:line="23"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8"/>
          <w:szCs w:val="18"/>
          <w:color w:val="auto"/>
        </w:rPr>
        <w:t>www.hoganlovells.com</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19,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Mr. Stephen Kim</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Angela Lumley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Trident Digital Tech Holdings Ltd (CIK No. 0001983550)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Registration Statement on Form F-1</w:t>
      </w:r>
    </w:p>
    <w:p>
      <w:pPr>
        <w:sectPr>
          <w:pgSz w:w="11900" w:h="16838" w:orient="portrait"/>
          <w:cols w:equalWidth="0" w:num="1">
            <w:col w:w="11100"/>
          </w:cols>
          <w:pgMar w:left="320" w:top="229" w:right="47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Kim and Ms. Lumley,</w:t>
      </w:r>
    </w:p>
    <w:p>
      <w:pPr>
        <w:spacing w:after="0" w:line="225" w:lineRule="exact"/>
        <w:rPr>
          <w:sz w:val="24"/>
          <w:szCs w:val="24"/>
          <w:color w:val="auto"/>
        </w:rPr>
      </w:pPr>
    </w:p>
    <w:p>
      <w:pPr>
        <w:jc w:val="both"/>
        <w:ind w:firstLine="480"/>
        <w:spacing w:after="0" w:line="266" w:lineRule="auto"/>
        <w:rPr>
          <w:sz w:val="20"/>
          <w:szCs w:val="20"/>
          <w:color w:val="auto"/>
        </w:rPr>
      </w:pPr>
      <w:r>
        <w:rPr>
          <w:rFonts w:ascii="Times New Roman" w:cs="Times New Roman" w:eastAsia="Times New Roman" w:hAnsi="Times New Roman"/>
          <w:sz w:val="18"/>
          <w:szCs w:val="18"/>
          <w:color w:val="auto"/>
        </w:rPr>
        <w:t>On behalf of our client, Trident Digital Tech Holdings Ltd, a company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we are filing herewith Amendment No. 3 to the Company’s registration statement on Form F-1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certain exhibits via EDGAR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jc w:val="both"/>
        <w:ind w:firstLine="480"/>
        <w:spacing w:after="0" w:line="256" w:lineRule="auto"/>
        <w:rPr>
          <w:sz w:val="20"/>
          <w:szCs w:val="20"/>
          <w:color w:val="auto"/>
        </w:rPr>
      </w:pPr>
      <w:r>
        <w:rPr>
          <w:rFonts w:ascii="Times New Roman" w:cs="Times New Roman" w:eastAsia="Times New Roman" w:hAnsi="Times New Roman"/>
          <w:sz w:val="18"/>
          <w:szCs w:val="18"/>
          <w:color w:val="auto"/>
        </w:rPr>
        <w:t>The Registration Statement contains the Company’s audited financial statements prepared in accordance with accounting principles generally accepted in the United States of America for the year ended December 31, 2022 and unaudited financial statements for the six months ended June 30, 2023. The Company has included as Exhibit 99.8 to the Registration Statement a letter in which the Company makes the representations to the Commission required by Instruction 2 to Item 8.A.4 of Form 20-F, which states that in the case of a company’s initial public offering, a company may comply with only the 15-month requirement in Item 8.A.4 of Form 20-F if the company is able to make the representations specified by Instruction 2 to Item 8.A.4 of Form 20-F.</w:t>
      </w:r>
    </w:p>
    <w:p>
      <w:pPr>
        <w:spacing w:after="0" w:line="187" w:lineRule="exact"/>
        <w:rPr>
          <w:sz w:val="24"/>
          <w:szCs w:val="24"/>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auto"/>
        </w:rPr>
        <w:t>Should you have any questions regarding the Registration Statement, please contact me by telephone at (852) 2840 5026 (office) or via email at stephanie.tang@hoganlovells.com. Questions relating to accounting and auditing matters of the Company may also be directed to Chris Zhao, partner at Marcum Asia CPAs LLP (“Marcum”), by telephone at (86) 139 2605 0901 or via email at chris.zhao@marumasia.com. Marcum is the independent registered public accounting firm of the Company.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Stephanie Tang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Stephanie Tang</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4"/>
          <w:szCs w:val="24"/>
          <w:color w:val="auto"/>
        </w:rPr>
      </w:pPr>
    </w:p>
    <w:p>
      <w:pPr>
        <w:ind w:left="460" w:right="3620" w:hanging="452"/>
        <w:spacing w:after="0" w:line="261"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Soon Huat Lim, Chief Executive Officer, Trident Digital Tech Holdings Ltd Chris Zhao, Partner, Marcum Asia CPAs LLP</w:t>
      </w:r>
    </w:p>
    <w:p>
      <w:pPr>
        <w:ind w:left="460" w:right="39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Ross David Carmel, Esq., Partner, Sichenzia Ross Ference Carmel LLP Barry P. Biggar, Esq., Partner, Sichenzia Ross Ference Carmel LLP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Partners</w:t>
      </w:r>
    </w:p>
    <w:p>
      <w:pPr>
        <w:spacing w:after="0" w:line="16" w:lineRule="exact"/>
        <w:rPr>
          <w:sz w:val="24"/>
          <w:szCs w:val="24"/>
          <w:color w:val="auto"/>
        </w:rPr>
      </w:pPr>
    </w:p>
    <w:p>
      <w:pPr>
        <w:ind w:left="161" w:hanging="161"/>
        <w:spacing w:after="0"/>
        <w:tabs>
          <w:tab w:leader="none" w:pos="161"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Lin</w:t>
      </w:r>
    </w:p>
    <w:p>
      <w:pPr>
        <w:ind w:left="1" w:right="40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 Chan D Y C So C J Dobby</w:t>
      </w:r>
    </w:p>
    <w:p>
      <w:pPr>
        <w:ind w:left="1" w:right="160" w:hanging="1"/>
        <w:spacing w:after="0" w:line="238" w:lineRule="auto"/>
        <w:tabs>
          <w:tab w:leader="none" w:pos="154"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 R Parsons N W O Tang E I Low*</w:t>
      </w:r>
    </w:p>
    <w:p>
      <w:pPr>
        <w:ind w:left="1" w:right="460"/>
        <w:spacing w:after="0" w:line="23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 P Kwan S K S Li</w:t>
      </w:r>
    </w:p>
    <w:p>
      <w:pPr>
        <w:jc w:val="both"/>
        <w:ind w:left="1" w:right="280"/>
        <w:spacing w:after="0" w:line="24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 H S Leung A J McGinty J E M Leitch B A Phillips T Liu</w:t>
      </w:r>
    </w:p>
    <w:p>
      <w:pPr>
        <w:spacing w:after="0" w:line="119"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Counsel</w:t>
      </w:r>
    </w:p>
    <w:p>
      <w:pPr>
        <w:spacing w:after="0" w:line="17" w:lineRule="exact"/>
        <w:rPr>
          <w:sz w:val="24"/>
          <w:szCs w:val="24"/>
          <w:color w:val="auto"/>
        </w:rPr>
      </w:pPr>
    </w:p>
    <w:p>
      <w:pPr>
        <w:ind w:left="1" w:right="180"/>
        <w:spacing w:after="0" w:line="238" w:lineRule="auto"/>
        <w:rPr>
          <w:sz w:val="20"/>
          <w:szCs w:val="20"/>
          <w:color w:val="auto"/>
        </w:rPr>
      </w:pPr>
      <w:r>
        <w:rPr>
          <w:rFonts w:ascii="Times New Roman" w:cs="Times New Roman" w:eastAsia="Times New Roman" w:hAnsi="Times New Roman"/>
          <w:sz w:val="13"/>
          <w:szCs w:val="13"/>
          <w:color w:val="auto"/>
        </w:rPr>
        <w:t>A D E Cobden J S F Yim</w:t>
      </w:r>
    </w:p>
    <w:p>
      <w:pPr>
        <w:spacing w:after="0" w:line="1" w:lineRule="exact"/>
        <w:rPr>
          <w:sz w:val="24"/>
          <w:szCs w:val="24"/>
          <w:color w:val="auto"/>
        </w:rPr>
      </w:pPr>
    </w:p>
    <w:p>
      <w:pPr>
        <w:ind w:left="1" w:right="540" w:hanging="1"/>
        <w:spacing w:after="0" w:line="238" w:lineRule="auto"/>
        <w:tabs>
          <w:tab w:leader="none" w:pos="8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Leung D Lau S Suen</w:t>
      </w:r>
    </w:p>
    <w:p>
      <w:pPr>
        <w:ind w:left="81" w:hanging="81"/>
        <w:spacing w:after="0"/>
        <w:tabs>
          <w:tab w:leader="none" w:pos="81"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Cheng</w:t>
      </w:r>
    </w:p>
    <w:p>
      <w:pPr>
        <w:spacing w:after="0" w:line="130"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Foreign Legal</w:t>
      </w:r>
    </w:p>
    <w:p>
      <w:pPr>
        <w:spacing w:after="0" w:line="1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Consultants</w:t>
      </w:r>
    </w:p>
    <w:p>
      <w:pPr>
        <w:ind w:left="1"/>
        <w:spacing w:after="0"/>
        <w:rPr>
          <w:sz w:val="20"/>
          <w:szCs w:val="20"/>
          <w:color w:val="auto"/>
        </w:rPr>
      </w:pPr>
      <w:r>
        <w:rPr>
          <w:rFonts w:ascii="Times New Roman" w:cs="Times New Roman" w:eastAsia="Times New Roman" w:hAnsi="Times New Roman"/>
          <w:sz w:val="13"/>
          <w:szCs w:val="13"/>
          <w:color w:val="auto"/>
        </w:rPr>
        <w:t>S Tang</w:t>
      </w:r>
    </w:p>
    <w:p>
      <w:pPr>
        <w:ind w:left="1"/>
        <w:spacing w:after="0"/>
        <w:rPr>
          <w:sz w:val="20"/>
          <w:szCs w:val="20"/>
          <w:color w:val="auto"/>
        </w:rPr>
      </w:pPr>
      <w:r>
        <w:rPr>
          <w:rFonts w:ascii="Times New Roman" w:cs="Times New Roman" w:eastAsia="Times New Roman" w:hAnsi="Times New Roman"/>
          <w:sz w:val="13"/>
          <w:szCs w:val="13"/>
          <w:color w:val="auto"/>
        </w:rPr>
        <w:t>(New York, USA)</w:t>
      </w:r>
    </w:p>
    <w:p>
      <w:pPr>
        <w:ind w:left="1" w:right="60" w:hanging="1"/>
        <w:spacing w:after="0" w:line="247" w:lineRule="auto"/>
        <w:tabs>
          <w:tab w:leader="none" w:pos="124"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Kostrzewa (District of Columbia, USA)</w:t>
      </w:r>
    </w:p>
    <w:p>
      <w:pPr>
        <w:spacing w:after="0" w:line="118" w:lineRule="exact"/>
        <w:rPr>
          <w:sz w:val="24"/>
          <w:szCs w:val="24"/>
          <w:color w:val="auto"/>
        </w:rPr>
      </w:pPr>
    </w:p>
    <w:p>
      <w:pPr>
        <w:ind w:left="1"/>
        <w:spacing w:after="0"/>
        <w:rPr>
          <w:sz w:val="20"/>
          <w:szCs w:val="20"/>
          <w:color w:val="auto"/>
        </w:rPr>
      </w:pPr>
      <w:r>
        <w:rPr>
          <w:rFonts w:ascii="Times New Roman" w:cs="Times New Roman" w:eastAsia="Times New Roman" w:hAnsi="Times New Roman"/>
          <w:sz w:val="13"/>
          <w:szCs w:val="13"/>
          <w:color w:val="auto"/>
        </w:rPr>
        <w:t>*Notary Public</w:t>
      </w:r>
    </w:p>
    <w:sectPr>
      <w:pgSz w:w="11900" w:h="16838" w:orient="portrait"/>
      <w:cols w:equalWidth="0" w:num="2">
        <w:col w:w="9560" w:space="559"/>
        <w:col w:w="981"/>
      </w:cols>
      <w:pgMar w:left="320" w:top="22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9"/>
    </w:lvl>
  </w:abstractNum>
  <w:abstractNum w:abstractNumId="1">
    <w:nsid w:val="19495CFF"/>
    <w:multiLevelType w:val="hybridMultilevel"/>
    <w:lvl w:ilvl="0">
      <w:lvlJc w:val="left"/>
      <w:lvlText w:val="M"/>
      <w:numFmt w:val="bullet"/>
      <w:start w:val="1"/>
    </w:lvl>
  </w:abstractNum>
  <w:abstractNum w:abstractNumId="2">
    <w:nsid w:val="2AE8944A"/>
    <w:multiLevelType w:val="hybridMultilevel"/>
    <w:lvl w:ilvl="0">
      <w:lvlJc w:val="left"/>
      <w:lvlText w:val="J"/>
      <w:numFmt w:val="bullet"/>
      <w:start w:val="1"/>
    </w:lvl>
  </w:abstractNum>
  <w:abstractNum w:abstractNumId="3">
    <w:nsid w:val="625558EC"/>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2024-10-07T23:12:59Z</dcterms:created>
  <dcterms:modified xsi:type="dcterms:W3CDTF">2024-10-07T23:12:59Z</dcterms:modified>
</cp:coreProperties>
</file>