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Trident Digital Tech Holdings Ltd (CIK No. 0001983550)</w:t>
      </w:r>
    </w:p>
    <w:p>
      <w:pPr>
        <w:spacing w:after="0" w:line="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Mr. King, Mr. Kim and Ms. Lumley,</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9" w:right="1040" w:hanging="9"/>
        <w:spacing w:after="0" w:line="290" w:lineRule="auto"/>
        <w:tabs>
          <w:tab w:leader="none" w:pos="23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Queensway Hong Kong</w:t>
      </w:r>
    </w:p>
    <w:p>
      <w:pPr>
        <w:spacing w:after="0" w:line="178" w:lineRule="exact"/>
        <w:rPr>
          <w:sz w:val="24"/>
          <w:szCs w:val="24"/>
          <w:color w:val="auto"/>
        </w:rPr>
      </w:pPr>
    </w:p>
    <w:p>
      <w:pPr>
        <w:ind w:left="9"/>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 w:lineRule="exact"/>
        <w:rPr>
          <w:sz w:val="24"/>
          <w:szCs w:val="24"/>
          <w:color w:val="auto"/>
        </w:rPr>
      </w:pPr>
    </w:p>
    <w:p>
      <w:pPr>
        <w:ind w:left="9"/>
        <w:spacing w:after="0" w:line="219" w:lineRule="exact"/>
        <w:rPr>
          <w:sz w:val="20"/>
          <w:szCs w:val="20"/>
          <w:color w:val="auto"/>
        </w:rPr>
      </w:pPr>
      <w:r>
        <w:rPr>
          <w:rFonts w:ascii="PMingLiU" w:cs="PMingLiU" w:eastAsia="PMingLiU" w:hAnsi="PMingLiU"/>
          <w:sz w:val="18"/>
          <w:szCs w:val="18"/>
          <w:color w:val="auto"/>
        </w:rPr>
        <w:t>香港金鐘道</w:t>
      </w:r>
      <w:r>
        <w:rPr>
          <w:rFonts w:ascii="Times New Roman" w:cs="Times New Roman" w:eastAsia="Times New Roman" w:hAnsi="Times New Roman"/>
          <w:sz w:val="18"/>
          <w:szCs w:val="18"/>
          <w:color w:val="auto"/>
        </w:rPr>
        <w:t xml:space="preserve"> 88 </w:t>
      </w:r>
      <w:r>
        <w:rPr>
          <w:rFonts w:ascii="PMingLiU" w:cs="PMingLiU" w:eastAsia="PMingLiU" w:hAnsi="PMingLiU"/>
          <w:sz w:val="18"/>
          <w:szCs w:val="18"/>
          <w:color w:val="auto"/>
        </w:rPr>
        <w:t>號</w:t>
      </w:r>
    </w:p>
    <w:p>
      <w:pPr>
        <w:spacing w:after="0" w:line="24" w:lineRule="exact"/>
        <w:rPr>
          <w:sz w:val="24"/>
          <w:szCs w:val="24"/>
          <w:color w:val="auto"/>
        </w:rPr>
      </w:pPr>
    </w:p>
    <w:p>
      <w:pPr>
        <w:ind w:left="9"/>
        <w:spacing w:after="0" w:line="219" w:lineRule="exact"/>
        <w:rPr>
          <w:sz w:val="20"/>
          <w:szCs w:val="20"/>
          <w:color w:val="auto"/>
        </w:rPr>
      </w:pPr>
      <w:r>
        <w:rPr>
          <w:rFonts w:ascii="PMingLiU" w:cs="PMingLiU" w:eastAsia="PMingLiU" w:hAnsi="PMingLiU"/>
          <w:sz w:val="18"/>
          <w:szCs w:val="18"/>
          <w:color w:val="auto"/>
        </w:rPr>
        <w:t>太古廣場一座</w:t>
      </w:r>
      <w:r>
        <w:rPr>
          <w:rFonts w:ascii="Times New Roman" w:cs="Times New Roman" w:eastAsia="Times New Roman" w:hAnsi="Times New Roman"/>
          <w:sz w:val="18"/>
          <w:szCs w:val="18"/>
          <w:color w:val="auto"/>
        </w:rPr>
        <w:t xml:space="preserve"> 11 </w:t>
      </w:r>
      <w:r>
        <w:rPr>
          <w:rFonts w:ascii="PMingLiU" w:cs="PMingLiU" w:eastAsia="PMingLiU" w:hAnsi="PMingLiU"/>
          <w:sz w:val="18"/>
          <w:szCs w:val="18"/>
          <w:color w:val="auto"/>
        </w:rPr>
        <w:t>樓</w:t>
      </w:r>
    </w:p>
    <w:p>
      <w:pPr>
        <w:spacing w:after="0" w:line="240" w:lineRule="exact"/>
        <w:rPr>
          <w:sz w:val="24"/>
          <w:szCs w:val="24"/>
          <w:color w:val="auto"/>
        </w:rPr>
      </w:pPr>
    </w:p>
    <w:p>
      <w:pPr>
        <w:ind w:left="9"/>
        <w:spacing w:after="0" w:line="219" w:lineRule="exact"/>
        <w:rPr>
          <w:sz w:val="20"/>
          <w:szCs w:val="20"/>
          <w:color w:val="auto"/>
        </w:rPr>
      </w:pPr>
      <w:r>
        <w:rPr>
          <w:rFonts w:ascii="Times New Roman" w:cs="Times New Roman" w:eastAsia="Times New Roman" w:hAnsi="Times New Roman"/>
          <w:sz w:val="18"/>
          <w:szCs w:val="18"/>
          <w:color w:val="auto"/>
        </w:rPr>
        <w:t xml:space="preserve">T </w:t>
      </w:r>
      <w:r>
        <w:rPr>
          <w:rFonts w:ascii="PMingLiU" w:cs="PMingLiU" w:eastAsia="PMingLiU" w:hAnsi="PMingLiU"/>
          <w:sz w:val="18"/>
          <w:szCs w:val="18"/>
          <w:color w:val="auto"/>
        </w:rPr>
        <w:t>電話</w:t>
      </w:r>
      <w:r>
        <w:rPr>
          <w:rFonts w:ascii="Times New Roman" w:cs="Times New Roman" w:eastAsia="Times New Roman" w:hAnsi="Times New Roman"/>
          <w:sz w:val="18"/>
          <w:szCs w:val="18"/>
          <w:color w:val="auto"/>
        </w:rPr>
        <w:t xml:space="preserve"> +852 2219 0888</w:t>
      </w:r>
    </w:p>
    <w:p>
      <w:pPr>
        <w:spacing w:after="0" w:line="24" w:lineRule="exact"/>
        <w:rPr>
          <w:sz w:val="24"/>
          <w:szCs w:val="24"/>
          <w:color w:val="auto"/>
        </w:rPr>
      </w:pPr>
    </w:p>
    <w:p>
      <w:pPr>
        <w:ind w:left="9"/>
        <w:spacing w:after="0" w:line="219" w:lineRule="exact"/>
        <w:rPr>
          <w:sz w:val="20"/>
          <w:szCs w:val="20"/>
          <w:color w:val="auto"/>
        </w:rPr>
      </w:pPr>
      <w:r>
        <w:rPr>
          <w:rFonts w:ascii="Times New Roman" w:cs="Times New Roman" w:eastAsia="Times New Roman" w:hAnsi="Times New Roman"/>
          <w:sz w:val="18"/>
          <w:szCs w:val="18"/>
          <w:color w:val="auto"/>
        </w:rPr>
        <w:t xml:space="preserve">F </w:t>
      </w:r>
      <w:r>
        <w:rPr>
          <w:rFonts w:ascii="PMingLiU" w:cs="PMingLiU" w:eastAsia="PMingLiU" w:hAnsi="PMingLiU"/>
          <w:sz w:val="18"/>
          <w:szCs w:val="18"/>
          <w:color w:val="auto"/>
        </w:rPr>
        <w:t>傳真</w:t>
      </w:r>
      <w:r>
        <w:rPr>
          <w:rFonts w:ascii="Times New Roman" w:cs="Times New Roman" w:eastAsia="Times New Roman" w:hAnsi="Times New Roman"/>
          <w:sz w:val="18"/>
          <w:szCs w:val="18"/>
          <w:color w:val="auto"/>
        </w:rPr>
        <w:t xml:space="preserve"> +852 2219 0222</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9"/>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Partners</w:t>
      </w:r>
    </w:p>
    <w:p>
      <w:pPr>
        <w:spacing w:after="0" w:line="229" w:lineRule="auto"/>
        <w:rPr>
          <w:sz w:val="20"/>
          <w:szCs w:val="20"/>
          <w:color w:val="auto"/>
        </w:rPr>
      </w:pPr>
      <w:r>
        <w:rPr>
          <w:rFonts w:ascii="Times New Roman" w:cs="Times New Roman" w:eastAsia="Times New Roman" w:hAnsi="Times New Roman"/>
          <w:sz w:val="14"/>
          <w:szCs w:val="14"/>
          <w:color w:val="auto"/>
        </w:rPr>
        <w:t>M Lin</w:t>
      </w:r>
    </w:p>
    <w:p>
      <w:pPr>
        <w:spacing w:after="0" w:line="221" w:lineRule="auto"/>
        <w:rPr>
          <w:sz w:val="20"/>
          <w:szCs w:val="20"/>
          <w:color w:val="auto"/>
        </w:rPr>
      </w:pPr>
      <w:r>
        <w:rPr>
          <w:rFonts w:ascii="Times New Roman" w:cs="Times New Roman" w:eastAsia="Times New Roman" w:hAnsi="Times New Roman"/>
          <w:sz w:val="14"/>
          <w:szCs w:val="14"/>
          <w:color w:val="auto"/>
        </w:rPr>
        <w:t>O Chan</w:t>
      </w:r>
    </w:p>
    <w:p>
      <w:pPr>
        <w:spacing w:after="0" w:line="222" w:lineRule="auto"/>
        <w:rPr>
          <w:sz w:val="20"/>
          <w:szCs w:val="20"/>
          <w:color w:val="auto"/>
        </w:rPr>
      </w:pPr>
      <w:r>
        <w:rPr>
          <w:rFonts w:ascii="Times New Roman" w:cs="Times New Roman" w:eastAsia="Times New Roman" w:hAnsi="Times New Roman"/>
          <w:sz w:val="14"/>
          <w:szCs w:val="14"/>
          <w:color w:val="auto"/>
        </w:rPr>
        <w:t>D Y C So</w:t>
      </w:r>
    </w:p>
    <w:p>
      <w:pPr>
        <w:spacing w:after="0" w:line="1" w:lineRule="exact"/>
        <w:rPr>
          <w:sz w:val="24"/>
          <w:szCs w:val="24"/>
          <w:color w:val="auto"/>
        </w:rPr>
      </w:pPr>
    </w:p>
    <w:p>
      <w:pPr>
        <w:sectPr>
          <w:pgSz w:w="11900" w:h="16838" w:orient="portrait"/>
          <w:cols w:equalWidth="0" w:num="3">
            <w:col w:w="6591" w:space="720"/>
            <w:col w:w="2109" w:space="140"/>
            <w:col w:w="1640"/>
          </w:cols>
          <w:pgMar w:left="320" w:top="445" w:right="379" w:bottom="1440" w:gutter="0" w:footer="0" w:header="0"/>
        </w:sectPr>
      </w:pPr>
    </w:p>
    <w:p>
      <w:pPr>
        <w:spacing w:after="0" w:line="42" w:lineRule="exact"/>
        <w:rPr>
          <w:sz w:val="24"/>
          <w:szCs w:val="24"/>
          <w:color w:val="auto"/>
        </w:rPr>
      </w:pPr>
    </w:p>
    <w:p>
      <w:pPr>
        <w:jc w:val="both"/>
        <w:ind w:right="320" w:firstLine="648"/>
        <w:spacing w:after="0" w:line="289" w:lineRule="auto"/>
        <w:rPr>
          <w:sz w:val="20"/>
          <w:szCs w:val="20"/>
          <w:color w:val="auto"/>
        </w:rPr>
      </w:pPr>
      <w:r>
        <w:rPr>
          <w:rFonts w:ascii="Times New Roman" w:cs="Times New Roman" w:eastAsia="Times New Roman" w:hAnsi="Times New Roman"/>
          <w:sz w:val="17"/>
          <w:szCs w:val="17"/>
          <w:color w:val="auto"/>
        </w:rPr>
        <w:t>On behalf of our client, Trident Digital Tech Holdings Ltd, a company organized under the laws of the Cayman Islands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we are filing herewith the Company’s registration statement on Form F-1 (the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 and certain exhibits via EDGAR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w:t>
      </w:r>
    </w:p>
    <w:p>
      <w:pPr>
        <w:spacing w:after="0" w:line="154" w:lineRule="exact"/>
        <w:rPr>
          <w:sz w:val="24"/>
          <w:szCs w:val="24"/>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 the meantime, we are submitting to the staff of the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the Company’s responses to the comments contained in the Staff’s letter dated September 19, 2023 on the Company’s draft registration statement on Form F-1 confidentially submitted on September 14, 2023. The Staff’s comments are repeated below in bold and are followed by the Company’s responses. We have included page references in the Registration Statement where the language addressing a particular comment appears. Capitalized terms used but not otherwise defined herein have the meanings set forth in the Registration Statement.</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Hogan Lovells is an affiliated business of Hogan Lovells International LLP, a limited liability partnership registered in England and Wales.</w:t>
      </w:r>
    </w:p>
    <w:p>
      <w:pPr>
        <w:spacing w:after="0" w:line="136" w:lineRule="exact"/>
        <w:rPr>
          <w:sz w:val="24"/>
          <w:szCs w:val="24"/>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Ulaanbaatar. Business Services Centers: Johannesburg Louisville. Legal Services Center: Berlin.</w:t>
      </w:r>
    </w:p>
    <w:p>
      <w:pPr>
        <w:spacing w:after="0" w:line="110"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109" w:lineRule="exact"/>
        <w:rPr>
          <w:sz w:val="24"/>
          <w:szCs w:val="24"/>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Venezuela.</w:t>
      </w:r>
    </w:p>
    <w:p>
      <w:pPr>
        <w:spacing w:after="0" w:line="20" w:lineRule="exact"/>
        <w:rPr>
          <w:sz w:val="24"/>
          <w:szCs w:val="24"/>
          <w:color w:val="auto"/>
        </w:rPr>
      </w:pPr>
      <w:r>
        <w:rPr>
          <w:sz w:val="24"/>
          <w:szCs w:val="24"/>
          <w:color w:val="auto"/>
        </w:rPr>
        <w:br w:type="column"/>
      </w:r>
    </w:p>
    <w:p>
      <w:pPr>
        <w:spacing w:after="0" w:line="221" w:lineRule="auto"/>
        <w:rPr>
          <w:sz w:val="20"/>
          <w:szCs w:val="20"/>
          <w:color w:val="auto"/>
        </w:rPr>
      </w:pPr>
      <w:r>
        <w:rPr>
          <w:rFonts w:ascii="Times New Roman" w:cs="Times New Roman" w:eastAsia="Times New Roman" w:hAnsi="Times New Roman"/>
          <w:sz w:val="14"/>
          <w:szCs w:val="14"/>
          <w:color w:val="auto"/>
        </w:rPr>
        <w:t>C J Dobby</w:t>
      </w:r>
    </w:p>
    <w:p>
      <w:pPr>
        <w:spacing w:after="0" w:line="222" w:lineRule="auto"/>
        <w:rPr>
          <w:sz w:val="20"/>
          <w:szCs w:val="20"/>
          <w:color w:val="auto"/>
        </w:rPr>
      </w:pPr>
      <w:r>
        <w:rPr>
          <w:rFonts w:ascii="Times New Roman" w:cs="Times New Roman" w:eastAsia="Times New Roman" w:hAnsi="Times New Roman"/>
          <w:sz w:val="14"/>
          <w:szCs w:val="14"/>
          <w:color w:val="auto"/>
        </w:rPr>
        <w:t>M D R Parsons</w:t>
      </w:r>
    </w:p>
    <w:p>
      <w:pPr>
        <w:spacing w:after="0" w:line="221" w:lineRule="auto"/>
        <w:rPr>
          <w:sz w:val="20"/>
          <w:szCs w:val="20"/>
          <w:color w:val="auto"/>
        </w:rPr>
      </w:pPr>
      <w:r>
        <w:rPr>
          <w:rFonts w:ascii="Times New Roman" w:cs="Times New Roman" w:eastAsia="Times New Roman" w:hAnsi="Times New Roman"/>
          <w:sz w:val="14"/>
          <w:szCs w:val="14"/>
          <w:color w:val="auto"/>
        </w:rPr>
        <w:t>N W O Tang</w:t>
      </w:r>
    </w:p>
    <w:p>
      <w:pPr>
        <w:spacing w:after="0" w:line="221" w:lineRule="auto"/>
        <w:rPr>
          <w:sz w:val="20"/>
          <w:szCs w:val="20"/>
          <w:color w:val="auto"/>
        </w:rPr>
      </w:pPr>
      <w:r>
        <w:rPr>
          <w:rFonts w:ascii="Times New Roman" w:cs="Times New Roman" w:eastAsia="Times New Roman" w:hAnsi="Times New Roman"/>
          <w:sz w:val="14"/>
          <w:szCs w:val="14"/>
          <w:color w:val="auto"/>
        </w:rPr>
        <w:t>E I Low*</w:t>
      </w:r>
    </w:p>
    <w:p>
      <w:pPr>
        <w:spacing w:after="0" w:line="222" w:lineRule="auto"/>
        <w:rPr>
          <w:sz w:val="20"/>
          <w:szCs w:val="20"/>
          <w:color w:val="auto"/>
        </w:rPr>
      </w:pPr>
      <w:r>
        <w:rPr>
          <w:rFonts w:ascii="Times New Roman" w:cs="Times New Roman" w:eastAsia="Times New Roman" w:hAnsi="Times New Roman"/>
          <w:sz w:val="14"/>
          <w:szCs w:val="14"/>
          <w:color w:val="auto"/>
        </w:rPr>
        <w:t>J P Kwan</w:t>
      </w:r>
    </w:p>
    <w:p>
      <w:pPr>
        <w:spacing w:after="0" w:line="221" w:lineRule="auto"/>
        <w:rPr>
          <w:sz w:val="20"/>
          <w:szCs w:val="20"/>
          <w:color w:val="auto"/>
        </w:rPr>
      </w:pPr>
      <w:r>
        <w:rPr>
          <w:rFonts w:ascii="Times New Roman" w:cs="Times New Roman" w:eastAsia="Times New Roman" w:hAnsi="Times New Roman"/>
          <w:sz w:val="14"/>
          <w:szCs w:val="14"/>
          <w:color w:val="auto"/>
        </w:rPr>
        <w:t>S K S Li</w:t>
      </w:r>
    </w:p>
    <w:p>
      <w:pPr>
        <w:spacing w:after="0" w:line="222" w:lineRule="auto"/>
        <w:rPr>
          <w:sz w:val="20"/>
          <w:szCs w:val="20"/>
          <w:color w:val="auto"/>
        </w:rPr>
      </w:pPr>
      <w:r>
        <w:rPr>
          <w:rFonts w:ascii="Times New Roman" w:cs="Times New Roman" w:eastAsia="Times New Roman" w:hAnsi="Times New Roman"/>
          <w:sz w:val="14"/>
          <w:szCs w:val="14"/>
          <w:color w:val="auto"/>
        </w:rPr>
        <w:t>L H S Leung</w:t>
      </w:r>
    </w:p>
    <w:p>
      <w:pPr>
        <w:spacing w:after="0" w:line="221" w:lineRule="auto"/>
        <w:rPr>
          <w:sz w:val="20"/>
          <w:szCs w:val="20"/>
          <w:color w:val="auto"/>
        </w:rPr>
      </w:pPr>
      <w:r>
        <w:rPr>
          <w:rFonts w:ascii="Times New Roman" w:cs="Times New Roman" w:eastAsia="Times New Roman" w:hAnsi="Times New Roman"/>
          <w:sz w:val="14"/>
          <w:szCs w:val="14"/>
          <w:color w:val="auto"/>
        </w:rPr>
        <w:t>A J McGinty</w:t>
      </w:r>
    </w:p>
    <w:p>
      <w:pPr>
        <w:spacing w:after="0" w:line="221" w:lineRule="auto"/>
        <w:rPr>
          <w:sz w:val="20"/>
          <w:szCs w:val="20"/>
          <w:color w:val="auto"/>
        </w:rPr>
      </w:pPr>
      <w:r>
        <w:rPr>
          <w:rFonts w:ascii="Times New Roman" w:cs="Times New Roman" w:eastAsia="Times New Roman" w:hAnsi="Times New Roman"/>
          <w:sz w:val="14"/>
          <w:szCs w:val="14"/>
          <w:color w:val="auto"/>
        </w:rPr>
        <w:t>L Davidson</w:t>
      </w:r>
    </w:p>
    <w:p>
      <w:pPr>
        <w:spacing w:after="0" w:line="222" w:lineRule="auto"/>
        <w:rPr>
          <w:sz w:val="20"/>
          <w:szCs w:val="20"/>
          <w:color w:val="auto"/>
        </w:rPr>
      </w:pPr>
      <w:r>
        <w:rPr>
          <w:rFonts w:ascii="Times New Roman" w:cs="Times New Roman" w:eastAsia="Times New Roman" w:hAnsi="Times New Roman"/>
          <w:sz w:val="14"/>
          <w:szCs w:val="14"/>
          <w:color w:val="auto"/>
        </w:rPr>
        <w:t>A Croke</w:t>
      </w:r>
    </w:p>
    <w:p>
      <w:pPr>
        <w:spacing w:after="0" w:line="221" w:lineRule="auto"/>
        <w:rPr>
          <w:sz w:val="20"/>
          <w:szCs w:val="20"/>
          <w:color w:val="auto"/>
        </w:rPr>
      </w:pPr>
      <w:r>
        <w:rPr>
          <w:rFonts w:ascii="Times New Roman" w:cs="Times New Roman" w:eastAsia="Times New Roman" w:hAnsi="Times New Roman"/>
          <w:sz w:val="14"/>
          <w:szCs w:val="14"/>
          <w:color w:val="auto"/>
        </w:rPr>
        <w:t>J E M Leitch</w:t>
      </w:r>
    </w:p>
    <w:p>
      <w:pPr>
        <w:spacing w:after="0" w:line="222" w:lineRule="auto"/>
        <w:rPr>
          <w:sz w:val="20"/>
          <w:szCs w:val="20"/>
          <w:color w:val="auto"/>
        </w:rPr>
      </w:pPr>
      <w:r>
        <w:rPr>
          <w:rFonts w:ascii="Times New Roman" w:cs="Times New Roman" w:eastAsia="Times New Roman" w:hAnsi="Times New Roman"/>
          <w:sz w:val="14"/>
          <w:szCs w:val="14"/>
          <w:color w:val="auto"/>
        </w:rPr>
        <w:t>B A Phillips</w:t>
      </w:r>
    </w:p>
    <w:p>
      <w:pPr>
        <w:spacing w:after="0"/>
        <w:rPr>
          <w:sz w:val="20"/>
          <w:szCs w:val="20"/>
          <w:color w:val="auto"/>
        </w:rPr>
      </w:pPr>
      <w:r>
        <w:rPr>
          <w:rFonts w:ascii="Times New Roman" w:cs="Times New Roman" w:eastAsia="Times New Roman" w:hAnsi="Times New Roman"/>
          <w:sz w:val="14"/>
          <w:szCs w:val="14"/>
          <w:color w:val="auto"/>
        </w:rPr>
        <w:t>T Liu</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Counsel</w:t>
      </w:r>
    </w:p>
    <w:p>
      <w:pPr>
        <w:spacing w:after="0" w:line="229" w:lineRule="auto"/>
        <w:rPr>
          <w:sz w:val="20"/>
          <w:szCs w:val="20"/>
          <w:color w:val="auto"/>
        </w:rPr>
      </w:pPr>
      <w:r>
        <w:rPr>
          <w:rFonts w:ascii="Times New Roman" w:cs="Times New Roman" w:eastAsia="Times New Roman" w:hAnsi="Times New Roman"/>
          <w:sz w:val="14"/>
          <w:szCs w:val="14"/>
          <w:color w:val="auto"/>
        </w:rPr>
        <w:t>A D E Cobden</w:t>
      </w:r>
    </w:p>
    <w:p>
      <w:pPr>
        <w:spacing w:after="0" w:line="221" w:lineRule="auto"/>
        <w:rPr>
          <w:sz w:val="20"/>
          <w:szCs w:val="20"/>
          <w:color w:val="auto"/>
        </w:rPr>
      </w:pPr>
      <w:r>
        <w:rPr>
          <w:rFonts w:ascii="Times New Roman" w:cs="Times New Roman" w:eastAsia="Times New Roman" w:hAnsi="Times New Roman"/>
          <w:sz w:val="14"/>
          <w:szCs w:val="14"/>
          <w:color w:val="auto"/>
        </w:rPr>
        <w:t>J S F Yim</w:t>
      </w:r>
    </w:p>
    <w:p>
      <w:pPr>
        <w:spacing w:after="0" w:line="1" w:lineRule="exact"/>
        <w:rPr>
          <w:sz w:val="24"/>
          <w:szCs w:val="24"/>
          <w:color w:val="auto"/>
        </w:rPr>
      </w:pPr>
    </w:p>
    <w:p>
      <w:pPr>
        <w:ind w:right="1180" w:firstLine="6"/>
        <w:spacing w:after="0" w:line="221" w:lineRule="auto"/>
        <w:tabs>
          <w:tab w:leader="none" w:pos="92"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Leung D Lau S Suen</w:t>
      </w:r>
    </w:p>
    <w:p>
      <w:pPr>
        <w:ind w:left="100" w:hanging="94"/>
        <w:spacing w:after="0"/>
        <w:tabs>
          <w:tab w:leader="none" w:pos="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Cheng</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Legal Consultants</w:t>
      </w:r>
    </w:p>
    <w:p>
      <w:pPr>
        <w:spacing w:after="0" w:line="229" w:lineRule="auto"/>
        <w:rPr>
          <w:sz w:val="20"/>
          <w:szCs w:val="20"/>
          <w:color w:val="auto"/>
        </w:rPr>
      </w:pPr>
      <w:r>
        <w:rPr>
          <w:rFonts w:ascii="Times New Roman" w:cs="Times New Roman" w:eastAsia="Times New Roman" w:hAnsi="Times New Roman"/>
          <w:sz w:val="14"/>
          <w:szCs w:val="14"/>
          <w:color w:val="auto"/>
        </w:rPr>
        <w:t>S Tang</w:t>
      </w:r>
    </w:p>
    <w:p>
      <w:pPr>
        <w:spacing w:after="0" w:line="221" w:lineRule="auto"/>
        <w:rPr>
          <w:sz w:val="20"/>
          <w:szCs w:val="20"/>
          <w:color w:val="auto"/>
        </w:rPr>
      </w:pPr>
      <w:r>
        <w:rPr>
          <w:rFonts w:ascii="Times New Roman" w:cs="Times New Roman" w:eastAsia="Times New Roman" w:hAnsi="Times New Roman"/>
          <w:sz w:val="14"/>
          <w:szCs w:val="14"/>
          <w:color w:val="auto"/>
        </w:rPr>
        <w:t>(New York, USA)</w:t>
      </w:r>
    </w:p>
    <w:p>
      <w:pPr>
        <w:spacing w:after="0" w:line="1" w:lineRule="exact"/>
        <w:rPr>
          <w:sz w:val="24"/>
          <w:szCs w:val="24"/>
          <w:color w:val="auto"/>
        </w:rPr>
      </w:pPr>
    </w:p>
    <w:p>
      <w:pPr>
        <w:ind w:right="360" w:firstLine="6"/>
        <w:spacing w:after="0"/>
        <w:tabs>
          <w:tab w:leader="none" w:pos="1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Kostrzewa (District of Columbia, USA)</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*Notary Public</w:t>
      </w:r>
    </w:p>
    <w:p>
      <w:pPr>
        <w:spacing w:after="0" w:line="1171" w:lineRule="exact"/>
        <w:rPr>
          <w:sz w:val="24"/>
          <w:szCs w:val="24"/>
          <w:color w:val="auto"/>
        </w:rPr>
      </w:pPr>
    </w:p>
    <w:p>
      <w:pPr>
        <w:sectPr>
          <w:pgSz w:w="11900" w:h="16838" w:orient="portrait"/>
          <w:cols w:equalWidth="0" w:num="2">
            <w:col w:w="8980" w:space="580"/>
            <w:col w:w="1640"/>
          </w:cols>
          <w:pgMar w:left="320" w:top="445"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 page 39</w:t>
      </w:r>
    </w:p>
    <w:p>
      <w:pPr>
        <w:spacing w:after="0" w:line="225" w:lineRule="exact"/>
        <w:rPr>
          <w:sz w:val="20"/>
          <w:szCs w:val="20"/>
          <w:color w:val="auto"/>
        </w:rPr>
      </w:pPr>
    </w:p>
    <w:p>
      <w:pPr>
        <w:ind w:left="660" w:right="140" w:hanging="652"/>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3 stating that you have repaid all the related party payables indebtedness as of June 30, 2023. It appears you have a related party payable of $40,197 as of June 30, 2023 per the balance sheet on page F-23 and Note 12 on page F-37. Please revise the table to incorporate your related party payables indebtedness as part of your capitalization. Refer to Item 4(a) of Form F-1 and Item 3.B of Form 20-F.</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39 of the Registration Statement.</w:t>
      </w:r>
    </w:p>
    <w:p>
      <w:pPr>
        <w:spacing w:after="0" w:line="221" w:lineRule="exact"/>
        <w:rPr>
          <w:rFonts w:ascii="Times New Roman" w:cs="Times New Roman" w:eastAsia="Times New Roman" w:hAnsi="Times New Roman"/>
          <w:sz w:val="18"/>
          <w:szCs w:val="18"/>
          <w:b w:val="1"/>
          <w:bCs w:val="1"/>
          <w:color w:val="auto"/>
        </w:rPr>
      </w:pPr>
    </w:p>
    <w:p>
      <w:pPr>
        <w:ind w:left="660" w:right="38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your consideration of providing pro forma information regarding the issuance of 89,795,000 shares of Class B Ordinary Shares on July 4, 2023 in connection with your reorganization, or revise to reflect the issuance as a separate column in the tabular disclosure before Pro Forma As Adjusted column. Refer to Rule 11-01(a)(8) of Regulation S-X.</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39 of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post-offering memorandum and articles of association and the deposit agreement provide that the United States District Court . . ., page 26</w:t>
      </w:r>
    </w:p>
    <w:p>
      <w:pPr>
        <w:spacing w:after="0" w:line="225" w:lineRule="exact"/>
        <w:rPr>
          <w:sz w:val="20"/>
          <w:szCs w:val="20"/>
          <w:color w:val="auto"/>
        </w:rPr>
      </w:pPr>
    </w:p>
    <w:p>
      <w:pPr>
        <w:ind w:left="660" w:hanging="652"/>
        <w:spacing w:after="0" w:line="262"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to state that with respect to Securities Act claims, investors cannot waive compliance with the federal securities laws and the rules and regulations thereunder. In this regard, we note that Section 22 of the Securities Act creates concurrent jurisdiction for federal and state courts over all suits brought to enforce any duty or liability created by the Securities Act or the rules and regulations thereunder.</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27 of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Share Capital, page 87</w:t>
      </w:r>
    </w:p>
    <w:p>
      <w:pPr>
        <w:spacing w:after="0" w:line="225" w:lineRule="exact"/>
        <w:rPr>
          <w:sz w:val="20"/>
          <w:szCs w:val="20"/>
          <w:color w:val="auto"/>
        </w:rPr>
      </w:pPr>
    </w:p>
    <w:p>
      <w:pPr>
        <w:ind w:left="660" w:right="26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here and in your Description of American Depositary Shares section to reflect the exclusive forum provisions discussed in the risk factor disclosure on pages 26 and 27.</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107 of the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Jumpstart Our Business Startups Act, as amended, the Company is, concurrently with the Registration Statement, filing the draft registration statement and its amendment thereto that were previously submitted for the non-public review of the Staff of the Commission. The Company plans to file an amendment to the Registration Statement containing the estimated price range and offering size, and to launch the road show no earlier than 15 days after the date hereof. The Company would appreciate the Staff’s timely assistance and support to the Company in meeting the proposed timetable for the offering.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you have any questions regarding the Registration Statement, please contact me by telephone at (852) 2840 5026 (office) or via email</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stephanie.tang@hoganlovells.com. Questions relating to accounting and auditing matters of the Company may also be directed to Chris Zhao, partner at Marcum Asia CPAs LLP (“Marcum”), by telephone at (86) 139 2605 0901 or via email at chris.zhao@marumasia.com. Marcum is the independent registered public accounting firm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400" w:right="5360" w:hanging="392"/>
        <w:spacing w:after="0" w:line="261"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00" w:right="56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Sichenzia Ross Ference Carmel LLP Barry P. Biggar, Esq., Partner, Sichenzia Ross Ference Carmel LLP</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8"/>
    </w:lvl>
  </w:abstractNum>
  <w:abstractNum w:abstractNumId="1">
    <w:nsid w:val="238E1F29"/>
    <w:multiLevelType w:val="hybridMultilevel"/>
    <w:lvl w:ilvl="0">
      <w:lvlJc w:val="left"/>
      <w:lvlText w:val="J"/>
      <w:numFmt w:val="bullet"/>
      <w:start w:val="1"/>
    </w:lvl>
  </w:abstractNum>
  <w:abstractNum w:abstractNumId="2">
    <w:nsid w:val="46E87CCD"/>
    <w:multiLevelType w:val="hybridMultilevel"/>
    <w:lvl w:ilvl="0">
      <w:lvlJc w:val="left"/>
      <w:lvlText w:val="B"/>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2024-10-07T23:12:41Z</dcterms:created>
  <dcterms:modified xsi:type="dcterms:W3CDTF">2024-10-07T23:12:41Z</dcterms:modified>
</cp:coreProperties>
</file>