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6795-424b5_trident.htm"/>
      <w:bookmarkStart w:id="1" w:name="ksea0306795424b5_trident"/>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333-298224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August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 Class B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Holdings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is offering 30,000,000 of the Company’s Class B ordinary shares, par value $0.0024 per share (the “</w:t>
      </w: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at an offering price of $0.50 per share, pursuant to certain Securities Purchase Agreements dated as of September 27, 2026 (the “</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 that we have entered into with certain investors (each,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ordinary shares are listed on The Nasdaq Capital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w:t>
      </w:r>
      <w:r>
        <w:rPr>
          <w:rFonts w:ascii="Times New Roman;Times;Serif" w:hAnsi="Times New Roman;Times;Serif"/>
          <w:b w:val="false"/>
          <w:i/>
          <w:caps w:val="false"/>
          <w:smallCaps w:val="false"/>
          <w:sz w:val="20"/>
        </w:rPr>
        <w:t>TDTH</w:t>
      </w:r>
      <w:r>
        <w:rPr>
          <w:rFonts w:ascii="Times New Roman;Times;Serif" w:hAnsi="Times New Roman;Times;Serif"/>
          <w:b w:val="false"/>
          <w:i w:val="false"/>
          <w:caps w:val="false"/>
          <w:smallCaps w:val="false"/>
          <w:sz w:val="20"/>
        </w:rPr>
        <w:t>.” On September 25, 2026, the last reported sale price of our Class B ordinary shares on Nasdaq was $1.46 per share. As of September 25, 2026, the aggregate market value of our outstanding Class B ordinary shares held by non-affiliates was approximately $59,735,674, based on 23,517,982 Class B ordinary shares held by non-affiliates as of such date, and a price of $2.54 per Class B ordinary share, which was the closing sale price of our Class B ordinary shares on Nasdaq on August 4, 2026, a date within 60 days prior to the date of this prospectus supplement. During the 12 calendar months prior to and including the date of this prospectus supplement, we have not offered or sold any securities pursuant to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expected to close on or about September 29, 2026, subject to customary closing conditions. The Company estimates that the aggregate value of the gross proceeds from this offering will be $15,000,000, which we expect to receive in the form of USD Coin (“</w:t>
      </w:r>
      <w:r>
        <w:rPr>
          <w:rFonts w:ascii="Times New Roman;Times;Serif" w:hAnsi="Times New Roman;Times;Serif"/>
          <w:b/>
          <w:i w:val="false"/>
          <w:caps w:val="false"/>
          <w:smallCaps w:val="false"/>
          <w:sz w:val="20"/>
        </w:rPr>
        <w:t>USDC</w:t>
      </w:r>
      <w:r>
        <w:rPr>
          <w:rFonts w:ascii="Times New Roman;Times;Serif" w:hAnsi="Times New Roman;Times;Serif"/>
          <w:b w:val="false"/>
          <w:i w:val="false"/>
          <w:caps w:val="false"/>
          <w:smallCaps w:val="false"/>
          <w:sz w:val="20"/>
        </w:rPr>
        <w:t>”), Tether (“</w:t>
      </w:r>
      <w:r>
        <w:rPr>
          <w:rFonts w:ascii="Times New Roman;Times;Serif" w:hAnsi="Times New Roman;Times;Serif"/>
          <w:b/>
          <w:i w:val="false"/>
          <w:caps w:val="false"/>
          <w:smallCaps w:val="false"/>
          <w:sz w:val="20"/>
        </w:rPr>
        <w:t>USDT</w:t>
      </w:r>
      <w:r>
        <w:rPr>
          <w:rFonts w:ascii="Times New Roman;Times;Serif" w:hAnsi="Times New Roman;Times;Serif"/>
          <w:b w:val="false"/>
          <w:i w:val="false"/>
          <w:caps w:val="false"/>
          <w:smallCaps w:val="false"/>
          <w:sz w:val="20"/>
        </w:rPr>
        <w:t>”), or any combination thereof. We intend to hold such USDT and/or USDC and may convert all or a portion thereof into U.S. dollars or other fiat currency for our digital asset reserve, working capital and/or general corporate purposes.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beginning on page S-9.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underwriter or placement agent is involved in this offering, and no commissions or underwriting discounts will be paid.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S-11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S-7 of this prospectus supplement, the “Risk Factors” section contained in the accompanying prospectus, and the documents we incorporate by reference in this prospectus supplement to read about factors you should consider before investing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and are subject to certain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delivery to purchasers of the securities being offered pursuant to this prospectus supplement and the accompanying prospectus is expected to be made on or about September 29, 2026, subject to satisfaction of certain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United States Securities and Exchange Commission, any state securities commission or any other regulatory body,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September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5765"/>
        <w:gridCol w:w="60"/>
        <w:gridCol w:w="410"/>
      </w:tblGrid>
      <w:tr>
        <w:trPr/>
        <w:tc>
          <w:tcPr>
            <w:tcW w:w="5765" w:type="dxa"/>
            <w:tcBorders/>
            <w:shd w:fill="CCEEFF" w:val="clear"/>
            <w:vAlign w:val="center"/>
          </w:tcPr>
          <w:p>
            <w:pPr>
              <w:pStyle w:val="TableContents"/>
              <w:bidi w:val="0"/>
              <w:spacing w:before="0" w:after="283"/>
              <w:ind w:left="0" w:right="0" w:hanging="200"/>
              <w:jc w:val="left"/>
              <w:rPr/>
            </w:pPr>
            <w:hyperlink w:anchor="b_001">
              <w:r>
                <w:rPr>
                  <w:rStyle w:val="InternetLink"/>
                  <w:rFonts w:ascii="Times New Roman;Times;Serif" w:hAnsi="Times New Roman;Times;Serif"/>
                  <w:b w:val="false"/>
                  <w:i w:val="false"/>
                  <w:caps w:val="false"/>
                  <w:smallCaps w:val="false"/>
                  <w:sz w:val="20"/>
                </w:rPr>
                <w:t>ABOUT THIS PROSPECTUS SUPPLEMENT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S-ii</w:t>
            </w:r>
          </w:p>
        </w:tc>
      </w:tr>
      <w:tr>
        <w:trPr/>
        <w:tc>
          <w:tcPr>
            <w:tcW w:w="5765" w:type="dxa"/>
            <w:tcBorders/>
            <w:shd w:fill="FFFFFF" w:val="clear"/>
            <w:vAlign w:val="center"/>
          </w:tcPr>
          <w:p>
            <w:pPr>
              <w:pStyle w:val="TableContents"/>
              <w:bidi w:val="0"/>
              <w:spacing w:before="0" w:after="283"/>
              <w:jc w:val="left"/>
              <w:rPr/>
            </w:pPr>
            <w:hyperlink w:anchor="b_002">
              <w:r>
                <w:rPr>
                  <w:rStyle w:val="InternetLink"/>
                  <w:rFonts w:ascii="Times New Roman;Times;Serif" w:hAnsi="Times New Roman;Times;Serif"/>
                  <w:b w:val="false"/>
                  <w:i w:val="false"/>
                  <w:caps w:val="false"/>
                  <w:smallCaps w:val="false"/>
                  <w:sz w:val="20"/>
                </w:rPr>
                <w:t>PROSPECTUS SUPPLEMENT SUMMARY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5765" w:type="dxa"/>
            <w:tcBorders/>
            <w:shd w:fill="CCEEFF" w:val="clear"/>
            <w:vAlign w:val="center"/>
          </w:tcPr>
          <w:p>
            <w:pPr>
              <w:pStyle w:val="TableContents"/>
              <w:bidi w:val="0"/>
              <w:spacing w:before="0" w:after="283"/>
              <w:jc w:val="left"/>
              <w:rPr/>
            </w:pPr>
            <w:hyperlink w:anchor="b_003">
              <w:r>
                <w:rPr>
                  <w:rStyle w:val="InternetLink"/>
                  <w:rFonts w:ascii="Times New Roman;Times;Serif" w:hAnsi="Times New Roman;Times;Serif"/>
                  <w:b w:val="false"/>
                  <w:i w:val="false"/>
                  <w:caps w:val="false"/>
                  <w:smallCaps w:val="false"/>
                  <w:sz w:val="20"/>
                </w:rPr>
                <w:t>INCORPORATION OF DOCUMENTS BY REFERENCE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r>
      <w:tr>
        <w:trPr/>
        <w:tc>
          <w:tcPr>
            <w:tcW w:w="5765" w:type="dxa"/>
            <w:tcBorders/>
            <w:shd w:fill="FFFFFF" w:val="clear"/>
            <w:vAlign w:val="center"/>
          </w:tcPr>
          <w:p>
            <w:pPr>
              <w:pStyle w:val="TableContents"/>
              <w:bidi w:val="0"/>
              <w:spacing w:before="0" w:after="283"/>
              <w:jc w:val="left"/>
              <w:rPr/>
            </w:pPr>
            <w:hyperlink w:anchor="b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5765" w:type="dxa"/>
            <w:tcBorders/>
            <w:shd w:fill="CCEEFF" w:val="clear"/>
            <w:vAlign w:val="center"/>
          </w:tcPr>
          <w:p>
            <w:pPr>
              <w:pStyle w:val="TableContents"/>
              <w:bidi w:val="0"/>
              <w:spacing w:before="0" w:after="283"/>
              <w:jc w:val="left"/>
              <w:rPr/>
            </w:pPr>
            <w:hyperlink w:anchor="b_005">
              <w:r>
                <w:rPr>
                  <w:rStyle w:val="InternetLink"/>
                  <w:rFonts w:ascii="Times New Roman;Times;Serif" w:hAnsi="Times New Roman;Times;Serif"/>
                  <w:b w:val="false"/>
                  <w:i w:val="false"/>
                  <w:caps w:val="false"/>
                  <w:smallCaps w:val="false"/>
                  <w:sz w:val="20"/>
                </w:rPr>
                <w:t>SUMMARY OF THE OFFERING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S-6</w:t>
            </w:r>
          </w:p>
        </w:tc>
      </w:tr>
      <w:tr>
        <w:trPr/>
        <w:tc>
          <w:tcPr>
            <w:tcW w:w="5765" w:type="dxa"/>
            <w:tcBorders/>
            <w:shd w:fill="FFFFFF" w:val="clear"/>
            <w:vAlign w:val="center"/>
          </w:tcPr>
          <w:p>
            <w:pPr>
              <w:pStyle w:val="TableContents"/>
              <w:bidi w:val="0"/>
              <w:spacing w:before="0" w:after="283"/>
              <w:jc w:val="left"/>
              <w:rPr/>
            </w:pPr>
            <w:hyperlink w:anchor="b_006">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S-7</w:t>
            </w:r>
          </w:p>
        </w:tc>
      </w:tr>
      <w:tr>
        <w:trPr/>
        <w:tc>
          <w:tcPr>
            <w:tcW w:w="5765" w:type="dxa"/>
            <w:tcBorders/>
            <w:shd w:fill="CCEEFF" w:val="clear"/>
            <w:vAlign w:val="center"/>
          </w:tcPr>
          <w:p>
            <w:pPr>
              <w:pStyle w:val="TableContents"/>
              <w:bidi w:val="0"/>
              <w:spacing w:before="0" w:after="283"/>
              <w:jc w:val="left"/>
              <w:rPr/>
            </w:pPr>
            <w:hyperlink w:anchor="b_007">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5765" w:type="dxa"/>
            <w:tcBorders/>
            <w:shd w:fill="FFFFFF" w:val="clear"/>
            <w:vAlign w:val="center"/>
          </w:tcPr>
          <w:p>
            <w:pPr>
              <w:pStyle w:val="TableContents"/>
              <w:bidi w:val="0"/>
              <w:spacing w:before="0" w:after="283"/>
              <w:jc w:val="left"/>
              <w:rPr/>
            </w:pPr>
            <w:hyperlink w:anchor="b_008">
              <w:r>
                <w:rPr>
                  <w:rStyle w:val="InternetLink"/>
                  <w:rFonts w:ascii="Times New Roman;Times;Serif" w:hAnsi="Times New Roman;Times;Serif"/>
                  <w:b w:val="false"/>
                  <w:i w:val="false"/>
                  <w:caps w:val="false"/>
                  <w:smallCaps w:val="false"/>
                  <w:sz w:val="20"/>
                </w:rPr>
                <w:t>DIVIDEND POLICY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5765" w:type="dxa"/>
            <w:tcBorders/>
            <w:shd w:fill="CCEEFF" w:val="clear"/>
            <w:vAlign w:val="center"/>
          </w:tcPr>
          <w:p>
            <w:pPr>
              <w:pStyle w:val="TableContents"/>
              <w:bidi w:val="0"/>
              <w:spacing w:before="0" w:after="283"/>
              <w:jc w:val="left"/>
              <w:rPr/>
            </w:pPr>
            <w:hyperlink w:anchor="b_009">
              <w:r>
                <w:rPr>
                  <w:rStyle w:val="InternetLink"/>
                  <w:rFonts w:ascii="Times New Roman;Times;Serif" w:hAnsi="Times New Roman;Times;Serif"/>
                  <w:b w:val="false"/>
                  <w:i w:val="false"/>
                  <w:caps w:val="false"/>
                  <w:smallCaps w:val="false"/>
                  <w:sz w:val="20"/>
                </w:rPr>
                <w:t>DILUTION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5765" w:type="dxa"/>
            <w:tcBorders/>
            <w:shd w:fill="FFFFFF" w:val="clear"/>
            <w:vAlign w:val="center"/>
          </w:tcPr>
          <w:p>
            <w:pPr>
              <w:pStyle w:val="TableContents"/>
              <w:bidi w:val="0"/>
              <w:spacing w:before="0" w:after="283"/>
              <w:jc w:val="left"/>
              <w:rPr/>
            </w:pPr>
            <w:hyperlink w:anchor="b_010">
              <w:r>
                <w:rPr>
                  <w:rStyle w:val="InternetLink"/>
                  <w:rFonts w:ascii="Times New Roman;Times;Serif" w:hAnsi="Times New Roman;Times;Serif"/>
                  <w:b w:val="false"/>
                  <w:i w:val="false"/>
                  <w:caps w:val="false"/>
                  <w:smallCaps w:val="false"/>
                  <w:sz w:val="20"/>
                </w:rPr>
                <w:t>DESCRIPTION OF THE SECURITIES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5765" w:type="dxa"/>
            <w:tcBorders/>
            <w:shd w:fill="CCEEFF" w:val="clear"/>
            <w:vAlign w:val="center"/>
          </w:tcPr>
          <w:p>
            <w:pPr>
              <w:pStyle w:val="TableContents"/>
              <w:bidi w:val="0"/>
              <w:spacing w:before="0" w:after="283"/>
              <w:jc w:val="left"/>
              <w:rPr/>
            </w:pPr>
            <w:hyperlink w:anchor="b_011">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5765" w:type="dxa"/>
            <w:tcBorders/>
            <w:shd w:fill="FFFFFF" w:val="clear"/>
            <w:vAlign w:val="center"/>
          </w:tcPr>
          <w:p>
            <w:pPr>
              <w:pStyle w:val="TableContents"/>
              <w:bidi w:val="0"/>
              <w:spacing w:before="0" w:after="283"/>
              <w:jc w:val="left"/>
              <w:rPr/>
            </w:pPr>
            <w:hyperlink w:anchor="b_012">
              <w:r>
                <w:rPr>
                  <w:rStyle w:val="InternetLink"/>
                  <w:rFonts w:ascii="Times New Roman;Times;Serif" w:hAnsi="Times New Roman;Times;Serif"/>
                  <w:b w:val="false"/>
                  <w:i w:val="false"/>
                  <w:caps w:val="false"/>
                  <w:smallCaps w:val="false"/>
                  <w:sz w:val="20"/>
                </w:rPr>
                <w:t>TAXATION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S-12</w:t>
            </w:r>
          </w:p>
        </w:tc>
      </w:tr>
      <w:tr>
        <w:trPr/>
        <w:tc>
          <w:tcPr>
            <w:tcW w:w="5765" w:type="dxa"/>
            <w:tcBorders/>
            <w:shd w:fill="CCEEFF" w:val="clear"/>
            <w:vAlign w:val="center"/>
          </w:tcPr>
          <w:p>
            <w:pPr>
              <w:pStyle w:val="TableContents"/>
              <w:bidi w:val="0"/>
              <w:spacing w:before="0" w:after="283"/>
              <w:jc w:val="left"/>
              <w:rPr/>
            </w:pPr>
            <w:hyperlink w:anchor="b_013">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r>
        <w:trPr/>
        <w:tc>
          <w:tcPr>
            <w:tcW w:w="5765" w:type="dxa"/>
            <w:tcBorders/>
            <w:shd w:fill="FFFFFF" w:val="clear"/>
            <w:vAlign w:val="center"/>
          </w:tcPr>
          <w:p>
            <w:pPr>
              <w:pStyle w:val="TableContents"/>
              <w:bidi w:val="0"/>
              <w:spacing w:before="0" w:after="283"/>
              <w:jc w:val="left"/>
              <w:rPr/>
            </w:pPr>
            <w:hyperlink w:anchor="b_014">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r>
        <w:trPr/>
        <w:tc>
          <w:tcPr>
            <w:tcW w:w="5765" w:type="dxa"/>
            <w:tcBorders/>
            <w:shd w:fill="CCEEFF" w:val="clear"/>
            <w:vAlign w:val="center"/>
          </w:tcPr>
          <w:p>
            <w:pPr>
              <w:pStyle w:val="TableContents"/>
              <w:bidi w:val="0"/>
              <w:spacing w:before="0" w:after="283"/>
              <w:jc w:val="left"/>
              <w:rPr/>
            </w:pPr>
            <w:hyperlink w:anchor="b_015">
              <w:r>
                <w:rPr>
                  <w:rStyle w:val="InternetLink"/>
                  <w:rFonts w:ascii="Times New Roman;Times;Serif" w:hAnsi="Times New Roman;Times;Serif"/>
                  <w:b w:val="false"/>
                  <w:i w:val="false"/>
                  <w:caps w:val="false"/>
                  <w:smallCaps w:val="false"/>
                  <w:sz w:val="20"/>
                </w:rPr>
                <w:t>WHERE YOU CAN FIND MORE INFORMATION ABOUT 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5765"/>
        <w:gridCol w:w="60"/>
        <w:gridCol w:w="275"/>
      </w:tblGrid>
      <w:tr>
        <w:trPr/>
        <w:tc>
          <w:tcPr>
            <w:tcW w:w="5765" w:type="dxa"/>
            <w:tcBorders/>
            <w:shd w:fill="CCEEFF" w:val="clear"/>
            <w:vAlign w:val="center"/>
          </w:tcPr>
          <w:p>
            <w:pPr>
              <w:pStyle w:val="TableContents"/>
              <w:bidi w:val="0"/>
              <w:spacing w:before="0" w:after="283"/>
              <w:ind w:left="0" w:right="0" w:hanging="200"/>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ii</w:t>
            </w:r>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1</w:t>
            </w:r>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INCORPORATION OF DOCUMENTS BY REFERENCE</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5</w:t>
            </w:r>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6</w:t>
            </w:r>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7</w:t>
            </w:r>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8</w:t>
            </w:r>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THE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8</w:t>
            </w:r>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9</w:t>
            </w:r>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PREFERRED SHARES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19</w:t>
            </w:r>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20</w:t>
            </w:r>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22</w:t>
            </w:r>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23</w:t>
            </w:r>
          </w:p>
        </w:tc>
      </w:tr>
      <w:tr>
        <w:trPr/>
        <w:tc>
          <w:tcPr>
            <w:tcW w:w="57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24</w:t>
            </w:r>
          </w:p>
        </w:tc>
      </w:tr>
      <w:tr>
        <w:trPr/>
        <w:tc>
          <w:tcPr>
            <w:tcW w:w="57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TAXATION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26</w:t>
            </w:r>
          </w:p>
        </w:tc>
      </w:tr>
      <w:tr>
        <w:trPr/>
        <w:tc>
          <w:tcPr>
            <w:tcW w:w="57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ENFORCEABILITY OF CIVIL LIABILITIES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26</w:t>
            </w:r>
          </w:p>
        </w:tc>
      </w:tr>
      <w:tr>
        <w:trPr/>
        <w:tc>
          <w:tcPr>
            <w:tcW w:w="576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27</w:t>
            </w:r>
          </w:p>
        </w:tc>
      </w:tr>
      <w:tr>
        <w:trPr/>
        <w:tc>
          <w:tcPr>
            <w:tcW w:w="576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27</w:t>
            </w:r>
          </w:p>
        </w:tc>
      </w:tr>
      <w:tr>
        <w:trPr/>
        <w:tc>
          <w:tcPr>
            <w:tcW w:w="576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WHERE YOU CAN FIND MORE INFORMATION ABOUT US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b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form part of a registration statement on Form F-3 (File No. 333-298224) that we filed with the U.S. Securities and Exchange Commission, or the SEC, and that was declared effective by the SEC on August 27, 2026. This document is in two parts. The first part is this prospectus supplement, which describes the specific terms of this offering and also adds to and updates information contained in the accompanying prospectus and the documents incorporated by reference herein or therein. The second part, the accompanying prospectus, provides more general information. Generally, when we refer to this prospectus in this prospectus supplement, we are referring to both parts of this document combined. If the description of this offering varies between this prospectus supplement and the accompanying prospectus, you should rely on the information in this prospectus supplement, which supersedes the information in the accompanying prospectus. This prospectus supplement contains information about the securities offered in this offering and may add, update or change information in the accompanying prospectus. Before you invest in any of the securities offered under this prospectus supplement, you should carefully read both this prospectus supplement and the accompanying prospectus, together with the additional information described under the headings “</w:t>
      </w:r>
      <w:r>
        <w:rPr>
          <w:rFonts w:ascii="Times New Roman;Times;Serif" w:hAnsi="Times New Roman;Times;Serif"/>
          <w:b w:val="false"/>
          <w:i/>
          <w:caps w:val="false"/>
          <w:smallCaps w:val="false"/>
          <w:sz w:val="20"/>
        </w:rPr>
        <w:t>Where You Can Find More Information About Us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sell, and seeking offers to buy, securities only in jurisdictions where offers and sales are permitted. The distribution of this prospectus supplement and the accompanying prospectus and the offering of the Class B ordinary shares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 offer to sell, or a solicitation of an offer to buy, any securities in any jurisdiction in which such offer or solicitation is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supplement and the accompanying prospectus and in any free writing prospectus that we may authorize for use in connection with this offering. We have not authorized any other person to provide you with different or additional information. If anyone provides you with different or inconsistent information, you should not rely on it. We do not take responsibility for, and can provide no assurance as to the reliability of, any other information that others may give you. You should assume that the information contained or incorporated by reference in this prospectus supplement and the accompanying prospectus is accurate only as of the respective dates of such information, regardless of the time of delivery of this prospectus supplement and the accompanying prospectus or any sale of our Class B ordinary shares. Our business, financial condition, results of operations and prospects may have changed since those dates. We are not making an offer of any securities in any jurisdiction in which such offer is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is being taken in any jurisdiction outside the United States to permit an offering of our securities or the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relating to this offering and the distribution of this prospectus supplement and the accompanying prospectus applicable to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supplement, unless otherwise indicated or the context otherwise requires: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when we refer to this prospectus in this prospectus supplement, we are referring to both the prospectus supplement and the prospectus combined;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refers to our Class A ordinary shares, par value US$0.0024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refers to our Class B ordinary shares, par value US$0.0024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C ordinary shares” refers to our Class C ordinary shares, par value US$0.0024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Companies Act” refers to the Companies Act (As Revised) of the Cayman Islands;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refers to the Securities Exchange Act of 1934, as amended;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IMDA” refers to Infocomm Media Development Authority, a statutory board under the Singapore Ministry of Communications and Information of the Republic of Singapore;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Memorandum and Articles of Association” refers to our memorandum and articles of association, as amended and restated from time to 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refers to our Class A ordinary shares, Class B ordinary shares and Class C ordinary shares, par value US$0.0024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 or “SGD” refers to the Singapore dollar, the legal currency of Singapore;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refers to the United States Securities and Exchange Commission;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refers to the United States Securities Act of 1933, as amended;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Singapore” refers to the Republic of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SME” refers to small and medium enterprises;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Trident Singapore” refers to Trident Digital Tech Pte. Ltd., a company incorporated in Singapore, and an indirect wholly-owned subsidiary of our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 “dollars,” or “U.S. dollars” refers to the legal currency of the United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refers to generally accepted accounting principles in the United States;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company,” the “Company,” “Trident Cayman” and “our” refer to Trident Digital Tech Holdings Ltd, a Cayman Islands company and its subsidiaries.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discrepancies in any table in this prospectus supplement between the amounts identified as total amounts and the sum of the amounts listed therein are due to rounding.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3" w:name="b_002"/>
      <w:bookmarkEnd w:id="3"/>
      <w:r>
        <w:rPr>
          <w:rFonts w:ascii="Times New Roman;Times;Serif" w:hAnsi="Times New Roman;Times;Serif"/>
          <w:b/>
          <w:i w:val="false"/>
          <w:caps w:val="false"/>
          <w:smallCaps w:val="false"/>
          <w:sz w:val="20"/>
          <w:bdr w:val="single" w:sz="12" w:space="5" w:color="000000"/>
        </w:rPr>
        <w:t>PROSPECTUS SUPPLEMENT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following summary highlights information contained elsewhere in this prospectus supplement , the accompanying prospectus, o</w:t>
      </w:r>
      <w:r>
        <w:rPr>
          <w:rFonts w:ascii="Times New Roman;Times;Serif" w:hAnsi="Times New Roman;Times;Serif"/>
          <w:b w:val="false"/>
          <w:i/>
          <w:caps w:val="false"/>
          <w:smallCaps w:val="false"/>
          <w:sz w:val="20"/>
          <w:bdr w:val="single" w:sz="12" w:space="5" w:color="000000"/>
          <w:shd w:fill="FFFFFF" w:val="clear"/>
        </w:rPr>
        <w:t xml:space="preserve">r incorporated by reference in this prospectus supplement, </w:t>
      </w:r>
      <w:r>
        <w:rPr>
          <w:rFonts w:ascii="Times New Roman;Times;Serif" w:hAnsi="Times New Roman;Times;Serif"/>
          <w:b w:val="false"/>
          <w:i/>
          <w:caps w:val="false"/>
          <w:smallCaps w:val="false"/>
          <w:sz w:val="20"/>
          <w:bdr w:val="single" w:sz="12" w:space="5" w:color="000000"/>
        </w:rPr>
        <w:t>and does not contain all of the information that you need to consider in making your investment decision. We urge you to read this entire prospectus (as supplemented or amended), including our consolidated financial statements, notes to the consolidated financial statements and other information incorporated by reference in this prospectus supplement from our other filings with the SEC, before making an investment decision. Investors should note that Trident Digital Tech Holdings Ltd, our ultimate Cayman Islands holding company, is not an operating company, and all of our assets are located outside of the United States. Substantially all of our current operations are conducted in Singapore.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Singapore-headquartered digital infrastructure holding company that builds and operates technology platforms in emerging markets, entering through digital identity infrastructure and expanding into government technology, artificial intelligence (“AI”), cybersecurity, digital commerce, agritech and transaction-driven services. In 2025, the Company undertook a strategic transition from a business consulting and IT customization-led model to its proprietary Web 3.0 and blockchain-enabled platform, Tridentity, which is the identity layer for the platforms described below.</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Historically, we derived a majority of its revenues from business consulting and IT customization services provided primarily to SMEs in Singapore. In 2025, we discontinued its business consulting services and significantly scaled back its IT customization operations to focus resources on its Web 3.0 activation and digital identity solutions and services. Tridentity, launched in December 2023, is a blockchain-based identity solution that provides secure single sign-on authentication to integrated third-party systems.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May 2026, we reorganized as a multi-vertical holding company with five pillars: Tridentity Infrastructure Group (national digital identity infrastructure); TDTH Cybersecurity Group; TDTH AI &amp; Intelligent Systems Group; TDTH Africa (government technology, digital commerce and transaction infrastructure partnerships in African markets); and TDTH Agritech (technology-enabled agricultural infrastructure). We believe that we can addresses a massive market opportunity today and provides us with an attractive runway for growth.</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part of our strategic realignment to transition our business model, we reallocated resources away from our traditional business consulting and IT customization services to concentrate on the development and expansion of our Web 3.0 and blockchain-enabled platform, Tridentity. As a result, our revenue declined while operating expenses increased as we invested in long-term strategic initiatives. For the years ended December 31, 2025 and 2024, we generated revenue of approximately US$0.16 million and US$0.47 million, respectively. Revenue from IT customization and business consulting accounted for 80.7% and nil of our total revenue for the year ended December 31, 2025, respectively, and accounted for 72.5% and 24.1% of our total revenue for the year ended December 31, 2024, respectively. We incurred a net loss of approximately US$22.76 million and US$8.12 million for the years ended December 31, 2025 and 2024, respectively. While this transition has resulted in near-term revenue contraction, we believe this strategic shift positions the Company to capture growth opportunities in the emerging Web 3.0 and digital identity markets.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Company History and Structure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June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Upon the completion of the reorganization, Quality Zone Technologies Pte. Ltd. became a wholly-owned subsidiary of Trident Digital Tech Holdings Ltd and Trident Digital Tech Pte. Ltd. became a wholly-owned subsidiary of Quality Zone Technologies Pte. Ltd. We are a holding company and we conduct our business through our Singapore subsidiaries.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27, 2025, Trident Digital Tech (DRC) Africa SAS was incorporated as a joint-stock company in the DRC, with Trident Digital Tech Pte. Ltd. holding 80% interest and Africa Digital SARL holding 20% interest. The entity was established to provide digital-identity solutions, biometric identification, secure data-management services and electronic verification systems.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15, 2025, TRIDENT ALISKA DIGITAL TECH GHANA LTD was incorporated as a private limited company in Ghana as a joint venture between Trident Digital Tech Pte. Ltd. and Aliska Business Advisory and Research Limited, with each party holding a 50% equity interest. The entity was established to engage in information communication technology, including software and application development, technology development services and technology-related investment and services.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Trident Digital Tech Holdings Ltd is the offshore holding company of our group and conducts business operations through wholly owned subsidiaries.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diagram illustrates our corporate structure, including our principal subsidiaries as of the date of this prospectus supplement: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drawing>
          <wp:inline distT="0" distB="0" distL="0" distR="0">
            <wp:extent cx="5267325" cy="2562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67325" cy="2562225"/>
                    </a:xfrm>
                    <a:prstGeom prst="rect">
                      <a:avLst/>
                    </a:prstGeom>
                  </pic:spPr>
                </pic:pic>
              </a:graphicData>
            </a:graphic>
          </wp:inline>
        </w:drawing>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September 8, 2026, the Company entered into a securities purchase agreement (the “Securities Purchase Agreement”) with certain non-U.S. investors (the “Purchasers”), pursuant to which the Company agreed to issue and sell to the Purchasers an aggregate of 20,000,000 Class B ordinary shares of the Company (the “Private Placement”), par value US$0.0024 per share (the “Shares”), at a purchase price of US$0.40 per Share, for aggregate gross proceeds of US$8.0 million (the “Purchase Price”). The Purchasers may pay the Purchase Price in U.S. dollars, Tether (“USDT”), USD Coin (“USDC”) or any combination thereof, in accordance with the terms of the Securities Purchase Agreement. On September 8, 2026, the Company completed the closing of the Private Placement and issued an aggregate of 20,000,000 Shares to the Purchasers against payment of the Purchase Price. A portion of the purchase price was paid in USDT and USDC, each of which was valued at and treated as functionally equivalent to U.S. dollars on a 1:1 basis pursuant to the Securities Purchase Agreement. The Company currently intends to use the net proceeds from the Private Placement for its digital asset reserve, working capital and/or general corporate purposes.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September 22, 2026, the Company received written notification from the Listing Qualifications Staff of The Nasdaq Stock Market LLC (“Nasdaq”) that it had regained compliance with Nasdaq Listing Rule 5550(b)(2), which requires companies listed on The Nasdaq Capital Market to maintain a market value of listed securities of at least $35 million.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 of Being a Foreign Private Issuer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incorporated in the Cayman Islands, we are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 We currently follow Cayman Islands corporate governance practices in lieu of the corporate governance requirements of the Nasdaq Capital Market in respect of the following: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 Approval Requirements under Section 5635 of the Nasdaq Capital Market listing rules; and</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requirement under Section 5605(b)(2) of the Nasdaq Capital Market listing rules that the Independent Non-executive Directors have regularly scheduled meetings with only the Independent Non-executive Directors present.</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 is located at Suntec Tower 3, 8 Temasek Boulevard Road, #24-03, Singapore, 038988. Our telephone number is +65 6513 6868. Our agent for service of process in the United States is Cogency Global Inc., located at 122 East 42nd Street, 18th Floor, New York, NY 10168.</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SEC maintains an internet site that contains reports, proxy and information statements, and other information regarding issuers that file electronically with the SEC on www.sec.gov. You can also find information on our corporate website https://tridentity.me. The information contained on or accessible through the Company’s website does not form part of this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 foreign private issuer, we are exempt under the Exchange Act from, among other things, the rules prescribing the furnishing and content of proxy statements. Our principal shareholders are exempt from the reporting requirements, and our executive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annual reports, which will include a review of operations and annual audited consolidated financial statements prepared in conformity with U.S. GAAP, and all notices of shareholders’ meeting and other reports and communications that are made generally available to our shareholders.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Information Regarding our Capitalization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the date of this prospectus supplement, we had 28,931,161 Class B ordinary shares and 208,333 Class A ordinary shares issued and outstanding. Additional information regarding our issued and outstanding securities may be found under “</w:t>
      </w:r>
      <w:r>
        <w:rPr>
          <w:rFonts w:ascii="Times New Roman;Times;Serif" w:hAnsi="Times New Roman;Times;Serif"/>
          <w:b w:val="false"/>
          <w:i/>
          <w:caps w:val="false"/>
          <w:smallCaps w:val="false"/>
          <w:sz w:val="20"/>
          <w:bdr w:val="single" w:sz="12" w:space="5" w:color="000000"/>
        </w:rPr>
        <w:t>Description of the Securities</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specifically stated, information throughout this prospectus supplement does not assume the issuance of any Class B ordinary shares issuable upon the exercise or conversion of any outstanding options, warrants or other convertible securities.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b_003"/>
      <w:bookmarkEnd w:id="4"/>
      <w:r>
        <w:rPr>
          <w:rFonts w:ascii="Times New Roman;Times;Serif" w:hAnsi="Times New Roman;Times;Serif"/>
          <w:b/>
          <w:i w:val="false"/>
          <w:caps w:val="false"/>
          <w:smallCaps w:val="false"/>
          <w:sz w:val="20"/>
          <w:bdr w:val="single" w:sz="12" w:space="5" w:color="000000"/>
        </w:rPr>
        <w:t>INCORPORATION OF DOCUMENTS BY REFERENCE</w:t>
      </w:r>
    </w:p>
    <w:p>
      <w:pPr>
        <w:pStyle w:val="TextBody"/>
        <w:shd w:fill="FFFFFF" w:val="clear"/>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SEC allows us to “incorporate by reference” the information we file with or furnish to it. This means we can disclose important information to you by referring you to those documents. Each document incorporated by reference is current only as of the date of such document, and the incorporation by reference of such document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or furnishing future reports to the SEC that are incorporated by reference herein, the information incorporated by reference in this prospectus supplement is considered to be automatically updated and superseded. In the case of a conflict or inconsistency between information contained in this prospectus supplement and the information incorporated by reference herein, you should rely on the information contained in the document that was filed or furnished later.</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incorporate by reference the documents listed below:</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w:t>
            </w:r>
            <w:hyperlink r:id="rId3">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2025, along with all exhibits, including the description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Reports on Form 6-K filed with the SEC on </w:t>
            </w:r>
            <w:hyperlink r:id="rId4">
              <w:r>
                <w:rPr>
                  <w:rStyle w:val="InternetLink"/>
                  <w:rFonts w:ascii="Times New Roman;Times;Serif" w:hAnsi="Times New Roman;Times;Serif"/>
                  <w:b w:val="false"/>
                  <w:i w:val="false"/>
                  <w:caps w:val="false"/>
                  <w:smallCaps w:val="false"/>
                  <w:sz w:val="20"/>
                </w:rPr>
                <w:t>April 1,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April 7,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April 21,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1,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May 8,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27,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June 16,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June 17,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July 8,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September 9, 2026</w:t>
              </w:r>
            </w:hyperlink>
            <w:r>
              <w:rPr>
                <w:rFonts w:ascii="Times New Roman;Times;Serif" w:hAnsi="Times New Roman;Times;Serif"/>
                <w:b w:val="false"/>
                <w:i w:val="false"/>
                <w:caps w:val="false"/>
                <w:smallCaps w:val="false"/>
                <w:sz w:val="20"/>
              </w:rPr>
              <w:t xml:space="preserve"> and </w:t>
            </w:r>
            <w:hyperlink r:id="rId15">
              <w:r>
                <w:rPr>
                  <w:rStyle w:val="InternetLink"/>
                  <w:rFonts w:ascii="Times New Roman;Times;Serif" w:hAnsi="Times New Roman;Times;Serif"/>
                  <w:b w:val="false"/>
                  <w:i w:val="false"/>
                  <w:caps w:val="false"/>
                  <w:smallCaps w:val="false"/>
                  <w:sz w:val="20"/>
                </w:rPr>
                <w:t>September 24, 2026</w:t>
              </w:r>
            </w:hyperlink>
            <w:r>
              <w:rPr>
                <w:rFonts w:ascii="Times New Roman;Times;Serif" w:hAnsi="Times New Roman;Times;Serif"/>
                <w:b w:val="false"/>
                <w:i w:val="false"/>
                <w:caps w:val="false"/>
                <w:smallCaps w:val="false"/>
                <w:sz w:val="20"/>
              </w:rPr>
              <w:t>, along with all exhibit;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tc>
      </w:tr>
    </w:tbl>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annual report for the fiscal year ended December 31, 2025 filed with the SEC on April 28, 2026 contains a description of our business and audited consolidated financial statements with reports by independent auditors. The consolidated financial statements are prepared and presented in accordance with U.S. GAAP.</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Suntec Tower 3,</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8 Temasek Boulevard Road, #24-03</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Singapore, 038988</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You should rely only on the information that we incorporate by reference or provide in this prospectus supplement and the accompanying prospectus. We have not authorized anyone to provide you with different information. We are not making any offer of these securities in any jurisdiction where the offer is not permitted. You should not assume that the information in this prospectus supplement and the accompanying prospectus is accurate as of any date other than the date on the front of those documents.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5" w:name="b_004"/>
      <w:bookmarkEnd w:id="5"/>
      <w:r>
        <w:rPr>
          <w:rFonts w:ascii="Times New Roman;Times;Serif" w:hAnsi="Times New Roman;Times;Serif"/>
          <w:b/>
          <w:i w:val="false"/>
          <w:caps w:val="false"/>
          <w:smallCaps w:val="false"/>
          <w:sz w:val="20"/>
          <w:bdr w:val="single" w:sz="12" w:space="5" w:color="000000"/>
        </w:rPr>
        <w:t>SPECIAL NOTE REGARDING FORWARD-LOOKING STATEMENTS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prospectus supplement and accompanying prospectus, and the information incorporated by reference 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supplement, accompanying prospectus and the documents incorporated herein and therein by reference, particularly the sections entitled “Risk Factors,” and “Prospectus Supplement Summary,” among others, discuss factors which could adversely impact our business and financial performance.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You can identify these forward-looking statements by words or phrases such as “may,” “will,” “expect,”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outlook of the digital solutions and e-commerce market in Singapore, Southeast Asia and globally;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changes in our revenue, costs or expenditures;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proposed use of proceeds;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policies and regulations relating to our industry;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in Singapore, Southeast Asia and globally.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supplement, the accompanying prospectus, and the information incorporated by reference herein, along with any exhibits thereto, completely and with the understanding that our actual future results may be materially different from what we expect. Other sections of this prospectus supplement, accompanying prospectus and the documents incorporated by reference herein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prospectus supplement and accompanying prospectus, and the information incorporated by reference herein may also contain estimates, projections and statistical data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digital solutions and e-commerce market in Singapore, Southeast Asia and globally, projections or estimates about our business and financial prospects involve significant risks and uncertainties. You should not place undue reliance on these forward-looking statements.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6" w:name="b_005"/>
      <w:bookmarkEnd w:id="6"/>
      <w:r>
        <w:rPr>
          <w:rFonts w:ascii="Times New Roman;Times;Serif" w:hAnsi="Times New Roman;Times;Serif"/>
          <w:b/>
          <w:i w:val="false"/>
          <w:caps w:val="false"/>
          <w:smallCaps w:val="false"/>
          <w:sz w:val="20"/>
          <w:bdr w:val="single" w:sz="12" w:space="5" w:color="000000"/>
        </w:rPr>
        <w:t>SUMMARY OF THE OFFERING</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542"/>
        <w:gridCol w:w="60"/>
        <w:gridCol w:w="8603"/>
      </w:tblGrid>
      <w:tr>
        <w:trPr/>
        <w:tc>
          <w:tcPr>
            <w:tcW w:w="15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 Class B ordinary shares at a price of $0.50 per share.</w:t>
            </w:r>
          </w:p>
        </w:tc>
      </w:tr>
      <w:tr>
        <w:trPr/>
        <w:tc>
          <w:tcPr>
            <w:tcW w:w="15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outstanding after the Offering:</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58,854,494 Class B ordinary shares and 208,333 Class A ordinary shares</w:t>
            </w:r>
          </w:p>
        </w:tc>
      </w:tr>
      <w:tr>
        <w:trPr/>
        <w:tc>
          <w:tcPr>
            <w:tcW w:w="15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that the aggregate value of the gross proceeds from this offering will be approximately $15,000,000, based on the U.S. dollar value of the USDT and/or USDC to be received by the Company as consideration for the Class B ordinary shares offered hereby. The Company intends to hold such USDT and/or USDC as part of its digital asset reserve and may, from time to time, convert all or a portion thereof into U.S. dollars or other fiat currency for working capital and general corporate purposes.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beginning on page S-9.</w:t>
            </w:r>
          </w:p>
        </w:tc>
      </w:tr>
      <w:tr>
        <w:trPr/>
        <w:tc>
          <w:tcPr>
            <w:tcW w:w="15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 Factors: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information set forth in this prospectus supplement and, in particular, the specific factors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beginning on page S-7 of this prospectus supplement before deciding whether or not to invest in our securities.</w:t>
            </w:r>
          </w:p>
        </w:tc>
      </w:tr>
      <w:tr>
        <w:trPr/>
        <w:tc>
          <w:tcPr>
            <w:tcW w:w="15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VStock Transfer, LLC</w:t>
            </w:r>
          </w:p>
        </w:tc>
      </w:tr>
      <w:tr>
        <w:trPr/>
        <w:tc>
          <w:tcPr>
            <w:tcW w:w="15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symbols: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TDTH”</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outstanding after this offering is based on 28,931,161 Class B ordinary shares and 208,333 Class A ordinary shares outstanding immediately before this offering, and excludes Class B ordinary shares issuable upon the exercise of outstanding warrants or options and Class B ordinary shares reserved for future issuance under the Company’s equity incentive plans and convertible promissory notes.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b_006"/>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the Company’s securities involves a high degree of risk. Prior to making a decision about investing in the Company’s securities, you should carefully consider the risk factors described below and the risk factors discussed under the section entitled “Risk Factors” contained in the Company’s most recent Annual Report on Form 20-F, and the Company’s other filings with the SEC incorporated by reference in this prospectus supplement, together with all of the other information contained in this prospectus supplement and the accompanying prospectus. The Company’s business, financial condition and results of operations could be materially and adversely affected as a result of these risks. This could cause the trading price of the Company’s securities to decline, resulting in a loss of all or part of your investment. These risks could have a material adverse effect on the Company’s business, results of operations or financial condition and cause the value of the Company’s securities to decline. You could lose all or part of your investment. This prospectus supplement also contains or incorporates by reference forward-looking statements that involve risks and uncertainties. The Company’s actual results could differ materially from those anticipated in the forward-looking statements as a result of certain factors, including the risks described or incorporated by reference in this prospectus supplement and the accompanying prospectus. See “Special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immediate and substantial dilution in the net tangible book value per share of the Class B ordinary shares you purchase in this offering, and future issuances of equity or convertible securities may result in additional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of $0.50 per Class B ordinary share in this offering may exceed the pro forma net tangible book value per share of the Company’s Class B ordinary shares. Accordingly, purchasers of Class B ordinary shares in this offering may incur immediate and substantial dilution in the net tangible book value of their investment. See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extent that the Company raises additional capital in the future through the issuance of Class B ordinary shares or securities convertible into, exercisable for or exchangeable for Class B ordinary shares, the Company’s existing shareholders may experience further dilution, and any such newly issued securities may have rights, preferences or privileges senior to those of the Class B ordinary shares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the Company’s Class B ordinary shares, or the perception that such sales may occur, could cause the market price of the Company’s Class B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additional Class B ordinary shares in public or private offerings and may also issue securities convertible into, exercisable for or exchangeable for Class B ordinary shares. The Company cannot predict the size or timing of future issuances of Class B ordinary shares or other securities, or the effect, if any, that such future issuances and sales may have on the market price of the Company’s Class B ordinary shares. Sales of substantial amounts of the Company’s Class B ordinary shares, including shares issued in connection with acquisitions or future financings, or the perception that such sales could occur, may adversely affect the prevailing market price of the Company’s Class B ordinary shares and may impair the Company’s ability to raise capital through future equity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is subject to Nasdaq’s continued listing requirements, and the Company’s Class B ordinary shares could be delisted if the Company fails to satisfy such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meet the continued listing standards of the Nasdaq Capital Market. These standards include, among others, requirements relating to minimum bid price, shareholders’ equity, market value of publicly held shares, corporate governance and other quantitative and qualitative criteria. If the Company fails to satisfy Nasdaq’s continued listing requirements and is unable to regain compliance within any applicable cure period, the Company’s Class B ordinary shares could be delisted. A delisting could materially impair shareholders’ ability to buy and sell the Company’s Class B ordinary shares, adversely affect the market price and liquidity of the Class B ordinary shares and significantly impair the Company’s ability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the Company’s Class B ordinary shares may be highly volatile, and investors may not be able to resell their Class B ordinary shares at or above the price paid in this offering,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Company’s Class B ordinary shares may be volatile and subject to wide fluctuations in response to various factors, including market conditions in the broader securities markets; the Company’s capital structure and liquidity; actual or anticipated fluctuations in the Company’s financial condition and results of operations; acquisitions, financings or other strategic transactions; changes in analyst reports or recommendations; the trading volume of the Company’s Class B ordinary shares; changes in key personnel; regulatory or political developments; litigation or governmental investigations; and general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may cause the market price and trading volume of the Company’s Class B ordinary shares to fluctuate substantially, which may limit or prevent investors from readily selling their Class B ordinary shares. In addition, companies that experience significant volatility in the market price of their securities have from time to time been subject to securities class action litigation. Any such litigation against the Company could result in substantial costs and divert the attention and resources of the Company’s management from the operation of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USDT and/or USDC that we may receive as consideration in this offering are subject to risks associated with stablecoins, which could adversely affect the value and liquidity of the consideration we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we receive in this offering may include USDT and/or USDC, each of which is a stablecoin designed to maintain a value of approximately one U.S. dollar per token. Although USDT and USDC are intended to maintain a stable value relative to the U.S. dollar, there can be no assurance that either stablecoin will maintain its intended value. The value and liquidity of USDT and USDC may be adversely affected by, among other things, market conditions, loss of confidence, the adequacy or availability of reserves supporting the applicable stablecoin, the ability of the applicable issuer to satisfy redemption requests, operational or technological failures and changes in applicable laws and regulations. In addition, to the extent we receive and hold USDT or USDC, we may be exposed to risks relating to cybersecurity, custody, loss or compromise of access credentials and transactions involving digital assets. If USDT or USDC were to materially decline in value or become illiquid, or if we were unable to access, transfer or convert any USDT or USDC we receive into U.S. dollars or other fiat currency on acceptable terms, the value of such consideration could be materially reduced, which could adversely affect our liquidity,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b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gross proceeds from this offering will be approximately $15,000,000 based on the U.S. dollar value of the digital assets to be received by us as consideration for the Class B ordinary shares offered hereby. We intend to hold the digital assets received in this offering and may, from time to time, convert all or a portion of such digital assets into U.S. dollars or other fiat currency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b_008"/>
      <w:bookmarkEnd w:id="9"/>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ordinary shares. We do not have any present plan to pay any cash dividends on our ordinary shares in the foreseeable future. We currently intend to retain most, if not all, of our available funds and any future earnings to operate and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our ordinary shares, if any, will be paid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b_009"/>
      <w:bookmarkEnd w:id="10"/>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the Class B ordinary shares in this offering, your interest will be diluted immediately to the extent of the difference between the offering price per Class B ordinary share in this offering and our pro forma as adjusted net tangible book value per ordinary share after giving effect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net tangible book value as of December 31, 2025 was approximately negative $6,760,804. Historical net tangible book value represents the amount of our total tangible assets less our total liabilities. Historical net tangible book value per ordinary share is determined by dividing our historical net tangible book value by the number of ordinary shares outstanding, after giving effect to the 240-for-1 share consolidation of its ordinary shares effected on July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(i) the conversion of US$8,000,000 of outstanding debt owed by the Company to Mr. Soon Huat Lim into 901,408,450 Class B ordinary shares at a conversion price of US$0.008875 per share, pursuant to the Share Subscription Agreement, dated June 30, 2026, by and between the Company and Mr. Soon Huat Lim; (ii) the issuance and sale of 20,000,000 Class B ordinary shares pursuant to the securities purchase agreement, dated September 8, 2026, by and among the Company and certain non-U.S. investors, our pro forma net tangible book value as of December 31, 2025 would have been approximately $9,239,196, or $0.32 per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further giving effect to the issuance and sale of 30,000,000 Class B ordinary shares in this offering at an offering price of $0.50 per share, and after deducting estimated offering expenses payable by us, our pro forma as adjusted net tangible book value as of December 31, 2025 would have been approximately $24,239,196, or $0.41 per ordinary share. This represents an immediate increase in pro forma net tangible book value of approximately $0.09 per ordinary share to our existing shareholders and immediate dilution of approximately $0.09 per Class B ordinary share to investors purchasing Class B ordinary shares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Class B ordinary share to investors in this offering is determined by subtracting our pro forma as adjusted net tangible book value per ordinary share after giving effect to this offering from the offering price per Class B ordinary share paid by investors in this offering. The following table illustrates this dilution on a per-share basis:</w:t>
      </w:r>
    </w:p>
    <w:p>
      <w:pPr>
        <w:pStyle w:val="TextBody"/>
        <w:bidi w:val="0"/>
        <w:spacing w:before="0" w:after="0"/>
        <w:ind w:left="0" w:right="0" w:hanging="0"/>
        <w:jc w:val="both"/>
        <w:rPr>
          <w:caps w:val="false"/>
          <w:smallCaps w:val="false"/>
        </w:rPr>
      </w:pPr>
      <w:r>
        <w:rPr>
          <w:caps w:val="false"/>
          <w:smallCaps w:val="false"/>
        </w:rPr>
        <w:t> </w:t>
      </w:r>
    </w:p>
    <w:tbl>
      <w:tblPr>
        <w:tblW w:w="10100" w:type="dxa"/>
        <w:jc w:val="left"/>
        <w:tblInd w:w="0" w:type="dxa"/>
        <w:tblLayout w:type="fixed"/>
        <w:tblCellMar>
          <w:top w:w="0" w:type="dxa"/>
          <w:left w:w="0" w:type="dxa"/>
          <w:bottom w:w="0" w:type="dxa"/>
          <w:right w:w="0" w:type="dxa"/>
        </w:tblCellMar>
      </w:tblPr>
      <w:tblGrid>
        <w:gridCol w:w="9275"/>
        <w:gridCol w:w="60"/>
        <w:gridCol w:w="140"/>
        <w:gridCol w:w="515"/>
        <w:gridCol w:w="110"/>
      </w:tblGrid>
      <w:tr>
        <w:trPr/>
        <w:tc>
          <w:tcPr>
            <w:tcW w:w="9275" w:type="dxa"/>
            <w:tcBorders/>
            <w:shd w:fill="CCEEFF" w:val="clear"/>
            <w:vAlign w:val="center"/>
          </w:tcPr>
          <w:p>
            <w:pPr>
              <w:pStyle w:val="TableContents"/>
              <w:bidi w:val="0"/>
              <w:spacing w:before="0" w:after="283"/>
              <w:ind w:left="0" w:right="0" w:hanging="180"/>
              <w:jc w:val="both"/>
              <w:rPr/>
            </w:pPr>
            <w:r>
              <w:rPr/>
              <w:t>Offering price per Class B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0.50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275" w:type="dxa"/>
            <w:tcBorders/>
            <w:shd w:fill="FFFFFF" w:val="clear"/>
            <w:vAlign w:val="center"/>
          </w:tcPr>
          <w:p>
            <w:pPr>
              <w:pStyle w:val="TableContents"/>
              <w:bidi w:val="0"/>
              <w:spacing w:before="0" w:after="283"/>
              <w:jc w:val="both"/>
              <w:rPr/>
            </w:pPr>
            <w:r>
              <w:rPr/>
              <w:t>Historical net tangible book value per ordinary share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(1.79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9275" w:type="dxa"/>
            <w:tcBorders/>
            <w:shd w:fill="CCEEFF" w:val="clear"/>
            <w:vAlign w:val="center"/>
          </w:tcPr>
          <w:p>
            <w:pPr>
              <w:pStyle w:val="TableContents"/>
              <w:bidi w:val="0"/>
              <w:spacing w:before="0" w:after="283"/>
              <w:jc w:val="both"/>
              <w:rPr/>
            </w:pPr>
            <w:r>
              <w:rPr/>
              <w:t>Increase in pro forma net tangible book value per ordinary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0.09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275" w:type="dxa"/>
            <w:tcBorders/>
            <w:shd w:fill="FFFFFF" w:val="clear"/>
            <w:vAlign w:val="center"/>
          </w:tcPr>
          <w:p>
            <w:pPr>
              <w:pStyle w:val="TableContents"/>
              <w:bidi w:val="0"/>
              <w:spacing w:before="0" w:after="283"/>
              <w:jc w:val="both"/>
              <w:rPr/>
            </w:pPr>
            <w:r>
              <w:rPr/>
              <w:t>Pro forma as adjusted net tangible book value per ordinary share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0.41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9275" w:type="dxa"/>
            <w:tcBorders/>
            <w:shd w:fill="CCEEFF" w:val="clear"/>
            <w:vAlign w:val="center"/>
          </w:tcPr>
          <w:p>
            <w:pPr>
              <w:pStyle w:val="TableContents"/>
              <w:bidi w:val="0"/>
              <w:spacing w:before="0" w:after="283"/>
              <w:jc w:val="both"/>
              <w:rPr/>
            </w:pPr>
            <w:r>
              <w:rPr/>
              <w:t>Dilution per Class B ordinary share to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0.09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sold in this offering will be sold at a fixed price of $0.50 per share. An increase of $1.00 per Class B ordinary share in the offering price from $0.50 per share shown in the table above would increase our pro forma as adjusted net tangible book value per ordinary share after this offering to $0.92 per share and would increase the dilution in net tangible book value per Class B ordinary share to investors in this offering to $0.58 per share, after deducting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above is based on an aggregate of 29,139,494 ordinary shares issued and outstanding on a pro forma basis immediately prior to this offering, consisting of 28,931,161 Class B ordinary shares and 208,333 Class A ordinary shares, after giving effect to (i) the conversion of US$8,000,000 of outstanding debt owed by the Company to Mr. Soon Huat Lim into 901,408,450 Class B ordinary shares at a conversion price of US$0.008875 per share, pursuant to the Share Subscription Agreement, dated June 30, 2026, by and between the Company and Mr. Soon Huat Lim; (ii) the issuance and sale of 20,000,000 Class B ordinary shares pursuant to the securities purchase agreement, dated September 8, 2026, by and among the Company and certain non-U.S.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outstanding options, warrants or other securities convertible into, exercisable for or exchangeable for Class B ordinary shares are exercised, converted or exchanged, or we issue additional Class B ordinary shares or other equity securities, investors purchasing Class B ordinary shares in this offering could experience further dilution. In addition, to the extent that we raise additional capital through the sale of equity or convertible debt securities, the issuance of those securities could result in further dilution to our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b_010"/>
      <w:bookmarkEnd w:id="11"/>
      <w:r>
        <w:rPr>
          <w:rFonts w:ascii="Times New Roman;Times;Serif" w:hAnsi="Times New Roman;Times;Serif"/>
          <w:b/>
          <w:i w:val="false"/>
          <w:caps w:val="false"/>
          <w:smallCaps w:val="false"/>
          <w:sz w:val="20"/>
        </w:rPr>
        <w:t>DESCRIPTION OF THE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Class B ordinary shares being offered pursuant to this prospectus supplement is set forth under the heading “</w:t>
      </w:r>
      <w:r>
        <w:rPr>
          <w:rFonts w:ascii="Times New Roman;Times;Serif" w:hAnsi="Times New Roman;Times;Serif"/>
          <w:b w:val="false"/>
          <w:i/>
          <w:caps w:val="false"/>
          <w:smallCaps w:val="false"/>
          <w:sz w:val="20"/>
        </w:rPr>
        <w:t>Description Of Share Capital</w:t>
      </w:r>
      <w:r>
        <w:rPr>
          <w:rFonts w:ascii="Times New Roman;Times;Serif" w:hAnsi="Times New Roman;Times;Serif"/>
          <w:b w:val="false"/>
          <w:i w:val="false"/>
          <w:caps w:val="false"/>
          <w:smallCaps w:val="false"/>
          <w:sz w:val="20"/>
        </w:rPr>
        <w:t>” in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25, 2026, the Company had 28,854,494 Class B ordinary shares and 208,333 Class A ordinary shares issued and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b_011"/>
      <w:bookmarkEnd w:id="1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30,000,000 Class B ordinary shares, par value $0.0024 per share, at a price of $0.50 per share, pursuant to this prospectus supplement and the securities purchase agreements dated September 27, 2026, that we entered into with certain investors. Each securities purchase agreement includes representations and warranties by us and the applicable investor. The offering price of the securities in this offering has been determined based upon arm’s-length negotiations between the investors and us. Our obligation to issue and sell the securities to the investors is subject to the closing conditions set forth in the applicable securities purchase agreement, including the absence of any material adverse change. All of the securities will be sold at the offering price specified in this prospectus supplement and, we expect, at a single closing. This offering does not involve any investment bank, broker-dealer, placement agent or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of the securities we are offering was negotiated between us and the investors, based on the trading price of our Class B ordinary shares prior to the offering, among other things. Other factors considered in determining the offering price of the securities we are offering include our history and prospects,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of our expenses, including legal fees, printing costs and various other expenses, in connection with the registration, offering and issuance of the Class B ordinary shares to the investors pursuant to the securities purchase agreements. The Class B ordinary shares offered under this prospectus supplement are being offered directly to the investors without a placement agent or underwriter, and we are not paying any underwriting discounts or commissions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Class B ordinary shares is VStock Transfer,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ordinary shares are listed on the Nasdaq Capital Market under the symbol “TDTH.”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b_012"/>
      <w:bookmarkEnd w:id="13"/>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Cayman Islands, Singapore and U.S. federal income tax consequences of an investment in our Class B ordinary shares is based upon laws and relevant interpretations thereof in effect as of the date of this prospectus supplement, all of which are subject to change. This summary does not deal with all possible tax consequences relating to an investment in our Class B ordinary shares, such as the tax consequences under U.S. state and local tax laws or under the tax laws of jurisdictions other than the Cayman Islands, Singapore and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shares will not be subject to taxation in the Cayman Islands and no withholding will be required on the payment of a dividend or capital to any holder of our Class B ordinary shares, nor will gains derived from the disposal of our Class B ordinary shares be subject to Cayman Islands income or corporate tax.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not intended to be or to be regarded as tax advice to any investors, and investors should consult their own professional tax advisors regarding Singapore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Singapore tax resident corporate taxpayer is subject to Singapore income tax on:</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shd w:fill="FFFFFF" w:val="clear"/>
        <w:tblLayout w:type="fixed"/>
        <w:tblCellMar>
          <w:top w:w="0" w:type="dxa"/>
          <w:left w:w="0" w:type="dxa"/>
          <w:bottom w:w="0" w:type="dxa"/>
          <w:right w:w="0" w:type="dxa"/>
        </w:tblCellMar>
      </w:tblPr>
      <w:tblGrid>
        <w:gridCol w:w="105"/>
        <w:gridCol w:w="260"/>
        <w:gridCol w:w="408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accruing in or derived from Singapore;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62"/>
        <w:gridCol w:w="9838"/>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3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derived from outside Singapore (i.e. foreign-sourced income) which is received or deemed received in Singapore, unless otherwise exempted.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non-Singapore tax resident corporate taxpayer, subject to certain exceptions, is subject to Singapore income tax on income accrued in or derived from Singapore, and on foreign income received or deemed received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Foreign-sourced income is deemed to be received in Singapore when it is:</w:t>
      </w:r>
    </w:p>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shd w:fill="FFFFFF" w:val="clear"/>
        <w:tblLayout w:type="fixed"/>
        <w:tblCellMar>
          <w:top w:w="0" w:type="dxa"/>
          <w:left w:w="0" w:type="dxa"/>
          <w:bottom w:w="0" w:type="dxa"/>
          <w:right w:w="0" w:type="dxa"/>
        </w:tblCellMar>
      </w:tblPr>
      <w:tblGrid>
        <w:gridCol w:w="105"/>
        <w:gridCol w:w="260"/>
        <w:gridCol w:w="419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remitted to, transmitted or brought into Singapore;</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shd w:fill="FFFFFF" w:val="clear"/>
        <w:tblLayout w:type="fixed"/>
        <w:tblCellMar>
          <w:top w:w="0" w:type="dxa"/>
          <w:left w:w="0" w:type="dxa"/>
          <w:bottom w:w="0" w:type="dxa"/>
          <w:right w:w="0" w:type="dxa"/>
        </w:tblCellMar>
      </w:tblPr>
      <w:tblGrid>
        <w:gridCol w:w="105"/>
        <w:gridCol w:w="275"/>
        <w:gridCol w:w="753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used to pay off any debt incurred in respect of a trade or business carried on in Singapore; or</w:t>
            </w:r>
          </w:p>
        </w:tc>
      </w:tr>
    </w:tbl>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shd w:fill="FFFFFF" w:val="clear"/>
        <w:tblLayout w:type="fixed"/>
        <w:tblCellMar>
          <w:top w:w="0" w:type="dxa"/>
          <w:left w:w="0" w:type="dxa"/>
          <w:bottom w:w="0" w:type="dxa"/>
          <w:right w:w="0" w:type="dxa"/>
        </w:tblCellMar>
      </w:tblPr>
      <w:tblGrid>
        <w:gridCol w:w="105"/>
        <w:gridCol w:w="260"/>
        <w:gridCol w:w="525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used to purchase any movable property brought into Singapore.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45"/>
        <w:gridCol w:w="985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income is subject to tax of a similar character to income tax (by whatever name called) under the law of the territory from which such income is received;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33"/>
        <w:gridCol w:w="9867"/>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31"/>
        <w:gridCol w:w="9869"/>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6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Comptroller of Income Tax (the “</w:t>
            </w:r>
            <w:r>
              <w:rPr>
                <w:rFonts w:ascii="Times New Roman;Times;Serif" w:hAnsi="Times New Roman;Times;Serif"/>
                <w:b/>
                <w:i w:val="false"/>
                <w:caps w:val="false"/>
                <w:smallCaps w:val="false"/>
                <w:sz w:val="20"/>
              </w:rPr>
              <w:t>Comptroller</w:t>
            </w:r>
            <w:r>
              <w:rPr>
                <w:rFonts w:ascii="Times New Roman;Times;Serif" w:hAnsi="Times New Roman;Times;Serif"/>
                <w:b w:val="false"/>
                <w:i w:val="false"/>
                <w:caps w:val="false"/>
                <w:smallCaps w:val="false"/>
                <w:sz w:val="20"/>
              </w:rPr>
              <w:t>”) is satisfied that the tax exemption would be beneficial to the person resident in Singapore who is receiving or deemed to be receiving the specified foreign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corporate income tax rate in Singapore is 17.0% with the first S$200,000 of chargeable income of a company being partially exempt from tax as follows:</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shd w:fill="FFFFFF" w:val="clear"/>
        <w:tblLayout w:type="fixed"/>
        <w:tblCellMar>
          <w:top w:w="0" w:type="dxa"/>
          <w:left w:w="0" w:type="dxa"/>
          <w:bottom w:w="0" w:type="dxa"/>
          <w:right w:w="0" w:type="dxa"/>
        </w:tblCellMar>
      </w:tblPr>
      <w:tblGrid>
        <w:gridCol w:w="105"/>
        <w:gridCol w:w="260"/>
        <w:gridCol w:w="450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 of the first S$10,000 of chargeable income; and</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shd w:fill="FFFFFF" w:val="clear"/>
        <w:tblLayout w:type="fixed"/>
        <w:tblCellMar>
          <w:top w:w="0" w:type="dxa"/>
          <w:left w:w="0" w:type="dxa"/>
          <w:bottom w:w="0" w:type="dxa"/>
          <w:right w:w="0" w:type="dxa"/>
        </w:tblCellMar>
      </w:tblPr>
      <w:tblGrid>
        <w:gridCol w:w="105"/>
        <w:gridCol w:w="275"/>
        <w:gridCol w:w="429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of the next S$190,000 of chargeable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companies will also, subject to certain conditions and exceptions, be eligible for tax exemption for each of the company’s first three (3) years of assessment as follows:</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shd w:fill="FFFFFF" w:val="clear"/>
        <w:tblLayout w:type="fixed"/>
        <w:tblCellMar>
          <w:top w:w="0" w:type="dxa"/>
          <w:left w:w="0" w:type="dxa"/>
          <w:bottom w:w="0" w:type="dxa"/>
          <w:right w:w="0" w:type="dxa"/>
        </w:tblCellMar>
      </w:tblPr>
      <w:tblGrid>
        <w:gridCol w:w="105"/>
        <w:gridCol w:w="260"/>
        <w:gridCol w:w="461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 of the first S$100,000 of chargeable income; and</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shd w:fill="FFFFFF" w:val="clear"/>
        <w:tblLayout w:type="fixed"/>
        <w:tblCellMar>
          <w:top w:w="0" w:type="dxa"/>
          <w:left w:w="0" w:type="dxa"/>
          <w:bottom w:w="0" w:type="dxa"/>
          <w:right w:w="0" w:type="dxa"/>
        </w:tblCellMar>
      </w:tblPr>
      <w:tblGrid>
        <w:gridCol w:w="105"/>
        <w:gridCol w:w="275"/>
        <w:gridCol w:w="429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of the next S$100,000 of chargeable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chargeable income (after the tax exemption scheme for new companies or the partial tax exemption scheme for companies) will be fully taxable at the prevailing corporate tax rate. For the year of assessment 2025, companies will receive a 50% corporate income tax rebate capped at S$40,000. Companies which employed at least one local employee in 2024 will receive a cash payout of at least S$2,000. The maximum total benefits of the corporate income tax rebate and the cash payout that a company may receive is capped at S$40,000. For the year of assessment 2026, an enhanced CIT Rebate of 50% of the corporate income tax payable will similarly be granted to all taxpaying companies. Active companies that employed at least one local employee, excluding a shareholder who is also a director of the company, in calendar year 2025 are eligible for a minimum benefit of S$2,000 in the form of a CIT Rebate Cash Grant. The total combined benefit of the CIT Rebate and CIT Rebate Cash Grant for the year of 2026 is capped at S$40,000 per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Singapore-tax resident companies are currently under the one-tier corporate tax system, or one-tier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dividends received in respect of the ordinary shares of a Singapore-tax resident company by either a resident or non-resident of Singapore are not subject to Singapore income tax (whether by withholding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Gains on Disposal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Times;Serif" w:hAnsi="Times New Roman;Times;Serif"/>
          <w:b/>
          <w:i w:val="false"/>
          <w:caps w:val="false"/>
          <w:smallCaps w:val="false"/>
          <w:sz w:val="20"/>
        </w:rPr>
        <w:t>IRAS</w:t>
      </w:r>
      <w:r>
        <w:rPr>
          <w:rFonts w:ascii="Times New Roman;Times;Serif" w:hAnsi="Times New Roman;Times;Serif"/>
          <w:b w:val="false"/>
          <w:i w:val="false"/>
          <w:caps w:val="false"/>
          <w:smallCaps w:val="false"/>
          <w:sz w:val="20"/>
        </w:rPr>
        <w:t>”), are not taxable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specific laws or regulations which deal with the characterization of whether a gain is income or capital in nature. The characterization of gains arising from the sale of shares will depend primarily on the facts and circumstances (commonly referred to as the “badges of trade”) of each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10L of the Income Tax Act 1947 (“SITA”), and specified exceptions, Section 13W of the SITA, provides for certainty on the non-taxability of gains derived by a corporate taxpayer from the disposal of ordinary shares during the period from June 1, 2012 to December 31, 2027 (both dates inclusive) 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divesting company had legally and beneficially held a minimum shareholding of 20% of the ordinary shares of the company whose shares are being disposed;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divesting company had maintained the minimum 20% shareholding for a continuous period of at least 24 months immediately prior to the disposal.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above-mentioned “safe harbor rules” prescribed under Section 13W of SITA will not apply to a divesting company under certain scenarios. These include, but are not limited to, the divesting company that is in the business of trading or holding Singapore immovable properties, or property development (subject to certain exceptions), where the shares are not listed on a stock exchange in Singapore or elsewhere, the divesting company whose gains or profits from the disposal of ordinary shares are included as part of its income, disposal of shares by a partnership, limited partnership or limited liability partnership where one or more of the partners is a company or are companies,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10L of the SITA, gains received in Singapore by an entity of a relevant group from the sale or disposal of any movable or immovable property outside Singapore will be treated as income chargeable to tax under Section 10(1)(g) of the SITA under certain circumstances. The foreign-sourced disposal gains will be subject to tax if the entity does not have adequate economic substance in Singapore and the sale or disposal of the foreign asset occurs on or after January 1, 2024. An entity is a member of a group of entities if its assets, liabilities, income, expenses and cash flows are (a) included in the consolidated financial statements of the parent entity of the group; or (b) excluded from the consolidated financial statements of the parent entity of the group solely on size or materiality grounds or on the grounds that the entity is held for sale. A group is a relevant group if (a) the entities of the group are not all incorporated, registered or established in a single jurisdiction; or (b) any entity of the group has a place of business in more than one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apply, or who are required to apply, the Singapore Financial Reporting Standard 39 — Financial Instruments: Recognition and Measurement, or FRS 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FRS 39, FRS 109 or SFRS(I) 9 (as the case may be) (as modified by the applicable provisions of Singapore income tax law) even where no sale or disposal of the shares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may be subject to the above-mentioned tax treatments should consult their accounting and tax advisers regarding Singapore income tax consequences of their acquisition and, holding and disposal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describes the material United States federal income tax consequences to a U.S. Holder (as defined below), under current law, of an investment in our Class B ordinary shares. This discussion is based on the federal income tax laws of the United States as of the date of this prospectus supplement,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supplement.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applies only to a U.S. Holder that holds Class B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pStyle w:val="TextBody"/>
        <w:bidi w:val="0"/>
        <w:spacing w:before="0" w:after="0"/>
        <w:ind w:left="0" w:right="0" w:hanging="0"/>
        <w:jc w:val="left"/>
        <w:rPr>
          <w:caps w:val="false"/>
          <w:smallCaps w:val="false"/>
        </w:rPr>
      </w:pPr>
      <w:r>
        <w:rPr>
          <w:caps w:val="false"/>
          <w:smallCaps w:val="false"/>
        </w:rPr>
        <w:t> </w:t>
      </w:r>
    </w:p>
    <w:tbl>
      <w:tblPr>
        <w:tblW w:w="940" w:type="dxa"/>
        <w:jc w:val="left"/>
        <w:tblInd w:w="0" w:type="dxa"/>
        <w:shd w:fill="FFFFFF" w:val="clear"/>
        <w:tblLayout w:type="fixed"/>
        <w:tblCellMar>
          <w:top w:w="0" w:type="dxa"/>
          <w:left w:w="0" w:type="dxa"/>
          <w:bottom w:w="0" w:type="dxa"/>
          <w:right w:w="0" w:type="dxa"/>
        </w:tblCellMar>
      </w:tblPr>
      <w:tblGrid>
        <w:gridCol w:w="105"/>
        <w:gridCol w:w="200"/>
        <w:gridCol w:w="63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w:t>
            </w:r>
          </w:p>
        </w:tc>
      </w:tr>
    </w:tbl>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shd w:fill="FFFFFF" w:val="clear"/>
        <w:tblLayout w:type="fixed"/>
        <w:tblCellMar>
          <w:top w:w="0" w:type="dxa"/>
          <w:left w:w="0" w:type="dxa"/>
          <w:bottom w:w="0" w:type="dxa"/>
          <w:right w:w="0" w:type="dxa"/>
        </w:tblCellMar>
      </w:tblPr>
      <w:tblGrid>
        <w:gridCol w:w="105"/>
        <w:gridCol w:w="200"/>
        <w:gridCol w:w="245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4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shd w:fill="FFFFFF" w:val="clear"/>
        <w:tblLayout w:type="fixed"/>
        <w:tblCellMar>
          <w:top w:w="0" w:type="dxa"/>
          <w:left w:w="0" w:type="dxa"/>
          <w:bottom w:w="0" w:type="dxa"/>
          <w:right w:w="0" w:type="dxa"/>
        </w:tblCellMar>
      </w:tblPr>
      <w:tblGrid>
        <w:gridCol w:w="105"/>
        <w:gridCol w:w="200"/>
        <w:gridCol w:w="185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shd w:fill="FFFFFF" w:val="clear"/>
        <w:tblLayout w:type="fixed"/>
        <w:tblCellMar>
          <w:top w:w="0" w:type="dxa"/>
          <w:left w:w="0" w:type="dxa"/>
          <w:bottom w:w="0" w:type="dxa"/>
          <w:right w:w="0" w:type="dxa"/>
        </w:tblCellMar>
      </w:tblPr>
      <w:tblGrid>
        <w:gridCol w:w="105"/>
        <w:gridCol w:w="200"/>
        <w:gridCol w:w="278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shd w:fill="FFFFFF" w:val="clear"/>
        <w:tblLayout w:type="fixed"/>
        <w:tblCellMar>
          <w:top w:w="0" w:type="dxa"/>
          <w:left w:w="0" w:type="dxa"/>
          <w:bottom w:w="0" w:type="dxa"/>
          <w:right w:w="0" w:type="dxa"/>
        </w:tblCellMar>
      </w:tblPr>
      <w:tblGrid>
        <w:gridCol w:w="105"/>
        <w:gridCol w:w="200"/>
        <w:gridCol w:w="239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shd w:fill="FFFFFF" w:val="clear"/>
        <w:tblLayout w:type="fixed"/>
        <w:tblCellMar>
          <w:top w:w="0" w:type="dxa"/>
          <w:left w:w="0" w:type="dxa"/>
          <w:bottom w:w="0" w:type="dxa"/>
          <w:right w:w="0" w:type="dxa"/>
        </w:tblCellMar>
      </w:tblPr>
      <w:tblGrid>
        <w:gridCol w:w="105"/>
        <w:gridCol w:w="200"/>
        <w:gridCol w:w="462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or dealers in stocks and securities, or currencies;</w:t>
            </w:r>
          </w:p>
        </w:tc>
      </w:tr>
    </w:tbl>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shd w:fill="FFFFFF" w:val="clear"/>
        <w:tblLayout w:type="fixed"/>
        <w:tblCellMar>
          <w:top w:w="0" w:type="dxa"/>
          <w:left w:w="0" w:type="dxa"/>
          <w:bottom w:w="0" w:type="dxa"/>
          <w:right w:w="0" w:type="dxa"/>
        </w:tblCellMar>
      </w:tblPr>
      <w:tblGrid>
        <w:gridCol w:w="105"/>
        <w:gridCol w:w="200"/>
        <w:gridCol w:w="594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are required to use a mark-to-market method of accounting;</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shd w:fill="FFFFFF" w:val="clear"/>
        <w:tblLayout w:type="fixed"/>
        <w:tblCellMar>
          <w:top w:w="0" w:type="dxa"/>
          <w:left w:w="0" w:type="dxa"/>
          <w:bottom w:w="0" w:type="dxa"/>
          <w:right w:w="0" w:type="dxa"/>
        </w:tblCellMar>
      </w:tblPr>
      <w:tblGrid>
        <w:gridCol w:w="105"/>
        <w:gridCol w:w="200"/>
        <w:gridCol w:w="741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citizens or residents of the United States subject to Section 877 of the Code;</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shd w:fill="FFFFFF" w:val="clear"/>
        <w:tblLayout w:type="fixed"/>
        <w:tblCellMar>
          <w:top w:w="0" w:type="dxa"/>
          <w:left w:w="0" w:type="dxa"/>
          <w:bottom w:w="0" w:type="dxa"/>
          <w:right w:w="0" w:type="dxa"/>
        </w:tblCellMar>
      </w:tblPr>
      <w:tblGrid>
        <w:gridCol w:w="105"/>
        <w:gridCol w:w="200"/>
        <w:gridCol w:w="464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subject to the United States anti-inversion rules;</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shd w:fill="FFFFFF" w:val="clear"/>
        <w:tblLayout w:type="fixed"/>
        <w:tblCellMar>
          <w:top w:w="0" w:type="dxa"/>
          <w:left w:w="0" w:type="dxa"/>
          <w:bottom w:w="0" w:type="dxa"/>
          <w:right w:w="0" w:type="dxa"/>
        </w:tblCellMar>
      </w:tblPr>
      <w:tblGrid>
        <w:gridCol w:w="105"/>
        <w:gridCol w:w="200"/>
        <w:gridCol w:w="321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3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organizations and entities;</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shd w:fill="FFFFFF" w:val="clear"/>
        <w:tblLayout w:type="fixed"/>
        <w:tblCellMar>
          <w:top w:w="0" w:type="dxa"/>
          <w:left w:w="0" w:type="dxa"/>
          <w:bottom w:w="0" w:type="dxa"/>
          <w:right w:w="0" w:type="dxa"/>
        </w:tblCellMar>
      </w:tblPr>
      <w:tblGrid>
        <w:gridCol w:w="105"/>
        <w:gridCol w:w="200"/>
        <w:gridCol w:w="584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the alternative minimum tax provisions of the Code;</w:t>
            </w:r>
          </w:p>
        </w:tc>
      </w:tr>
    </w:tbl>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shd w:fill="FFFFFF" w:val="clear"/>
        <w:tblLayout w:type="fixed"/>
        <w:tblCellMar>
          <w:top w:w="0" w:type="dxa"/>
          <w:left w:w="0" w:type="dxa"/>
          <w:bottom w:w="0" w:type="dxa"/>
          <w:right w:w="0" w:type="dxa"/>
        </w:tblCellMar>
      </w:tblPr>
      <w:tblGrid>
        <w:gridCol w:w="105"/>
        <w:gridCol w:w="200"/>
        <w:gridCol w:w="596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5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other than the United States dollar;</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shd w:fill="FFFFFF" w:val="clear"/>
        <w:tblLayout w:type="fixed"/>
        <w:tblCellMar>
          <w:top w:w="0" w:type="dxa"/>
          <w:left w:w="0" w:type="dxa"/>
          <w:bottom w:w="0" w:type="dxa"/>
          <w:right w:w="0" w:type="dxa"/>
        </w:tblCellMar>
      </w:tblPr>
      <w:tblGrid>
        <w:gridCol w:w="105"/>
        <w:gridCol w:w="200"/>
        <w:gridCol w:w="878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Class B ordinary shares as part of a straddle, hedging, conversion or integrated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Class B ordinary shares through a bank, financial institution or other entity, or a branch thereof, located, organized or resident outside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10% or more of the total combined voting power of all classes of our voting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Class B ordinary shares pursuant to the exercise of an employee stock option or otherwise as compensation; or</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shd w:fill="FFFFFF" w:val="clear"/>
        <w:tblLayout w:type="fixed"/>
        <w:tblCellMar>
          <w:top w:w="0" w:type="dxa"/>
          <w:left w:w="0" w:type="dxa"/>
          <w:bottom w:w="0" w:type="dxa"/>
          <w:right w:w="0" w:type="dxa"/>
        </w:tblCellMar>
      </w:tblPr>
      <w:tblGrid>
        <w:gridCol w:w="105"/>
        <w:gridCol w:w="200"/>
        <w:gridCol w:w="884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pass-through entities, or persons holding Class B ordinary shares through such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United States federal income tax purposes) holds our Class B ordinary shares, the tax treatment of a partner in the partnership generally will depend upon the status of the partner and the activities of the partnership. A partner in a partnership holding our Class B ordinary shares should consult its own tax advisors regarding the tax consequences of holding our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discussion is for informational purposes only and is not a substitute for careful tax planning and advice. Investors considering the purchase of Class B ordinary shares should consult their own tax advisors with respect to the application of the United States federal income tax laws to their particular situations, as well as any tax consequences arising under the Medicare tax on net investment income, any federal non-income tax laws, including the federal estate or gift tax laws, or the laws of any state, local or non-United States taxing jurisdiction and under any applicable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discussion below, a “U.S. Holder” is a beneficial owner of our Class B ordinary shares that is,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shd w:fill="FFFFFF" w:val="clear"/>
        <w:tblLayout w:type="fixed"/>
        <w:tblCellMar>
          <w:top w:w="0" w:type="dxa"/>
          <w:left w:w="0" w:type="dxa"/>
          <w:bottom w:w="0" w:type="dxa"/>
          <w:right w:w="0" w:type="dxa"/>
        </w:tblCellMar>
      </w:tblPr>
      <w:tblGrid>
        <w:gridCol w:w="105"/>
        <w:gridCol w:w="200"/>
        <w:gridCol w:w="509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50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United States federal income tax purposes) created or organized in or under the laws of the United States, any state thereof or the District of Columbia;</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shd w:fill="FFFFFF" w:val="clear"/>
        <w:tblLayout w:type="fixed"/>
        <w:tblCellMar>
          <w:top w:w="0" w:type="dxa"/>
          <w:left w:w="0" w:type="dxa"/>
          <w:bottom w:w="0" w:type="dxa"/>
          <w:right w:w="0" w:type="dxa"/>
        </w:tblCellMar>
      </w:tblPr>
      <w:tblGrid>
        <w:gridCol w:w="105"/>
        <w:gridCol w:w="200"/>
        <w:gridCol w:w="8795"/>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United States federal income taxation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passive foreign investment company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current and projected income and assets and projections as to the market price of our Class B ordinary shares,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Class B ordinary shares may cause us to be a PFIC for the current or future taxable years because the value of our assets for purposes of the asset test, including the value of our goodwill and unbooked intangibles, may be determined by reference to the market price of our Class B ordinary shares from time to time (which may be volatile).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year during which a U.S. Holder holds our Class B ordinary shares, we generally will continue to be treated as a PFIC for all succeeding years during which such U.S. Holder holds our Class B ordinary shares unless, in such case, we cease to be treated as a PFIC and such U.S. Holder makes a deemed sole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distributions paid on our Class B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Dividends received on our Class B ordinary shares will not be eligible for the dividends received deduction allowed to corporations in respect of dividends-received from U.S.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other non-corporate U.S. Holders may be subject to tax on any such dividends at the lower capital gain tax rate applicable to “qualified dividend income,” provided that certain conditions are satisfied, including that (i) our Class B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 (iii) certain holding period requirements are met. Our Class B ordinary shares are listed on the Nasdaq Capital Market. Accordingly, subject to the PFIC rules described herein and the applicable holding period requirements, dividends paid with respect to our Class B ordinary shares generally should be eligible for the reduced rate applicable to qualified dividend income for non-corporate U.S. Holders. There can be no assurance that the Class B ordinary shares will continue to be considered readily tradable on an established securities market in later years. U.S. Holders are urged to consult their tax advisors regarding the availability of the lower rate for dividends paid with respect to the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foreign tax credit purposes, dividends paid on our Class B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gain or loss upon the sale or other disposition of Class B ordinary shares in an amount equal to the difference between the amount realized upon the disposition and the holder’s adjusted tax basis in such Class B ordinary shares. Such gain or loss will generally be capital gain or loss. Any such capital gain or loss will be long term if the Class B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Class B ordinary shares, including the applicability of any tax treaty and the availability of the foreign tax credit under its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Class B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Class B ordinary shares), and (ii) any gain realized on the sale or other disposition, including, under certain circumstances, a pledge, of Class B ordinary shares. Under the PFIC rules: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the U.S. Holder’s holding period for the Class B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As an alternative to the foregoing rules, a U.S. Holder of “marketable stock” (as defined below) in a PFIC may make a mark-to-market election with respect to such stock. If a U.S. Holder makes this election with respect to our Class B ordinary shares, the holder will generally (i) include as ordinary income for each taxable year that we are a PFIC the excess, if any, of the fair market value of Class B ordinary shares held at the end of the taxable year over the adjusted tax basis of such Class B ordinary shares and (ii) deduct as an ordinary loss the excess, if any, of the adjusted tax basis of the Class B ordinary shares over the fair market value of such Class B ordinary shares held at the end of the taxable year, but such deduction will only be allowed to the extent of the net amount previously included in income as a result of the mark-to-market election. The U.S. Holder’s adjusted tax basis in the Class B ordinary shares would be adjusted to reflect any income or loss resulting from the mark-to-market election. If a U.S. Holder makes a mark-to-market election in respect of our Class B ordinary shares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Class B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Class B ordinary shares are listed on the Nasdaq Capital Market and are expected to be treated as marketable stock, provided they are regularly traded, but no assurances may be given in this regard.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Class B ordinary shares during any taxable year that we are a PFIC, the holder must generally file an annual IRS Form 8621. You should consult your tax advisor regarding the U.S. federal income tax consequences of owning and disposing of our Class B ordinary shares if we are or become a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b_013"/>
      <w:bookmarkEnd w:id="1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McCarter &amp; English, LLP with respect to certain legal matters as to United States federal securities and New York State law. The validity of the Class B ordinary shares offered in this offering will be passed upon for us by Maples and Calder (Hong Kong) LLP. McCarter &amp; English, LLP may rely upon Maples and Calder (Hong Kong) LLP with respect to matters governed by Cayman Islands law.</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b_014"/>
      <w:bookmarkEnd w:id="15"/>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December 31, 2025 and for the year then ended incorporated by reference in this prospectus have been audited by HYYH CPA. LLC, an independent registered public accounting firm. Such financial statements are included in reliance upon the report of such firm given upon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December 31, 2024 and for each of the two years in the period ended December 31, 2024 incorporated by reference in this prospectus have been audited by Marcum Asia CPAs LLP, an independent registered public accounting firm. Such financial statements are included in reliance upon the report of such firm given upon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b_015"/>
      <w:bookmarkEnd w:id="16"/>
      <w:r>
        <w:rPr>
          <w:rFonts w:ascii="Times New Roman;Times;Serif" w:hAnsi="Times New Roman;Times;Serif"/>
          <w:b/>
          <w:i w:val="false"/>
          <w:caps w:val="false"/>
          <w:smallCaps w:val="false"/>
          <w:sz w:val="20"/>
        </w:rPr>
        <w:t>WHERE YOU CAN FIND MORE INFORMATION ABOUT 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under the Securities Act with respect to the securities being offered by this prospectus supplement. This prospectus supplement does not contain all of the information contained in the registration statement and its exhibits. For further information with respect to the Company and the securities offered by this prospectus supplement, reference is made to the registration statement and its exhibits. Statements contained in this prospectus supplement as to the contents of any contract or other document referred to herein are not necessarily complete, and in each instance reference is made to the copy of such contract or other document filed as an exhibit to the registration statement or incorporated by reference herein. Each such statement is qualified in all respects by such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All information filed with the SEC can be obtained over the internet at the SEC’s website at www.sec.gov. The information contained on, or that can be accessed through, the SEC’s website is not incorporated by reference in, and is not part of, this prospectus supplement. As a foreign private issuer, we are exempt from the rules of the Exchange Act prescribing the furnishing and content of quarterly reports and proxy statements. Our principal shareholders are exempt from the reporting requirements, and our executive officers, directors, and principal shareholders are exempt from the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also find information on our website https://tridentity.me. The information contained on our website is not a part of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$200,000,000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Class B ordinary shares, preferred shares, debt securities, rights and/or units, of an aggregate offering price of up to US$200,000,000. The prospectus supplement for each offering of securities will describe in detail the plan of distribution for that offering. For general information about the distribution of securities offered, please see “Plan of Distribution of the Primary Offering”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and all of our assets are located outside of the United States. Substantially all of our current operations are conducted in Singapore. Our Class B ordinary shares are shares of Trident Cayman, the offshore holding company in the Cayman Islands, instead of shares of our subsidiaries. Investors may never directly hold equity interests in our subsidiaries. An investment in our Class B ordinary shares involves a number of risks, including risks relating to our business and industry, risks relating to the jurisdictions where we operate, and risks relating to our Class B ordinary shares. For more details, please refer to our annual report on Form 20-F for the year ended December 31, 2025 under the heading of “Risk Factors” for a more thorough description of these and other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ordinary shares are listed on the Nasdaq Capital Market, under the symbol “TDTH.” On August 24, 2026, the closing trading price for our Class B ordinary shares, as reported on Nasdaq Capital Market, was US$1.925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remains below US$75,000,000. The aggregate market value of our issued and outstanding Class B ordinary shares held by non-affiliates, or public float, as of August 25, 2026, was approximately US$9,368,475, which was calculated based on 3,091,906 Class B ordinary shares held by non-affiliates and the per share price of US$3.03, which was the closing price of our Class B ordinary shares on July 22, 2026. During the 12 calendar months prior to and including the date of this prospectus, we have not offered or sold any securities pursuant to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these securities, we will provide a supplement to this prospectus that contains specific information about the offering and the terms of the securities offered. The supplement may also add, update or change information contained in this prospectus. You should carefully read this prospectus and any prospectus supplement before you invest in any of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from time to time at fixed prices, at market prices or at negotiated prices, to or through underwriters, to other purchasers, through agents,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may determine in accordance with our Memorandum and Articles of Association. As of the date of this prospectus, (i) 208,333 Class A ordinary shares, and (ii) 8,428,418 Class B ordinary shares are issued and outstanding. In respect of matters requiring shareholders’ vote, each Class A Ordinary Share is entitled to sixty (60) votes, each Class B Ordinary Share is entitled to one vote and each Class C Ordinary Share is entitled to one vote. Each Class A ordinary share and Class C ordinary share is convertible into one Class B ordinary share at any time by the holder thereof, while Class B ordinary shares are not convertible into Class A ordinary shares or Class C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Class B ordinary shares as a source for any future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risks. See the “Risk Factors” section contained in this prospectus, the applicable prospectus supplement and the documents we incorporate by reference in this prospectus to read about factors you should consider before investing in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any securities unless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August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5765"/>
        <w:gridCol w:w="60"/>
        <w:gridCol w:w="275"/>
      </w:tblGrid>
      <w:tr>
        <w:trPr/>
        <w:tc>
          <w:tcPr>
            <w:tcW w:w="5765" w:type="dxa"/>
            <w:tcBorders/>
            <w:shd w:fill="CCEEFF" w:val="clear"/>
            <w:vAlign w:val="center"/>
          </w:tcPr>
          <w:p>
            <w:pPr>
              <w:pStyle w:val="TableContents"/>
              <w:bidi w:val="0"/>
              <w:spacing w:before="0" w:after="283"/>
              <w:ind w:left="0" w:right="0" w:hanging="200"/>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ii</w:t>
            </w:r>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1</w:t>
            </w:r>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INCORPORATION OF DOCUMENTS BY REFERENCE</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5</w:t>
            </w:r>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6</w:t>
            </w:r>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7</w:t>
            </w:r>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8</w:t>
            </w:r>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THE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8</w:t>
            </w:r>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9</w:t>
            </w:r>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PREFERRED SHARES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19</w:t>
            </w:r>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20</w:t>
            </w:r>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22</w:t>
            </w:r>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23</w:t>
            </w:r>
          </w:p>
        </w:tc>
      </w:tr>
      <w:tr>
        <w:trPr/>
        <w:tc>
          <w:tcPr>
            <w:tcW w:w="57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24</w:t>
            </w:r>
          </w:p>
        </w:tc>
      </w:tr>
      <w:tr>
        <w:trPr/>
        <w:tc>
          <w:tcPr>
            <w:tcW w:w="57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TAXATION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26</w:t>
            </w:r>
          </w:p>
        </w:tc>
      </w:tr>
      <w:tr>
        <w:trPr/>
        <w:tc>
          <w:tcPr>
            <w:tcW w:w="57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ENFORCEABILITY OF CIVIL LIABILITIES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26</w:t>
            </w:r>
          </w:p>
        </w:tc>
      </w:tr>
      <w:tr>
        <w:trPr/>
        <w:tc>
          <w:tcPr>
            <w:tcW w:w="576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27</w:t>
            </w:r>
          </w:p>
        </w:tc>
      </w:tr>
      <w:tr>
        <w:trPr/>
        <w:tc>
          <w:tcPr>
            <w:tcW w:w="576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27</w:t>
            </w:r>
          </w:p>
        </w:tc>
      </w:tr>
      <w:tr>
        <w:trPr/>
        <w:tc>
          <w:tcPr>
            <w:tcW w:w="576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WHERE YOU CAN FIND MORE INFORMATION ABOUT US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1"/>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prospectus supplement together with the additional information described under the heading “Where You Can Find More Information About Us” and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refers to our Class A ordinary shares, par value US$0.0024 per share;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refers to our Class B ordinary shares, par value US$0.0024 per share;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Class C ordinary shares” refers to our Class C ordinary shares, par value US$0.0024 per share;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Companies Act” refers to the Companies Act (As Revised) of the Cayman Islands;</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Exchange Act” refers to the Securities Exchange Act of 1934, as amended;</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IMDA” refers to Infocomm Media Development Authority, a statutory board under the Singapore Ministry of Communications and Information of the Republic of Singapore;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Memorandum and Articles of Association” refers to our memorandum and articles of association, as amended and restated from time to time;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 xml:space="preserve">ordinary shares” refers to our Class A ordinary shares, Class B ordinary shares and Class C ordinary shares, par value US$0.0024 per share;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S$” or “SGD” refers to the Singapore dollar, the legal currency of Singapore;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SEC” refers to the United States Securities and Exchange Commission;</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left"/>
              <w:rPr/>
            </w:pPr>
            <w:r>
              <w:rPr/>
              <w:t>“</w:t>
            </w:r>
            <w:r>
              <w:rPr/>
              <w:t>Securities Act” refers to the United States Securities Act of 1933, as amended;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left"/>
              <w:rPr/>
            </w:pPr>
            <w:r>
              <w:rPr/>
              <w:t>“</w:t>
            </w:r>
            <w:r>
              <w:rPr/>
              <w:t>Singapore” refers to the Republic of Singapore;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SME” refers to small and medium enterprises;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Trident Singapore” refers to Trident Digital Tech Pte. Ltd., a company incorporated in Singapore, and an indirect wholly-owned subsidiary of our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US$”, “$,” “dollars,” or “U.S. dollars” refers to the legal currency of the United States;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U.S. GAAP” refers to generally accepted accounting principles in the United States;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we,” “us,” “our company,” the “Company,” “Trident Cayman” and “our” refer to Trident Digital Tech Holdings Ltd, a Cayman Islands company and its subsidiaries.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discrepancies in any table in this prospectus between the amounts identified as total amounts and the sum of the amounts listed therein are due to rounding.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U.S. Securities and Exchange Commission (the “SEC”), using a shelf registration process permitted under the Securities Act of 1933, as amended (the “Securities Act”). By using a shelf registration statement, we may sell any of our securities to the extent permitted in this prospectus and the applicable prospectus supplement,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18" w:name="a_002"/>
      <w:bookmarkEnd w:id="18"/>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summary highlights information contained elsewhere in this prospectus o</w:t>
      </w:r>
      <w:r>
        <w:rPr>
          <w:rFonts w:ascii="Times New Roman;Times;Serif" w:hAnsi="Times New Roman;Times;Serif"/>
          <w:b w:val="false"/>
          <w:i/>
          <w:caps w:val="false"/>
          <w:smallCaps w:val="false"/>
          <w:sz w:val="20"/>
          <w:bdr w:val="single" w:sz="12" w:space="1" w:color="000000"/>
          <w:shd w:fill="FFFFFF" w:val="clear"/>
        </w:rPr>
        <w:t>r incorporated by reference in this prospectus, </w:t>
      </w:r>
      <w:r>
        <w:rPr>
          <w:rFonts w:ascii="Times New Roman;Times;Serif" w:hAnsi="Times New Roman;Times;Serif"/>
          <w:b w:val="false"/>
          <w:i/>
          <w:caps w:val="false"/>
          <w:smallCaps w:val="false"/>
          <w:sz w:val="20"/>
          <w:bdr w:val="single" w:sz="12" w:space="1" w:color="000000"/>
        </w:rPr>
        <w:t>and does not contain all of the information that you need to consider in making your investment decision. We urge you to read this entire prospectus (as supplemented or amended), including our consolidated financial statements, notes to the consolidated financial statements and other information incorporated by reference in this prospectus from our other filings with the SEC, before making an investment decision. Investors should note that Trident Digital Tech Holdings Ltd, our ultimate Cayman Islands holding company, is not an operating company, and all of our assets are located outside of the United States. Substantially all of our current operations are conducted in Singapore.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leading catalyst for digital transformation in digital optimization, technology services, and Web 3.0 activation worldwide, based in Singapore. In 2025, we undertook a strategic transition from business consulting and IT customization-led model to our proprietary Web 3.0 and blockchain-enabled platform, Tridentity, and offer Web 3.0 activation and digital identity solutions to Singapore, Africa and other high-growth markets.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Historically, we derived a majority of our revenues from business consulting and IT customization services provided primarily to SMEs in Singapore. In 2025, we substantially scaled back these legacy operations. We discontinued our business consulting services and significantly scaled back our IT customization operations to focus resources on our Web 3.0 activation and digital identity solutions and services. Our current strategic focus is the development and commercialization of Tridentity, our Web 3.0 and blockchain-enabled platform launched in December 2023 whereby customers and merchants can transact in a transparent and secure way. As our flagship product, Tridentity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Southeast Asia with a strong focus on Africa and other high growth markets. In June 2025, we signed a definitive public-private partnership agreement with the government of the DRC as the exclusive provider of electronic Know Your Customer (“e-KYC”) services, delivering Web 3.0-based national digital identity.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Beyond Tridentity, our mission is to become the global leader in Web 3.0 activation, notably connecting businesses to a reliable and secure technological platform, with tailored and optimized customer experiences. We believe that Tridentity addresses a massive market opportunity today and provides us with an attractive runway for growth.</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part of our strategic realignment to transition our business model, we reallocated resources away from our traditional business consulting and IT customization services to concentrate on the development and expansion of our Web 3.0 and blockchain-enabled platform, Tridentity. As a result, our revenue declined while operating expenses increased as we invested in long-term strategic initiatives. For the years ended December 31, 2025 and 2024, we generated revenue of approximately US$0.16 million and US$0.47 million, respectively. Revenue from IT customization and business consulting accounted for 80.7% and nil of our total revenue for the year ended December 31, 2025, respectively, and accounted for 72.5% and 24.1% of our total revenue for the year ended December 31, 2024, respectively. We incurred a net loss of approximately US$22.76 million and US$8.12 million for the years ended December 31, 2025 and 2024, respectively. While this transition has resulted in near-term revenue contraction, we believe this strategic shift positions the Company to capture growth opportunities in the emerging Web 3.0 and digital identity markets.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History and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June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the completion of the reorganization, Quality Zone Technologies Pte. Ltd. became a wholly-owned subsidiary of Trident Digital Tech Holdings Ltd and Trident Digital Tech Pte. Ltd. became a wholly-owned subsidiary of Quality Zone Technologies Pte. Ltd. We are a holding company and we conduct our business through our Singapore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27, 2025, Trident Digital Tech (DRC) Africa SAS was incorporated as a joint-stock company in the DRC, with Trident Digital Tech Pte. Ltd. holding 80% interest and Africa Digital SARL holding 20% interest. The entity was established to provide digital-identity solutions, biometric identification, secure data-management services and electronic verification systems.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15, 2025, TRIDENT ALISKA DIGITAL TECH GHANA LTD was incorporated as a private limited company in Ghana as a joint venture between Trident Digital Tech Pte. Ltd. and Aliska Business Advisory and Research Limited, with each party holding a 50% equity interest. The entity was established to engage in information communication technology, including software and application development, technology development services and technology-related investment and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Trident Digital Tech Holdings Ltd is the offshore holding company of our group and conducts business operations through wholly owned subsidiaries.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including our principal subsidiaries as of the date of this prospectus: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267325" cy="2562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5267325" cy="2562225"/>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our annual report on Form 20-F for the fiscal year ended December 31, 2025, as amended, which is incorporated by reference in this prospectus, and which may be amended, supplemented or superseded from time to time by other reports we file with the SEC in the future.</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Change of Auditor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5, 2026, the audit committee of the board of directors dismissed Marcum Asia CPAs LLP as the Company’s independent registered public accounting firm and engaged HYYH CPA. LLC as the Company’s independent registered public accounting firm for the fiscal year ended December 31, 2025. The audit report of Marcum Asia CPAs LLP on the consolidated financial statements of the Company as of December 31, 2023 and 2024 and for the fiscal years ended December 31, 2023 and 2024 did not contain an adverse opinion or disclaimer of opinion and was not qualified or modified as to uncertainty, audit scope or accounting principles. During the fiscal years ended December 31, 2023 and 2024, there were no disagreements between the Company and Marcum Asia CPAs LLP on any matter of accounting principles or practices, financial statement disclosure, or auditing scope or procedure.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Nasdaq Compliance Matters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26, 2026, the Company received a notification letter from the Listing Qualifications Department of The Nasdaq Stock Market LLC (“Nasdaq”) indicating that, based upon the Company’s market value of listed securities (“MVLS”) for the 34 consecutive business day period from February 5, 2026 through March 20, 2026, the Company did not maintain the minimum MVLS of US$35,000,000 required for continued listing on the Nasdaq Capital Market pursuant to Nasdaq Listing Rule 5550(b)(2). The Company was afforded a period of 180 calendar days, or until September 22, 2026, in which to regain compliance.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28, 2026, the Company received a letter from Nasdaq notifying the Company that since its listed securities did not have a closing bid price of at least US$1.00 for a minimum of 10 consecutive business days during the 180 calendar days ended April 27, 2026, the Company had not regained compliance with Nasdaq Listing Rule 5550(a)(2). The Company was not eligible for a second 180-day compliance period. The Company timely requested a hearing before the Nasdaq Hearings Panel to present its plan for regaining compliance, which stayed the suspension of the Company’s securities pending the Hearings Panel’s decision.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26, 2026, the Company received formal confirmation from Nasdaq stating that the Company had regained compliance with Nasdaq Listing Rule 5550(a)(2), the minimum bid price requirement for continued listing on the Nasdaq Capital Market. The hearing previously scheduled before the Nasdaq Hearings Panel for June 4, 2026 was cancelled, and Nasdaq confirmed that the Company’s securities will continue to remain listed and traded on The Nasdaq Stock 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Reverse Share Split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7, 2026, the Company announced its plan to change the ratio of its ADS to Class B ordinary shares from the previous ratio of one (1) ADS to eight (8) Class B ordinary shares to a new ratio of one (1) ADS to two hundred and forty (240) Class B ordinary shares. Effective April 24, 2026, the Company effected a 1-for-30 reverse share split.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Extraordinary General Meeting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8, 2026, the Company held an extraordinary general meeting of shareholders (the “EGM”) at which the Company’s shareholders approved: (i) a share redesignation of 40,000,000 authorized but unissued Class A ordinary shares to 40,000,000 blank shares and 20,000,000 authorized but unissued Class C ordinary shares to 20,000,000 blank shares; (ii) an increase of the authorized share capital of the Company from US$50,000 to US$1,200,000, divided into 120,000,000,000 shares of par value of US$0.00001 each; (iii) a share consolidation of the issued and unissued ordinary shares on the basis that every 240 existing shares of par value of US$0.00001 each be consolidated into one share of par value of US$0.0024 each; (iv) the Third Amended and Restated Memorandum and Articles of Association of the Company; and (v) the Share Subscription Agreement in connection with the conversion of US$8,000,000 of outstanding debt owed by the Company to Mr. Soon Huat Lim, the founder, chairman of board of directors and chief executive officer of the Company, into 901,408,450 Class B ordinary shares at a conversion price of US$0.008875 per share.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Termination of ADR Program and Share Consolidation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16, 2026, the Company terminated its American depositary receipt program and effected a mandatory exchange of all outstanding ADSs for the underlying Class B ordinary shares. In connection with the termination, the Company effected a 240-for-1 share consolidation of its ordinary shares. Following the share consolidation, each ADS was automatically cancelled and exchanged for one Class B ordinary share, par value US$0.0024 per share. The Class B ordinary shares are now listed on the Nasdaq Capital Market under the symbol “TDTH.”</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 of Being a Foreign Private Issuer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incorporated in the Cayman Islands, we are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 is located at Suntec Tower 3, 8 Temasek Boulevard Road, #24-03, Singapore, 038988. Our telephone number is +65 6513 6868. Our agent for service of process in the United States is Cogency Global Inc., located at 122 East 42nd Street, 18th Floor, New York, NY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 maintains an internet site that contains reports, proxy and information statements, and other information regarding issuers that file electronically with the SEC on www.sec.gov. You can also find information on our corporate website https://tridentity.me.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annual reports, which will include a review of operations and annual audited consolidated financial statements prepared in conformity with U.S. GAAP, and all notices of shareholders’ meeting and other reports and communications that are made generally available to our shareholders.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19" w:name="a_003"/>
      <w:bookmarkEnd w:id="19"/>
      <w:r>
        <w:rPr>
          <w:rFonts w:ascii="Times New Roman;Times;Serif" w:hAnsi="Times New Roman;Times;Serif"/>
          <w:b/>
          <w:i w:val="false"/>
          <w:caps w:val="false"/>
          <w:smallCaps w:val="false"/>
          <w:sz w:val="20"/>
          <w:bdr w:val="single" w:sz="12" w:space="1" w:color="000000"/>
        </w:rPr>
        <w:t>INCORPORATION OF DOCUMENTS BY REFERENCE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incorporate by reference the documents listed below: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w:t>
            </w:r>
            <w:hyperlink r:id="rId17">
              <w:r>
                <w:rPr>
                  <w:rStyle w:val="InternetLink"/>
                  <w:rFonts w:ascii="Times New Roman;Times;Serif" w:hAnsi="Times New Roman;Times;Serif"/>
                  <w:sz w:val="20"/>
                </w:rPr>
                <w:t>Form 20-F</w:t>
              </w:r>
            </w:hyperlink>
            <w:r>
              <w:rPr>
                <w:rFonts w:ascii="Times New Roman;Times;Serif" w:hAnsi="Times New Roman;Times;Serif"/>
                <w:sz w:val="20"/>
              </w:rPr>
              <w:t xml:space="preserve"> for the fiscal year ended December 31, 2025, along with all exhibits, including the description of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Reports on Form 6-K filed with the SEC on </w:t>
            </w:r>
            <w:hyperlink r:id="rId18">
              <w:r>
                <w:rPr>
                  <w:rStyle w:val="InternetLink"/>
                  <w:rFonts w:ascii="Times New Roman;Times;Serif" w:hAnsi="Times New Roman;Times;Serif"/>
                  <w:sz w:val="20"/>
                </w:rPr>
                <w:t>April 1, 2026</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April 7, 2026</w:t>
              </w:r>
            </w:hyperlink>
            <w:r>
              <w:rPr>
                <w:rFonts w:ascii="Times New Roman;Times;Serif" w:hAnsi="Times New Roman;Times;Serif"/>
                <w:sz w:val="20"/>
              </w:rPr>
              <w:t xml:space="preserve">, </w:t>
            </w:r>
            <w:hyperlink r:id="rId20">
              <w:r>
                <w:rPr>
                  <w:rStyle w:val="InternetLink"/>
                  <w:rFonts w:ascii="Times New Roman;Times;Serif" w:hAnsi="Times New Roman;Times;Serif"/>
                  <w:sz w:val="20"/>
                </w:rPr>
                <w:t>April 21, 2026</w:t>
              </w:r>
            </w:hyperlink>
            <w:r>
              <w:rPr>
                <w:rFonts w:ascii="Times New Roman;Times;Serif" w:hAnsi="Times New Roman;Times;Serif"/>
                <w:sz w:val="20"/>
              </w:rPr>
              <w:t xml:space="preserve">, </w:t>
            </w:r>
            <w:hyperlink r:id="rId21">
              <w:r>
                <w:rPr>
                  <w:rStyle w:val="InternetLink"/>
                  <w:rFonts w:ascii="Times New Roman;Times;Serif" w:hAnsi="Times New Roman;Times;Serif"/>
                  <w:sz w:val="20"/>
                </w:rPr>
                <w:t>May 1, 2026</w:t>
              </w:r>
            </w:hyperlink>
            <w:r>
              <w:rPr>
                <w:rFonts w:ascii="Times New Roman;Times;Serif" w:hAnsi="Times New Roman;Times;Serif"/>
                <w:sz w:val="20"/>
              </w:rPr>
              <w:t xml:space="preserve">, </w:t>
            </w:r>
            <w:hyperlink r:id="rId22">
              <w:r>
                <w:rPr>
                  <w:rStyle w:val="InternetLink"/>
                  <w:rFonts w:ascii="Times New Roman;Times;Serif" w:hAnsi="Times New Roman;Times;Serif"/>
                  <w:sz w:val="20"/>
                </w:rPr>
                <w:t>May 8, 2026</w:t>
              </w:r>
            </w:hyperlink>
            <w:r>
              <w:rPr>
                <w:rFonts w:ascii="Times New Roman;Times;Serif" w:hAnsi="Times New Roman;Times;Serif"/>
                <w:sz w:val="20"/>
              </w:rPr>
              <w:t xml:space="preserve">, </w:t>
            </w:r>
            <w:hyperlink r:id="rId23">
              <w:r>
                <w:rPr>
                  <w:rStyle w:val="InternetLink"/>
                  <w:rFonts w:ascii="Times New Roman;Times;Serif" w:hAnsi="Times New Roman;Times;Serif"/>
                  <w:sz w:val="20"/>
                </w:rPr>
                <w:t>May 27, 2026</w:t>
              </w:r>
            </w:hyperlink>
            <w:r>
              <w:rPr>
                <w:rFonts w:ascii="Times New Roman;Times;Serif" w:hAnsi="Times New Roman;Times;Serif"/>
                <w:sz w:val="20"/>
              </w:rPr>
              <w:t xml:space="preserve">, </w:t>
            </w:r>
            <w:hyperlink r:id="rId24">
              <w:r>
                <w:rPr>
                  <w:rStyle w:val="InternetLink"/>
                  <w:rFonts w:ascii="Times New Roman;Times;Serif" w:hAnsi="Times New Roman;Times;Serif"/>
                  <w:sz w:val="20"/>
                </w:rPr>
                <w:t>June 16, 2026</w:t>
              </w:r>
            </w:hyperlink>
            <w:r>
              <w:rPr>
                <w:rFonts w:ascii="Times New Roman;Times;Serif" w:hAnsi="Times New Roman;Times;Serif"/>
                <w:sz w:val="20"/>
              </w:rPr>
              <w:t xml:space="preserve">, </w:t>
            </w:r>
            <w:hyperlink r:id="rId25">
              <w:r>
                <w:rPr>
                  <w:rStyle w:val="InternetLink"/>
                  <w:rFonts w:ascii="Times New Roman;Times;Serif" w:hAnsi="Times New Roman;Times;Serif"/>
                  <w:sz w:val="20"/>
                </w:rPr>
                <w:t>June 17, 2026</w:t>
              </w:r>
            </w:hyperlink>
            <w:r>
              <w:rPr>
                <w:rFonts w:ascii="Times New Roman;Times;Serif" w:hAnsi="Times New Roman;Times;Serif"/>
                <w:sz w:val="20"/>
              </w:rPr>
              <w:t xml:space="preserve">, </w:t>
            </w:r>
            <w:hyperlink r:id="rId26">
              <w:r>
                <w:rPr>
                  <w:rStyle w:val="InternetLink"/>
                  <w:rFonts w:ascii="Times New Roman;Times;Serif" w:hAnsi="Times New Roman;Times;Serif"/>
                  <w:sz w:val="20"/>
                </w:rPr>
                <w:t>June 30, 2026</w:t>
              </w:r>
            </w:hyperlink>
            <w:r>
              <w:rPr>
                <w:rFonts w:ascii="Times New Roman;Times;Serif" w:hAnsi="Times New Roman;Times;Serif"/>
                <w:sz w:val="20"/>
              </w:rPr>
              <w:t xml:space="preserve"> and </w:t>
            </w:r>
            <w:hyperlink r:id="rId27">
              <w:r>
                <w:rPr>
                  <w:rStyle w:val="InternetLink"/>
                  <w:rFonts w:ascii="Times New Roman;Times;Serif" w:hAnsi="Times New Roman;Times;Serif"/>
                  <w:sz w:val="20"/>
                </w:rPr>
                <w:t>July 8, 2026</w:t>
              </w:r>
            </w:hyperlink>
            <w:r>
              <w:rPr>
                <w:rFonts w:ascii="Times New Roman;Times;Serif" w:hAnsi="Times New Roman;Times;Serif"/>
                <w:sz w:val="20"/>
              </w:rPr>
              <w:t>, along with all exhibit;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annual report for the fiscal year ended December 31, 2025 filed with the SEC on April 28, 2026 contains a description of our business and audited consolidated financial statements with reports by independent auditors. The consolidated financial statements are prepared and presented in accordance with U.S. GAAP.</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Suntec Tower 3,</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Temasek Boulevard Road, #24-03</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Singapore, 038988</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20" w:name="a_004"/>
      <w:bookmarkEnd w:id="20"/>
      <w:r>
        <w:rPr>
          <w:rFonts w:ascii="Times New Roman;Times;Serif" w:hAnsi="Times New Roman;Times;Serif"/>
          <w:b/>
          <w:i w:val="false"/>
          <w:caps w:val="false"/>
          <w:smallCaps w:val="false"/>
          <w:sz w:val="20"/>
          <w:bdr w:val="single" w:sz="12" w:space="1" w:color="000000"/>
        </w:rPr>
        <w:t>SPECIAL NOTE REGARDING FORWARD-LOOKING STATEMENTS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and any prospectus supplement, and the information incorporated by reference 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any accompanying prospectus supplement and the documents incorporated herein and therein by reference, particularly the sections entitled “Risk Factors,” “Business” and “Management’s Discussion and Analysis of Financial Condition and Results of Operations,” among others, discuss factors which could adversely impact our business and financial performance.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can identify these forward-looking statements by words or phrases such as “may,” “will,” “expect,”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goals and strategies;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outlook of the digital solutions and e-commerce market in Singapore, Southeast Asia and globally;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expected changes in our revenue, costs or expenditures;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 in our industry ;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proposed use of proceeds;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government policies and regulations relating to our industry;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economic and business conditions in Singapore, Southeast Asia and globally.</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prospectus supplement and the documents incorporated by reference herein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and any prospectus supplement, and the information incorporated by reference herein may also contain estimates, projections and statistical data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digital solutions and e-commerce market in Singapore, Southeast Asia and globally, projections or estimates about our business and financial prospects involve significant risks and uncertainties. You should not place undue reliance on these forward-looking statements.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5"/>
      <w:bookmarkEnd w:id="21"/>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our annual report on Form 20-F for the fiscal year ended December 31, 2025, as amended, which is incorporated by reference in this prospectus, and which may be amended, supplemented or superseded from time to time by other reports we file with the SEC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6"/>
      <w:bookmarkEnd w:id="22"/>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we offer as set forth in the applicable prospectus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7"/>
      <w:bookmarkEnd w:id="23"/>
      <w:r>
        <w:rPr>
          <w:rFonts w:ascii="Times New Roman;Times;Serif" w:hAnsi="Times New Roman;Times;Serif"/>
          <w:b/>
          <w:i w:val="false"/>
          <w:caps w:val="false"/>
          <w:smallCaps w:val="false"/>
          <w:sz w:val="20"/>
        </w:rPr>
        <w:t>DESCRIPTION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offer and sell from time to time, in one or more offerings, the following securities:</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5"/>
        <w:gridCol w:w="170"/>
        <w:gridCol w:w="1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preferred shares;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debt securities;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rights;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units.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terms and provisions of our Class B ordinary shares, preferred shares, debt securities, rights and units, which we may offer and sell using this prospectus. These summaries are not meant to be a complete description of each security. We will set forth in the applicable prospectus supplement a description of the preferred shares, debt securities, rights, and units, in certain cases, the Class B ordinary shares that may be offered under this prospectus. The terms of the offering of securities, the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08"/>
      <w:bookmarkEnd w:id="24"/>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in the Cayman Islands on June 12, 2023. Our affairs are currently governed by our Memorandum and Articles of Association and the Companies Act, Cap 22 (Law 3 of 1961, as consolidated and revised), which we refer to as the “Companies Act” in this section, and the common law of the Cayman Islands.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may determine in accordance with our Memorandum and Articles of Association (“M&amp;AA”).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(i) 208,333 Class A ordinary shares, and (ii) 8,428,418 Class B ordinary shares 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Class B Ordinary Shares and Class C Ordinary Shares shall at all times vote together as one class on all resolutions submitted to a vote by the Members. Each Class A Ordinary Share shall entitle the holder thereof to sixty (60) votes on all matters subject to vote at general meetings of the Company, each Class B Ordinary Share shall entitle the holder thereof to one (1) vote on all matters subject to vote at general meetings of the Company, and each Class C Ordinary Share shall entitle the holder thereof to one (1) vote on all matters subject to vote at general meetings of the Company, and the Company shall not proceed with any matter to be passed at general meetings of the Company without the written consent of the holders holding a majority of the issued and outstanding Class C Ordinary Shares or with the sanction of a Special Resolution passed at a separate meeting of the holders of the issued and outstanding Class C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or Class C Ordinary Share is convertible into one (1) Class B Ordinary Share at any time at the option of the holder thereof. The right to convert shall be exercisable by the holder of the Class A Ordinary Share or the Class C Ordinary Shares, as the case may be, delivering a written notice to the Company that such holder elects to convert a specified number of Class A Ordinary Shares or Class C Ordinary Shares, as the case may be, into Class B Ordinary Shares. Class B Ordinary Shares are not convertible into Class A Ordinary Shares or Class C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All of our issued and outstanding Ordinary Shares are fully paid and non-assessable. Our Ordinary Shares are issued in registered form, and are issued when registered in our register of members. Our shareholders who are nonresidents of the Cayman Islands may freely hold and vote their shares. Under our M&amp;AA, we may issue only non-negotiable shares and may not issue bearer or negotiable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provided that a dividend may not be paid if this would result in our company being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Classes of Ordinary Shares</w:t>
      </w:r>
      <w:r>
        <w:rPr>
          <w:rFonts w:ascii="Times New Roman;Times;Serif" w:hAnsi="Times New Roman;Times;Serif"/>
          <w:b w:val="false"/>
          <w:i w:val="false"/>
          <w:caps w:val="false"/>
          <w:smallCaps w:val="false"/>
          <w:sz w:val="20"/>
        </w:rPr>
        <w:t>. Our ordinary shares are divided into Class A ordinary shares, Class B ordinary shares and Class C ordinary shares. Except for conversion rights and voting rights, Class A Ordinary Shares, Class B Ordinary Shares and Class C Ordinary Shares shall rank pari passu with one another and shall have the same rights, preferences, privileges and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by the shareholders requires the affirmative vote of a simple majority of the votes cast by those shareholders entitled to vote who are present in person or by proxy at a general meeting (or if passed as a resolution in writing, the approval of two-thirds of our shareholders entitled to vote at a general meeting of our company), while a special resolution requires the affirmative vote of no less than two-thirds of the votes cast by those shareholders entitled to vote who are present in person or by proxy at a general meeting (or if passed as a written resolution, the approval of all of our shareholders entitled to vote at a general meeting of our company). A special resolution is required for important matters such as a change of name or any amendment to our M&amp;AA. Holders of our ordinary shares may effect certain changes by ordinary resolution, including increasing the amount of our authorized share capital, consolidating all or any of our share capital into shares of larger amount than our existing shares, sub-dividing our shares or any of them into shares of an amount smaller than that fixed by our M&amp;AA, and cancelling any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 and Shareholder Proposals</w:t>
      </w:r>
      <w:r>
        <w:rPr>
          <w:rFonts w:ascii="Times New Roman;Times;Serif" w:hAnsi="Times New Roman;Times;Serif"/>
          <w:b w:val="false"/>
          <w:i w:val="false"/>
          <w:caps w:val="false"/>
          <w:smallCaps w:val="false"/>
          <w:sz w:val="20"/>
        </w:rPr>
        <w:t>. As a Cayman Islands exempted company, we are not obliged by the Companies Act to call shareholders’ annual general meetings. Our M&amp;AA provides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annual general meetings and any other general meetings of our shareholders may be convened by our board of directors. Advance notice of at least seven (7) calendar days is required for the convening of our annual general shareholders’ meeting and any other general meeting of our shareholders. A quorum required for a general meeting of shareholders consists of one or more shareholders present in person or by proxy or, if a corporation or other non-natural person, by its duly authorized representative, who hold shares which represent, in aggregate, not less than one-third of the votes attaching to all issued and outstanding shares of our company entitled to vote at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M&amp;AA allows any of our shareholders holding at least two-thirds of the aggregate number of votes attaching to all issued and outstanding shares of our company entitled to vote at general meetings, to requisition an extraordinary general meeting of the shareholders, in which case our directors are obliged to call such meeting and to put the resolutions so requisitioned to a vote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Shares</w:t>
      </w:r>
      <w:r>
        <w:rPr>
          <w:rFonts w:ascii="Times New Roman;Times;Serif" w:hAnsi="Times New Roman;Times;Serif"/>
          <w:b w:val="false"/>
          <w:i w:val="false"/>
          <w:caps w:val="false"/>
          <w:smallCaps w:val="false"/>
          <w:sz w:val="20"/>
        </w:rPr>
        <w:t>. Subject to the restrictions of our M&amp;AA set out below, as applicable, any of our shareholders may transfer all or any of his or her Ordinary Shares by an instrument of transfer in writing and in such usual or common form or such other form approved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and without assigning any reason, refuse to register any transfer of any ordinary share which is not fully paid up or upon which our company has a lien. Our directors may also decline to register any transfer of any ordinary share unless (a) the instrument of transfer is lodged with us, accompanied by the certificate for the ordinary shares to which it relates and such other evidence as our board of directors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ordinary share is to be transferred does not exceed four; or (e) a fee of such maximum sum as the Nasdaq may determine to be payable, or such lesser sum as our board of directors may from time to time require, is paid to us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 The registration of transfers may, on ten (10) days’ notice being given by advertisement in an appointed newspaper or any other newspapers or by any other means in accordance with the requirements of the Nasdaq to that effect, be suspended at such times and for such periods (not exceeding in the whole thirty (30) calendar days in any year) as our directors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On a winding up of our company, if the assets available for distribution among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Our board of directors may from time to time make calls upon shareholders for any amounts unpaid on their shares in a notice served to such shareholders at least fourteen (14) days prior to the specified time and place of payment. The shares that have been called upon and remain unpaid on the specified time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Purchase and Surrender of Shares</w:t>
      </w:r>
      <w:r>
        <w:rPr>
          <w:rFonts w:ascii="Times New Roman;Times;Serif" w:hAnsi="Times New Roman;Times;Serif"/>
          <w:b w:val="false"/>
          <w:i w:val="false"/>
          <w:caps w:val="false"/>
          <w:smallCaps w:val="false"/>
          <w:sz w:val="20"/>
        </w:rPr>
        <w:t>. We may issue shares on terms that such shares are subject to redemption, at our option or at the option of the holders, on such terms and in such manner as our board of directors, before the issue of such shares, or our shareholders by special resolution may determine. We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If at any time, our share capital is divided into different classes of shares, the rights attached to any class of shares may be varied or abrogated either with the written consent of the holders of two-thirds of the issued shares of that class, or with the sanction of a special resolution passed at a general meeting of the holders of shares of that class. The rights conferred upon the holders of the shares of any class issued with preferred or other rights will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our ordinary shares have no general right under Cayman Islands law to inspect or obtain copies of our register of members or our corporate records (other than our memorandum and articles of association, any special resolutions of our shareholders, and our register of mortgages and charges). However, at the discretion of our board of directors, we intend to provide our shareholders with annual 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Capital</w:t>
      </w:r>
      <w:r>
        <w:rPr>
          <w:rFonts w:ascii="Times New Roman;Times;Serif" w:hAnsi="Times New Roman;Times;Serif"/>
          <w:b w:val="false"/>
          <w:i w:val="false"/>
          <w:caps w:val="false"/>
          <w:smallCaps w:val="false"/>
          <w:sz w:val="20"/>
        </w:rPr>
        <w:t>. Our shareholders may from time to time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share capital by such sum, to be divided into shares of such classes and amount, as the resolution shall prescribe;</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a larger amount than our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existing shares, or any of them into shares of a smaller amount than that fixed by our memorandum;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any shares that, at the date of the passing of the resolution, have not been taken or agreed to be taken by any person and diminish the amount of our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by special resolution and subject to confirmation by the Grand Court of the Cayman Islands on an application by our company for an order confirming such reduction, reduce our share capital and any capital redemption reserve in any manner authorized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Our M&amp;AA authorizes our board of directors to issue additional Ordinary Shares from time to time as our board of directors shall determine, to the extent there are available 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M&amp;AA authorizes our board of directors to establish from time to time one or more series of convertible redeemable preferred shares and to determine, with respect to any series of convertible redeemable preferred shares, the terms and rights of that series, including:</w:t>
      </w:r>
    </w:p>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170"/>
        <w:gridCol w:w="20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designation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conversion rights and voting rights; and</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convertible redeemable preferred shares may be used as an anti-takeover device without further action on the part of the shareholders.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Some provisions of M&amp;AA may discourage, delay or prevent a change of control of our company or management that shareholders may consider favorable, including provisions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preferred shares in one or more series and to designate the price, rights, preferences, privileges and restrictions of such preferred shares without any further vote or action by our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M&amp;AA for a proper purpose and for what they believe in good faith to be in the best interests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30 years in the first instance);</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170"/>
        <w:gridCol w:w="39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empowered to allot, issue, and dispose of shares (including, without limitation, preferred shares) (whether in certificated form or non-certificated form), to such persons, in such manner, on such terms and having such rights and being subject to such restrictions as they may from time to time determine. The Board may, without the approval of the shareholders, create and designate out of the unissued shares of the Company (including unissued Class B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 Board may determine in their sole and absolute discretion.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the prospectus relating to any series of preferred shares being offered for the specific terms of that series,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of the series and the number of shares in the series;</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at which the preferred shares will be offered;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rate or rates or method of calculating the rates, the dates on which the dividends will be payable, whether or not dividends will be cumulative or noncumulative and, if cumulative, the dates from which dividends on the preferred shares being offered will cumulate;</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voting rights, if any, of the holders of preferred shares being offered;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a sinking fund, if any, and the provisions for redemption, if applicable, of the preferred shares being offered, including any restrictions on the foregoing as a result of arrearage in the payment of dividends or sinking fund installments;</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liquidation preference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applicable, upon which the preferred shares being offered will be convertible into our ordinary shares, including the conversion price, or the manner of calculating the conversion price, and the conversion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applicable, upon which the preferred shares being offered will be exchangeable for debt securities, including the exchange price, or the manner of calculating the exchange price, and the exchange period;</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listing of the preferred shares being offered on any securities exchange;</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federal income tax considerations applicable to the preferred shares being offered;</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170"/>
        <w:gridCol w:w="18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preemptive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ranking and preferences of the preferred shares being offered as to dividend rights and rights upon liquidation, dissolution or the winding up of our affairs;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limitations on the issuance of any class or series of preferred shares ranking senior or equal to the series of preferred shares being offered as to dividend rights and rights upon liquidation, dissolution or the winding up of our affairs; and</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170"/>
        <w:gridCol w:w="72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rights, preferences, qualifications, limitations and restrictions of the series.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issuance, the preferred shares will be fully paid and nonassessable, which means that its holders will have paid their purchase price in full and we may not require them to pay additional funds.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preferred share terms selected by the Board could decrease the amount of earnings and assets available for distribution to holders of our ordinary shares or adversely affect the rights and power, including voting rights, of the holders of our ordinary shares without any further vote or action by the shareholders. The rights of holders of our ordinary shares will be subject to, and may be adversely affected by, the rights of the holders of any preferred shares that may be issued by us in the future. The issuance of preferred shares could also have the effect of delaying or preventing a change in control of our company or make removal of management more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that is effected in compliance with these statutory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90.0% of the votes at a general meeting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p>
      <w:pPr>
        <w:pStyle w:val="TextBody"/>
        <w:bidi w:val="0"/>
        <w:spacing w:before="0" w:after="0"/>
        <w:ind w:left="0" w:right="0" w:hanging="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dissentient minority shareholders upon a tender offer. When a tender offer is made and accepted by holders of 90.0%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that has been so approved unless there is evidence of fraud, bad faith or collusion.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pStyle w:val="TextBody"/>
        <w:bidi w:val="0"/>
        <w:spacing w:before="0" w:after="0"/>
        <w:ind w:left="0" w:right="0" w:hanging="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acts or proposes to act illegally or ultra vires (and is therefore incapable of ratification by the shareholders);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a simple majority vote that has not been obtained; and</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Cayman Islands law and our memorandum and articles of association provide that our shareholders may approve corporate matters by way of (i) in the case of ordinary resolutions, a written resolution signed by two-thirds of our shareholders entitled to receive notice of and to attend and vote at general meetings of our company, or (ii) in the case of special resolutions, a unanimous written resolution signed by all of our shareholders entitled to receive notice of and to attend and vote at general meetings of our company, without a meeting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Delaware General Corporation Law, a shareholder has the right to put any proposal before the annual meeting of shareholders;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who together hold shares that carry in aggregate not less than two-thirds of the total number of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or by a written resolution signed by every director other than the director being removed.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with Interested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Restructuring.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extBody"/>
        <w:bidi w:val="0"/>
        <w:spacing w:before="0" w:after="0"/>
        <w:ind w:left="0" w:right="0" w:hanging="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27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895" w:type="dxa"/>
            <w:tcBorders/>
            <w:vAlign w:val="center"/>
          </w:tcPr>
          <w:p>
            <w:pPr>
              <w:pStyle w:val="TableContents"/>
              <w:bidi w:val="0"/>
              <w:spacing w:before="0" w:after="283"/>
              <w:jc w:val="both"/>
              <w:rPr/>
            </w:pPr>
            <w:r>
              <w:rPr/>
              <w:t>is or is likely to become unable to pay its debts;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intends to present a compromise or arrangement to its creditors (or classes thereof) either pursuant to the Companies Act, the law of a foreign country or by way of a consensual restructuring.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Variation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we may vary the rights attached to any class with the written consent of the holders of at least two-thirds of the issued shares of that class or with the sanction of a special resolution passed at a general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Amendment of Governing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Rights of Non-resident or Foreign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There are no limitations imposed by our memorandum and articles of association on the rights of 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09"/>
      <w:bookmarkEnd w:id="25"/>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Although we do not currently intend to issue any preferred shares, we cannot assure you that we will not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no issued and outstanding preferred shares of any series. The material terms of any series of preferred shares that we offer, together with any material U.S. federal income tax considerations relating to such preferred shares,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preferred shares are entitled to certain rights and subject to certain conditions as set forth in our currently effective memorandum and articles of association and the Companies Act. See “Description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0"/>
      <w:bookmarkEnd w:id="26"/>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series of debt securities, which may include debt securities exchangeable for or convertible into ordinary shares or preferred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title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price or prices (expressed as a percentage of the aggregate principal amount) at which we will sell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limit on the aggregate principal amount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date or dates on which we will repay the principal on the debt securities and the right, if any, to extend the maturity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place or places where the principal of, premium, and interest on the debt securities will be payable, and where the debt securities of the series that are convertible or exchangeable may be surrendered for conversion or exchange;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obligation or right we have to redeem the debt securities pursuant to any sinking fund or analogous provisions or at the option of holders of the debt securities or at our option, and the terms and conditions upon which we are obligated to or may redeem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obligation we have to repurchase the debt securities at the option of the holders of debt securities, the dates on which and the price or prices at which we will repurchase the debt securities and other detailed terms and provisions of these repurchase obligations;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denominations in which the debt securities will be issued;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whether the debt securities will be issued in the form of certificated debt securities or global debt securities;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portion of principal amount of the debt securities payable upon declaration of acceleration of the maturity date, if other than the principal amount;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currency of denomination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designation of the currency, currencies or currency units in which payment of principal of, premium and interest on the debt securities will be made;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provisions relating to any security provided for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addition to or change in the events of default described in the indenture with respect to the debt securities and any change in the acceleration provisions described in the indenture with respect to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addition to or change in the covenants described in the indenture with respect to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whether the debt securities will be senior or subordinated and any applicable subordination provisions;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discussion of material income tax considerations applicable to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other terms of the debt securities, which may modify any provisions of the indenture as it applies to that series; and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depositaries, interest rate calculation agents, exchange rate calculation agents or other agents with respect to the debt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preferred shares or other securities to be received by the holders of debt securities would be calculated.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New York, unless we otherwise specify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1"/>
      <w:bookmarkEnd w:id="27"/>
      <w:r>
        <w:rPr>
          <w:rFonts w:ascii="Times New Roman;Times;Serif" w:hAnsi="Times New Roman;Times;Serif"/>
          <w:b/>
          <w:i w:val="false"/>
          <w:caps w:val="false"/>
          <w:smallCaps w:val="false"/>
          <w:sz w:val="20"/>
        </w:rPr>
        <w:t>DESCRIPTION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 holders entitled to the rights distribution;</w:t>
            </w:r>
          </w:p>
        </w:tc>
      </w:tr>
    </w:tbl>
    <w:p>
      <w:pPr>
        <w:pStyle w:val="TextBody"/>
        <w:bidi w:val="0"/>
        <w:spacing w:before="0" w:after="0"/>
        <w:ind w:left="0" w:right="0" w:firstLine="72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amount of securities purchasable upon exercise of the rights;</w:t>
            </w:r>
          </w:p>
        </w:tc>
      </w:tr>
    </w:tbl>
    <w:p>
      <w:pPr>
        <w:pStyle w:val="TextBody"/>
        <w:bidi w:val="0"/>
        <w:spacing w:before="0" w:after="0"/>
        <w:ind w:left="0" w:right="0" w:firstLine="72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bl>
    <w:p>
      <w:pPr>
        <w:pStyle w:val="TextBody"/>
        <w:bidi w:val="0"/>
        <w:spacing w:before="0" w:after="0"/>
        <w:ind w:left="0" w:right="0" w:firstLine="72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to completion of the rights offering;</w:t>
            </w:r>
          </w:p>
        </w:tc>
      </w:tr>
    </w:tbl>
    <w:p>
      <w:pPr>
        <w:pStyle w:val="TextBody"/>
        <w:bidi w:val="0"/>
        <w:spacing w:before="0" w:after="0"/>
        <w:ind w:left="0" w:right="0" w:firstLine="72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 and</w:t>
            </w:r>
          </w:p>
        </w:tc>
      </w:tr>
    </w:tbl>
    <w:p>
      <w:pPr>
        <w:pStyle w:val="TextBody"/>
        <w:bidi w:val="0"/>
        <w:spacing w:before="0" w:after="0"/>
        <w:ind w:left="0" w:right="0" w:firstLine="72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70"/>
        <w:gridCol w:w="40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federal income tax considerations.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2"/>
      <w:bookmarkEnd w:id="28"/>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our Class B ordinary shares, preferred shares or debt securities.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we issue a series of units. See “Where You Can Find Additional Information” and “Incorporation of Certain Information by Reference” above for information on how to obtain a copy of a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designation and terms of the units and of the securities comprising the units, including whether and under what circumstances those securities may be held or transferred separately;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any provisions for the issuance, payment, settlement, transfer, or exchange of the units or of the securities composing the units;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whether the units will be issued in fully registered or global form;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any other terms of the units.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“Description of Share Capital,” “Description of Preferred Shares,” and “Description of Debt Securities” above, will apply to each unit and to each security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3"/>
      <w:bookmarkEnd w:id="29"/>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(i) to or through underwriters or dealers, (ii) directly to purchasers, including our affiliates, (iii) 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firstLine="72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offering;</w:t>
            </w:r>
          </w:p>
        </w:tc>
      </w:tr>
    </w:tbl>
    <w:p>
      <w:pPr>
        <w:pStyle w:val="TextBody"/>
        <w:bidi w:val="0"/>
        <w:spacing w:before="0" w:after="0"/>
        <w:ind w:left="0" w:right="0" w:firstLine="72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any underwriters or agents;</w:t>
            </w:r>
          </w:p>
        </w:tc>
      </w:tr>
    </w:tbl>
    <w:p>
      <w:pPr>
        <w:pStyle w:val="TextBody"/>
        <w:bidi w:val="0"/>
        <w:spacing w:before="0" w:after="0"/>
        <w:ind w:left="0" w:right="0" w:firstLine="72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any managing underwriter or underwriters;</w:t>
            </w:r>
          </w:p>
        </w:tc>
      </w:tr>
    </w:tbl>
    <w:p>
      <w:pPr>
        <w:pStyle w:val="TextBody"/>
        <w:bidi w:val="0"/>
        <w:spacing w:before="0" w:after="0"/>
        <w:ind w:left="0" w:right="0" w:firstLine="72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of the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over-allotment options under which underwriters may purchase additional securities from us;</w:t>
            </w:r>
          </w:p>
        </w:tc>
      </w:tr>
    </w:tbl>
    <w:p>
      <w:pPr>
        <w:pStyle w:val="TextBody"/>
        <w:bidi w:val="0"/>
        <w:spacing w:before="0" w:after="0"/>
        <w:ind w:left="0" w:right="0" w:firstLine="72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proceeds from the sale of the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delayed delivery arrangements;</w:t>
            </w:r>
          </w:p>
        </w:tc>
      </w:tr>
    </w:tbl>
    <w:p>
      <w:pPr>
        <w:pStyle w:val="TextBody"/>
        <w:bidi w:val="0"/>
        <w:spacing w:before="0" w:after="0"/>
        <w:ind w:left="0" w:right="0" w:firstLine="72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underwriting discounts, commissions and other items constituting underwriters’ compensation;</w:t>
            </w:r>
          </w:p>
        </w:tc>
      </w:tr>
    </w:tbl>
    <w:p>
      <w:pPr>
        <w:pStyle w:val="TextBody"/>
        <w:bidi w:val="0"/>
        <w:spacing w:before="0" w:after="0"/>
        <w:ind w:left="0" w:right="0" w:firstLine="72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initial public offering price;</w:t>
            </w:r>
          </w:p>
        </w:tc>
      </w:tr>
    </w:tbl>
    <w:p>
      <w:pPr>
        <w:pStyle w:val="TextBody"/>
        <w:bidi w:val="0"/>
        <w:spacing w:before="0" w:after="0"/>
        <w:ind w:left="0" w:right="0" w:firstLine="72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w:t>
            </w:r>
          </w:p>
        </w:tc>
      </w:tr>
    </w:tbl>
    <w:p>
      <w:pPr>
        <w:pStyle w:val="TextBody"/>
        <w:bidi w:val="0"/>
        <w:spacing w:before="0" w:after="0"/>
        <w:ind w:left="0" w:right="0" w:firstLine="72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commissions paid to agents; and</w:t>
            </w:r>
          </w:p>
        </w:tc>
      </w:tr>
    </w:tbl>
    <w:p>
      <w:pPr>
        <w:pStyle w:val="TextBody"/>
        <w:bidi w:val="0"/>
        <w:spacing w:before="0" w:after="0"/>
        <w:ind w:left="0" w:right="0" w:firstLine="72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securities exchange or market on which the securities may be listed.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Class B ordinary shares,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4"/>
      <w:bookmarkEnd w:id="30"/>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any of the securities offered by this prospectus will be set forth in the applicable prospectus supplement relating to the offering of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5"/>
      <w:bookmarkEnd w:id="31"/>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170"/>
        <w:gridCol w:w="2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170"/>
        <w:gridCol w:w="2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170"/>
        <w:gridCol w:w="1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developed body of securities laws as compared to the United States and these securities laws provide significantly less protection to investors as compared to the United States; and</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Cayman Islands’ legal counsel, there is uncertainty with regard to Cayman Islands law relating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pStyle w:val="TextBody"/>
        <w:bidi w:val="0"/>
        <w:spacing w:before="0" w:after="0"/>
        <w:ind w:left="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counsel further advised that although there is no statutory enforcement in the Cayman Islands of judgments obtained in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provided such judgment (1) is given by a foreign court of competent jurisdiction, (2) imposes on the judgment debtor a liability to pay a liquidated sum for which the judgment has been given, (3) is final, (4) is not in respect of taxes, a fine or a penalty, and (5) was not obtained in a manner and is of a kind the enforcement of which is contrary to natural justice or the public policy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16"/>
      <w:bookmarkEnd w:id="3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as to United States federal securities and New York State law. The validity of the Class B ordinary shares offered in this offering will be passed upon for us by Maples and Calder (Hong Kong) LLP. Loeb &amp; Loeb LLP may rely upon Maples and Calder (Hong Kong) LLP with respect to matters governed by Cayman Islands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17"/>
      <w:bookmarkEnd w:id="33"/>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December 31, 2025 and for the year then ended incorporated by reference in this prospectus have been audited by HYYH CPA. LLC, an independent registered public accounting firm. Such financial statements are included in reliance upon the report of such firm given upon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December 31, 2024 and for each of the two years in the period ended December 31, 2024 incorporated by reference in this prospectus have been audited by Marcum Asia CPAs LLP, an independent registered public accounting firm. Such financial statements are included in reliance upon the report of such firm given upon their authority as experts in accounting and auditing.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18"/>
      <w:bookmarkEnd w:id="34"/>
      <w:r>
        <w:rPr>
          <w:rFonts w:ascii="Times New Roman;Times;Serif" w:hAnsi="Times New Roman;Times;Serif"/>
          <w:b/>
          <w:i w:val="false"/>
          <w:caps w:val="false"/>
          <w:smallCaps w:val="false"/>
          <w:sz w:val="20"/>
        </w:rPr>
        <w:t>WHERE YOU CAN FIND MORE INFORMATION ABOUT 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All information filed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also find information on our website https://tridentity.me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information contained on our website is not a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 Class B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983550/000121390026048646/ea0286241-20f_trident.htm" TargetMode="External"/><Relationship Id="rId4" Type="http://schemas.openxmlformats.org/officeDocument/2006/relationships/hyperlink" Target="https://www.sec.gov/Archives/edgar/data/1983550/000121390026038616/ea0284311-6k_trident.htm" TargetMode="External"/><Relationship Id="rId5" Type="http://schemas.openxmlformats.org/officeDocument/2006/relationships/hyperlink" Target="https://www.sec.gov/Archives/edgar/data/1983550/000121390026041134/ea0284930-6k_trident.htm" TargetMode="External"/><Relationship Id="rId6" Type="http://schemas.openxmlformats.org/officeDocument/2006/relationships/hyperlink" Target="https://www.sec.gov/Archives/edgar/data/1983550/000121390026045846/ea0286433-6k_trident.htm" TargetMode="External"/><Relationship Id="rId7" Type="http://schemas.openxmlformats.org/officeDocument/2006/relationships/hyperlink" Target="https://www.sec.gov/Archives/edgar/data/1983550/000121390026051029/ea0288501-6k_trident.htm" TargetMode="External"/><Relationship Id="rId8" Type="http://schemas.openxmlformats.org/officeDocument/2006/relationships/hyperlink" Target="https://www.sec.gov/Archives/edgar/data/1983550/000121390026053541/ea0289652-6k_trident.htm" TargetMode="External"/><Relationship Id="rId9" Type="http://schemas.openxmlformats.org/officeDocument/2006/relationships/hyperlink" Target="https://www.sec.gov/Archives/edgar/data/1983550/000121390026061560/ea0292282-6k_trident.htm" TargetMode="External"/><Relationship Id="rId10" Type="http://schemas.openxmlformats.org/officeDocument/2006/relationships/hyperlink" Target="https://www.sec.gov/Archives/edgar/data/1983550/000121390026069311/ea0294933-6k_trident.htm" TargetMode="External"/><Relationship Id="rId11" Type="http://schemas.openxmlformats.org/officeDocument/2006/relationships/hyperlink" Target="https://www.sec.gov/Archives/edgar/data/1983550/000121390026069461/ea0294747-01.htm" TargetMode="External"/><Relationship Id="rId12" Type="http://schemas.openxmlformats.org/officeDocument/2006/relationships/hyperlink" Target="https://www.sec.gov/Archives/edgar/data/1983550/000121390026073786/ea0296454-01.htm" TargetMode="External"/><Relationship Id="rId13" Type="http://schemas.openxmlformats.org/officeDocument/2006/relationships/hyperlink" Target="https://www.sec.gov/Archives/edgar/data/1983550/000121390026076184/ea0297232-6k_trident.htm" TargetMode="External"/><Relationship Id="rId14" Type="http://schemas.openxmlformats.org/officeDocument/2006/relationships/hyperlink" Target="https://www.sec.gov/Archives/edgar/data/1983550/000121390026098386/ea0304892-6k_trident.htm" TargetMode="External"/><Relationship Id="rId15" Type="http://schemas.openxmlformats.org/officeDocument/2006/relationships/hyperlink" Target="https://www.sec.gov/Archives/edgar/data/1983550/000121390026102847/ea0306516-6k_trident.htm" TargetMode="External"/><Relationship Id="rId16" Type="http://schemas.openxmlformats.org/officeDocument/2006/relationships/image" Target="media/image1.jpeg"/><Relationship Id="rId17" Type="http://schemas.openxmlformats.org/officeDocument/2006/relationships/hyperlink" Target="https://www.sec.gov/ix?doc=/Archives/edgar/data/1983550/000121390026048646/ea0286241-20f_trident.htm" TargetMode="External"/><Relationship Id="rId18" Type="http://schemas.openxmlformats.org/officeDocument/2006/relationships/hyperlink" Target="https://www.sec.gov/Archives/edgar/data/1983550/000121390026038616/ea0284311-6k_trident.htm" TargetMode="External"/><Relationship Id="rId19" Type="http://schemas.openxmlformats.org/officeDocument/2006/relationships/hyperlink" Target="https://www.sec.gov/Archives/edgar/data/1983550/000121390026041134/ea0284930-6k_trident.htm" TargetMode="External"/><Relationship Id="rId20" Type="http://schemas.openxmlformats.org/officeDocument/2006/relationships/hyperlink" Target="https://www.sec.gov/Archives/edgar/data/1983550/000121390026045846/ea0286433-6k_trident.htm" TargetMode="External"/><Relationship Id="rId21" Type="http://schemas.openxmlformats.org/officeDocument/2006/relationships/hyperlink" Target="https://www.sec.gov/Archives/edgar/data/1983550/000121390026051029/ea0288501-6k_trident.htm" TargetMode="External"/><Relationship Id="rId22" Type="http://schemas.openxmlformats.org/officeDocument/2006/relationships/hyperlink" Target="https://www.sec.gov/Archives/edgar/data/1983550/000121390026053541/ea0289652-6k_trident.htm" TargetMode="External"/><Relationship Id="rId23" Type="http://schemas.openxmlformats.org/officeDocument/2006/relationships/hyperlink" Target="https://www.sec.gov/Archives/edgar/data/1983550/000121390026061560/ea0292282-6k_trident.htm" TargetMode="External"/><Relationship Id="rId24" Type="http://schemas.openxmlformats.org/officeDocument/2006/relationships/hyperlink" Target="https://www.sec.gov/Archives/edgar/data/1983550/000121390026069311/ea0294933-6k_trident.htm" TargetMode="External"/><Relationship Id="rId25" Type="http://schemas.openxmlformats.org/officeDocument/2006/relationships/hyperlink" Target="https://www.sec.gov/Archives/edgar/data/1983550/000121390026069461/ea0294747-01.htm" TargetMode="External"/><Relationship Id="rId26" Type="http://schemas.openxmlformats.org/officeDocument/2006/relationships/hyperlink" Target="https://www.sec.gov/Archives/edgar/data/1983550/000121390026073786/ea0296454-01.htm" TargetMode="External"/><Relationship Id="rId27" Type="http://schemas.openxmlformats.org/officeDocument/2006/relationships/hyperlink" Target="https://www.sec.gov/Archives/edgar/data/1983550/000121390026076184/ea0297232-6k_trident.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29763</Words>
  <Characters>157310</Characters>
  <CharactersWithSpaces>187306</CharactersWithSpaces>
  <Paragraphs>2110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