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February 13, 2026</w:t>
      </w:r>
    </w:p>
    <w:p>
      <w:pPr>
        <w:spacing w:after="0" w:line="31" w:lineRule="exact"/>
        <w:rPr>
          <w:sz w:val="24"/>
          <w:szCs w:val="24"/>
          <w:color w:val="auto"/>
        </w:rPr>
      </w:pPr>
    </w:p>
    <w:p>
      <w:pPr>
        <w:jc w:val="right"/>
        <w:spacing w:after="0"/>
        <w:tabs>
          <w:tab w:leader="none" w:pos="40" w:val="left"/>
        </w:tabs>
        <w:rPr>
          <w:sz w:val="20"/>
          <w:szCs w:val="20"/>
          <w:color w:val="auto"/>
        </w:rPr>
      </w:pPr>
      <w:r>
        <w:rPr>
          <w:rFonts w:ascii="Times New Roman" w:cs="Times New Roman" w:eastAsia="Times New Roman" w:hAnsi="Times New Roman"/>
          <w:sz w:val="18"/>
          <w:szCs w:val="18"/>
          <w:b w:val="1"/>
          <w:bCs w:val="1"/>
          <w:color w:val="auto"/>
        </w:rPr>
        <w:t>Registration No. 333-[</w:t>
      </w:r>
      <w:r>
        <w:rPr>
          <w:sz w:val="20"/>
          <w:szCs w:val="20"/>
          <w:color w:val="auto"/>
        </w:rPr>
        <w:tab/>
      </w:r>
      <w:r>
        <w:rPr>
          <w:rFonts w:ascii="Times New Roman" w:cs="Times New Roman" w:eastAsia="Times New Roman" w:hAnsi="Times New Roman"/>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 UNDER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ACT OF 1933</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Trident Digital Tech Holdings Ltd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5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Cayman Islands</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tc>
      </w:tr>
      <w:tr>
        <w:trPr>
          <w:trHeight w:val="198"/>
        </w:trPr>
        <w:tc>
          <w:tcPr>
            <w:tcW w:w="564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100" w:type="dxa"/>
            <w:vAlign w:val="bottom"/>
          </w:tcPr>
          <w:p>
            <w:pPr>
              <w:spacing w:after="0"/>
              <w:rPr>
                <w:sz w:val="17"/>
                <w:szCs w:val="17"/>
                <w:color w:val="auto"/>
              </w:rPr>
            </w:pPr>
          </w:p>
        </w:tc>
        <w:tc>
          <w:tcPr>
            <w:tcW w:w="5500" w:type="dxa"/>
            <w:vAlign w:val="bottom"/>
            <w:tcBorders>
              <w:top w:val="single" w:sz="8" w:color="auto"/>
            </w:tcBorders>
          </w:tcPr>
          <w:p>
            <w:pPr>
              <w:ind w:left="2120"/>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5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Suntec Tower 3,</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 Temasek Boulevard Road, #24-03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Singapore, 038988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+65 6513 6868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including zip code, of Principal Executive Offices)</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2023 Equity Incentive Plan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(Full title of the plan)</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Cogency Global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122 East 42nd Street, 18th Floor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NY 10168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(800) 221-0102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address and telephone number, including area code, of agent for service)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Soon Huat Lim</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Trident Digital Tech Holdings Ltd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Suntec Tower 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8 Temasek Boulevard Road, #24-03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Singapore, 038988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+65 6513 6868</w:t>
      </w:r>
    </w:p>
    <w:p>
      <w:pPr>
        <w:spacing w:after="0" w:line="207" w:lineRule="exact"/>
        <w:rPr>
          <w:sz w:val="24"/>
          <w:szCs w:val="24"/>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0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400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Accelerated filer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0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400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19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400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Emerging growth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5" w:lineRule="exact"/>
        <w:rPr>
          <w:sz w:val="24"/>
          <w:szCs w:val="24"/>
          <w:color w:val="auto"/>
        </w:rPr>
      </w:pPr>
    </w:p>
    <w:p>
      <w:pPr>
        <w:ind w:firstLine="648"/>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436880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registration statement is being filed by Trident Digital Tech Holdings Ltd, a Cayman Islands exempted company with limited liability (the “Company”), for the purpose of registering the reoffer and resale of an aggregate of up to 193,360,650 Class B ordinary shares, par value US$ 0.00001 per share (the “Class B Ordinary Shares”) of the Company, issued in connection with the share awards previously granted to the Company’s employees, directors and consultants (each, a “Selling Shareholder”) pursuant to the Company’s 2023 Equity Incentive Plan, as amended and restated (the “2023 Equity Incentive Plan”). The Class B Ordinary Shares are represented by American Depositary Shares (“ADSs”) and are expected to be re-offered and resold in the form of ADSs. Each ADS represents the right to receive eight (8) Class B Ordinary Shares.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registration statement contains two parts. The first part contains a “reoffer” prospectus prepared in accordance with General Instruction C of Form S-8 and in accordance with the requirements of Part I of Form S-3. The reoffer prospectus may be used for the reoffer and resale on a continuous or delayed basis of the Class B Ordinary Shares, which may be deemed to be “restricted securities” and/or “control securities” within the meaning of the Securities Act of 1933, as amended (the “Securities Act”), and the rules and regulations promulgated thereunder, by the Selling Shareholders. The second part contains information required to be set forth in the registration statement pursuant to Part II of Form S-8.</w:t>
      </w:r>
    </w:p>
    <w:p>
      <w:pPr>
        <w:spacing w:after="0" w:line="3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REQUIRED IN THE SECTION 10(a) PROSPECTUS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Plan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Registrant Information and Employee Annual Information.*</w:t>
      </w:r>
    </w:p>
    <w:p>
      <w:pPr>
        <w:spacing w:after="0" w:line="229" w:lineRule="exact"/>
        <w:rPr>
          <w:sz w:val="20"/>
          <w:szCs w:val="20"/>
          <w:color w:val="auto"/>
        </w:rPr>
      </w:pPr>
    </w:p>
    <w:p>
      <w:pPr>
        <w:jc w:val="both"/>
        <w:ind w:left="340" w:hanging="332"/>
        <w:spacing w:after="0" w:line="256"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documents containing the information specified in Part I of Form S-8 will be delivered by the Company to the participants in the employee benefit plans covered by this registration statement, in accordance with Form S-8 and Rule 428(b)(1) under the Securities Act, as applicable. Such documents are not required to be, and are not, filed with the Securities and Exchange Commission (the “SEC”), either as part of this registration statement or as prospectuses or prospectus supplements pursuant to Rule 424 under the Securities Act. These documents and the documents incorporated by reference into this registration statement pursuant to Item 3 of Part II of this registration statement, taken together, constitute a prospectus that meets the requirements of Section 10(a) of the Securities Act and are available to participants without charge upon written or oral request to:</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Trident Digital Tech Holdings Ltd</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Suntec Tower 3,</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 Temasek Boulevard Road, #24-03</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Singapore, 038988</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+65 6513 6868</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TRIDENT DIGITAL TECH HOLDINGS LTD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REOFFER PROSPECTUS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193,360,650 CLASS B ORDINARY SHARES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This reoffer prospectus relates to an aggregate of up to 193,360,650 Class B ordinary shares, US$ 0.00001 par value per share (the “Class B Ordinary Shares”), of Trident Digital Tech Holdings Ltd, a Cayman Islands exempted company with limited liability (the “Company”), that may be reoffered or resold from time to time by employees, directors and consultants of the Company (collectively, the “Selling Shareholders”). The Class B Ordinary Shares were issued in connection with the share awards previously granted to the Selling Shareholders pursuant to the Company’s 2023 Equity Incentive Plan, as amended and restated (the “2023 Equity Incentive Plan”). The Class B Ordinary Shares are represented by American Depositary Shares (“ADSs”) and are expected to be re-offered and resold in the form of ADSs. Each ADS represents the right to receive eight (8) Class B Ordinary Shares, par value US$0.00001 per share.</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Selling Shareholders may sell the Class B Ordinary Shares in the form of ADSs covered by this reoffer prospectus from time to time through various means, including directly or indirectly to purchasers, in one or more transactions on The Nasdaq Capital Market (“NASDAQ”) on which the ADSs are traded at the time of sale, in privately negotiated transactions, or through a combination of these methods. These sales may be at fixed prices, which may change, at market prices available at the time of sale, at prices based on the available market price at the time of sale, or at negotiated prices. If the Class B Ordinary Shares in the form of ADSs are sold through underwriters, broker-dealers or agents, these parties may be compensated for their services in the form of discounts or commissions, which may be deemed to be “underwriting commissions.” If required, the names of any underwriter(s), applicable commissions or discounts, and any other required information with respect to any particular sales will be disclosed in an accompanying prospectus supplement.</w:t>
      </w:r>
    </w:p>
    <w:p>
      <w:pPr>
        <w:spacing w:after="0" w:line="19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Company’s ADSs are listed on NASDAQ under the symbol “TDTH”. On February 12, 2026, the last reported sale price of our ADSs on NASDAQ was US$0.23.</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will not receive any of the proceeds from the sale of the Class B Ordinary Shares in the form of ADSs by the Selling Shareholders. While we will pay the expenses of registering the Class B Ordinary Shares, the Selling Shareholders will bear all sales commissions and similar expenses.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are an “emerging growth company” as defined in Section 2(a) of the Securities Act, and will be subject to reduced public company reporting requirements.</w:t>
      </w:r>
    </w:p>
    <w:p>
      <w:pPr>
        <w:spacing w:after="0" w:line="15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Investing in ADSs involves a high degree of risk. You should carefully review the risks and uncertainties referenced under the heading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 contained in this reoffer prospectus beginning on page 5, and under similar headings in the other documents that are incorporated by reference into this reoffer prospectus.</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(the “SEC”) nor any state securities commission has approved or disapproved of these securities or passed upon the adequacy or accuracy of this prospectus. Any representation to the contrary is a criminal offense.</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date of this reoffer prospectus is February 13, 2026</w:t>
      </w: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8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680" w:type="dxa"/>
            <w:vAlign w:val="bottom"/>
            <w:gridSpan w:val="3"/>
          </w:tcPr>
          <w:p>
            <w:pPr>
              <w:ind w:left="14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300" w:type="dxa"/>
            <w:vAlign w:val="bottom"/>
          </w:tcPr>
          <w:p>
            <w:pPr>
              <w:spacing w:after="0"/>
              <w:rPr>
                <w:sz w:val="20"/>
                <w:szCs w:val="20"/>
                <w:color w:val="auto"/>
              </w:rPr>
            </w:pPr>
          </w:p>
        </w:tc>
      </w:tr>
      <w:tr>
        <w:trPr>
          <w:trHeight w:val="216"/>
        </w:trPr>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196"/>
        </w:trPr>
        <w:tc>
          <w:tcPr>
            <w:tcW w:w="8940" w:type="dxa"/>
            <w:vAlign w:val="bottom"/>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ABOUT THIS REOFFER PROSPECTUS</w:t>
            </w:r>
          </w:p>
        </w:tc>
        <w:tc>
          <w:tcPr>
            <w:tcW w:w="2300" w:type="dxa"/>
            <w:vAlign w:val="bottom"/>
            <w:shd w:val="clear" w:color="auto" w:fill="CCEEFF"/>
          </w:tcPr>
          <w:p>
            <w:pPr>
              <w:jc w:val="right"/>
              <w:ind w:right="310"/>
              <w:spacing w:after="0" w:line="176" w:lineRule="exact"/>
              <w:rPr>
                <w:sz w:val="20"/>
                <w:szCs w:val="20"/>
                <w:color w:val="auto"/>
              </w:rPr>
            </w:pPr>
            <w:r>
              <w:rPr>
                <w:rFonts w:ascii="Times New Roman" w:cs="Times New Roman" w:eastAsia="Times New Roman" w:hAnsi="Times New Roman"/>
                <w:sz w:val="18"/>
                <w:szCs w:val="18"/>
                <w:b w:val="1"/>
                <w:bCs w:val="1"/>
                <w:color w:val="auto"/>
              </w:rPr>
              <w:t>1</w:t>
            </w:r>
          </w:p>
        </w:tc>
      </w:tr>
      <w:tr>
        <w:trPr>
          <w:trHeight w:val="216"/>
        </w:trPr>
        <w:tc>
          <w:tcPr>
            <w:tcW w:w="84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900" w:type="dxa"/>
            <w:vAlign w:val="bottom"/>
            <w:tcBorders>
              <w:top w:val="single" w:sz="8" w:color="0000EE"/>
            </w:tcBorders>
          </w:tcPr>
          <w:p>
            <w:pPr>
              <w:spacing w:after="0"/>
              <w:rPr>
                <w:sz w:val="18"/>
                <w:szCs w:val="18"/>
                <w:color w:val="auto"/>
              </w:rPr>
            </w:pPr>
          </w:p>
        </w:tc>
        <w:tc>
          <w:tcPr>
            <w:tcW w:w="240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2300" w:type="dxa"/>
            <w:vAlign w:val="bottom"/>
            <w:tcBorders>
              <w:top w:val="single" w:sz="8" w:color="CCEEFF"/>
            </w:tcBorders>
          </w:tcPr>
          <w:p>
            <w:pPr>
              <w:spacing w:after="0"/>
              <w:rPr>
                <w:sz w:val="18"/>
                <w:szCs w:val="18"/>
                <w:color w:val="auto"/>
              </w:rPr>
            </w:pPr>
          </w:p>
        </w:tc>
      </w:tr>
      <w:tr>
        <w:trPr>
          <w:trHeight w:val="196"/>
        </w:trPr>
        <w:tc>
          <w:tcPr>
            <w:tcW w:w="8940" w:type="dxa"/>
            <w:vAlign w:val="bottom"/>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WHERE YOU CAN FIND MORE INFORMATION; INCORPORATION BY REFERENCE</w:t>
            </w:r>
          </w:p>
        </w:tc>
        <w:tc>
          <w:tcPr>
            <w:tcW w:w="2300" w:type="dxa"/>
            <w:vAlign w:val="bottom"/>
            <w:shd w:val="clear" w:color="auto" w:fill="CCEEFF"/>
          </w:tcPr>
          <w:p>
            <w:pPr>
              <w:jc w:val="right"/>
              <w:ind w:right="310"/>
              <w:spacing w:after="0" w:line="176" w:lineRule="exact"/>
              <w:rPr>
                <w:sz w:val="20"/>
                <w:szCs w:val="20"/>
                <w:color w:val="auto"/>
              </w:rPr>
            </w:pPr>
            <w:r>
              <w:rPr>
                <w:rFonts w:ascii="Times New Roman" w:cs="Times New Roman" w:eastAsia="Times New Roman" w:hAnsi="Times New Roman"/>
                <w:sz w:val="18"/>
                <w:szCs w:val="18"/>
                <w:b w:val="1"/>
                <w:bCs w:val="1"/>
                <w:color w:val="auto"/>
              </w:rPr>
              <w:t>1</w:t>
            </w:r>
          </w:p>
        </w:tc>
      </w:tr>
      <w:tr>
        <w:trPr>
          <w:trHeight w:val="216"/>
        </w:trPr>
        <w:tc>
          <w:tcPr>
            <w:tcW w:w="84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900" w:type="dxa"/>
            <w:vAlign w:val="bottom"/>
            <w:tcBorders>
              <w:top w:val="single" w:sz="8" w:color="0000EE"/>
            </w:tcBorders>
          </w:tcPr>
          <w:p>
            <w:pPr>
              <w:spacing w:after="0"/>
              <w:rPr>
                <w:sz w:val="18"/>
                <w:szCs w:val="18"/>
                <w:color w:val="auto"/>
              </w:rPr>
            </w:pPr>
          </w:p>
        </w:tc>
        <w:tc>
          <w:tcPr>
            <w:tcW w:w="2400" w:type="dxa"/>
            <w:vAlign w:val="bottom"/>
            <w:tcBorders>
              <w:top w:val="single" w:sz="8" w:color="0000EE"/>
            </w:tcBorders>
          </w:tcPr>
          <w:p>
            <w:pPr>
              <w:spacing w:after="0"/>
              <w:rPr>
                <w:sz w:val="18"/>
                <w:szCs w:val="18"/>
                <w:color w:val="auto"/>
              </w:rPr>
            </w:pPr>
          </w:p>
        </w:tc>
        <w:tc>
          <w:tcPr>
            <w:tcW w:w="1480" w:type="dxa"/>
            <w:vAlign w:val="bottom"/>
            <w:tcBorders>
              <w:top w:val="single" w:sz="8" w:color="0000EE"/>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2300" w:type="dxa"/>
            <w:vAlign w:val="bottom"/>
            <w:tcBorders>
              <w:top w:val="single" w:sz="8" w:color="CCEEFF"/>
            </w:tcBorders>
          </w:tcPr>
          <w:p>
            <w:pPr>
              <w:spacing w:after="0"/>
              <w:rPr>
                <w:sz w:val="18"/>
                <w:szCs w:val="18"/>
                <w:color w:val="auto"/>
              </w:rPr>
            </w:pPr>
          </w:p>
        </w:tc>
      </w:tr>
      <w:tr>
        <w:trPr>
          <w:trHeight w:val="196"/>
        </w:trPr>
        <w:tc>
          <w:tcPr>
            <w:tcW w:w="8940" w:type="dxa"/>
            <w:vAlign w:val="bottom"/>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SPECIAL NOTE REGARDING FORWARD-LOOKING STATEMENTS</w:t>
            </w:r>
          </w:p>
        </w:tc>
        <w:tc>
          <w:tcPr>
            <w:tcW w:w="2300" w:type="dxa"/>
            <w:vAlign w:val="bottom"/>
            <w:shd w:val="clear" w:color="auto" w:fill="CCEEFF"/>
          </w:tcPr>
          <w:p>
            <w:pPr>
              <w:jc w:val="right"/>
              <w:ind w:right="310"/>
              <w:spacing w:after="0" w:line="176" w:lineRule="exact"/>
              <w:rPr>
                <w:sz w:val="20"/>
                <w:szCs w:val="20"/>
                <w:color w:val="auto"/>
              </w:rPr>
            </w:pPr>
            <w:r>
              <w:rPr>
                <w:rFonts w:ascii="Times New Roman" w:cs="Times New Roman" w:eastAsia="Times New Roman" w:hAnsi="Times New Roman"/>
                <w:sz w:val="18"/>
                <w:szCs w:val="18"/>
                <w:b w:val="1"/>
                <w:bCs w:val="1"/>
                <w:color w:val="auto"/>
              </w:rPr>
              <w:t>3</w:t>
            </w:r>
          </w:p>
        </w:tc>
      </w:tr>
      <w:tr>
        <w:trPr>
          <w:trHeight w:val="216"/>
        </w:trPr>
        <w:tc>
          <w:tcPr>
            <w:tcW w:w="84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900" w:type="dxa"/>
            <w:vAlign w:val="bottom"/>
            <w:tcBorders>
              <w:top w:val="single" w:sz="8" w:color="0000EE"/>
            </w:tcBorders>
          </w:tcPr>
          <w:p>
            <w:pPr>
              <w:spacing w:after="0"/>
              <w:rPr>
                <w:sz w:val="18"/>
                <w:szCs w:val="18"/>
                <w:color w:val="auto"/>
              </w:rPr>
            </w:pPr>
          </w:p>
        </w:tc>
        <w:tc>
          <w:tcPr>
            <w:tcW w:w="2400" w:type="dxa"/>
            <w:vAlign w:val="bottom"/>
            <w:tcBorders>
              <w:top w:val="single" w:sz="8" w:color="0000EE"/>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2300" w:type="dxa"/>
            <w:vAlign w:val="bottom"/>
            <w:tcBorders>
              <w:top w:val="single" w:sz="8" w:color="CCEEFF"/>
            </w:tcBorders>
          </w:tcPr>
          <w:p>
            <w:pPr>
              <w:spacing w:after="0"/>
              <w:rPr>
                <w:sz w:val="18"/>
                <w:szCs w:val="18"/>
                <w:color w:val="auto"/>
              </w:rPr>
            </w:pPr>
          </w:p>
        </w:tc>
      </w:tr>
      <w:tr>
        <w:trPr>
          <w:trHeight w:val="196"/>
        </w:trPr>
        <w:tc>
          <w:tcPr>
            <w:tcW w:w="8940" w:type="dxa"/>
            <w:vAlign w:val="bottom"/>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PROSPECTUS SUMMARY</w:t>
            </w:r>
          </w:p>
        </w:tc>
        <w:tc>
          <w:tcPr>
            <w:tcW w:w="2300" w:type="dxa"/>
            <w:vAlign w:val="bottom"/>
            <w:shd w:val="clear" w:color="auto" w:fill="CCEEFF"/>
          </w:tcPr>
          <w:p>
            <w:pPr>
              <w:jc w:val="right"/>
              <w:ind w:right="310"/>
              <w:spacing w:after="0" w:line="176" w:lineRule="exact"/>
              <w:rPr>
                <w:sz w:val="20"/>
                <w:szCs w:val="20"/>
                <w:color w:val="auto"/>
              </w:rPr>
            </w:pPr>
            <w:r>
              <w:rPr>
                <w:rFonts w:ascii="Times New Roman" w:cs="Times New Roman" w:eastAsia="Times New Roman" w:hAnsi="Times New Roman"/>
                <w:sz w:val="18"/>
                <w:szCs w:val="18"/>
                <w:b w:val="1"/>
                <w:bCs w:val="1"/>
                <w:color w:val="auto"/>
              </w:rPr>
              <w:t>4</w:t>
            </w:r>
          </w:p>
        </w:tc>
      </w:tr>
      <w:tr>
        <w:trPr>
          <w:trHeight w:val="216"/>
        </w:trPr>
        <w:tc>
          <w:tcPr>
            <w:tcW w:w="84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40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2300" w:type="dxa"/>
            <w:vAlign w:val="bottom"/>
            <w:tcBorders>
              <w:top w:val="single" w:sz="8" w:color="CCEEFF"/>
            </w:tcBorders>
          </w:tcPr>
          <w:p>
            <w:pPr>
              <w:spacing w:after="0"/>
              <w:rPr>
                <w:sz w:val="18"/>
                <w:szCs w:val="18"/>
                <w:color w:val="auto"/>
              </w:rPr>
            </w:pPr>
          </w:p>
        </w:tc>
      </w:tr>
      <w:tr>
        <w:trPr>
          <w:trHeight w:val="196"/>
        </w:trPr>
        <w:tc>
          <w:tcPr>
            <w:tcW w:w="8940" w:type="dxa"/>
            <w:vAlign w:val="bottom"/>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RISK FACTORS</w:t>
            </w:r>
          </w:p>
        </w:tc>
        <w:tc>
          <w:tcPr>
            <w:tcW w:w="2300" w:type="dxa"/>
            <w:vAlign w:val="bottom"/>
            <w:shd w:val="clear" w:color="auto" w:fill="CCEEFF"/>
          </w:tcPr>
          <w:p>
            <w:pPr>
              <w:jc w:val="right"/>
              <w:ind w:right="310"/>
              <w:spacing w:after="0" w:line="176" w:lineRule="exact"/>
              <w:rPr>
                <w:sz w:val="20"/>
                <w:szCs w:val="20"/>
                <w:color w:val="auto"/>
              </w:rPr>
            </w:pPr>
            <w:r>
              <w:rPr>
                <w:rFonts w:ascii="Times New Roman" w:cs="Times New Roman" w:eastAsia="Times New Roman" w:hAnsi="Times New Roman"/>
                <w:sz w:val="18"/>
                <w:szCs w:val="18"/>
                <w:b w:val="1"/>
                <w:bCs w:val="1"/>
                <w:color w:val="auto"/>
              </w:rPr>
              <w:t>5</w:t>
            </w:r>
          </w:p>
        </w:tc>
      </w:tr>
      <w:tr>
        <w:trPr>
          <w:trHeight w:val="216"/>
        </w:trPr>
        <w:tc>
          <w:tcPr>
            <w:tcW w:w="84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40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2300" w:type="dxa"/>
            <w:vAlign w:val="bottom"/>
            <w:tcBorders>
              <w:top w:val="single" w:sz="8" w:color="CCEEFF"/>
            </w:tcBorders>
          </w:tcPr>
          <w:p>
            <w:pPr>
              <w:spacing w:after="0"/>
              <w:rPr>
                <w:sz w:val="18"/>
                <w:szCs w:val="18"/>
                <w:color w:val="auto"/>
              </w:rPr>
            </w:pPr>
          </w:p>
        </w:tc>
      </w:tr>
      <w:tr>
        <w:trPr>
          <w:trHeight w:val="196"/>
        </w:trPr>
        <w:tc>
          <w:tcPr>
            <w:tcW w:w="8940" w:type="dxa"/>
            <w:vAlign w:val="bottom"/>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USE OF PROCEEDS</w:t>
            </w:r>
          </w:p>
        </w:tc>
        <w:tc>
          <w:tcPr>
            <w:tcW w:w="2300" w:type="dxa"/>
            <w:vAlign w:val="bottom"/>
            <w:shd w:val="clear" w:color="auto" w:fill="CCEEFF"/>
          </w:tcPr>
          <w:p>
            <w:pPr>
              <w:jc w:val="right"/>
              <w:ind w:right="310"/>
              <w:spacing w:after="0" w:line="176" w:lineRule="exact"/>
              <w:rPr>
                <w:sz w:val="20"/>
                <w:szCs w:val="20"/>
                <w:color w:val="auto"/>
              </w:rPr>
            </w:pPr>
            <w:r>
              <w:rPr>
                <w:rFonts w:ascii="Times New Roman" w:cs="Times New Roman" w:eastAsia="Times New Roman" w:hAnsi="Times New Roman"/>
                <w:sz w:val="18"/>
                <w:szCs w:val="18"/>
                <w:b w:val="1"/>
                <w:bCs w:val="1"/>
                <w:color w:val="auto"/>
              </w:rPr>
              <w:t>5</w:t>
            </w:r>
          </w:p>
        </w:tc>
      </w:tr>
      <w:tr>
        <w:trPr>
          <w:trHeight w:val="216"/>
        </w:trPr>
        <w:tc>
          <w:tcPr>
            <w:tcW w:w="84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40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2300" w:type="dxa"/>
            <w:vAlign w:val="bottom"/>
            <w:tcBorders>
              <w:top w:val="single" w:sz="8" w:color="CCEEFF"/>
            </w:tcBorders>
          </w:tcPr>
          <w:p>
            <w:pPr>
              <w:spacing w:after="0"/>
              <w:rPr>
                <w:sz w:val="18"/>
                <w:szCs w:val="18"/>
                <w:color w:val="auto"/>
              </w:rPr>
            </w:pPr>
          </w:p>
        </w:tc>
      </w:tr>
      <w:tr>
        <w:trPr>
          <w:trHeight w:val="196"/>
        </w:trPr>
        <w:tc>
          <w:tcPr>
            <w:tcW w:w="8940" w:type="dxa"/>
            <w:vAlign w:val="bottom"/>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SELLING SHAREHOLDERS</w:t>
            </w:r>
          </w:p>
        </w:tc>
        <w:tc>
          <w:tcPr>
            <w:tcW w:w="2300" w:type="dxa"/>
            <w:vAlign w:val="bottom"/>
            <w:shd w:val="clear" w:color="auto" w:fill="CCEEFF"/>
          </w:tcPr>
          <w:p>
            <w:pPr>
              <w:jc w:val="right"/>
              <w:ind w:right="310"/>
              <w:spacing w:after="0" w:line="176" w:lineRule="exact"/>
              <w:rPr>
                <w:sz w:val="20"/>
                <w:szCs w:val="20"/>
                <w:color w:val="auto"/>
              </w:rPr>
            </w:pPr>
            <w:r>
              <w:rPr>
                <w:rFonts w:ascii="Times New Roman" w:cs="Times New Roman" w:eastAsia="Times New Roman" w:hAnsi="Times New Roman"/>
                <w:sz w:val="18"/>
                <w:szCs w:val="18"/>
                <w:b w:val="1"/>
                <w:bCs w:val="1"/>
                <w:color w:val="auto"/>
              </w:rPr>
              <w:t>5</w:t>
            </w:r>
          </w:p>
        </w:tc>
      </w:tr>
      <w:tr>
        <w:trPr>
          <w:trHeight w:val="216"/>
        </w:trPr>
        <w:tc>
          <w:tcPr>
            <w:tcW w:w="84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40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2300" w:type="dxa"/>
            <w:vAlign w:val="bottom"/>
            <w:tcBorders>
              <w:top w:val="single" w:sz="8" w:color="CCEEFF"/>
            </w:tcBorders>
          </w:tcPr>
          <w:p>
            <w:pPr>
              <w:spacing w:after="0"/>
              <w:rPr>
                <w:sz w:val="18"/>
                <w:szCs w:val="18"/>
                <w:color w:val="auto"/>
              </w:rPr>
            </w:pPr>
          </w:p>
        </w:tc>
      </w:tr>
      <w:tr>
        <w:trPr>
          <w:trHeight w:val="196"/>
        </w:trPr>
        <w:tc>
          <w:tcPr>
            <w:tcW w:w="8940" w:type="dxa"/>
            <w:vAlign w:val="bottom"/>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PLAN OF DISTRIBUTION</w:t>
            </w:r>
          </w:p>
        </w:tc>
        <w:tc>
          <w:tcPr>
            <w:tcW w:w="2300" w:type="dxa"/>
            <w:vAlign w:val="bottom"/>
            <w:shd w:val="clear" w:color="auto" w:fill="CCEEFF"/>
          </w:tcPr>
          <w:p>
            <w:pPr>
              <w:jc w:val="right"/>
              <w:ind w:right="310"/>
              <w:spacing w:after="0" w:line="176" w:lineRule="exact"/>
              <w:rPr>
                <w:sz w:val="20"/>
                <w:szCs w:val="20"/>
                <w:color w:val="auto"/>
              </w:rPr>
            </w:pPr>
            <w:r>
              <w:rPr>
                <w:rFonts w:ascii="Times New Roman" w:cs="Times New Roman" w:eastAsia="Times New Roman" w:hAnsi="Times New Roman"/>
                <w:sz w:val="18"/>
                <w:szCs w:val="18"/>
                <w:b w:val="1"/>
                <w:bCs w:val="1"/>
                <w:color w:val="auto"/>
              </w:rPr>
              <w:t>8</w:t>
            </w:r>
          </w:p>
        </w:tc>
      </w:tr>
      <w:tr>
        <w:trPr>
          <w:trHeight w:val="216"/>
        </w:trPr>
        <w:tc>
          <w:tcPr>
            <w:tcW w:w="84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40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2300" w:type="dxa"/>
            <w:vAlign w:val="bottom"/>
            <w:tcBorders>
              <w:top w:val="single" w:sz="8" w:color="CCEEFF"/>
            </w:tcBorders>
          </w:tcPr>
          <w:p>
            <w:pPr>
              <w:spacing w:after="0"/>
              <w:rPr>
                <w:sz w:val="18"/>
                <w:szCs w:val="18"/>
                <w:color w:val="auto"/>
              </w:rPr>
            </w:pPr>
          </w:p>
        </w:tc>
      </w:tr>
      <w:tr>
        <w:trPr>
          <w:trHeight w:val="196"/>
        </w:trPr>
        <w:tc>
          <w:tcPr>
            <w:tcW w:w="8940" w:type="dxa"/>
            <w:vAlign w:val="bottom"/>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LEGAL MATTERS</w:t>
            </w:r>
          </w:p>
        </w:tc>
        <w:tc>
          <w:tcPr>
            <w:tcW w:w="2300" w:type="dxa"/>
            <w:vAlign w:val="bottom"/>
            <w:shd w:val="clear" w:color="auto" w:fill="CCEEFF"/>
          </w:tcPr>
          <w:p>
            <w:pPr>
              <w:jc w:val="right"/>
              <w:ind w:right="310"/>
              <w:spacing w:after="0" w:line="176" w:lineRule="exact"/>
              <w:rPr>
                <w:sz w:val="20"/>
                <w:szCs w:val="20"/>
                <w:color w:val="auto"/>
              </w:rPr>
            </w:pPr>
            <w:r>
              <w:rPr>
                <w:rFonts w:ascii="Times New Roman" w:cs="Times New Roman" w:eastAsia="Times New Roman" w:hAnsi="Times New Roman"/>
                <w:sz w:val="18"/>
                <w:szCs w:val="18"/>
                <w:b w:val="1"/>
                <w:bCs w:val="1"/>
                <w:color w:val="auto"/>
              </w:rPr>
              <w:t>9</w:t>
            </w:r>
          </w:p>
        </w:tc>
      </w:tr>
      <w:tr>
        <w:trPr>
          <w:trHeight w:val="216"/>
        </w:trPr>
        <w:tc>
          <w:tcPr>
            <w:tcW w:w="84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40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2300" w:type="dxa"/>
            <w:vAlign w:val="bottom"/>
            <w:tcBorders>
              <w:top w:val="single" w:sz="8" w:color="CCEEFF"/>
            </w:tcBorders>
          </w:tcPr>
          <w:p>
            <w:pPr>
              <w:spacing w:after="0"/>
              <w:rPr>
                <w:sz w:val="18"/>
                <w:szCs w:val="18"/>
                <w:color w:val="auto"/>
              </w:rPr>
            </w:pPr>
          </w:p>
        </w:tc>
      </w:tr>
      <w:tr>
        <w:trPr>
          <w:trHeight w:val="175"/>
        </w:trPr>
        <w:tc>
          <w:tcPr>
            <w:tcW w:w="8940" w:type="dxa"/>
            <w:vAlign w:val="bottom"/>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EXPERTS</w:t>
            </w:r>
          </w:p>
        </w:tc>
        <w:tc>
          <w:tcPr>
            <w:tcW w:w="2300" w:type="dxa"/>
            <w:vAlign w:val="bottom"/>
            <w:shd w:val="clear" w:color="auto" w:fill="CCEEFF"/>
          </w:tcPr>
          <w:p>
            <w:pPr>
              <w:jc w:val="right"/>
              <w:ind w:right="310"/>
              <w:spacing w:after="0" w:line="176" w:lineRule="exact"/>
              <w:rPr>
                <w:sz w:val="20"/>
                <w:szCs w:val="20"/>
                <w:color w:val="auto"/>
              </w:rPr>
            </w:pPr>
            <w:r>
              <w:rPr>
                <w:rFonts w:ascii="Times New Roman" w:cs="Times New Roman" w:eastAsia="Times New Roman" w:hAnsi="Times New Roman"/>
                <w:sz w:val="18"/>
                <w:szCs w:val="18"/>
                <w:b w:val="1"/>
                <w:bCs w:val="1"/>
                <w:color w:val="auto"/>
              </w:rPr>
              <w:t>9</w:t>
            </w:r>
          </w:p>
        </w:tc>
      </w:tr>
      <w:tr>
        <w:trPr>
          <w:trHeight w:val="21"/>
        </w:trPr>
        <w:tc>
          <w:tcPr>
            <w:tcW w:w="84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40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ABOUT THIS REOFFER PROSPECTUS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reoffer prospectus contains important information you should know before investing, including important information about the Company and the securities being offered. You should carefully read this reoffer prospectus, as well as the additional information contained in the documents described under “Where You Can Find More Information; Incorporation by Reference” in this reoffer prospectus, and in particular, the periodic and current reports we file with the SEC.</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You should rely only on the information contained in this reoffer prospectus or incorporated herein by reference or in any prospectus supplement. Neither we nor the Selling Shareholders have authorized any other person to provide you with different information. If anyone provides you with different or inconsistent information, you should not rely on it. Neither we nor the Selling Shareholders take responsibility for, and can provide no assurance as to the reliability of, any other information that others may give you. Neither we nor the Selling Shareholders are making an offer to sell the Class B Ordinary Shares, or soliciting an offer to buy the Class B Ordinary Shares, in any jurisdiction where the offer or sale is not permitted.</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You should assume that the information appearing in this reoffer prospectus and any prospectus supplement is accurate only as of the date on its respective cover and that any information incorporated by reference is accurate only as of the date of the document incorporated by reference, unless we indicate otherwise. Our business, financial condition, results of operations and prospects may have changed since those dates. This reoffer prospectus incorporates by reference, and any prospectus supplement may contain and incorporate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In addition, the market and industry data and forecasts that may be included or incorporated by reference in this reoffer prospectus and any prospectus supplement may involve estimates, assumptions and other risks and uncertainties and are subject to change based on various factors, including those discussed under the heading “Risk Factors” contained in this reoffer prospectus and any applicable prospectus supplement, as well as under similar headings in any documents that are incorporated by reference into this reoffer prospectus and any applicable prospectus supplement. Accordingly, investors should not place undue reliance on this information.</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When we refer to “we,” “our,” “us” and the “Company” in this reoffer prospectus, we mean Trident Digital Tech Holdings Ltd and its consolidated subsidiaries, unless otherwise specified.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 INCORPORATION BY REFERENCE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We file annual and current reports, and other information with the SEC. The SEC maintains a website that contains reports, proxy and information statements and other information about issuers, such as us, who file electronically with the SEC. The address of that website is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Our website address is </w:t>
      </w:r>
      <w:r>
        <w:rPr>
          <w:rFonts w:ascii="Times New Roman" w:cs="Times New Roman" w:eastAsia="Times New Roman" w:hAnsi="Times New Roman"/>
          <w:sz w:val="18"/>
          <w:szCs w:val="18"/>
          <w:i w:val="1"/>
          <w:iCs w:val="1"/>
          <w:color w:val="auto"/>
        </w:rPr>
        <w:t>https://tridentity.me</w:t>
      </w:r>
      <w:r>
        <w:rPr>
          <w:rFonts w:ascii="Times New Roman" w:cs="Times New Roman" w:eastAsia="Times New Roman" w:hAnsi="Times New Roman"/>
          <w:sz w:val="18"/>
          <w:szCs w:val="18"/>
          <w:color w:val="auto"/>
        </w:rPr>
        <w:t>. The information on our website, however, is not, and should not be deemed to be, a part of this reoffer prospectus.</w:t>
      </w:r>
    </w:p>
    <w:p>
      <w:pPr>
        <w:spacing w:after="0" w:line="16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reoffer prospectus and any prospectus supplement are part of a registration statement that we filed with the SEC and do not contain all of the information in the registration statement. The full registration statement may be obtained from the SEC or us, as provided below. You may obtain a copy of the registration statement through the SEC’s website, as provided above.</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SEC’s rules allow us to “incorporate by reference” information into this reoffer prospectus, which means that we can disclose important information to you by referring you to another document filed separately with the SEC. The information incorporated by reference is deemed to be part of this reoffer prospectus, and subsequent information that we file with the SEC will automatically update and supersede that information. Any statement contained in this reoffer prospectus or a previously filed document incorporated by reference will be deemed to be modified or superseded for purposes of this reoffer prospectus to the extent that a statement contained in this reoffer prospectus or a subsequently filed document incorporated by reference modifies or replaces that statement.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reoffer prospectus incorporates by reference the documents set forth below that have previously been filed with the SEC:</w:t>
      </w:r>
    </w:p>
    <w:p>
      <w:pPr>
        <w:spacing w:after="0" w:line="225" w:lineRule="exact"/>
        <w:rPr>
          <w:sz w:val="20"/>
          <w:szCs w:val="20"/>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Company’s annual report on </w:t>
      </w:r>
      <w:hyperlink r:id="rId18">
        <w:r>
          <w:rPr>
            <w:rFonts w:ascii="Times New Roman" w:cs="Times New Roman" w:eastAsia="Times New Roman" w:hAnsi="Times New Roman"/>
            <w:sz w:val="18"/>
            <w:szCs w:val="18"/>
            <w:u w:val="single" w:color="auto"/>
            <w:color w:val="0000EE"/>
          </w:rPr>
          <w:t>Form 20-F</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2024, filed with the SEC on April 28, 2025;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
        </w:numPr>
        <w:rPr>
          <w:rFonts w:ascii="Times New Roman" w:cs="Times New Roman" w:eastAsia="Times New Roman" w:hAnsi="Times New Roman"/>
          <w:sz w:val="18"/>
          <w:szCs w:val="18"/>
          <w:color w:val="0000EE"/>
        </w:rPr>
      </w:pPr>
      <w:hyperlink r:id="rId19">
        <w:r>
          <w:rPr>
            <w:rFonts w:ascii="Times New Roman" w:cs="Times New Roman" w:eastAsia="Times New Roman" w:hAnsi="Times New Roman"/>
            <w:sz w:val="18"/>
            <w:szCs w:val="18"/>
            <w:color w:val="auto"/>
          </w:rPr>
          <w:t xml:space="preserve">The Company’s current reports on Form 6-K, filed with the SEC on </w:t>
        </w:r>
        <w:r>
          <w:rPr>
            <w:rFonts w:ascii="Times New Roman" w:cs="Times New Roman" w:eastAsia="Times New Roman" w:hAnsi="Times New Roman"/>
            <w:sz w:val="18"/>
            <w:szCs w:val="18"/>
            <w:u w:val="single" w:color="auto"/>
            <w:color w:val="0000EE"/>
          </w:rPr>
          <w:t>May 19,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June 12,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June 25,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August 1,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August 18,</w:t>
        </w:r>
      </w:hyperlink>
      <w:r>
        <w:rPr>
          <w:rFonts w:ascii="Times New Roman" w:cs="Times New Roman" w:eastAsia="Times New Roman" w:hAnsi="Times New Roman"/>
          <w:sz w:val="18"/>
          <w:szCs w:val="18"/>
          <w:color w:val="auto"/>
        </w:rPr>
        <w:t xml:space="preserve"> </w:t>
      </w:r>
      <w:hyperlink r:id="rId19">
        <w:r>
          <w:rPr>
            <w:rFonts w:ascii="Times New Roman" w:cs="Times New Roman" w:eastAsia="Times New Roman" w:hAnsi="Times New Roman"/>
            <w:sz w:val="18"/>
            <w:szCs w:val="18"/>
            <w:u w:val="single" w:color="auto"/>
            <w:color w:val="0000EE"/>
          </w:rPr>
          <w:t>2025</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20">
        <w:r>
          <w:rPr>
            <w:rFonts w:ascii="Times New Roman" w:cs="Times New Roman" w:eastAsia="Times New Roman" w:hAnsi="Times New Roman"/>
            <w:sz w:val="18"/>
            <w:szCs w:val="18"/>
            <w:u w:val="single" w:color="auto"/>
            <w:color w:val="0000EE"/>
          </w:rPr>
          <w:t>September 23, 2025</w:t>
        </w:r>
      </w:hyperlink>
      <w:hyperlink r:id="rId19">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21">
        <w:r>
          <w:rPr>
            <w:rFonts w:ascii="Times New Roman" w:cs="Times New Roman" w:eastAsia="Times New Roman" w:hAnsi="Times New Roman"/>
            <w:sz w:val="18"/>
            <w:szCs w:val="18"/>
            <w:u w:val="single" w:color="auto"/>
            <w:color w:val="0000EE"/>
          </w:rPr>
          <w:t>October 31, 2025</w:t>
        </w:r>
      </w:hyperlink>
      <w:hyperlink r:id="rId19">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22">
        <w:r>
          <w:rPr>
            <w:rFonts w:ascii="Times New Roman" w:cs="Times New Roman" w:eastAsia="Times New Roman" w:hAnsi="Times New Roman"/>
            <w:sz w:val="18"/>
            <w:szCs w:val="18"/>
            <w:u w:val="single" w:color="auto"/>
            <w:color w:val="0000EE"/>
          </w:rPr>
          <w:t>November 20, 2025</w:t>
        </w:r>
      </w:hyperlink>
      <w:hyperlink r:id="rId19">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23">
        <w:r>
          <w:rPr>
            <w:rFonts w:ascii="Times New Roman" w:cs="Times New Roman" w:eastAsia="Times New Roman" w:hAnsi="Times New Roman"/>
            <w:sz w:val="18"/>
            <w:szCs w:val="18"/>
            <w:u w:val="single" w:color="auto"/>
            <w:color w:val="0000EE"/>
          </w:rPr>
          <w:t xml:space="preserve">December 23, 2025 </w:t>
        </w:r>
      </w:hyperlink>
      <w:hyperlink r:id="rId19">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24">
        <w:r>
          <w:rPr>
            <w:rFonts w:ascii="Times New Roman" w:cs="Times New Roman" w:eastAsia="Times New Roman" w:hAnsi="Times New Roman"/>
            <w:sz w:val="18"/>
            <w:szCs w:val="18"/>
            <w:u w:val="single" w:color="auto"/>
            <w:color w:val="0000EE"/>
          </w:rPr>
          <w:t>January 6, 2026</w:t>
        </w:r>
      </w:hyperlink>
      <w:hyperlink r:id="rId19">
        <w:r>
          <w:rPr>
            <w:rFonts w:ascii="Times New Roman" w:cs="Times New Roman" w:eastAsia="Times New Roman" w:hAnsi="Times New Roman"/>
            <w:sz w:val="18"/>
            <w:szCs w:val="18"/>
            <w:color w:val="000000"/>
          </w:rPr>
          <w:t>;</w:t>
        </w:r>
      </w:hyperlink>
    </w:p>
    <w:p>
      <w:pPr>
        <w:spacing w:after="0" w:line="161" w:lineRule="exact"/>
        <w:rPr>
          <w:rFonts w:ascii="Times New Roman" w:cs="Times New Roman" w:eastAsia="Times New Roman" w:hAnsi="Times New Roman"/>
          <w:sz w:val="18"/>
          <w:szCs w:val="18"/>
          <w:color w:val="0000EE"/>
        </w:rPr>
      </w:pPr>
    </w:p>
    <w:p>
      <w:pPr>
        <w:jc w:val="both"/>
        <w:ind w:left="980" w:hanging="324"/>
        <w:spacing w:after="0" w:line="266"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Company’s Class B Shares contained in the Company’s registration statement on </w:t>
      </w:r>
      <w:hyperlink r:id="rId25">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under the Securities Exchange Act of 1934, as amended (the “Exchange Act”) filed on October 24, 2023, as modified by any amendment or report filed for the purpose of updating such description (Exchange Act Registration No. 001-41848);</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Company’s registration statement on Form S-8 (File No. 333-284116), as filed with the SEC on </w:t>
      </w:r>
      <w:hyperlink r:id="rId26">
        <w:r>
          <w:rPr>
            <w:rFonts w:ascii="Times New Roman" w:cs="Times New Roman" w:eastAsia="Times New Roman" w:hAnsi="Times New Roman"/>
            <w:sz w:val="18"/>
            <w:szCs w:val="18"/>
            <w:u w:val="single" w:color="auto"/>
            <w:color w:val="0000EE"/>
          </w:rPr>
          <w:t>January 2, 2025</w:t>
        </w:r>
      </w:hyperlink>
      <w:r>
        <w:rPr>
          <w:rFonts w:ascii="Times New Roman" w:cs="Times New Roman" w:eastAsia="Times New Roman" w:hAnsi="Times New Roman"/>
          <w:sz w:val="18"/>
          <w:szCs w:val="18"/>
          <w:color w:val="auto"/>
        </w:rPr>
        <w:t xml:space="preserve">, as amended and filed with the SEC on </w:t>
      </w:r>
      <w:hyperlink r:id="rId27">
        <w:r>
          <w:rPr>
            <w:rFonts w:ascii="Times New Roman" w:cs="Times New Roman" w:eastAsia="Times New Roman" w:hAnsi="Times New Roman"/>
            <w:sz w:val="18"/>
            <w:szCs w:val="18"/>
            <w:u w:val="single" w:color="auto"/>
            <w:color w:val="0000EE"/>
          </w:rPr>
          <w:t>January 9, 2026</w:t>
        </w:r>
      </w:hyperlink>
      <w:r>
        <w:rPr>
          <w:rFonts w:ascii="Times New Roman" w:cs="Times New Roman" w:eastAsia="Times New Roman" w:hAnsi="Times New Roman"/>
          <w:sz w:val="18"/>
          <w:szCs w:val="18"/>
          <w:color w:val="auto"/>
        </w:rPr>
        <w:t>;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Company’s registration statement on </w:t>
      </w:r>
      <w:hyperlink r:id="rId28">
        <w:r>
          <w:rPr>
            <w:rFonts w:ascii="Times New Roman" w:cs="Times New Roman" w:eastAsia="Times New Roman" w:hAnsi="Times New Roman"/>
            <w:sz w:val="18"/>
            <w:szCs w:val="18"/>
            <w:u w:val="single" w:color="auto"/>
            <w:color w:val="0000EE"/>
          </w:rPr>
          <w:t>Form S-8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333-292667), as filed with the SEC on January 9, 2026.</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form of Deposit Agreement, by and among the Company, Citibank, N.A., as depositary, and all Holders and Beneficial Owners of ADSs issued thereunder (as defined therein) contained in the registration statement on </w:t>
      </w:r>
      <w:hyperlink r:id="rId29">
        <w:r>
          <w:rPr>
            <w:rFonts w:ascii="Times New Roman" w:cs="Times New Roman" w:eastAsia="Times New Roman" w:hAnsi="Times New Roman"/>
            <w:sz w:val="18"/>
            <w:szCs w:val="18"/>
            <w:u w:val="single" w:color="auto"/>
            <w:color w:val="0000EE"/>
          </w:rPr>
          <w:t>Form F-6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 No. 333-275089), as filed with the SEC on October 19, 2023, and as amended and filed with the SEC on </w:t>
      </w:r>
      <w:hyperlink r:id="rId30">
        <w:r>
          <w:rPr>
            <w:rFonts w:ascii="Times New Roman" w:cs="Times New Roman" w:eastAsia="Times New Roman" w:hAnsi="Times New Roman"/>
            <w:sz w:val="18"/>
            <w:szCs w:val="18"/>
            <w:u w:val="single" w:color="auto"/>
            <w:color w:val="0000EE"/>
          </w:rPr>
          <w:t>March 15, 2024</w:t>
        </w:r>
      </w:hyperlink>
      <w:r>
        <w:rPr>
          <w:rFonts w:ascii="Times New Roman" w:cs="Times New Roman" w:eastAsia="Times New Roman" w:hAnsi="Times New Roman"/>
          <w:sz w:val="18"/>
          <w:szCs w:val="18"/>
          <w:color w:val="auto"/>
        </w:rPr>
        <w:t>.</w:t>
      </w:r>
    </w:p>
    <w:p>
      <w:pPr>
        <w:spacing w:after="0" w:line="176" w:lineRule="exact"/>
        <w:rPr>
          <w:rFonts w:ascii="Times New Roman" w:cs="Times New Roman" w:eastAsia="Times New Roman" w:hAnsi="Times New Roman"/>
          <w:sz w:val="18"/>
          <w:szCs w:val="18"/>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All documents filed by us pursuant to Section 13(a), 13(c), 14 or 15(d) of the Securities Exchange Act of 1934, as amended (the “Exchange Act”), subsequent to the filing of this reoffer prospectus and prior to the termination of this offering, shall be deemed to be incorporated by reference into this reoffer prospectus and to be a part hereof from the date of filing such documents, except as to specific sections of such documents as set forth therein.</w:t>
      </w:r>
    </w:p>
    <w:p>
      <w:pPr>
        <w:spacing w:after="0" w:line="176" w:lineRule="exact"/>
        <w:rPr>
          <w:rFonts w:ascii="Times New Roman" w:cs="Times New Roman" w:eastAsia="Times New Roman" w:hAnsi="Times New Roman"/>
          <w:sz w:val="18"/>
          <w:szCs w:val="18"/>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will provide without charge to each person, including any beneficial owner, to whom this reoffer prospectus is delivered, upon written or oral request, a copy of any or all documents that are incorporated by reference into this reoffer prospectus, but not delivered with this reoffer prospectus, other than exhibits to such documents unless such exhibits are specifically incorporated by reference into the documents that this reoffer prospectus incorporates. You should direct any requests for such documents to:</w:t>
      </w:r>
    </w:p>
    <w:p>
      <w:pPr>
        <w:spacing w:after="0" w:line="180"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Trident Digital Tech Holdings Ltd</w:t>
      </w:r>
    </w:p>
    <w:p>
      <w:pPr>
        <w:spacing w:after="0" w:line="27"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Suntec Tower 3,</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8 Temasek Boulevard Road, #24-03</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Singapore, 038988</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+65 6513 6868</w:t>
      </w:r>
    </w:p>
    <w:p>
      <w:pPr>
        <w:spacing w:after="0" w:line="200" w:lineRule="exact"/>
        <w:rPr>
          <w:rFonts w:ascii="Times New Roman" w:cs="Times New Roman" w:eastAsia="Times New Roman" w:hAnsi="Times New Roman"/>
          <w:sz w:val="18"/>
          <w:szCs w:val="18"/>
          <w:color w:val="auto"/>
        </w:rPr>
      </w:pPr>
    </w:p>
    <w:p>
      <w:pPr>
        <w:spacing w:after="0" w:line="214"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22"/>
          <w:szCs w:val="22"/>
          <w:color w:val="auto"/>
        </w:rPr>
        <w:t> 2</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reoffer prospectus, including the documents that we incorporate by reference, contains forward-looking statements. All statements other than statements of historical facts contained in this reoffer prospectus, including any statements regarding our future results of operations and financial position, business strategy and plans and objectives of management for future operations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terms such as “may,” “will,” “should,” “expects,” “aims,” “might,” “plans,” “anticipates,” “could,” “intends,” “target,” “projects,” “contemplates,” “believes,” “is/are likely to,” “estimates,” “predicts,” “potential,” “seek,” “would” or “continue,” or the negative of these terms or other similar expressions. Forward-looking statements include, but are not necessarily limited to, those relating to:</w:t>
      </w:r>
    </w:p>
    <w:p>
      <w:pPr>
        <w:spacing w:after="0" w:line="180" w:lineRule="exact"/>
        <w:rPr>
          <w:sz w:val="20"/>
          <w:szCs w:val="20"/>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goals and strategies;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business development, financial condition and results of operations;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outlook of the digital solutions and e-commerce market in Singapore, Southeast Asia and globally;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changes in our revenue, costs or expenditures;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our industry;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proposed use of proceeds;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policies and regulations relating to our industry;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business conditions in Singapore, Southeast Asia and globally.</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have based these forward-looking statements largely on our current expectations and projections about future events and financial trends that we believe may affect our business, financial condition and results of operations. Although we believe that the expectations reflected in the forward-looking statements are reasonable, we cannot guarantee that the future results, levels of activity, performance or events and circumstances reflected in the forward-looking statements will be achieved or occur. Because forward-looking statements are inherently subject to risks and uncertainties, some of which cannot be predicted or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Some of the key factors that could cause actual results to differ from our expectations include, but are not limited to, risks and uncertainties associated with the effect of changing economic and geopolitical conditions, supply chain constraints, inflationary pressures, and the effects of foreign currency fluctuations, trends in the products markets, variations in the Company’s cash flow, market acceptance risks, and technical development risks. Other factors that might cause such a difference include, but are not limited to, those discussed under the heading “Risk Factors” in this reoffer prospectus and in our most recent Annual Report on Form 20-F and any subsequent Current Reports on Form 6-K, as well as in our subsequent filings with the SEC, which are incorporated by reference into this reoffer prospectus.</w:t>
      </w:r>
    </w:p>
    <w:p>
      <w:pPr>
        <w:spacing w:after="0" w:line="19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Any forward-looking statements speak only as of the date on which they are made. Except as required by applicable law, including the securities laws of the United States and the rules and regulations of the SEC, we undertake no obligation to update or revise any forward-looking statements to reflect new information or future events or developments. New factors emerge from time to time, and it is not possible for our management to predict all of such factors or to assess the effect of each factor on our business. You are advised to consult any further disclosures we make on related subjects in the reports we file with the SEC.</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27875" cy="79851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3">
                      <a:extLst>
                        <a:ext uri="{28A0092B-C50C-407E-A947-70E740481C1C}"/>
                      </a:extLst>
                    </a:blip>
                    <a:srcRect/>
                    <a:stretch>
                      <a:fillRect/>
                    </a:stretch>
                  </pic:blipFill>
                  <pic:spPr bwMode="auto">
                    <a:xfrm>
                      <a:off x="0" y="0"/>
                      <a:ext cx="7127875" cy="7985125"/>
                    </a:xfrm>
                    <a:prstGeom prst="rect">
                      <a:avLst/>
                    </a:prstGeom>
                    <a:noFill/>
                  </pic:spPr>
                </pic:pic>
              </a:graphicData>
            </a:graphic>
          </wp:anchor>
        </w:drawing>
        <w:t>PROSPECTUS SUMMARY</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This summary is not complete and does not contain all the information you should consider in making your investment decision. This summary is qualified in its entirety by the more detailed information included in this reoffer prospectus, including the documents incorporated by reference herein. You should read the entire reoffer prospectus carefully before making an investment in our securities. You should carefully consider, among other things, our consolidated financial statements and the related notes and the sections titled “Risk Factors,” “Information on the Company” and “Operating and financial Review and Prospects” in the documents incorporated by reference in this reoffer prospectus.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We are a leading digital transformation enabler in the small and medium enterprise, or the SME segment of the e-commerce enablement and digital optimizing services market in Singapore. We offer business and technology solutions which are designed to optimize our clients’ experiences with their customers by driving digital adoption and self-service.</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started our journey in 2014 as a full-service information technology company headquartered in Singapore. Since then, we recognized and captured the opportunities arising from the global fast-growing digital adoption trend in various industries and rapidly developed as a leading digital transformation enabler in the SME segment of e-commerce enablement and digital optimizing services market in Singapore. According to the Frost &amp; Sullivan Report, among the Singapore-based companies who have been approved to participate in the SMEs Go Digital program led by Infocomm Media Development Authority, a statutory board under the Singapore Ministry of Communications and Information of the Republic of Singapore, we ranked fourth, contributing to 1.5% of the SME segment of the e-commerce enablement and digital optimizing services market in Singapore in 2022.</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SMEs Go Digital program is to provide SMEs in Singapore with a variety of digital solutions and services, such as e-commerce platforms, digital marketing tools, and data analytics software. The program also offers government grants to eligible SMEs to subsidize the costs, driving digital adoptions.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clients and prospective clients are faced with transformative business opportunities due to advances in software and computing technology. These organizations are dealing with the challenge of having to reinvent their core products, services, processes and systems rapidly and position themselves as “digitally enabled.” The journey to the digital future requires not just an understanding of new technologies and new ways of working, but a deep appreciation of existing technology landscapes, business processes and practices. We have been a navigator for our clients as they ideate, plan and execute on their journey to a digital future through our solutions and services, comprising:</w:t>
      </w:r>
    </w:p>
    <w:p>
      <w:pPr>
        <w:spacing w:after="0" w:line="179" w:lineRule="exact"/>
        <w:rPr>
          <w:sz w:val="20"/>
          <w:szCs w:val="20"/>
          <w:color w:val="auto"/>
        </w:rPr>
      </w:pPr>
    </w:p>
    <w:p>
      <w:pPr>
        <w:jc w:val="both"/>
        <w:ind w:left="960" w:right="20" w:hanging="320"/>
        <w:spacing w:after="0" w:line="262"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Business consulting</w:t>
      </w:r>
      <w:r>
        <w:rPr>
          <w:rFonts w:ascii="Times New Roman" w:cs="Times New Roman" w:eastAsia="Times New Roman" w:hAnsi="Times New Roman"/>
          <w:sz w:val="18"/>
          <w:szCs w:val="18"/>
          <w:color w:val="auto"/>
        </w:rPr>
        <w:t>: We support clients to define and deliver technology-enabled transformations of their business. Equipped with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complete value chain approach, our suite of offerings ranges from brand proposition, multi-channel commerce and digital marketing to improve customer experience and increase customer acquisition, to insights and real-time predictive analysis for efficient decision-making and optimizing processes.</w:t>
      </w:r>
    </w:p>
    <w:p>
      <w:pPr>
        <w:spacing w:after="0" w:line="176" w:lineRule="exact"/>
        <w:rPr>
          <w:rFonts w:ascii="Times New Roman" w:cs="Times New Roman" w:eastAsia="Times New Roman" w:hAnsi="Times New Roman"/>
          <w:sz w:val="18"/>
          <w:szCs w:val="18"/>
          <w:color w:val="auto"/>
        </w:rPr>
      </w:pPr>
    </w:p>
    <w:p>
      <w:pPr>
        <w:jc w:val="both"/>
        <w:ind w:left="960" w:right="20" w:hanging="320"/>
        <w:spacing w:after="0" w:line="268"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IT customization</w:t>
      </w:r>
      <w:r>
        <w:rPr>
          <w:rFonts w:ascii="Times New Roman" w:cs="Times New Roman" w:eastAsia="Times New Roman" w:hAnsi="Times New Roman"/>
          <w:sz w:val="18"/>
          <w:szCs w:val="18"/>
          <w:color w:val="auto"/>
        </w:rPr>
        <w:t>: We offer solutions and services to plan, design, operate, optimize and transform business processes. We support clients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get the best value from technology by developing an IT strategy, optimizing applications and infrastructure, implementing IT operating models, and governing their technical architecture for reliability and security.</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provide customized solutions and services that address the specific needs of clients in our strategic vertical markets. Our primary vertical industries include e-commerce, food and beverage, fintech, healthcare and service, wholesale and retail that are fast-growing and have increasing level of digitalization potentials. Our configurable technology integrates seamlessly into our clients’ systems, empowering our clients to manage, improve their businesses and to win.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reoffer prospectus relates to an aggregate of up to 193,360,650 Class B Ordinary Shares that may be reoffered or resold from time to time by the Selling Shareholders. The Class B Ordinary Shares were issued in connection with the share awards previously granted to the Selling Shareholders pursuant to the 2023 Equity Incentive Plan. The Selling Shareholders may from time to time sell, transfer or otherwise dispose of any or all of the Class B Ordinary Shares in the form of ADSs covered by this reoffer prospectus through underwriters or dealers, directly to purchasers (or a single purchaser), or through broker-dealers or agents. We will not receive any proceeds from the sale of the Class B Ordinary Shares in the form of ADSs by the Selling Shareholders. The Selling Shareholders will bear all sales commissions and similar expenses in connection with this offering. We will bear all expenses of registration incurred in connection with this offering, as well as any other expenses incurred by us in connection with the registration and offering that are not borne by the Selling Shareholders. For more information, see the sections titled “Use of Proceeds,” “Selling Shareholders,” and “Plan of Distribution” in this reoffer prospectus.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10795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927" w:right="45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Investing in our ADSs involves a high degree of risk. Before making an investment decision, you should carefully consider the risk factors incorporated by reference to our most recent Annual Report on Form 20-F and any subsequent Current Reports on Form 6-K, and all other information contained or incorporated by reference into this reoffer prospectus, as updated by our subsequent filings under the Exchange Act.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 If any of these risks actually occurs, our business, financial condition, results of operations or cash flow could be seriously harmed. This could cause the trading price of our ADSs to decline, resulting in a loss of all or part of your investment. Please also carefully read the section titled “Special Note Regarding Forward-Looking Statements” in this reoffer prospectus.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 of ADSs by the Selling Shareholders, or the perception that such sales may occur, could adversely affect the price of our ADSs.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Sales of substantial amounts of our ADSs in the public market by the Selling Shareholders, or the perception that these sales could occur, could adversely affect the market price of our ADSs and could materially impair our ability to raise capital through equity offerings in the future. We cannot predict what effect, if any, market sales of securities held by our significant shareholders or any other shareholder or the availability of these securities for future sale will have on the market price of our ADSs.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Class B Ordinary Shares offered by the Selling Shareholders in ADS form pursuant to this reoffer prospectus will be sold by the Selling Shareholders for their respective accounts. We will not receive any proceeds from the sale of the ADSs offered through this reoffer prospectus by the Selling Shareholders.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SELLING SHAREHOLDERS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reoffer prospectus relates to the possible resale by the Selling Shareholders from time to time of up to an aggregate of 193,360,650 Class B Ordinary Shares in the form of ADSs issued in connection with the share awards previously granted to the Selling Shareholders pursuant to the Company’s 2023 Equity Incentive Plan.</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following table sets forth, as of February 12, 2026 (the “Determination Date”): (i) the name of each Selling Shareholder; (ii) the number and percentage of our Class B Ordinary Shares beneficially owned by each Selling Shareholder; (iii) the number of Class B Ordinary Shares that may be offered under this reoffer prospectus by each Selling Shareholder; and (iv) the number and percentage of our Class B Ordinary Shares beneficially owned by each Selling Shareholder assuming all of the Class B Ordinary Shares offered under this reoffer prospectus are sold in the form of ADSs. There is no assurance as to whether the Selling Shareholders will in fact sell any or all of their Class B Ordinary Shares in the form of ADSs offered under this reoffer prospectus. Beneficial ownership is determined in accordance with Section 13(d) of the Exchange Act and Rule 13d-3 thereunder.</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Unless otherwise indicated, to our knowledge, the Selling Shareholders have sole voting and sole investment control with respect to all Class B Ordinary Shares beneficially owned. Furthermore, unless otherwise indicated, the business address of each Selling Shareholder is c/o Trident Digital Tech Holdings Ltd, Suntec Tower 3, 8 Temasek Boulevard Road, #24-03, Singapore, 038988.</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3660" w:type="dxa"/>
            <w:vAlign w:val="bottom"/>
            <w:gridSpan w:val="7"/>
            <w:vMerge w:val="restart"/>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Class B Ordinary Shares Beneficially Owned</w:t>
            </w:r>
          </w:p>
        </w:tc>
        <w:tc>
          <w:tcPr>
            <w:tcW w:w="0" w:type="dxa"/>
            <w:vAlign w:val="bottom"/>
          </w:tcPr>
          <w:p>
            <w:pPr>
              <w:spacing w:after="0"/>
              <w:rPr>
                <w:sz w:val="1"/>
                <w:szCs w:val="1"/>
                <w:color w:val="auto"/>
              </w:rPr>
            </w:pPr>
          </w:p>
        </w:tc>
      </w:tr>
      <w:tr>
        <w:trPr>
          <w:trHeight w:val="203"/>
        </w:trPr>
        <w:tc>
          <w:tcPr>
            <w:tcW w:w="2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200"/>
              <w:spacing w:after="0" w:line="202" w:lineRule="exact"/>
              <w:rPr>
                <w:sz w:val="20"/>
                <w:szCs w:val="20"/>
                <w:color w:val="auto"/>
              </w:rPr>
            </w:pPr>
            <w:r>
              <w:rPr>
                <w:rFonts w:ascii="Times New Roman" w:cs="Times New Roman" w:eastAsia="Times New Roman" w:hAnsi="Times New Roman"/>
                <w:sz w:val="18"/>
                <w:szCs w:val="18"/>
                <w:b w:val="1"/>
                <w:bCs w:val="1"/>
                <w:color w:val="auto"/>
              </w:rPr>
              <w:t>Class B</w:t>
            </w:r>
          </w:p>
        </w:tc>
        <w:tc>
          <w:tcPr>
            <w:tcW w:w="3660" w:type="dxa"/>
            <w:vAlign w:val="bottom"/>
            <w:gridSpan w:val="7"/>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6360" w:type="dxa"/>
            <w:vAlign w:val="bottom"/>
            <w:gridSpan w:val="9"/>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Class B Ordinary Shares Beneficially Owned Before This Offering</w:t>
            </w: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Ordinary</w:t>
            </w:r>
          </w:p>
        </w:tc>
        <w:tc>
          <w:tcPr>
            <w:tcW w:w="2540" w:type="dxa"/>
            <w:vAlign w:val="bottom"/>
            <w:gridSpan w:val="5"/>
          </w:tcPr>
          <w:p>
            <w:pPr>
              <w:jc w:val="center"/>
              <w:ind w:left="870"/>
              <w:spacing w:after="0"/>
              <w:rPr>
                <w:sz w:val="20"/>
                <w:szCs w:val="20"/>
                <w:color w:val="auto"/>
              </w:rPr>
            </w:pPr>
            <w:r>
              <w:rPr>
                <w:rFonts w:ascii="Times New Roman" w:cs="Times New Roman" w:eastAsia="Times New Roman" w:hAnsi="Times New Roman"/>
                <w:sz w:val="18"/>
                <w:szCs w:val="18"/>
                <w:b w:val="1"/>
                <w:bCs w:val="1"/>
                <w:color w:val="auto"/>
                <w:w w:val="99"/>
              </w:rPr>
              <w:t>After This Offering</w:t>
            </w:r>
          </w:p>
        </w:tc>
        <w:tc>
          <w:tcPr>
            <w:tcW w:w="9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25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jc w:val="center"/>
              <w:ind w:right="160"/>
              <w:spacing w:after="0" w:line="194" w:lineRule="exact"/>
              <w:rPr>
                <w:sz w:val="20"/>
                <w:szCs w:val="20"/>
                <w:color w:val="auto"/>
              </w:rPr>
            </w:pPr>
            <w:r>
              <w:rPr>
                <w:rFonts w:ascii="Times New Roman" w:cs="Times New Roman" w:eastAsia="Times New Roman" w:hAnsi="Times New Roman"/>
                <w:sz w:val="18"/>
                <w:szCs w:val="18"/>
                <w:b w:val="1"/>
                <w:bCs w:val="1"/>
                <w:color w:val="auto"/>
                <w:w w:val="98"/>
              </w:rPr>
              <w:t>Percentage</w:t>
            </w:r>
          </w:p>
        </w:tc>
        <w:tc>
          <w:tcPr>
            <w:tcW w:w="100" w:type="dxa"/>
            <w:vAlign w:val="bottom"/>
          </w:tcPr>
          <w:p>
            <w:pPr>
              <w:spacing w:after="0"/>
              <w:rPr>
                <w:sz w:val="16"/>
                <w:szCs w:val="16"/>
                <w:color w:val="auto"/>
              </w:rPr>
            </w:pPr>
          </w:p>
        </w:tc>
        <w:tc>
          <w:tcPr>
            <w:tcW w:w="1220" w:type="dxa"/>
            <w:vAlign w:val="bottom"/>
            <w:gridSpan w:val="2"/>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Shares to be</w:t>
            </w:r>
          </w:p>
        </w:tc>
        <w:tc>
          <w:tcPr>
            <w:tcW w:w="10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8"/>
              </w:rPr>
              <w:t>Percentage</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126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of</w:t>
            </w: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Sold</w:t>
            </w: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32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of</w:t>
            </w:r>
          </w:p>
        </w:tc>
        <w:tc>
          <w:tcPr>
            <w:tcW w:w="0" w:type="dxa"/>
            <w:vAlign w:val="bottom"/>
          </w:tcPr>
          <w:p>
            <w:pPr>
              <w:spacing w:after="0"/>
              <w:rPr>
                <w:sz w:val="1"/>
                <w:szCs w:val="1"/>
                <w:color w:val="auto"/>
              </w:rPr>
            </w:pPr>
          </w:p>
        </w:tc>
      </w:tr>
      <w:tr>
        <w:trPr>
          <w:trHeight w:val="216"/>
        </w:trPr>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Class B</w:t>
            </w: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5"/>
              </w:rPr>
              <w:t>of Total</w:t>
            </w:r>
          </w:p>
        </w:tc>
        <w:tc>
          <w:tcPr>
            <w:tcW w:w="126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Pursuant to</w:t>
            </w: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Class B</w:t>
            </w:r>
          </w:p>
        </w:tc>
        <w:tc>
          <w:tcPr>
            <w:tcW w:w="132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5"/>
              </w:rPr>
              <w:t>of Total</w:t>
            </w: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0" w:type="dxa"/>
            <w:vAlign w:val="bottom"/>
          </w:tcPr>
          <w:p>
            <w:pPr>
              <w:spacing w:after="0"/>
              <w:rPr>
                <w:sz w:val="1"/>
                <w:szCs w:val="1"/>
                <w:color w:val="auto"/>
              </w:rPr>
            </w:pPr>
          </w:p>
        </w:tc>
      </w:tr>
      <w:tr>
        <w:trPr>
          <w:trHeight w:val="216"/>
        </w:trPr>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Ordinary</w:t>
            </w: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Ordinary</w:t>
            </w:r>
          </w:p>
        </w:tc>
        <w:tc>
          <w:tcPr>
            <w:tcW w:w="126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6"/>
              </w:rPr>
              <w:t>Voting</w:t>
            </w: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this Reoffer</w:t>
            </w: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Ordinary</w:t>
            </w:r>
          </w:p>
        </w:tc>
        <w:tc>
          <w:tcPr>
            <w:tcW w:w="132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Ordinary</w:t>
            </w: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Voting</w:t>
            </w:r>
          </w:p>
        </w:tc>
        <w:tc>
          <w:tcPr>
            <w:tcW w:w="0" w:type="dxa"/>
            <w:vAlign w:val="bottom"/>
          </w:tcPr>
          <w:p>
            <w:pPr>
              <w:spacing w:after="0"/>
              <w:rPr>
                <w:sz w:val="1"/>
                <w:szCs w:val="1"/>
                <w:color w:val="auto"/>
              </w:rPr>
            </w:pPr>
          </w:p>
        </w:tc>
      </w:tr>
      <w:tr>
        <w:trPr>
          <w:trHeight w:val="245"/>
        </w:trPr>
        <w:tc>
          <w:tcPr>
            <w:tcW w:w="2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 of Selling Shareholder</w:t>
            </w:r>
          </w:p>
        </w:tc>
        <w:tc>
          <w:tcPr>
            <w:tcW w:w="10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20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Shares(1)</w:t>
            </w:r>
          </w:p>
        </w:tc>
        <w:tc>
          <w:tcPr>
            <w:tcW w:w="28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Power(3)</w:t>
            </w:r>
          </w:p>
        </w:tc>
        <w:tc>
          <w:tcPr>
            <w:tcW w:w="260" w:type="dxa"/>
            <w:vAlign w:val="bottom"/>
            <w:tcBorders>
              <w:bottom w:val="single" w:sz="8" w:color="CCEEFF"/>
            </w:tcBorders>
            <w:gridSpan w:val="2"/>
          </w:tcPr>
          <w:p>
            <w:pPr>
              <w:spacing w:after="0"/>
              <w:rPr>
                <w:sz w:val="21"/>
                <w:szCs w:val="21"/>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Prospectus</w:t>
            </w:r>
          </w:p>
        </w:tc>
        <w:tc>
          <w:tcPr>
            <w:tcW w:w="22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20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Shares(1)(2)</w:t>
            </w:r>
          </w:p>
        </w:tc>
        <w:tc>
          <w:tcPr>
            <w:tcW w:w="280" w:type="dxa"/>
            <w:vAlign w:val="bottom"/>
            <w:tcBorders>
              <w:bottom w:val="single" w:sz="8" w:color="CCEEFF"/>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Power(3)</w:t>
            </w:r>
          </w:p>
        </w:tc>
        <w:tc>
          <w:tcPr>
            <w:tcW w:w="1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Lim Soon Huat(4)</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318,316,465</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28.57%</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81.65%</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92,076,466</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226,239,999</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20.31%</w:t>
            </w:r>
          </w:p>
        </w:tc>
        <w:tc>
          <w:tcPr>
            <w:tcW w:w="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79.38%</w:t>
            </w:r>
          </w:p>
        </w:tc>
        <w:tc>
          <w:tcPr>
            <w:tcW w:w="0" w:type="dxa"/>
            <w:vAlign w:val="bottom"/>
          </w:tcPr>
          <w:p>
            <w:pPr>
              <w:spacing w:after="0"/>
              <w:rPr>
                <w:sz w:val="1"/>
                <w:szCs w:val="1"/>
                <w:color w:val="auto"/>
              </w:rPr>
            </w:pPr>
          </w:p>
        </w:tc>
      </w:tr>
      <w:tr>
        <w:trPr>
          <w:trHeight w:val="216"/>
        </w:trPr>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How Teck Lim(5)</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9,207,648</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0.83%</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0.23%</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9,207,648</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2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Chwee Koh Chua(6)</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4,603,824</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0.41%</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4,603,824</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Noi Keng Koh(7)</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4,603,824</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0.41%</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4,603,824</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2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Irene Tay(8)</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4,603,824</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0.41%</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4,603,824</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Quoc Cuong Vuong(9)</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4,603,824</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0.41%</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4,603,824</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2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Poh Kiong Tan(10)</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28,415,296</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2.55%</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0.70%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18,415,296</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10,000,000</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0.90%</w:t>
            </w:r>
          </w:p>
        </w:tc>
        <w:tc>
          <w:tcPr>
            <w:tcW w:w="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0.25%</w:t>
            </w:r>
          </w:p>
        </w:tc>
        <w:tc>
          <w:tcPr>
            <w:tcW w:w="0" w:type="dxa"/>
            <w:vAlign w:val="bottom"/>
          </w:tcPr>
          <w:p>
            <w:pPr>
              <w:spacing w:after="0"/>
              <w:rPr>
                <w:sz w:val="1"/>
                <w:szCs w:val="1"/>
                <w:color w:val="auto"/>
              </w:rPr>
            </w:pPr>
          </w:p>
        </w:tc>
      </w:tr>
      <w:tr>
        <w:trPr>
          <w:trHeight w:val="216"/>
        </w:trPr>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Eastwave Family Limited(11)</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14,207,648</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1.28%</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0.35%</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9,207,648</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5,000,000</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0.45%</w:t>
            </w:r>
          </w:p>
        </w:tc>
        <w:tc>
          <w:tcPr>
            <w:tcW w:w="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0.12%</w:t>
            </w:r>
          </w:p>
        </w:tc>
        <w:tc>
          <w:tcPr>
            <w:tcW w:w="0" w:type="dxa"/>
            <w:vAlign w:val="bottom"/>
          </w:tcPr>
          <w:p>
            <w:pPr>
              <w:spacing w:after="0"/>
              <w:rPr>
                <w:sz w:val="1"/>
                <w:szCs w:val="1"/>
                <w:color w:val="auto"/>
              </w:rPr>
            </w:pPr>
          </w:p>
        </w:tc>
      </w:tr>
      <w:tr>
        <w:trPr>
          <w:trHeight w:val="216"/>
        </w:trPr>
        <w:tc>
          <w:tcPr>
            <w:tcW w:w="2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Suresh Kumar Maheshwaran(12)</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9,207,648</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0.83%</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0.23%</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9,207,648</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 Kiat Lim(13)</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18,415,352</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1.65%</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0.45%</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18,415,352</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2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Andy Kuah(14)</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4,603,824</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0.41%</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4,603,824</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See Xue Xian(15)</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4,603,824</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0.41%</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4,603,824</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2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Shir Li See(16)</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4,603,824</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0.41%</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4,603,824</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4"/>
        </w:trPr>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Chai Thiam Lim(17)</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4,603,824</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0.41%</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4,603,824</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4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78308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6">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1,114,125,650 total ordinary shares outstanding as of the Determination Date.</w:t>
      </w:r>
    </w:p>
    <w:p>
      <w:pPr>
        <w:spacing w:after="0" w:line="22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that all of the Class B Ordinary Shares offered under this reoffer prospectus are sold and that no Selling Shareholder will acquire additional Class B Ordinary Shares before the completion of this offering.</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person or entity, percentage of voting power is calculated by dividing the voting power beneficially owned by such person by the voting power of all of our ordinary shares as a single class. Each holder of our Class B Ordinary Shares is entitled to one vote per share. Each holder of our Class A ordinary shares, par value US$0.00001 per share (the “Class A Ordinary Shares”) is entitled to 60 votes per share. Our Class A Ordinary Shares are convertible at any time by the holder into Class B Ordinary Shares on a one-for-one basis, while Class B Ordinary Shares are not convertible into Class A Ordinary Shares under any circumstances.</w:t>
      </w:r>
    </w:p>
    <w:p>
      <w:pPr>
        <w:spacing w:after="0" w:line="183"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124,428,571 Class B Ordinary Shares held by Tri Wealth Ltd, a British Virgin Islands company wholly owned and controlled by Lim Soon Huat; (ii) 101,811,428 Class B Ordinary Shares held by Trident Group Holdings Ltd, a British Virgin Islands company wholly owned and controlled by Lim Soon Huat; and (iii) 92,076,466 Class B Ordinary Shares issued to Lim Soon Huat under the 2023 Equity Incentive Plan. In addition, Lim Soon Huat holds 50,000,000 Class A Ordinary Shares through Trident Digital Tech Ltd, a British Virgin Islands company wholly owned and controlled by Lim Soon Huat. Lim Soon Huat serves as the chairman of the board and the chief executive officer of our Company.</w:t>
      </w:r>
    </w:p>
    <w:p>
      <w:pPr>
        <w:spacing w:after="0" w:line="183"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9,207,648 Class B Ordinary Shares issued to How Teck Lim under the 2023 Equity Incentive Plan. How Teck Lim serves as an independent director of our Company.</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ind w:left="660" w:hanging="652"/>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4,603,824 Class B Ordinary Shares issued to Chwee Koh Chua under the 2023 Equity Incentive Plan. Chwee Koh Chua serves as an independent director of our Company.</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4,603,824 Class B Ordinary Shares issued to Noi Keng Koh under the 2023 Equity Incentive Plan. Noi Keng Koh serves as an independent director of our Company.</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4,603,824 Class B Ordinary Shares issued to Irene Tay under the 2023 Equity Incentive Plan. Irene Tay serves as the head of business development of our Company.</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4,603,824 Class B Ordinary Shares issued to Quoc Cuong Vuong under the 2023 Equity Incentive Plan. Quoc Cuong Vuong serves as the deputy chief operating officer of our Company.</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10,000,000 Class B Ordinary Shares held by Poh Kiong Tan and 18,415,296 Class B Ordinary Shares issued to Poh Kiong Tan under the 2023 Equity Incentive Plan. Poh Kiong Tan serves as the chief technology officer and a director of our Company.</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5,000,000 Class B Ordinary Shares held by Eastwave Family Limited, formerly knowns as Trident Verse Ltd, a British Virgin Islands company wholly owned by a trust established for the benefit of Haiyan Huang and her family, to which Haiyan Huang is also the settlor. The registered address of Eastwave Family Limited is Sertus Chambers, P.O. Box 905, Quastisky Building, Road Town, Tortola, British Virgin Islands; and (ii) 9,207,648 Class B Ordinary Shares issued to Haiyan Huang under the 2023 Equity Incentive Plan, which was transferred to Eastwave Family Limited. Haiyan Huang is the chief financial officer of our Company.</w:t>
      </w:r>
    </w:p>
    <w:p>
      <w:pPr>
        <w:spacing w:after="0" w:line="183"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9,207,648 Class B Ordinary Shares issued to Suresh Kumar Maheshwaran under the 2023 Equity Incentive Plan. Suresh Kumar Maheshwaran is the head of commercial (Africa) of our Company.</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18,415,352 Class B Ordinary Shares issued to Su Kiat Lim under the 2023 Equity Incentive Plan. Su Kiat Lim is the financial consultant of our Company.</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4,603,824 Class B Ordinary Shares issued to Andy Kuah under the 2023 Equity Incentive Plan. Andy Kuah is the marketing consultant of our Company.</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4,603,824 Class B Ordinary Shares issued to See Xue Xian under the 2023 Equity Incentive Plan. See Xue Xian is the executive assistant to the chief executive officer of our Company.</w:t>
      </w:r>
    </w:p>
    <w:p>
      <w:pPr>
        <w:spacing w:after="0" w:line="161"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4,603,824 Class B Ordinary Shares issued to Shir Li See under the 2023 Equity Incentive Plan. Shir Li See is the head of merchant acquisition of our Company.</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4,603,824 Class B Ordinary Shares issued to Chai Thiam Lim under the 2023 Equity Incentive Plan. Chai Thiam Lim is the advisor, merchant acquisition of our Company.</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Selling Shareholders may sell the Class B Ordinary Shares in the form of ADSs covered by this reoffer prospectus from time to time in one or more offerings. Registration of the Class B Ordinary Shares covered by this reoffer prospectus does not mean, however, that those securities will necessarily be offered or sold.</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will pay all fees and expenses incurred in connection with the registration of the Class B Ordinary Shares, and the Selling Shareholders will pay any brokerage or underwriting commissions or discounts or other expenses relating to the sale of the Class B Ordinary Shares. We will not receive any of the proceeds from the sale of the Class B Ordinary Shares offered by this reoffer prospectus.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Selling Shareholders may sell the securities separately or together:</w:t>
      </w:r>
    </w:p>
    <w:p>
      <w:pPr>
        <w:spacing w:after="0" w:line="225" w:lineRule="exact"/>
        <w:rPr>
          <w:sz w:val="20"/>
          <w:szCs w:val="20"/>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one or more underwriters or dealers in a public offering and sale by them;</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investors;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Selling Shareholders may sell the securities from time to time:</w:t>
      </w:r>
    </w:p>
    <w:p>
      <w:pPr>
        <w:spacing w:after="0" w:line="225" w:lineRule="exact"/>
        <w:rPr>
          <w:sz w:val="20"/>
          <w:szCs w:val="20"/>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one or more transactions at a fixed price or prices, which may be changed from time to time;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market prices prevailing at the times of sale;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such prevailing market prices;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required at the time of the offering of the Class B Ordinary Shares, a prospectus supplement will be distributed which will describe the method of distribution of the securities and the terms of the offering.</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underwriters are used in the sale of any securities, the securities will be acquired by the underwriters for their own account and may be resold from time to time in one or more transactions described above. The securities may be either offered to the public through underwriting syndicates represented by managing underwriters, or directly by underwriters. Generally, the underwriters’ obligations to purchase the securities will be subject to conditions precedent and the underwriters will be obligated to purchase all of the securities if they purchase any of the securities. The prospectus supplement will name any underwriter used in the offering.</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Selling Shareholders may sell the securities offered through this reoffer prospectus directly. In this case, no underwriters or agents would be involved. Such securities may also be sold through agents designated from time to time. The prospectus supplement will name any agent involved in the offer or sale of the offered securities and will describe any commissions payable to the agent. Unless otherwise indicated in the prospectus supplement, any agent will agree to use its reasonable best efforts to solicit purchases for the period of its appointment.</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 w:name="page14"/>
    <w:bookmarkEnd w:id="13"/>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Selling Shareholders may sell the securities directly to institutional investors or others who may be deemed to be underwriters within the meaning of the Securities Act, with respect to any sale of those securities. The terms of any such sales will be described in the prospectus supplement.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Selling Shareholders may authorize underwriters, dealers or agents to solicit offers by certain purchasers to purchase the securities from them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to be paid for solicitation of these contracts.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Underwriters, dealers and agents may be entitled to indemnification by the Selling Shareholders against certain civil liabilities, including liabilities under the Securities Act, or to contribution with respect to payments made by the underwriters, dealers or agents, under agreements between the Selling Shareholders and the underwriters, dealers and agents.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Selling Shareholders and any broker-dealer participating in the distribution of the Class B Ordinary Shares may be deemed to be “underwriters” within the meaning of the Securities Act, and any profits realized by the Selling Shareholders, and commissions paid, or any discounts or concessions allowed to any broker-dealer may be deemed to be underwriting commissions or discounts under the Securities Act. In addition, any Class B Ordinary Shares covered by this reoffer prospectus which qualify for sale pursuant to Rule 144 under the Securities Act may be sold under Rule 144 rather than pursuant to this reoffer prospectus.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discounts or concessions allowed or re-allowed or paid to dealers may be changed from time to time.</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Selling Shareholders and any other person participating in the sale of the Class B Ordinary Shares will be subject to the Exchange Act. The Exchange Act rules include, without limitation, Regulation M, which may limit the timing of purchases and sales of any of the Class B Ordinary Shares by the Selling Shareholders and any other person. In addition, Regulation M may restrict the ability of any person engaged in the distribution of the Class B Ordinary Shares to engage in market-making activities with respect to the particular securities being distributed. This may affect the marketability of the Class B Ordinary Shares and the ability of any person or entity to engage in market-making activities with respect to the Class B Ordinary Shares.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have notified the Selling Shareholders of the need to deliver a copy of this reoffer prospectus in connection with any sale of the Class B Ordinary Shares.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validity of the Class B Ordinary Shares offered hereby has been passed upon for us by Maples and Calder (Hong Kong) LLP.</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of the Company as of December 31, 2024 and 2023, and for each of the three years in the period ended December 31, 2024, incorporated by reference from the Company’s Annual Report on Form 20-F for the year ended December 31, 2024, have been audited by Marcum Asia CPAs LLP, independent registered public accounting firm, as set forth in their report thereon and incorporated herein by reference. Such consolidated financial statements are incorporated herein by reference in reliance upon such report given on the authority of such firm as experts in accounting and auditing.</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documents filed by the Company with the SEC are incorporated by reference into this registration statement and are deemed to be a part hereof from the date of filing:</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All documents filed by the Company pursuant to Section 13(a), 13(c), 14 or 15(d) of the Securities Exchange Act of 1934, as amended (other than Current Reports on Form 6-K furnished under Item 2.02 or Item 7.01 of Form 6-K and exhibits furnished on such form that relate to such items), subsequent to the filing of this registration statement and prior to the filing of a post-effective amendment which indicates that all securities offered hereby have been sold or which deregisters all securities then remaining unsold, shall be deemed to be incorporated by reference into this registration statement and to be a part hereof from the date of filing such documents, except as to specific sections of such documents as set forth therein. Any statement contained in this registration statement or a previously filed document incorporated by reference will be deemed to be modified or superseded for purposes of this registration statement to the extent that a statement contained in this registration statement or a subsequently filed document incorporated by reference modifies or replaces that statement.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Description of Securities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Interests of Named Experts and Counsel</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Indemnification of Directors and Officers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Cayman Islands law does not limit the extent to which a company’s articles of association may provide for indemnification of officers and directors, except to the extent any such provision may be held by the Cayman Islands courts to be contrary to public policy, such as to provide indemnification against civil fraud or the consequences or committing a crime. The Company’s Second Amended and Restated Memorandum and Articles of Association provide for indemnification of directors and officers against all actions, proceedings, costs, charges, expenses, losses, damages or liabilities incurred or sustained by such directors and officers, other than by reason of such directors and officers’ own dishonesty, willful default or fraud, in or about the conduct of the Company’s business or affairs (including as a result of any mistake of judgment) or in the execution or discharge of his or her duties, powers, authorities or discretions, including without prejudice to the generality of the foregoing, any costs, expenses, losses or liabilities incurred by such directors and officers in defending (whether successfully or otherwise) any civil proceedings concerning the Company or its affairs in any court whether in the Cayman Islands or elsewhere.</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indemnification agreements, the form of which was filed as Exhibit 10.1 to the Company’s registration statement on Form F-1, as amended (File No. 333- 274857), the Company has agreed to indemnify its directors and officers against, to the fullest extent permitted by applicable law, any and all expenses and liabilities actually and reasonably incurred by reason of such director’s or officer’s corporate status.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2023 Equity Incentive Plan, the Company has agreed to indemnify its plan administrator members (and/or its delegates) against certain liabilities and expenses incurred by such persons in connection with the operation, administration or interpretation of the plan.</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Company’s Policy for the Recovery of Erroneously Awarded Compensation prohibits indemnification for compensation subject to recovery under the policy.</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form of underwriting agreement filed as Exhibit 1.1 to the Company’s registration statement on Form F-1, as amended (File No. 333- 274857) also provides for indemnification of the Company and the Company’s officers and directors.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the Company’s directors, officers or persons controlling the Company pursuant to the foregoing provisions, the Company has been informed that in the opinion of the SEC, such indemnification is against public policy as expressed in the Securities Act and is therefore unenforceable.</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Item 7.    Exemption From Registration Claimed</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Exhibits</w:t>
      </w:r>
      <w:r>
        <w:rPr>
          <w:rFonts w:ascii="Times New Roman" w:cs="Times New Roman" w:eastAsia="Times New Roman" w:hAnsi="Times New Roman"/>
          <w:sz w:val="18"/>
          <w:szCs w:val="18"/>
          <w:color w:val="auto"/>
        </w:rPr>
        <w: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1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920" w:type="dxa"/>
            <w:vAlign w:val="bottom"/>
          </w:tcPr>
          <w:p>
            <w:pPr>
              <w:spacing w:after="0"/>
              <w:rPr>
                <w:sz w:val="18"/>
                <w:szCs w:val="18"/>
                <w:color w:val="auto"/>
              </w:rPr>
            </w:pPr>
          </w:p>
        </w:tc>
      </w:tr>
      <w:tr>
        <w:trPr>
          <w:trHeight w:val="245"/>
        </w:trPr>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18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6660" w:type="dxa"/>
            <w:vAlign w:val="bottom"/>
            <w:gridSpan w:val="4"/>
          </w:tcPr>
          <w:p>
            <w:pPr>
              <w:ind w:left="11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6"/>
        </w:trPr>
        <w:tc>
          <w:tcPr>
            <w:tcW w:w="1020" w:type="dxa"/>
            <w:vAlign w:val="bottom"/>
            <w:tcBorders>
              <w:top w:val="single" w:sz="8" w:color="auto"/>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5.1*</w:t>
            </w:r>
          </w:p>
        </w:tc>
        <w:tc>
          <w:tcPr>
            <w:tcW w:w="120" w:type="dxa"/>
            <w:vAlign w:val="bottom"/>
            <w:tcBorders>
              <w:top w:val="single" w:sz="8" w:color="CCEEFF"/>
            </w:tcBorders>
            <w:shd w:val="clear" w:color="auto" w:fill="CCEEFF"/>
          </w:tcPr>
          <w:p>
            <w:pPr>
              <w:spacing w:after="0"/>
              <w:rPr>
                <w:sz w:val="15"/>
                <w:szCs w:val="15"/>
                <w:color w:val="auto"/>
              </w:rPr>
            </w:pPr>
          </w:p>
        </w:tc>
        <w:tc>
          <w:tcPr>
            <w:tcW w:w="10100" w:type="dxa"/>
            <w:vAlign w:val="bottom"/>
            <w:tcBorders>
              <w:top w:val="single" w:sz="8" w:color="auto"/>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Opinion of Maples &amp; Calder (Hong Kong) LLP</w:t>
            </w: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0000EE"/>
            </w:tcBorders>
            <w:shd w:val="clear" w:color="auto" w:fill="CCEEFF"/>
          </w:tcPr>
          <w:p>
            <w:pPr>
              <w:spacing w:after="0" w:line="20" w:lineRule="exact"/>
              <w:rPr>
                <w:sz w:val="1"/>
                <w:szCs w:val="1"/>
                <w:color w:val="auto"/>
              </w:rPr>
            </w:pPr>
          </w:p>
        </w:tc>
        <w:tc>
          <w:tcPr>
            <w:tcW w:w="2260" w:type="dxa"/>
            <w:vAlign w:val="bottom"/>
            <w:tcBorders>
              <w:top w:val="single" w:sz="8" w:color="0000EE"/>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9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23.1</w:t>
            </w:r>
          </w:p>
        </w:tc>
        <w:tc>
          <w:tcPr>
            <w:tcW w:w="120" w:type="dxa"/>
            <w:vAlign w:val="bottom"/>
          </w:tcPr>
          <w:p>
            <w:pPr>
              <w:spacing w:after="0"/>
              <w:rPr>
                <w:sz w:val="15"/>
                <w:szCs w:val="15"/>
                <w:color w:val="auto"/>
              </w:rPr>
            </w:pPr>
          </w:p>
        </w:tc>
        <w:tc>
          <w:tcPr>
            <w:tcW w:w="1010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Consent of Maples &amp; Calder (Hong Kong) LLP (included in Exhibit 5.1)</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2260" w:type="dxa"/>
            <w:vAlign w:val="bottom"/>
            <w:tcBorders>
              <w:top w:val="single" w:sz="8" w:color="0000EE"/>
            </w:tcBorders>
          </w:tcPr>
          <w:p>
            <w:pPr>
              <w:spacing w:after="0" w:line="20" w:lineRule="exact"/>
              <w:rPr>
                <w:sz w:val="1"/>
                <w:szCs w:val="1"/>
                <w:color w:val="auto"/>
              </w:rPr>
            </w:pPr>
          </w:p>
        </w:tc>
        <w:tc>
          <w:tcPr>
            <w:tcW w:w="1820" w:type="dxa"/>
            <w:vAlign w:val="bottom"/>
            <w:tcBorders>
              <w:top w:val="single" w:sz="8" w:color="0000EE"/>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r>
      <w:tr>
        <w:trPr>
          <w:trHeight w:val="196"/>
        </w:trPr>
        <w:tc>
          <w:tcPr>
            <w:tcW w:w="10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23.2*</w:t>
            </w:r>
          </w:p>
        </w:tc>
        <w:tc>
          <w:tcPr>
            <w:tcW w:w="120" w:type="dxa"/>
            <w:vAlign w:val="bottom"/>
            <w:shd w:val="clear" w:color="auto" w:fill="CCEEFF"/>
          </w:tcPr>
          <w:p>
            <w:pPr>
              <w:spacing w:after="0"/>
              <w:rPr>
                <w:sz w:val="17"/>
                <w:szCs w:val="17"/>
                <w:color w:val="auto"/>
              </w:rPr>
            </w:pPr>
          </w:p>
        </w:tc>
        <w:tc>
          <w:tcPr>
            <w:tcW w:w="1010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Consent of Marcum Asia CPAs LLP, Independent Registered Public Accounting Firm</w:t>
            </w:r>
          </w:p>
        </w:tc>
      </w:tr>
      <w:tr>
        <w:trPr>
          <w:trHeight w:val="175"/>
        </w:trPr>
        <w:tc>
          <w:tcPr>
            <w:tcW w:w="102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rPr>
              <w:t>24.1</w:t>
            </w:r>
          </w:p>
        </w:tc>
        <w:tc>
          <w:tcPr>
            <w:tcW w:w="120" w:type="dxa"/>
            <w:vAlign w:val="bottom"/>
            <w:tcBorders>
              <w:top w:val="single" w:sz="8" w:color="CCEEFF"/>
            </w:tcBorders>
          </w:tcPr>
          <w:p>
            <w:pPr>
              <w:spacing w:after="0"/>
              <w:rPr>
                <w:sz w:val="15"/>
                <w:szCs w:val="15"/>
                <w:color w:val="auto"/>
              </w:rPr>
            </w:pPr>
          </w:p>
        </w:tc>
        <w:tc>
          <w:tcPr>
            <w:tcW w:w="6180" w:type="dxa"/>
            <w:vAlign w:val="bottom"/>
            <w:tcBorders>
              <w:top w:val="single" w:sz="8" w:color="0000EE"/>
            </w:tcBorders>
            <w:gridSpan w:val="5"/>
          </w:tcPr>
          <w:p>
            <w:pPr>
              <w:spacing w:after="0" w:line="176" w:lineRule="exact"/>
              <w:rPr>
                <w:sz w:val="20"/>
                <w:szCs w:val="20"/>
                <w:color w:val="auto"/>
              </w:rPr>
            </w:pPr>
            <w:r>
              <w:rPr>
                <w:rFonts w:ascii="Times New Roman" w:cs="Times New Roman" w:eastAsia="Times New Roman" w:hAnsi="Times New Roman"/>
                <w:sz w:val="18"/>
                <w:szCs w:val="18"/>
                <w:color w:val="0000EE"/>
              </w:rPr>
              <w:t>Power of Attorney (included in the signature pages of this Registration Statement)</w:t>
            </w:r>
          </w:p>
        </w:tc>
        <w:tc>
          <w:tcPr>
            <w:tcW w:w="3920" w:type="dxa"/>
            <w:vAlign w:val="bottom"/>
            <w:tcBorders>
              <w:top w:val="single" w:sz="8" w:color="CCEEFF"/>
            </w:tcBorders>
          </w:tcPr>
          <w:p>
            <w:pPr>
              <w:spacing w:after="0"/>
              <w:rPr>
                <w:sz w:val="15"/>
                <w:szCs w:val="15"/>
                <w:color w:val="auto"/>
              </w:rPr>
            </w:pP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2260" w:type="dxa"/>
            <w:vAlign w:val="bottom"/>
            <w:tcBorders>
              <w:top w:val="single" w:sz="8" w:color="0000EE"/>
            </w:tcBorders>
          </w:tcPr>
          <w:p>
            <w:pPr>
              <w:spacing w:after="0" w:line="20" w:lineRule="exact"/>
              <w:rPr>
                <w:sz w:val="1"/>
                <w:szCs w:val="1"/>
                <w:color w:val="auto"/>
              </w:rPr>
            </w:pPr>
          </w:p>
        </w:tc>
        <w:tc>
          <w:tcPr>
            <w:tcW w:w="182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r>
      <w:tr>
        <w:trPr>
          <w:trHeight w:val="175"/>
        </w:trPr>
        <w:tc>
          <w:tcPr>
            <w:tcW w:w="10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107*</w:t>
            </w:r>
          </w:p>
        </w:tc>
        <w:tc>
          <w:tcPr>
            <w:tcW w:w="120" w:type="dxa"/>
            <w:vAlign w:val="bottom"/>
            <w:shd w:val="clear" w:color="auto" w:fill="CCEEFF"/>
          </w:tcPr>
          <w:p>
            <w:pPr>
              <w:spacing w:after="0"/>
              <w:rPr>
                <w:sz w:val="15"/>
                <w:szCs w:val="15"/>
                <w:color w:val="auto"/>
              </w:rPr>
            </w:pPr>
          </w:p>
        </w:tc>
        <w:tc>
          <w:tcPr>
            <w:tcW w:w="1010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Filing Fee Table</w:t>
            </w:r>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0000EE"/>
            </w:tcBorders>
            <w:shd w:val="clear" w:color="auto" w:fill="CCEEFF"/>
          </w:tcPr>
          <w:p>
            <w:pPr>
              <w:spacing w:after="0" w:line="20" w:lineRule="exact"/>
              <w:rPr>
                <w:sz w:val="1"/>
                <w:szCs w:val="1"/>
                <w:color w:val="auto"/>
              </w:rPr>
            </w:pPr>
          </w:p>
        </w:tc>
        <w:tc>
          <w:tcPr>
            <w:tcW w:w="226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920" w:type="dxa"/>
            <w:vAlign w:val="bottom"/>
            <w:tcBorders>
              <w:top w:val="single" w:sz="8" w:color="CCEEFF"/>
            </w:tcBorders>
            <w:shd w:val="clear" w:color="auto" w:fill="CCEEFF"/>
          </w:tcPr>
          <w:p>
            <w:pPr>
              <w:spacing w:after="0" w:line="20" w:lineRule="exact"/>
              <w:rPr>
                <w:sz w:val="1"/>
                <w:szCs w:val="1"/>
                <w:color w:val="auto"/>
              </w:rPr>
            </w:pPr>
          </w:p>
        </w:tc>
      </w:tr>
    </w:tbl>
    <w:p>
      <w:pPr>
        <w:spacing w:after="0" w:line="225" w:lineRule="exact"/>
        <w:rPr>
          <w:sz w:val="20"/>
          <w:szCs w:val="20"/>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Undertakings.</w:t>
      </w:r>
    </w:p>
    <w:p>
      <w:pPr>
        <w:spacing w:after="0" w:line="229"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225" w:lineRule="exact"/>
        <w:rPr>
          <w:rFonts w:ascii="Times New Roman" w:cs="Times New Roman" w:eastAsia="Times New Roman" w:hAnsi="Times New Roman"/>
          <w:sz w:val="18"/>
          <w:szCs w:val="18"/>
          <w:color w:val="auto"/>
        </w:rPr>
      </w:pPr>
    </w:p>
    <w:p>
      <w:pPr>
        <w:ind w:left="1960" w:hanging="332"/>
        <w:spacing w:after="0"/>
        <w:tabs>
          <w:tab w:leader="none" w:pos="1960"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225" w:lineRule="exact"/>
        <w:rPr>
          <w:rFonts w:ascii="Times New Roman" w:cs="Times New Roman" w:eastAsia="Times New Roman" w:hAnsi="Times New Roman"/>
          <w:sz w:val="18"/>
          <w:szCs w:val="18"/>
          <w:color w:val="auto"/>
        </w:rPr>
      </w:pPr>
    </w:p>
    <w:p>
      <w:pPr>
        <w:jc w:val="both"/>
        <w:ind w:left="1960" w:hanging="332"/>
        <w:spacing w:after="0" w:line="254" w:lineRule="auto"/>
        <w:tabs>
          <w:tab w:leader="none" w:pos="1960"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change in the maximum aggregate offering price set forth in the “Calculation of Filing Fee Tables” or “Calculation of Registration Fee” table, as applicable, in the effective registration statement;</w:t>
      </w:r>
    </w:p>
    <w:p>
      <w:pPr>
        <w:spacing w:after="0" w:line="191" w:lineRule="exact"/>
        <w:rPr>
          <w:rFonts w:ascii="Times New Roman" w:cs="Times New Roman" w:eastAsia="Times New Roman" w:hAnsi="Times New Roman"/>
          <w:sz w:val="18"/>
          <w:szCs w:val="18"/>
          <w:color w:val="auto"/>
        </w:rPr>
      </w:pPr>
    </w:p>
    <w:p>
      <w:pPr>
        <w:ind w:left="1960" w:hanging="332"/>
        <w:spacing w:after="0" w:line="282" w:lineRule="auto"/>
        <w:tabs>
          <w:tab w:leader="none" w:pos="1960"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60" w:lineRule="exact"/>
        <w:rPr>
          <w:sz w:val="20"/>
          <w:szCs w:val="20"/>
          <w:color w:val="auto"/>
        </w:rPr>
      </w:pPr>
    </w:p>
    <w:p>
      <w:pPr>
        <w:jc w:val="both"/>
        <w:ind w:left="130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provided, however, </w:t>
      </w:r>
      <w:r>
        <w:rPr>
          <w:rFonts w:ascii="Times New Roman" w:cs="Times New Roman" w:eastAsia="Times New Roman" w:hAnsi="Times New Roman"/>
          <w:sz w:val="18"/>
          <w:szCs w:val="18"/>
          <w:color w:val="auto"/>
        </w:rPr>
        <w:t>that paragraphs (a)(1)(i) and (a)(1)(ii) above do not apply if the registration statement is on Form S-8,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required to be included in a post-effective amendment by those paragraphs is contained in reports filed with or furnished to the SEC by the registrant pursuant to Section 13 or Section 15(d) of the Exchange Act that are incorporated by reference in the registration statement.</w:t>
      </w:r>
    </w:p>
    <w:p>
      <w:pPr>
        <w:spacing w:after="0" w:line="182" w:lineRule="exact"/>
        <w:rPr>
          <w:sz w:val="20"/>
          <w:szCs w:val="20"/>
          <w:color w:val="auto"/>
        </w:rPr>
      </w:pPr>
    </w:p>
    <w:p>
      <w:pPr>
        <w:jc w:val="both"/>
        <w:ind w:left="1300" w:hanging="320"/>
        <w:spacing w:after="0" w:line="266" w:lineRule="auto"/>
        <w:tabs>
          <w:tab w:leader="none" w:pos="13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75"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54"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6" w:right="339" w:bottom="1031"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Singapore, on February 13, 2026.</w:t>
      </w:r>
    </w:p>
    <w:p>
      <w:pPr>
        <w:spacing w:after="0" w:line="17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Trident Digital Tech Holdings Ltd</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 /s/ Lim Soon Huat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3">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Lim Soon Huat</w:t>
      </w:r>
    </w:p>
    <w:p>
      <w:pPr>
        <w:spacing w:after="0" w:line="27" w:lineRule="exact"/>
        <w:rPr>
          <w:sz w:val="20"/>
          <w:szCs w:val="20"/>
          <w:color w:val="auto"/>
        </w:rPr>
      </w:pPr>
    </w:p>
    <w:p>
      <w:pPr>
        <w:ind w:left="7100"/>
        <w:spacing w:after="0"/>
        <w:tabs>
          <w:tab w:leader="none" w:pos="7620" w:val="left"/>
        </w:tabs>
        <w:rPr>
          <w:sz w:val="20"/>
          <w:szCs w:val="20"/>
          <w:color w:val="auto"/>
        </w:rPr>
      </w:pPr>
      <w:r>
        <w:rPr>
          <w:rFonts w:ascii="Times New Roman" w:cs="Times New Roman" w:eastAsia="Times New Roman" w:hAnsi="Times New Roman"/>
          <w:sz w:val="18"/>
          <w:szCs w:val="18"/>
          <w:color w:val="auto"/>
        </w:rPr>
        <w:t>Title:</w:t>
        <w:tab/>
        <w:t>Chairman and Chief Executive Officer</w:t>
      </w:r>
    </w:p>
    <w:p>
      <w:pPr>
        <w:spacing w:after="0" w:line="203"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Each person whose signature appears below constitutes and appoints Lim Soon Huat as his or her true and lawful attorney-in-fact and agent, with full power of substitution and re-substitution, for him or her and in his or her name, place and stead, in any and all capacities, to sign any and all amendments (including post-effective amendments, exhibits thereto and other documents in connection therewith) to this Registration Statement, and to file the same, with all exhibits thereto, and other documents in connection therewith, with the SEC, granting unto said attorney-in-fact and agent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 or his substitute or substitutes, may lawfully do or cause to be done by virtue hereof.</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this Registration Statement has been signed by the following persons in the capacities indicated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620" w:type="dxa"/>
            <w:vAlign w:val="bottom"/>
            <w:tcBorders>
              <w:bottom w:val="single" w:sz="8" w:color="auto"/>
            </w:tcBorders>
          </w:tcPr>
          <w:p>
            <w:pPr>
              <w:ind w:left="144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120" w:type="dxa"/>
            <w:vAlign w:val="bottom"/>
          </w:tcPr>
          <w:p>
            <w:pPr>
              <w:spacing w:after="0"/>
              <w:rPr>
                <w:sz w:val="21"/>
                <w:szCs w:val="21"/>
                <w:color w:val="auto"/>
              </w:rPr>
            </w:pPr>
          </w:p>
        </w:tc>
        <w:tc>
          <w:tcPr>
            <w:tcW w:w="5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100" w:type="dxa"/>
            <w:vAlign w:val="bottom"/>
          </w:tcPr>
          <w:p>
            <w:pPr>
              <w:spacing w:after="0"/>
              <w:rPr>
                <w:sz w:val="21"/>
                <w:szCs w:val="21"/>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39"/>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Lim Soon Huat</w:t>
            </w:r>
          </w:p>
        </w:tc>
        <w:tc>
          <w:tcPr>
            <w:tcW w:w="120" w:type="dxa"/>
            <w:vAlign w:val="bottom"/>
          </w:tcPr>
          <w:p>
            <w:pPr>
              <w:spacing w:after="0"/>
              <w:rPr>
                <w:sz w:val="24"/>
                <w:szCs w:val="24"/>
                <w:color w:val="auto"/>
              </w:rPr>
            </w:pPr>
          </w:p>
        </w:tc>
        <w:tc>
          <w:tcPr>
            <w:tcW w:w="5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Chairman and Chief Executive Officer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13, 2026</w:t>
            </w:r>
          </w:p>
        </w:tc>
      </w:tr>
      <w:tr>
        <w:trPr>
          <w:trHeight w:val="23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Name: Lim Soon Huat</w:t>
            </w:r>
          </w:p>
        </w:tc>
        <w:tc>
          <w:tcPr>
            <w:tcW w:w="120" w:type="dxa"/>
            <w:vAlign w:val="bottom"/>
          </w:tcPr>
          <w:p>
            <w:pPr>
              <w:spacing w:after="0"/>
              <w:rPr>
                <w:sz w:val="20"/>
                <w:szCs w:val="20"/>
                <w:color w:val="auto"/>
              </w:rPr>
            </w:pPr>
          </w:p>
        </w:tc>
        <w:tc>
          <w:tcPr>
            <w:tcW w:w="5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240" w:type="dxa"/>
            <w:vAlign w:val="bottom"/>
          </w:tcPr>
          <w:p>
            <w:pPr>
              <w:spacing w:after="0"/>
              <w:rPr>
                <w:sz w:val="20"/>
                <w:szCs w:val="20"/>
                <w:color w:val="auto"/>
              </w:rPr>
            </w:pPr>
          </w:p>
        </w:tc>
      </w:tr>
      <w:tr>
        <w:trPr>
          <w:trHeight w:val="421"/>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Haiyan Huang</w:t>
            </w:r>
          </w:p>
        </w:tc>
        <w:tc>
          <w:tcPr>
            <w:tcW w:w="120" w:type="dxa"/>
            <w:vAlign w:val="bottom"/>
          </w:tcPr>
          <w:p>
            <w:pPr>
              <w:spacing w:after="0"/>
              <w:rPr>
                <w:sz w:val="24"/>
                <w:szCs w:val="24"/>
                <w:color w:val="auto"/>
              </w:rPr>
            </w:pPr>
          </w:p>
        </w:tc>
        <w:tc>
          <w:tcPr>
            <w:tcW w:w="5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13, 2026</w:t>
            </w:r>
          </w:p>
        </w:tc>
      </w:tr>
      <w:tr>
        <w:trPr>
          <w:trHeight w:val="23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Name: Haiyan Huang</w:t>
            </w:r>
          </w:p>
        </w:tc>
        <w:tc>
          <w:tcPr>
            <w:tcW w:w="120" w:type="dxa"/>
            <w:vAlign w:val="bottom"/>
          </w:tcPr>
          <w:p>
            <w:pPr>
              <w:spacing w:after="0"/>
              <w:rPr>
                <w:sz w:val="20"/>
                <w:szCs w:val="20"/>
                <w:color w:val="auto"/>
              </w:rPr>
            </w:pPr>
          </w:p>
        </w:tc>
        <w:tc>
          <w:tcPr>
            <w:tcW w:w="5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(principal financial officer and principal accounting officer)</w:t>
            </w:r>
          </w:p>
        </w:tc>
        <w:tc>
          <w:tcPr>
            <w:tcW w:w="2240" w:type="dxa"/>
            <w:vAlign w:val="bottom"/>
          </w:tcPr>
          <w:p>
            <w:pPr>
              <w:spacing w:after="0"/>
              <w:rPr>
                <w:sz w:val="20"/>
                <w:szCs w:val="20"/>
                <w:color w:val="auto"/>
              </w:rPr>
            </w:pPr>
          </w:p>
        </w:tc>
      </w:tr>
      <w:tr>
        <w:trPr>
          <w:trHeight w:val="421"/>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Poh Kiong Tan</w:t>
            </w:r>
          </w:p>
        </w:tc>
        <w:tc>
          <w:tcPr>
            <w:tcW w:w="120" w:type="dxa"/>
            <w:vAlign w:val="bottom"/>
          </w:tcPr>
          <w:p>
            <w:pPr>
              <w:spacing w:after="0"/>
              <w:rPr>
                <w:sz w:val="24"/>
                <w:szCs w:val="24"/>
                <w:color w:val="auto"/>
              </w:rPr>
            </w:pPr>
          </w:p>
        </w:tc>
        <w:tc>
          <w:tcPr>
            <w:tcW w:w="5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Chief Technology Officer and 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13, 2026</w:t>
            </w:r>
          </w:p>
        </w:tc>
      </w:tr>
      <w:tr>
        <w:trPr>
          <w:trHeight w:val="23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Name: Poh Kiong Tan</w:t>
            </w:r>
          </w:p>
        </w:tc>
        <w:tc>
          <w:tcPr>
            <w:tcW w:w="12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21"/>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How Teck Lim</w:t>
            </w:r>
          </w:p>
        </w:tc>
        <w:tc>
          <w:tcPr>
            <w:tcW w:w="120" w:type="dxa"/>
            <w:vAlign w:val="bottom"/>
          </w:tcPr>
          <w:p>
            <w:pPr>
              <w:spacing w:after="0"/>
              <w:rPr>
                <w:sz w:val="24"/>
                <w:szCs w:val="24"/>
                <w:color w:val="auto"/>
              </w:rPr>
            </w:pPr>
          </w:p>
        </w:tc>
        <w:tc>
          <w:tcPr>
            <w:tcW w:w="5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Independent 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13, 2026</w:t>
            </w:r>
          </w:p>
        </w:tc>
      </w:tr>
      <w:tr>
        <w:trPr>
          <w:trHeight w:val="23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Name: How Teck Lim</w:t>
            </w:r>
          </w:p>
        </w:tc>
        <w:tc>
          <w:tcPr>
            <w:tcW w:w="12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21"/>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Noi Keng Koh</w:t>
            </w:r>
          </w:p>
        </w:tc>
        <w:tc>
          <w:tcPr>
            <w:tcW w:w="120" w:type="dxa"/>
            <w:vAlign w:val="bottom"/>
          </w:tcPr>
          <w:p>
            <w:pPr>
              <w:spacing w:after="0"/>
              <w:rPr>
                <w:sz w:val="24"/>
                <w:szCs w:val="24"/>
                <w:color w:val="auto"/>
              </w:rPr>
            </w:pPr>
          </w:p>
        </w:tc>
        <w:tc>
          <w:tcPr>
            <w:tcW w:w="5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Independent 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13, 2026</w:t>
            </w:r>
          </w:p>
        </w:tc>
      </w:tr>
      <w:tr>
        <w:trPr>
          <w:trHeight w:val="23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Name: Noi Keng Koh</w:t>
            </w:r>
          </w:p>
        </w:tc>
        <w:tc>
          <w:tcPr>
            <w:tcW w:w="12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21"/>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Chwee Koh Chua</w:t>
            </w:r>
          </w:p>
        </w:tc>
        <w:tc>
          <w:tcPr>
            <w:tcW w:w="120" w:type="dxa"/>
            <w:vAlign w:val="bottom"/>
          </w:tcPr>
          <w:p>
            <w:pPr>
              <w:spacing w:after="0"/>
              <w:rPr>
                <w:sz w:val="24"/>
                <w:szCs w:val="24"/>
                <w:color w:val="auto"/>
              </w:rPr>
            </w:pPr>
          </w:p>
        </w:tc>
        <w:tc>
          <w:tcPr>
            <w:tcW w:w="5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Independent 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13, 2026</w:t>
            </w:r>
          </w:p>
        </w:tc>
      </w:tr>
      <w:tr>
        <w:trPr>
          <w:trHeight w:val="23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Name: Chwee Koh Chua</w:t>
            </w:r>
          </w:p>
        </w:tc>
        <w:tc>
          <w:tcPr>
            <w:tcW w:w="12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bl>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 w:name="page18"/>
    <w:bookmarkEnd w:id="1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 OF AUTHORIZED REPRESENTATIVE IN THE UNITED STATES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Securities Act of 1933, the undersigned, the duly authorized representative in the United States of Trident Digital Tech Holdings Ltd, has signed this registration statement or amendment thereto in New York on February 13, 2026.</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Authorized U.S. Representative</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 /s/ Colleen A. De Vries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5">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Colleen A. De Vries</w:t>
      </w:r>
    </w:p>
    <w:p>
      <w:pPr>
        <w:spacing w:after="0" w:line="27" w:lineRule="exact"/>
        <w:rPr>
          <w:sz w:val="20"/>
          <w:szCs w:val="20"/>
          <w:color w:val="auto"/>
        </w:rPr>
      </w:pPr>
    </w:p>
    <w:p>
      <w:pPr>
        <w:ind w:left="7100"/>
        <w:spacing w:after="0"/>
        <w:tabs>
          <w:tab w:leader="none" w:pos="76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Senior Vice President for and on behalf of</w:t>
      </w:r>
    </w:p>
    <w:p>
      <w:pPr>
        <w:spacing w:after="0" w:line="9"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8"/>
          <w:szCs w:val="18"/>
          <w:color w:val="auto"/>
        </w:rPr>
        <w:t>Cogency Global Inc.</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 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18" w:name="page19"/>
    <w:bookmarkEnd w:id="18"/>
    <w:p>
      <w:pPr>
        <w:jc w:val="right"/>
        <w:spacing w:after="0"/>
        <w:rPr>
          <w:sz w:val="20"/>
          <w:szCs w:val="20"/>
          <w:color w:val="auto"/>
        </w:rPr>
      </w:pPr>
      <w:r>
        <w:rPr>
          <w:rFonts w:ascii="Times New Roman" w:cs="Times New Roman" w:eastAsia="Times New Roman" w:hAnsi="Times New Roman"/>
          <w:sz w:val="22"/>
          <w:szCs w:val="22"/>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151130</wp:posOffset>
            </wp:positionV>
            <wp:extent cx="1011555" cy="9772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7">
                      <a:extLst>
                        <a:ext uri="{28A0092B-C50C-407E-A947-70E740481C1C}"/>
                      </a:extLst>
                    </a:blip>
                    <a:srcRect/>
                    <a:stretch>
                      <a:fillRect/>
                    </a:stretch>
                  </pic:blipFill>
                  <pic:spPr bwMode="auto">
                    <a:xfrm>
                      <a:off x="0" y="0"/>
                      <a:ext cx="1011555" cy="977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Ref:</w:t>
      </w:r>
      <w:r>
        <w:rPr>
          <w:sz w:val="20"/>
          <w:szCs w:val="20"/>
          <w:color w:val="auto"/>
        </w:rPr>
        <w:tab/>
      </w:r>
      <w:r>
        <w:rPr>
          <w:rFonts w:ascii="Times New Roman" w:cs="Times New Roman" w:eastAsia="Times New Roman" w:hAnsi="Times New Roman"/>
          <w:sz w:val="18"/>
          <w:szCs w:val="18"/>
          <w:color w:val="auto"/>
        </w:rPr>
        <w:t>JVZ/821544-000003/85918017v2</w:t>
      </w:r>
    </w:p>
    <w:p>
      <w:pPr>
        <w:spacing w:after="0" w:line="2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Email</w:t>
        <w:tab/>
        <w:t>jessica.zhan@maples.com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Trident Digital Tech Holdings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Suntec Tower 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 Temasek Boulevard Road, #24-03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Singapore, 038988</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 February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 or Madam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Trident Digital Tech Holdings Ltd (the “Company”)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acted as Cayman Islands legal counsel to the Company in connection with a registration statement on Form S-8 to be filed with the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on 13 February 2026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relating to the registration under the United States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of 193,360,650 class B ordinary shares, par value US$0.00001 per share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in connection with the reoffering of the share awards previously granted to the employees, directors and consultants of the Company (the “</w:t>
      </w:r>
      <w:r>
        <w:rPr>
          <w:rFonts w:ascii="Times New Roman" w:cs="Times New Roman" w:eastAsia="Times New Roman" w:hAnsi="Times New Roman"/>
          <w:sz w:val="18"/>
          <w:szCs w:val="18"/>
          <w:b w:val="1"/>
          <w:bCs w:val="1"/>
          <w:color w:val="auto"/>
        </w:rPr>
        <w:t>Selling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Shareholders</w:t>
      </w:r>
      <w:r>
        <w:rPr>
          <w:rFonts w:ascii="Times New Roman" w:cs="Times New Roman" w:eastAsia="Times New Roman" w:hAnsi="Times New Roman"/>
          <w:sz w:val="18"/>
          <w:szCs w:val="18"/>
          <w:color w:val="auto"/>
        </w:rPr>
        <w:t>”) pursuant to the Company’s 2023 Equity Incentive Plan adopted by the directors of the Company on 29 September 2023 and the Amended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restated 2023 Equity Incentive Plan passed by the directors of the Company on 4 December 2024 and shareholders of the Company on 31 December 2024, the Second Amended and Restated 2023 Equity Incentive Plan passed by the directors of the Company on 19 November 2025 and shareholders of the Company on 23 December 2025 (together, the “</w:t>
      </w:r>
      <w:r>
        <w:rPr>
          <w:rFonts w:ascii="Times New Roman" w:cs="Times New Roman" w:eastAsia="Times New Roman" w:hAnsi="Times New Roman"/>
          <w:sz w:val="18"/>
          <w:szCs w:val="18"/>
          <w:b w:val="1"/>
          <w:bCs w:val="1"/>
          <w:color w:val="auto"/>
        </w:rPr>
        <w:t>Plans</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purposes of giving this opinion, we have examined copies of the Registration Statement and the Plans. We have also reviewed copies of the ninth amended and restated memorandum and articles of association of the Company passed on 28 May 2024 and effective on 13 June 2024 (the “</w:t>
      </w:r>
      <w:r>
        <w:rPr>
          <w:rFonts w:ascii="Times New Roman" w:cs="Times New Roman" w:eastAsia="Times New Roman" w:hAnsi="Times New Roman"/>
          <w:sz w:val="18"/>
          <w:szCs w:val="18"/>
          <w:b w:val="1"/>
          <w:bCs w:val="1"/>
          <w:color w:val="auto"/>
        </w:rPr>
        <w:t>Memorandum and Articles</w:t>
      </w:r>
      <w:r>
        <w:rPr>
          <w:rFonts w:ascii="Times New Roman" w:cs="Times New Roman" w:eastAsia="Times New Roman" w:hAnsi="Times New Roman"/>
          <w:sz w:val="18"/>
          <w:szCs w:val="18"/>
          <w:color w:val="auto"/>
        </w:rPr>
        <w:t>”), and the written resolutions of the directors of the Company passed on 29 September 2023, 4 December 2024 and 8 January 2026 (together, the “</w:t>
      </w:r>
      <w:r>
        <w:rPr>
          <w:rFonts w:ascii="Times New Roman" w:cs="Times New Roman" w:eastAsia="Times New Roman" w:hAnsi="Times New Roman"/>
          <w:sz w:val="18"/>
          <w:szCs w:val="18"/>
          <w:b w:val="1"/>
          <w:bCs w:val="1"/>
          <w:color w:val="auto"/>
        </w:rPr>
        <w:t>Resolutions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upon, and subject to, the assumptions and qualifications set out below, and having regard to such legal considerations as we deem relevant, we are of the opinion that:</w:t>
      </w:r>
    </w:p>
    <w:p>
      <w:pPr>
        <w:spacing w:after="0" w:line="162" w:lineRule="exact"/>
        <w:rPr>
          <w:sz w:val="20"/>
          <w:szCs w:val="20"/>
          <w:color w:val="auto"/>
        </w:rPr>
      </w:pPr>
    </w:p>
    <w:p>
      <w:pPr>
        <w:ind w:left="980" w:hanging="648"/>
        <w:spacing w:after="0" w:line="282"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 and allotment of the Shares to be offered and sold by the Selling Shareholder as contemplated in the Registration Statement have been duly authorised.</w:t>
      </w:r>
    </w:p>
    <w:p>
      <w:pPr>
        <w:spacing w:after="0" w:line="161" w:lineRule="exact"/>
        <w:rPr>
          <w:rFonts w:ascii="Times New Roman" w:cs="Times New Roman" w:eastAsia="Times New Roman" w:hAnsi="Times New Roman"/>
          <w:sz w:val="18"/>
          <w:szCs w:val="18"/>
          <w:color w:val="auto"/>
        </w:rPr>
      </w:pPr>
    </w:p>
    <w:p>
      <w:pPr>
        <w:ind w:left="980" w:hanging="648"/>
        <w:spacing w:after="0" w:line="282"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issued, sold and paid for in accordance with the terms of the Plans and in accordance with the Resolutions, and when appropriate entries are made in the register of members (shareholders) of the Company, the Shares will be legally issued, fully paid and non-assessable.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this opinion letter, the phrase “non-assessable” means, with respect to the issuance of Shares, that a shareholder shall not, in respect of the relevant Shares, have any obligation to make further contributions to the Company’s assets (except in exceptional circumstances, such as involving fraud, the establishment of an agency relationship or an illegal or improper purpose or other circumstances in which a court may be prepared to pierce or lift the corporate veil).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2011680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125730</wp:posOffset>
            </wp:positionV>
            <wp:extent cx="5194935" cy="1423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9">
                      <a:extLst>
                        <a:ext uri="{28A0092B-C50C-407E-A947-70E740481C1C}"/>
                      </a:extLst>
                    </a:blip>
                    <a:srcRect/>
                    <a:stretch>
                      <a:fillRect/>
                    </a:stretch>
                  </pic:blipFill>
                  <pic:spPr bwMode="auto">
                    <a:xfrm>
                      <a:off x="0" y="0"/>
                      <a:ext cx="5194935" cy="142303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9" w:name="page20"/>
    <w:bookmarkEnd w:id="19"/>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These opinions are subject to the qualification that under the Companies Act (As Revised) of the Cayman Islands, the register of members of a Cayman Islands company is by statute regarded as </w:t>
      </w:r>
      <w:r>
        <w:rPr>
          <w:rFonts w:ascii="Times New Roman" w:cs="Times New Roman" w:eastAsia="Times New Roman" w:hAnsi="Times New Roman"/>
          <w:sz w:val="18"/>
          <w:szCs w:val="18"/>
          <w:i w:val="1"/>
          <w:iCs w:val="1"/>
          <w:color w:val="auto"/>
        </w:rPr>
        <w:t>prima facie</w:t>
      </w:r>
      <w:r>
        <w:rPr>
          <w:rFonts w:ascii="Times New Roman" w:cs="Times New Roman" w:eastAsia="Times New Roman" w:hAnsi="Times New Roman"/>
          <w:sz w:val="18"/>
          <w:szCs w:val="18"/>
          <w:color w:val="auto"/>
        </w:rPr>
        <w:t xml:space="preserve"> evidence of any matters which the Companies Act (As Revised) directs or authorises to be inserted therein. A third party interest in the shares in question would not appear. An entry in the register of members may yield to a court order for rectification (for example, in the event of fraud or manifest error).</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opinions are given only as to, and based on, circumstances and matters of fact existing and known to us on the date of this opinion letter. These opinions only relate to the laws of the Cayman Islands which are in force on the date of this opinion letter. We express no opinion as to the meaning, validity or effect of any references to foreign (i.e. non-Cayman Islands) statutes, rules, regulations, codes, judicial authority or any other promulgations.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also relied upon the assumptions, which we have not independently verified, that (a) all signatures, initials and seals are genuine, (b) copies of documents, conformed copies or drafts of documents provided to us are true and complete copies of, or in the final forms of, the originals, (c) where a document has been provided to us in draft or undated form, it will be duly executed, dated and unconditionally delivered in the same form as the last version provided to us, (d) the Memorandum and Articles remain in full force and effect and are unamended, (e) the Resolutions were duly passed in the manner prescribed in the Memorandum and Articles (including, without limitation, with respect to the disclosure of interests (if any) by directors of the Company) and have not been amended, varied or revoked in any respect, (f) there is nothing under any law (other than the laws of the Cayman Islands) which would or might affect the opinions set out above, (g) there is nothing contained in the minute book or corporate records of the Company (which we have not inspected) which would or might affect the options set out above, and (h) upon the issue of any Shares, the Company will receive consideration which shall be equal to at least the par value of such Shares.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opinion letter is to and for the benefit solely of the addressee and may not be relied upon by any other person for any purpose.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consent to the use of this opinion as an exhibit to the Registration Statement and further consent to all references to us in the Registration Statement and any amendments thereto. In giving such consent, we do not consider that we are “experts” within the meaning of such term as used in the Securities Act, or the rules and regulations of the Commission issued thereunder, with respect to any part of the Registration Statement, including this opinion as an exhibit or otherwise.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faithfully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Maples and Calder (Hong Kong) LLP</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Maples and Calder (Hong Kong)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jc w:val="right"/>
        <w:spacing w:after="0"/>
        <w:rPr>
          <w:sz w:val="20"/>
          <w:szCs w:val="20"/>
          <w:color w:val="auto"/>
        </w:rPr>
      </w:pPr>
      <w:r>
        <w:rPr>
          <w:rFonts w:ascii="Times New Roman" w:cs="Times New Roman" w:eastAsia="Times New Roman" w:hAnsi="Times New Roman"/>
          <w:sz w:val="22"/>
          <w:szCs w:val="22"/>
          <w:b w:val="1"/>
          <w:bCs w:val="1"/>
          <w:color w:val="auto"/>
        </w:rPr>
        <w:t>Exhibit 23.2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2593975</wp:posOffset>
            </wp:positionH>
            <wp:positionV relativeFrom="paragraph">
              <wp:posOffset>151130</wp:posOffset>
            </wp:positionV>
            <wp:extent cx="1962785" cy="3086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1">
                      <a:extLst>
                        <a:ext uri="{28A0092B-C50C-407E-A947-70E740481C1C}"/>
                      </a:extLst>
                    </a:blip>
                    <a:srcRect/>
                    <a:stretch>
                      <a:fillRect/>
                    </a:stretch>
                  </pic:blipFill>
                  <pic:spPr bwMode="auto">
                    <a:xfrm>
                      <a:off x="0" y="0"/>
                      <a:ext cx="196278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FIRM’S CONSENT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this Registration Statement on Form S-8 of our report dated April 28, 2025 relating to the consolidated financial statements appearing in the Annual Report on Form 20-F of Trident Digital Tech Holdings Ltd for the year ended December 31, 2024. We also consent to the reference to us under the heading “Experts” in such Registration Statement.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Marcum Asia CPAs LLP</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York, NY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February 13, 2026</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NEW YORK OFFICE ● 7 Penn Plaza ● Suite 830 ● New York, New York ● 10001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Phone 646.442.4845 ● Fax 646.349.5200 ● www.marcumasia.com</w:t>
      </w:r>
    </w:p>
    <w:p>
      <w:pPr>
        <w:sectPr>
          <w:pgSz w:w="11900" w:h="16838" w:orient="portrait"/>
          <w:cols w:equalWidth="0" w:num="1">
            <w:col w:w="11240"/>
          </w:cols>
          <w:pgMar w:left="320" w:top="108" w:right="339" w:bottom="1440" w:gutter="0" w:footer="0" w:header="0"/>
        </w:sectPr>
      </w:pPr>
    </w:p>
    <w:bookmarkStart w:id="21" w:name="page22"/>
    <w:bookmarkEnd w:id="21"/>
    <w:p>
      <w:pPr>
        <w:jc w:val="right"/>
        <w:spacing w:after="0"/>
        <w:rPr>
          <w:sz w:val="20"/>
          <w:szCs w:val="20"/>
          <w:color w:val="auto"/>
        </w:rPr>
      </w:pPr>
      <w:r>
        <w:rPr>
          <w:rFonts w:ascii="Times New Roman" w:cs="Times New Roman" w:eastAsia="Times New Roman" w:hAnsi="Times New Roman"/>
          <w:sz w:val="22"/>
          <w:szCs w:val="22"/>
          <w:b w:val="1"/>
          <w:bCs w:val="1"/>
          <w:color w:val="auto"/>
        </w:rPr>
        <w:t>Ex-Filing Fees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CALCULATION OF FILING FEE TABLES</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S-8</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Trident Digital Tech Holdings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Table 1: Newly Registered Securities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Proposed</w:t>
            </w: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Fee</w:t>
            </w:r>
          </w:p>
        </w:tc>
        <w:tc>
          <w:tcPr>
            <w:tcW w:w="1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180" w:type="dxa"/>
            <w:vAlign w:val="bottom"/>
          </w:tcPr>
          <w:p>
            <w:pPr>
              <w:spacing w:after="0"/>
              <w:rPr>
                <w:sz w:val="12"/>
                <w:szCs w:val="12"/>
                <w:color w:val="auto"/>
              </w:rPr>
            </w:pPr>
          </w:p>
        </w:tc>
        <w:tc>
          <w:tcPr>
            <w:tcW w:w="11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0" w:type="dxa"/>
            <w:vAlign w:val="bottom"/>
          </w:tcPr>
          <w:p>
            <w:pPr>
              <w:spacing w:after="0"/>
              <w:rPr>
                <w:sz w:val="1"/>
                <w:szCs w:val="1"/>
                <w:color w:val="auto"/>
              </w:rPr>
            </w:pPr>
          </w:p>
        </w:tc>
      </w:tr>
      <w:tr>
        <w:trPr>
          <w:trHeight w:val="148"/>
        </w:trPr>
        <w:tc>
          <w:tcPr>
            <w:tcW w:w="1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1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2"/>
                <w:szCs w:val="12"/>
                <w:color w:val="auto"/>
              </w:rPr>
            </w:pPr>
          </w:p>
        </w:tc>
        <w:tc>
          <w:tcPr>
            <w:tcW w:w="7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1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60" w:type="dxa"/>
            <w:vAlign w:val="bottom"/>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Security Type</w:t>
            </w:r>
          </w:p>
        </w:tc>
        <w:tc>
          <w:tcPr>
            <w:tcW w:w="120" w:type="dxa"/>
            <w:vAlign w:val="bottom"/>
          </w:tcPr>
          <w:p>
            <w:pPr>
              <w:spacing w:after="0"/>
              <w:rPr>
                <w:sz w:val="12"/>
                <w:szCs w:val="12"/>
                <w:color w:val="auto"/>
              </w:rPr>
            </w:pPr>
          </w:p>
        </w:tc>
        <w:tc>
          <w:tcPr>
            <w:tcW w:w="2500" w:type="dxa"/>
            <w:vAlign w:val="bottom"/>
            <w:vMerge w:val="restart"/>
          </w:tcPr>
          <w:p>
            <w:pPr>
              <w:ind w:left="640"/>
              <w:spacing w:after="0"/>
              <w:rPr>
                <w:sz w:val="20"/>
                <w:szCs w:val="20"/>
                <w:color w:val="auto"/>
              </w:rPr>
            </w:pPr>
            <w:r>
              <w:rPr>
                <w:rFonts w:ascii="Times New Roman" w:cs="Times New Roman" w:eastAsia="Times New Roman" w:hAnsi="Times New Roman"/>
                <w:sz w:val="14"/>
                <w:szCs w:val="14"/>
                <w:b w:val="1"/>
                <w:bCs w:val="1"/>
                <w:color w:val="auto"/>
              </w:rPr>
              <w:t>Security Class Title</w:t>
            </w:r>
          </w:p>
        </w:tc>
        <w:tc>
          <w:tcPr>
            <w:tcW w:w="100" w:type="dxa"/>
            <w:vAlign w:val="bottom"/>
            <w:vMerge w:val="restart"/>
          </w:tcPr>
          <w:p>
            <w:pPr>
              <w:spacing w:after="0"/>
              <w:rPr>
                <w:sz w:val="12"/>
                <w:szCs w:val="12"/>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00" w:type="dxa"/>
            <w:vAlign w:val="bottom"/>
            <w:vMerge w:val="restart"/>
          </w:tcPr>
          <w:p>
            <w:pPr>
              <w:spacing w:after="0"/>
              <w:rPr>
                <w:sz w:val="12"/>
                <w:szCs w:val="12"/>
                <w:color w:val="auto"/>
              </w:rPr>
            </w:pPr>
          </w:p>
        </w:tc>
        <w:tc>
          <w:tcPr>
            <w:tcW w:w="10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Calculation</w:t>
            </w:r>
          </w:p>
        </w:tc>
        <w:tc>
          <w:tcPr>
            <w:tcW w:w="11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132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Aggregate Offering</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Fee Rate</w:t>
            </w:r>
          </w:p>
        </w:tc>
        <w:tc>
          <w:tcPr>
            <w:tcW w:w="10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Registration</w:t>
            </w:r>
          </w:p>
        </w:tc>
        <w:tc>
          <w:tcPr>
            <w:tcW w:w="0" w:type="dxa"/>
            <w:vAlign w:val="bottom"/>
          </w:tcPr>
          <w:p>
            <w:pPr>
              <w:spacing w:after="0"/>
              <w:rPr>
                <w:sz w:val="1"/>
                <w:szCs w:val="1"/>
                <w:color w:val="auto"/>
              </w:rPr>
            </w:pPr>
          </w:p>
        </w:tc>
      </w:tr>
      <w:tr>
        <w:trPr>
          <w:trHeight w:val="173"/>
        </w:trPr>
        <w:tc>
          <w:tcPr>
            <w:tcW w:w="166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50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Rule</w:t>
            </w:r>
          </w:p>
        </w:tc>
        <w:tc>
          <w:tcPr>
            <w:tcW w:w="120" w:type="dxa"/>
            <w:vAlign w:val="bottom"/>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Registered</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Unit</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00" w:type="dxa"/>
            <w:vAlign w:val="bottom"/>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Fee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Equity</w:t>
            </w:r>
          </w:p>
        </w:tc>
        <w:tc>
          <w:tcPr>
            <w:tcW w:w="2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Class B Ordinary Shares, par</w:t>
            </w:r>
          </w:p>
        </w:tc>
        <w:tc>
          <w:tcPr>
            <w:tcW w:w="720" w:type="dxa"/>
            <w:vAlign w:val="bottom"/>
          </w:tcPr>
          <w:p>
            <w:pPr>
              <w:jc w:val="right"/>
              <w:ind w:right="179"/>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Other</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193,360,650</w:t>
            </w:r>
          </w:p>
        </w:tc>
        <w:tc>
          <w:tcPr>
            <w:tcW w:w="82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rPr>
              <w:t>$ 0.0320</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6,187,540.80</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0.0001381</w:t>
            </w:r>
          </w:p>
        </w:tc>
        <w:tc>
          <w:tcPr>
            <w:tcW w:w="100" w:type="dxa"/>
            <w:vAlign w:val="bottom"/>
          </w:tcPr>
          <w:p>
            <w:pPr>
              <w:spacing w:after="0"/>
              <w:rPr>
                <w:sz w:val="20"/>
                <w:szCs w:val="20"/>
                <w:color w:val="auto"/>
              </w:rPr>
            </w:pPr>
          </w:p>
        </w:tc>
        <w:tc>
          <w:tcPr>
            <w:tcW w:w="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854.50</w:t>
            </w:r>
          </w:p>
        </w:tc>
        <w:tc>
          <w:tcPr>
            <w:tcW w:w="0" w:type="dxa"/>
            <w:vAlign w:val="bottom"/>
          </w:tcPr>
          <w:p>
            <w:pPr>
              <w:spacing w:after="0"/>
              <w:rPr>
                <w:sz w:val="1"/>
                <w:szCs w:val="1"/>
                <w:color w:val="auto"/>
              </w:rPr>
            </w:pPr>
          </w:p>
        </w:tc>
      </w:tr>
      <w:tr>
        <w:trPr>
          <w:trHeight w:val="234"/>
        </w:trPr>
        <w:tc>
          <w:tcPr>
            <w:tcW w:w="1660" w:type="dxa"/>
            <w:vAlign w:val="bottom"/>
          </w:tcPr>
          <w:p>
            <w:pPr>
              <w:spacing w:after="0"/>
              <w:rPr>
                <w:sz w:val="20"/>
                <w:szCs w:val="20"/>
                <w:color w:val="auto"/>
              </w:rPr>
            </w:pPr>
          </w:p>
        </w:tc>
        <w:tc>
          <w:tcPr>
            <w:tcW w:w="2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value US$0.00001 per share</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1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960" w:type="dxa"/>
            <w:vAlign w:val="bottom"/>
            <w:gridSpan w:val="5"/>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Total Offering Amounts:</w:t>
            </w:r>
          </w:p>
        </w:tc>
        <w:tc>
          <w:tcPr>
            <w:tcW w:w="18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100" w:type="dxa"/>
            <w:vAlign w:val="bottom"/>
            <w:vMerge w:val="restart"/>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60" w:type="dxa"/>
            <w:vAlign w:val="bottom"/>
            <w:gridSpan w:val="5"/>
            <w:vMerge w:val="continue"/>
          </w:tcPr>
          <w:p>
            <w:pPr>
              <w:spacing w:after="0"/>
              <w:rPr>
                <w:sz w:val="16"/>
                <w:szCs w:val="16"/>
                <w:color w:val="auto"/>
              </w:rPr>
            </w:pPr>
          </w:p>
        </w:tc>
        <w:tc>
          <w:tcPr>
            <w:tcW w:w="1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w w:val="97"/>
              </w:rPr>
              <w:t>6,187,540.80</w:t>
            </w:r>
          </w:p>
        </w:tc>
        <w:tc>
          <w:tcPr>
            <w:tcW w:w="100" w:type="dxa"/>
            <w:vAlign w:val="bottom"/>
            <w:vMerge w:val="continue"/>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854.50</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6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Total Fee Offsets:</w:t>
            </w: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09"/>
        </w:trPr>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Net Fee Due:</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854.50</w:t>
            </w:r>
          </w:p>
        </w:tc>
        <w:tc>
          <w:tcPr>
            <w:tcW w:w="0" w:type="dxa"/>
            <w:vAlign w:val="bottom"/>
          </w:tcPr>
          <w:p>
            <w:pPr>
              <w:spacing w:after="0"/>
              <w:rPr>
                <w:sz w:val="1"/>
                <w:szCs w:val="1"/>
                <w:color w:val="auto"/>
              </w:rPr>
            </w:pPr>
          </w:p>
        </w:tc>
      </w:tr>
      <w:tr>
        <w:trPr>
          <w:trHeight w:val="21"/>
        </w:trPr>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Offering Note(s)</w:t>
      </w:r>
    </w:p>
    <w:p>
      <w:pPr>
        <w:spacing w:after="0" w:line="84" w:lineRule="exact"/>
        <w:rPr>
          <w:sz w:val="20"/>
          <w:szCs w:val="20"/>
          <w:color w:val="auto"/>
        </w:rPr>
      </w:pPr>
    </w:p>
    <w:p>
      <w:pPr>
        <w:jc w:val="both"/>
        <w:ind w:left="360" w:hanging="292"/>
        <w:spacing w:after="0" w:line="261" w:lineRule="auto"/>
        <w:tabs>
          <w:tab w:leader="none" w:pos="3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B ordinary shares, par value US$0.00001 per share (the “Class B Ordinary Shares”) of Trident Digital Tech Holdings Ltd (the “Company”) registered hereunder are represented by American depositary shares (“ADSs”), each representing eight Class B Ordinary Shares. The Company’s ADSs issuable upon deposit of the Class B Ordinary Shares have been registered under a separate registration statement on Form F-6 (Registration No. 333- 275089).</w:t>
      </w:r>
    </w:p>
    <w:p>
      <w:pPr>
        <w:spacing w:after="0" w:line="179" w:lineRule="exact"/>
        <w:rPr>
          <w:rFonts w:ascii="Times New Roman" w:cs="Times New Roman" w:eastAsia="Times New Roman" w:hAnsi="Times New Roman"/>
          <w:sz w:val="18"/>
          <w:szCs w:val="18"/>
          <w:color w:val="auto"/>
        </w:rPr>
      </w:pPr>
    </w:p>
    <w:p>
      <w:pPr>
        <w:ind w:left="3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Class B Ordinary Shares to be issued in connection with the share awards granted under the 2023 Equity Incentive Plan, as amended and restated.</w:t>
      </w:r>
    </w:p>
    <w:p>
      <w:pPr>
        <w:spacing w:after="0" w:line="161" w:lineRule="exact"/>
        <w:rPr>
          <w:rFonts w:ascii="Times New Roman" w:cs="Times New Roman" w:eastAsia="Times New Roman" w:hAnsi="Times New Roman"/>
          <w:sz w:val="18"/>
          <w:szCs w:val="18"/>
          <w:color w:val="auto"/>
        </w:rPr>
      </w:pPr>
    </w:p>
    <w:p>
      <w:pPr>
        <w:jc w:val="both"/>
        <w:ind w:left="3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determining the amount of registration fee pursuant to Rule 457(c) and (h) under the Securities Act of 1933, as amended, based on the average of the high ($0.27) and low ($0.24) prices for the Company’s ADS on the Nasdaq Capital Market on February 10, 2026, and adjusted for the ADS-to-Class B Ordinary Share ratio.</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1."/>
      <w:numFmt w:val="decimal"/>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1)"/>
      <w:numFmt w:val="decimal"/>
      <w:start w:val="1"/>
    </w:lvl>
  </w:abstractNum>
  <w:abstractNum w:abstractNumId="5">
    <w:nsid w:val="4DB127F8"/>
    <w:multiLevelType w:val="hybridMultilevel"/>
    <w:lvl w:ilvl="0">
      <w:lvlJc w:val="left"/>
      <w:lvlText w:val="(%1)"/>
      <w:numFmt w:val="decimal"/>
      <w:start w:val="6"/>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0">
    <w:nsid w:val="140E0F76"/>
    <w:multiLevelType w:val="hybridMultilevel"/>
    <w:lvl w:ilvl="0">
      <w:lvlJc w:val="left"/>
      <w:lvlText w:val="%1"/>
      <w:numFmt w:val="lowerLetter"/>
      <w:start w:val="1"/>
    </w:lvl>
    <w:lvl w:ilvl="1">
      <w:lvlJc w:val="left"/>
      <w:lvlText w:val="%2)"/>
      <w:numFmt w:val="decimal"/>
      <w:start w:val="2"/>
    </w:lvl>
  </w:abstractNum>
  <w:abstractNum w:abstractNumId="11">
    <w:nsid w:val="3352255A"/>
    <w:multiLevelType w:val="hybridMultilevel"/>
    <w:lvl w:ilvl="0">
      <w:lvlJc w:val="left"/>
      <w:lvlText w:val="(%1)"/>
      <w:numFmt w:val="lowerLetter"/>
      <w:start w:val="2"/>
    </w:lvl>
    <w:lvl w:ilvl="1">
      <w:lvlJc w:val="left"/>
      <w:lvlText w:val="%2"/>
      <w:numFmt w:val="decimal"/>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31" Type="http://schemas.openxmlformats.org/officeDocument/2006/relationships/image" Target="media/image11.png"/><Relationship Id="rId32" Type="http://schemas.openxmlformats.org/officeDocument/2006/relationships/image" Target="media/image12.png"/><Relationship Id="rId33" Type="http://schemas.openxmlformats.org/officeDocument/2006/relationships/image" Target="media/image13.png"/><Relationship Id="rId34" Type="http://schemas.openxmlformats.org/officeDocument/2006/relationships/image" Target="media/image14.png"/><Relationship Id="rId35" Type="http://schemas.openxmlformats.org/officeDocument/2006/relationships/image" Target="media/image15.png"/><Relationship Id="rId36" Type="http://schemas.openxmlformats.org/officeDocument/2006/relationships/image" Target="media/image16.png"/><Relationship Id="rId37" Type="http://schemas.openxmlformats.org/officeDocument/2006/relationships/image" Target="media/image17.png"/><Relationship Id="rId38" Type="http://schemas.openxmlformats.org/officeDocument/2006/relationships/image" Target="media/image18.png"/><Relationship Id="rId39" Type="http://schemas.openxmlformats.org/officeDocument/2006/relationships/image" Target="media/image19.png"/><Relationship Id="rId40" Type="http://schemas.openxmlformats.org/officeDocument/2006/relationships/image" Target="media/image20.png"/><Relationship Id="rId41" Type="http://schemas.openxmlformats.org/officeDocument/2006/relationships/image" Target="media/image21.png"/><Relationship Id="rId42" Type="http://schemas.openxmlformats.org/officeDocument/2006/relationships/image" Target="media/image22.png"/><Relationship Id="rId43" Type="http://schemas.openxmlformats.org/officeDocument/2006/relationships/image" Target="media/image23.png"/><Relationship Id="rId44" Type="http://schemas.openxmlformats.org/officeDocument/2006/relationships/image" Target="media/image24.png"/><Relationship Id="rId45" Type="http://schemas.openxmlformats.org/officeDocument/2006/relationships/image" Target="media/image25.png"/><Relationship Id="rId46" Type="http://schemas.openxmlformats.org/officeDocument/2006/relationships/image" Target="media/image26.png"/><Relationship Id="rId47" Type="http://schemas.openxmlformats.org/officeDocument/2006/relationships/image" Target="media/image27.jpeg"/><Relationship Id="rId48" Type="http://schemas.openxmlformats.org/officeDocument/2006/relationships/image" Target="media/image28.png"/><Relationship Id="rId49" Type="http://schemas.openxmlformats.org/officeDocument/2006/relationships/image" Target="media/image29.jpeg"/><Relationship Id="rId50" Type="http://schemas.openxmlformats.org/officeDocument/2006/relationships/image" Target="media/image30.png"/><Relationship Id="rId51" Type="http://schemas.openxmlformats.org/officeDocument/2006/relationships/image" Target="media/image31.jpeg"/><Relationship Id="rId52" Type="http://schemas.openxmlformats.org/officeDocument/2006/relationships/image" Target="media/image32.png"/><Relationship Id="rId53" Type="http://schemas.openxmlformats.org/officeDocument/2006/relationships/image" Target="media/image33.png"/><Relationship Id="rId18" Type="http://schemas.openxmlformats.org/officeDocument/2006/relationships/hyperlink" Target="http://www.sec.gov/Archives/edgar/data/1983550/000121390025036076/ea0238860-20f_trident.htm" TargetMode="External"/><Relationship Id="rId19" Type="http://schemas.openxmlformats.org/officeDocument/2006/relationships/hyperlink" Target="http://www.sec.gov/Archives/edgar/data/1983550/000121390025077710/ea025367301-6k_trident.htm" TargetMode="External"/><Relationship Id="rId20" Type="http://schemas.openxmlformats.org/officeDocument/2006/relationships/hyperlink" Target="http://www.sec.gov/Archives/edgar/data/1983550/000121390025090317/ea0257686-6k_trident.htm" TargetMode="External"/><Relationship Id="rId21" Type="http://schemas.openxmlformats.org/officeDocument/2006/relationships/hyperlink" Target="http://www.sec.gov/Archives/edgar/data/1983550/000121390025104665/ea0263131-6k_trident.htm" TargetMode="External"/><Relationship Id="rId22" Type="http://schemas.openxmlformats.org/officeDocument/2006/relationships/hyperlink" Target="http://www.sec.gov/Archives/edgar/data/1983550/000121390025112822/ea0266144-6k_trident.htm" TargetMode="External"/><Relationship Id="rId23" Type="http://schemas.openxmlformats.org/officeDocument/2006/relationships/hyperlink" Target="http://www.sec.gov/Archives/edgar/data/1983550/000121390025124839/ea0270780-6k_trident.htm" TargetMode="External"/><Relationship Id="rId24" Type="http://schemas.openxmlformats.org/officeDocument/2006/relationships/hyperlink" Target="http://www.sec.gov/Archives/edgar/data/1983550/000121390026001482/ea0271747-6k_trident.htm" TargetMode="External"/><Relationship Id="rId25" Type="http://schemas.openxmlformats.org/officeDocument/2006/relationships/hyperlink" Target="http://www.sec.gov/Archives/edgar/data/1983550/000101376223005975/ea187192-8a12b_trident.htm" TargetMode="External"/><Relationship Id="rId26" Type="http://schemas.openxmlformats.org/officeDocument/2006/relationships/hyperlink" Target="http://www.sec.gov/Archives/edgar/data/1983550/000121390025000498/ea0226555-s8_trident.htm" TargetMode="External"/><Relationship Id="rId27" Type="http://schemas.openxmlformats.org/officeDocument/2006/relationships/hyperlink" Target="http://www.sec.gov/Archives/edgar/data/1983550/000121390026003103/ea0272374-s8pos_trident.htm" TargetMode="External"/><Relationship Id="rId28" Type="http://schemas.openxmlformats.org/officeDocument/2006/relationships/hyperlink" Target="http://www.sec.gov/Archives/edgar/data/1983550/000121390026003104/ea0272374-s8_trident.htm" TargetMode="External"/><Relationship Id="rId29" Type="http://schemas.openxmlformats.org/officeDocument/2006/relationships/hyperlink" Target="http://www.sec.gov/Archives/edgar/data/1472033/000119380523001432/e619012_f6-trident.htm" TargetMode="External"/><Relationship Id="rId30" Type="http://schemas.openxmlformats.org/officeDocument/2006/relationships/hyperlink" Target="http://www.sec.gov/Archives/edgar/data/1472033/000119380524000371/e619366_f6a-triden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2026-02-13T06:03:34Z</dcterms:created>
  <dcterms:modified xsi:type="dcterms:W3CDTF">2026-02-13T06:03:34Z</dcterms:modified>
</cp:coreProperties>
</file>