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WallachBeth Capital LLC</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Harborside Financial Center Plaza 5</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185 Hudson Street, Ste 1410</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Jersey City, New Jersey 07311</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representative of the prospective underwriters</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September 6, 2024</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Trade &amp; Services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color w:val="auto"/>
        </w:rPr>
        <w:t>Attention</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color w:val="auto"/>
        </w:rPr>
        <w:t>Ms. Rucha Pandit</w:t>
      </w:r>
    </w:p>
    <w:p>
      <w:pPr>
        <w:spacing w:after="0" w:line="31"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18"/>
          <w:szCs w:val="18"/>
          <w:color w:val="auto"/>
        </w:rPr>
        <w:t>Mr. Dietrich King</w:t>
      </w:r>
    </w:p>
    <w:p>
      <w:pPr>
        <w:spacing w:after="0" w:line="9"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18"/>
          <w:szCs w:val="18"/>
          <w:color w:val="auto"/>
        </w:rPr>
        <w:t>Mr. Stephen Kim</w:t>
      </w:r>
    </w:p>
    <w:p>
      <w:pPr>
        <w:spacing w:after="0" w:line="9"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18"/>
          <w:szCs w:val="18"/>
          <w:color w:val="auto"/>
        </w:rPr>
        <w:t>Ms. Angela Lumley</w:t>
      </w:r>
    </w:p>
    <w:p>
      <w:pPr>
        <w:spacing w:after="0" w:line="207" w:lineRule="exact"/>
        <w:rPr>
          <w:sz w:val="24"/>
          <w:szCs w:val="24"/>
          <w:color w:val="auto"/>
        </w:rPr>
      </w:pPr>
    </w:p>
    <w:p>
      <w:pPr>
        <w:ind w:left="560"/>
        <w:spacing w:after="0"/>
        <w:tabs>
          <w:tab w:leader="none" w:pos="1000" w:val="left"/>
        </w:tabs>
        <w:rPr>
          <w:sz w:val="20"/>
          <w:szCs w:val="20"/>
          <w:color w:val="auto"/>
        </w:rPr>
      </w:pPr>
      <w:r>
        <w:rPr>
          <w:rFonts w:ascii="Times New Roman" w:cs="Times New Roman" w:eastAsia="Times New Roman" w:hAnsi="Times New Roman"/>
          <w:sz w:val="18"/>
          <w:szCs w:val="18"/>
          <w:color w:val="auto"/>
        </w:rPr>
        <w:t>Re:</w:t>
        <w:tab/>
        <w:t>Trident Digital Tech Holdings Ltd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27"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18"/>
          <w:szCs w:val="18"/>
          <w:color w:val="auto"/>
        </w:rPr>
        <w:t>Registration Statement on Form F-1, as amended (Registration No. 333-274857)</w:t>
      </w:r>
    </w:p>
    <w:p>
      <w:pPr>
        <w:spacing w:after="0" w:line="9"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18"/>
          <w:szCs w:val="18"/>
          <w:color w:val="auto"/>
        </w:rPr>
        <w:t>Registration Statement on Form 8-A (Registration No. 001-41848)</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hereby join the Company’s request for acceleration of the above-referenced Registration Statements, requesting effectiveness for 5:00 p.m., Eastern Time on September 9, 2024, or as soon thereafter as is practicable.</w:t>
      </w:r>
    </w:p>
    <w:p>
      <w:pPr>
        <w:spacing w:after="0" w:line="162"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Rule 460 of the General Rules and Regulations promulgated under the Securities Act of 1933, as amended, we wish to advise you that copies of the proposed form of the preliminary prospectus have been distributed and will continue to be distributed to prospective underwriters, dealers, institutional investors, and others who are reasonably anticipated to participate in the distribution of the securities, as deemed necessary to ensure adequate distribution of the preliminary prospectus.</w:t>
      </w:r>
    </w:p>
    <w:p>
      <w:pPr>
        <w:spacing w:after="0" w:line="180"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been advised by the prospective underwriters that they have complied and will continue to comply with the requirements of Rule 15c2-8 under the Securities Exchange Act of 1934, as amended.</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As representative of the prospective underwriters</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WallachBeth Capital LLC</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Eric Schweitzer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25628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Eric Schweitzer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Chief Compliance Officer</w:t>
      </w:r>
    </w:p>
    <w:p>
      <w:pPr>
        <w:spacing w:after="0" w:line="20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i w:val="1"/>
          <w:iCs w:val="1"/>
          <w:color w:val="auto"/>
        </w:rPr>
        <w:t>[Signature Page to Underwriter Acceleration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437515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180"/>
      </w:cols>
      <w:pgMar w:left="1440" w:top="904" w:right="1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2024-10-07T23:10:35Z</dcterms:created>
  <dcterms:modified xsi:type="dcterms:W3CDTF">2024-10-07T23:10:35Z</dcterms:modified>
</cp:coreProperties>
</file>