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line="348" w:lineRule="exact"/>
        <w:rPr>
          <w:sz w:val="20"/>
          <w:szCs w:val="20"/>
          <w:color w:val="auto"/>
        </w:rPr>
      </w:pPr>
      <w:r>
        <w:rPr>
          <w:rFonts w:ascii="PMingLiU" w:cs="PMingLiU" w:eastAsia="PMingLiU" w:hAnsi="PMingLiU"/>
          <w:sz w:val="29"/>
          <w:szCs w:val="29"/>
          <w:color w:val="auto"/>
        </w:rPr>
        <w:t>霍金路偉律師行</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3,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Trident Digital Tech Holdings Ltd (CIK No. 0001983550)</w:t>
      </w:r>
    </w:p>
    <w:p>
      <w:pPr>
        <w:spacing w:after="0" w:line="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Kim and Ms. Lumley,</w:t>
      </w:r>
    </w:p>
    <w:p>
      <w:pPr>
        <w:spacing w:after="0" w:line="20" w:lineRule="exact"/>
        <w:rPr>
          <w:sz w:val="24"/>
          <w:szCs w:val="24"/>
          <w:color w:val="auto"/>
        </w:rPr>
      </w:pPr>
      <w:r>
        <w:rPr>
          <w:sz w:val="24"/>
          <w:szCs w:val="24"/>
          <w:color w:val="auto"/>
        </w:rPr>
        <w:br w:type="column"/>
      </w:r>
    </w:p>
    <w:p>
      <w:pPr>
        <w:ind w:left="2"/>
        <w:spacing w:after="0"/>
        <w:rPr>
          <w:sz w:val="20"/>
          <w:szCs w:val="20"/>
          <w:color w:val="auto"/>
        </w:rPr>
      </w:pPr>
      <w:r>
        <w:rPr>
          <w:rFonts w:ascii="Arial" w:cs="Arial" w:eastAsia="Arial" w:hAnsi="Arial"/>
          <w:sz w:val="14"/>
          <w:szCs w:val="14"/>
          <w:color w:val="auto"/>
        </w:rPr>
        <w:t>Hogan Lovells</w:t>
      </w:r>
    </w:p>
    <w:p>
      <w:pPr>
        <w:spacing w:after="0" w:line="15" w:lineRule="exact"/>
        <w:rPr>
          <w:sz w:val="24"/>
          <w:szCs w:val="24"/>
          <w:color w:val="auto"/>
        </w:rPr>
      </w:pPr>
    </w:p>
    <w:p>
      <w:pPr>
        <w:ind w:left="2"/>
        <w:spacing w:after="0"/>
        <w:rPr>
          <w:sz w:val="20"/>
          <w:szCs w:val="20"/>
          <w:color w:val="auto"/>
        </w:rPr>
      </w:pPr>
      <w:r>
        <w:rPr>
          <w:rFonts w:ascii="Arial" w:cs="Arial" w:eastAsia="Arial" w:hAnsi="Arial"/>
          <w:sz w:val="14"/>
          <w:szCs w:val="14"/>
          <w:color w:val="auto"/>
        </w:rPr>
        <w:t>11th Floor, One Pacific Place</w:t>
      </w:r>
    </w:p>
    <w:p>
      <w:pPr>
        <w:spacing w:after="0" w:line="1" w:lineRule="exact"/>
        <w:rPr>
          <w:sz w:val="24"/>
          <w:szCs w:val="24"/>
          <w:color w:val="auto"/>
        </w:rPr>
      </w:pPr>
    </w:p>
    <w:p>
      <w:pPr>
        <w:ind w:left="2" w:right="2400" w:hanging="2"/>
        <w:spacing w:after="0" w:line="264" w:lineRule="auto"/>
        <w:tabs>
          <w:tab w:leader="none" w:pos="202" w:val="left"/>
        </w:tabs>
        <w:numPr>
          <w:ilvl w:val="0"/>
          <w:numId w:val="1"/>
        </w:numPr>
        <w:rPr>
          <w:rFonts w:ascii="Arial" w:cs="Arial" w:eastAsia="Arial" w:hAnsi="Arial"/>
          <w:sz w:val="14"/>
          <w:szCs w:val="14"/>
          <w:color w:val="auto"/>
        </w:rPr>
      </w:pPr>
      <w:r>
        <w:rPr>
          <w:rFonts w:ascii="Arial" w:cs="Arial" w:eastAsia="Arial" w:hAnsi="Arial"/>
          <w:sz w:val="14"/>
          <w:szCs w:val="14"/>
          <w:color w:val="auto"/>
        </w:rPr>
        <w:t>Queensway Hong Kong</w:t>
      </w:r>
    </w:p>
    <w:p>
      <w:pPr>
        <w:spacing w:after="0" w:line="177" w:lineRule="exact"/>
        <w:rPr>
          <w:sz w:val="24"/>
          <w:szCs w:val="24"/>
          <w:color w:val="auto"/>
        </w:rPr>
      </w:pPr>
    </w:p>
    <w:p>
      <w:pPr>
        <w:ind w:left="2"/>
        <w:spacing w:after="0" w:line="168" w:lineRule="exact"/>
        <w:rPr>
          <w:sz w:val="20"/>
          <w:szCs w:val="20"/>
          <w:color w:val="auto"/>
        </w:rPr>
      </w:pPr>
      <w:r>
        <w:rPr>
          <w:rFonts w:ascii="PMingLiU" w:cs="PMingLiU" w:eastAsia="PMingLiU" w:hAnsi="PMingLiU"/>
          <w:sz w:val="14"/>
          <w:szCs w:val="14"/>
          <w:color w:val="auto"/>
        </w:rPr>
        <w:t>霍金路偉律師行</w:t>
      </w:r>
    </w:p>
    <w:p>
      <w:pPr>
        <w:spacing w:after="0" w:line="15" w:lineRule="exact"/>
        <w:rPr>
          <w:sz w:val="24"/>
          <w:szCs w:val="24"/>
          <w:color w:val="auto"/>
        </w:rPr>
      </w:pPr>
    </w:p>
    <w:p>
      <w:pPr>
        <w:ind w:left="2"/>
        <w:spacing w:after="0" w:line="171" w:lineRule="exact"/>
        <w:rPr>
          <w:sz w:val="20"/>
          <w:szCs w:val="20"/>
          <w:color w:val="auto"/>
        </w:rPr>
      </w:pPr>
      <w:r>
        <w:rPr>
          <w:rFonts w:ascii="PMingLiU" w:cs="PMingLiU" w:eastAsia="PMingLiU" w:hAnsi="PMingLiU"/>
          <w:sz w:val="14"/>
          <w:szCs w:val="14"/>
          <w:color w:val="auto"/>
        </w:rPr>
        <w:t>香港金鐘道</w:t>
      </w:r>
      <w:r>
        <w:rPr>
          <w:rFonts w:ascii="Times New Roman" w:cs="Times New Roman" w:eastAsia="Times New Roman" w:hAnsi="Times New Roman"/>
          <w:sz w:val="14"/>
          <w:szCs w:val="14"/>
          <w:color w:val="auto"/>
        </w:rPr>
        <w:t>88</w:t>
      </w:r>
      <w:r>
        <w:rPr>
          <w:rFonts w:ascii="PMingLiU" w:cs="PMingLiU" w:eastAsia="PMingLiU" w:hAnsi="PMingLiU"/>
          <w:sz w:val="14"/>
          <w:szCs w:val="14"/>
          <w:color w:val="auto"/>
        </w:rPr>
        <w:t>號</w:t>
      </w:r>
    </w:p>
    <w:p>
      <w:pPr>
        <w:spacing w:after="0" w:line="19" w:lineRule="exact"/>
        <w:rPr>
          <w:sz w:val="24"/>
          <w:szCs w:val="24"/>
          <w:color w:val="auto"/>
        </w:rPr>
      </w:pPr>
    </w:p>
    <w:p>
      <w:pPr>
        <w:ind w:left="2"/>
        <w:spacing w:after="0" w:line="171" w:lineRule="exact"/>
        <w:rPr>
          <w:sz w:val="20"/>
          <w:szCs w:val="20"/>
          <w:color w:val="auto"/>
        </w:rPr>
      </w:pPr>
      <w:r>
        <w:rPr>
          <w:rFonts w:ascii="PMingLiU" w:cs="PMingLiU" w:eastAsia="PMingLiU" w:hAnsi="PMingLiU"/>
          <w:sz w:val="14"/>
          <w:szCs w:val="14"/>
          <w:color w:val="auto"/>
        </w:rPr>
        <w:t>太古廣場一座</w:t>
      </w:r>
      <w:r>
        <w:rPr>
          <w:rFonts w:ascii="Times New Roman" w:cs="Times New Roman" w:eastAsia="Times New Roman" w:hAnsi="Times New Roman"/>
          <w:sz w:val="14"/>
          <w:szCs w:val="14"/>
          <w:color w:val="auto"/>
        </w:rPr>
        <w:t>11</w:t>
      </w:r>
      <w:r>
        <w:rPr>
          <w:rFonts w:ascii="PMingLiU" w:cs="PMingLiU" w:eastAsia="PMingLiU" w:hAnsi="PMingLiU"/>
          <w:sz w:val="14"/>
          <w:szCs w:val="14"/>
          <w:color w:val="auto"/>
        </w:rPr>
        <w:t>樓</w:t>
      </w:r>
    </w:p>
    <w:p>
      <w:pPr>
        <w:spacing w:after="0" w:line="235" w:lineRule="exact"/>
        <w:rPr>
          <w:sz w:val="24"/>
          <w:szCs w:val="24"/>
          <w:color w:val="auto"/>
        </w:rPr>
      </w:pPr>
    </w:p>
    <w:p>
      <w:pPr>
        <w:jc w:val="both"/>
        <w:ind w:left="2" w:right="1700" w:hanging="2"/>
        <w:spacing w:after="0" w:line="183" w:lineRule="exact"/>
        <w:tabs>
          <w:tab w:leader="none" w:pos="207" w:val="left"/>
        </w:tabs>
        <w:numPr>
          <w:ilvl w:val="0"/>
          <w:numId w:val="2"/>
        </w:numPr>
        <w:rPr>
          <w:rFonts w:ascii="Arial" w:cs="Arial" w:eastAsia="Arial" w:hAnsi="Arial"/>
          <w:sz w:val="14"/>
          <w:szCs w:val="14"/>
          <w:color w:val="auto"/>
        </w:rPr>
      </w:pPr>
      <w:r>
        <w:rPr>
          <w:rFonts w:ascii="PMingLiU" w:cs="PMingLiU" w:eastAsia="PMingLiU" w:hAnsi="PMingLiU"/>
          <w:sz w:val="14"/>
          <w:szCs w:val="14"/>
          <w:color w:val="auto"/>
        </w:rPr>
        <w:t>電話</w:t>
      </w:r>
      <w:r>
        <w:rPr>
          <w:rFonts w:ascii="Arial" w:cs="Arial" w:eastAsia="Arial" w:hAnsi="Arial"/>
          <w:sz w:val="14"/>
          <w:szCs w:val="14"/>
          <w:color w:val="auto"/>
        </w:rPr>
        <w:t xml:space="preserve"> +852 2219 0888 F </w:t>
      </w:r>
      <w:r>
        <w:rPr>
          <w:rFonts w:ascii="PMingLiU" w:cs="PMingLiU" w:eastAsia="PMingLiU" w:hAnsi="PMingLiU"/>
          <w:sz w:val="14"/>
          <w:szCs w:val="14"/>
          <w:color w:val="auto"/>
        </w:rPr>
        <w:t>傳真</w:t>
      </w:r>
      <w:r>
        <w:rPr>
          <w:rFonts w:ascii="Arial" w:cs="Arial" w:eastAsia="Arial" w:hAnsi="Arial"/>
          <w:sz w:val="14"/>
          <w:szCs w:val="14"/>
          <w:color w:val="auto"/>
        </w:rPr>
        <w:t xml:space="preserve"> +852 2219 0222 DX No 225017 Wanchai 1 www.hoganlovells.com</w:t>
      </w:r>
    </w:p>
    <w:p>
      <w:pPr>
        <w:spacing w:after="0" w:line="3825" w:lineRule="exact"/>
        <w:rPr>
          <w:sz w:val="24"/>
          <w:szCs w:val="24"/>
          <w:color w:val="auto"/>
        </w:rPr>
      </w:pPr>
    </w:p>
    <w:p>
      <w:pPr>
        <w:sectPr>
          <w:pgSz w:w="11900" w:h="16838" w:orient="portrait"/>
          <w:cols w:equalWidth="0" w:num="2">
            <w:col w:w="7158" w:space="720"/>
            <w:col w:w="3362"/>
          </w:cols>
          <w:pgMar w:left="320" w:top="238" w:right="339" w:bottom="1440" w:gutter="0" w:footer="0" w:header="0"/>
        </w:sectPr>
      </w:pPr>
    </w:p>
    <w:p>
      <w:pPr>
        <w:spacing w:after="0" w:line="25" w:lineRule="exact"/>
        <w:rPr>
          <w:sz w:val="24"/>
          <w:szCs w:val="24"/>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filing herewith Amendment No. 2 to the Company’s registration statement on Form F-1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containing a preliminary prospectus with an estimated price range and certain exhibits via EDGAR with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right="60" w:firstLine="480"/>
        <w:spacing w:after="0" w:line="258" w:lineRule="auto"/>
        <w:rPr>
          <w:sz w:val="20"/>
          <w:szCs w:val="20"/>
          <w:color w:val="auto"/>
        </w:rPr>
      </w:pPr>
      <w:r>
        <w:rPr>
          <w:rFonts w:ascii="Times New Roman" w:cs="Times New Roman" w:eastAsia="Times New Roman" w:hAnsi="Times New Roman"/>
          <w:sz w:val="18"/>
          <w:szCs w:val="18"/>
          <w:color w:val="auto"/>
        </w:rPr>
        <w:t>Concurrently with the filing of the Registration Statement, the Company is hereby in this letter setting forth the Company’s responses to the comments contained in the letter from the Staff dated October 25, 2023. The Staff’s comments are repeated below in bold and are followed by the Company’s responses. We have included page references in the Registration Statement where the language addressing the comment appears. Capitalized terms used but not otherwise defined herein have the meanings set forth in the Registration Statement.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1"/>
        <w:spacing w:after="0"/>
        <w:rPr>
          <w:sz w:val="20"/>
          <w:szCs w:val="20"/>
          <w:color w:val="auto"/>
        </w:rPr>
      </w:pPr>
      <w:r>
        <w:rPr>
          <w:rFonts w:ascii="Times New Roman" w:cs="Times New Roman" w:eastAsia="Times New Roman" w:hAnsi="Times New Roman"/>
          <w:sz w:val="8"/>
          <w:szCs w:val="8"/>
          <w:b w:val="1"/>
          <w:bCs w:val="1"/>
          <w:color w:val="auto"/>
        </w:rPr>
        <w:t>Partners</w:t>
      </w:r>
    </w:p>
    <w:p>
      <w:pPr>
        <w:ind w:left="101" w:hanging="101"/>
        <w:spacing w:after="0" w:line="211" w:lineRule="auto"/>
        <w:tabs>
          <w:tab w:leader="none" w:pos="101"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Lin</w:t>
      </w:r>
    </w:p>
    <w:p>
      <w:pPr>
        <w:ind w:left="1" w:right="780"/>
        <w:spacing w:after="0" w:line="211"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 Chan D Y C So C J Dobby</w:t>
      </w:r>
    </w:p>
    <w:p>
      <w:pPr>
        <w:ind w:left="1" w:right="620" w:hanging="1"/>
        <w:spacing w:after="0" w:line="211" w:lineRule="auto"/>
        <w:tabs>
          <w:tab w:leader="none" w:pos="93"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D R Parsons N W O Tang E I Low*</w:t>
      </w:r>
    </w:p>
    <w:p>
      <w:pPr>
        <w:ind w:left="1" w:right="800"/>
        <w:spacing w:after="0" w:line="211"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J P Kwan S K S Li</w:t>
      </w:r>
    </w:p>
    <w:p>
      <w:pPr>
        <w:jc w:val="both"/>
        <w:ind w:left="1" w:right="700"/>
        <w:spacing w:after="0" w:line="219" w:lineRule="auto"/>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L H S Leung A J McGinty J E M Leitch B A Phillips T Liu</w:t>
      </w:r>
    </w:p>
    <w:p>
      <w:pPr>
        <w:spacing w:after="0" w:line="55" w:lineRule="exact"/>
        <w:rPr>
          <w:sz w:val="24"/>
          <w:szCs w:val="24"/>
          <w:color w:val="auto"/>
        </w:rPr>
      </w:pPr>
    </w:p>
    <w:p>
      <w:pPr>
        <w:ind w:left="1"/>
        <w:spacing w:after="0"/>
        <w:rPr>
          <w:sz w:val="20"/>
          <w:szCs w:val="20"/>
          <w:color w:val="auto"/>
        </w:rPr>
      </w:pPr>
      <w:r>
        <w:rPr>
          <w:rFonts w:ascii="Times New Roman" w:cs="Times New Roman" w:eastAsia="Times New Roman" w:hAnsi="Times New Roman"/>
          <w:sz w:val="8"/>
          <w:szCs w:val="8"/>
          <w:b w:val="1"/>
          <w:bCs w:val="1"/>
          <w:color w:val="auto"/>
        </w:rPr>
        <w:t>Counsel</w:t>
      </w:r>
    </w:p>
    <w:p>
      <w:pPr>
        <w:ind w:left="1"/>
        <w:spacing w:after="0" w:line="211" w:lineRule="auto"/>
        <w:rPr>
          <w:sz w:val="20"/>
          <w:szCs w:val="20"/>
          <w:color w:val="auto"/>
        </w:rPr>
      </w:pPr>
      <w:r>
        <w:rPr>
          <w:rFonts w:ascii="Times New Roman" w:cs="Times New Roman" w:eastAsia="Times New Roman" w:hAnsi="Times New Roman"/>
          <w:sz w:val="8"/>
          <w:szCs w:val="8"/>
          <w:color w:val="auto"/>
        </w:rPr>
        <w:t>A D E Cobden</w:t>
      </w:r>
    </w:p>
    <w:p>
      <w:pPr>
        <w:ind w:left="1"/>
        <w:spacing w:after="0" w:line="211" w:lineRule="auto"/>
        <w:rPr>
          <w:sz w:val="20"/>
          <w:szCs w:val="20"/>
          <w:color w:val="auto"/>
        </w:rPr>
      </w:pPr>
      <w:r>
        <w:rPr>
          <w:rFonts w:ascii="Times New Roman" w:cs="Times New Roman" w:eastAsia="Times New Roman" w:hAnsi="Times New Roman"/>
          <w:sz w:val="8"/>
          <w:szCs w:val="8"/>
          <w:color w:val="auto"/>
        </w:rPr>
        <w:t>J S F Yim</w:t>
      </w:r>
    </w:p>
    <w:p>
      <w:pPr>
        <w:ind w:left="1" w:right="860" w:hanging="1"/>
        <w:spacing w:after="0" w:line="211" w:lineRule="auto"/>
        <w:tabs>
          <w:tab w:leader="none" w:pos="52" w:val="left"/>
        </w:tabs>
        <w:numPr>
          <w:ilvl w:val="0"/>
          <w:numId w:val="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Leung D Lau S Suen</w:t>
      </w:r>
    </w:p>
    <w:p>
      <w:pPr>
        <w:ind w:left="61" w:hanging="61"/>
        <w:spacing w:after="0"/>
        <w:tabs>
          <w:tab w:leader="none" w:pos="61" w:val="left"/>
        </w:tabs>
        <w:numPr>
          <w:ilvl w:val="0"/>
          <w:numId w:val="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Cheng</w:t>
      </w:r>
    </w:p>
    <w:p>
      <w:pPr>
        <w:spacing w:after="0" w:line="59" w:lineRule="exact"/>
        <w:rPr>
          <w:sz w:val="24"/>
          <w:szCs w:val="24"/>
          <w:color w:val="auto"/>
        </w:rPr>
      </w:pPr>
    </w:p>
    <w:p>
      <w:pPr>
        <w:ind w:left="1"/>
        <w:spacing w:after="0"/>
        <w:rPr>
          <w:sz w:val="20"/>
          <w:szCs w:val="20"/>
          <w:color w:val="auto"/>
        </w:rPr>
      </w:pPr>
      <w:r>
        <w:rPr>
          <w:rFonts w:ascii="Times New Roman" w:cs="Times New Roman" w:eastAsia="Times New Roman" w:hAnsi="Times New Roman"/>
          <w:sz w:val="8"/>
          <w:szCs w:val="8"/>
          <w:b w:val="1"/>
          <w:bCs w:val="1"/>
          <w:color w:val="auto"/>
        </w:rPr>
        <w:t>Foreign Legal</w:t>
      </w:r>
    </w:p>
    <w:p>
      <w:pPr>
        <w:ind w:left="1"/>
        <w:spacing w:after="0" w:line="211" w:lineRule="auto"/>
        <w:rPr>
          <w:sz w:val="20"/>
          <w:szCs w:val="20"/>
          <w:color w:val="auto"/>
        </w:rPr>
      </w:pPr>
      <w:r>
        <w:rPr>
          <w:rFonts w:ascii="Times New Roman" w:cs="Times New Roman" w:eastAsia="Times New Roman" w:hAnsi="Times New Roman"/>
          <w:sz w:val="8"/>
          <w:szCs w:val="8"/>
          <w:b w:val="1"/>
          <w:bCs w:val="1"/>
          <w:color w:val="auto"/>
        </w:rPr>
        <w:t>Consultants</w:t>
      </w:r>
    </w:p>
    <w:p>
      <w:pPr>
        <w:ind w:left="1"/>
        <w:spacing w:after="0" w:line="211" w:lineRule="auto"/>
        <w:rPr>
          <w:sz w:val="20"/>
          <w:szCs w:val="20"/>
          <w:color w:val="auto"/>
        </w:rPr>
      </w:pPr>
      <w:r>
        <w:rPr>
          <w:rFonts w:ascii="Times New Roman" w:cs="Times New Roman" w:eastAsia="Times New Roman" w:hAnsi="Times New Roman"/>
          <w:sz w:val="8"/>
          <w:szCs w:val="8"/>
          <w:color w:val="auto"/>
        </w:rPr>
        <w:t>S Tang</w:t>
      </w:r>
    </w:p>
    <w:p>
      <w:pPr>
        <w:ind w:left="1"/>
        <w:spacing w:after="0" w:line="211" w:lineRule="auto"/>
        <w:rPr>
          <w:sz w:val="20"/>
          <w:szCs w:val="20"/>
          <w:color w:val="auto"/>
        </w:rPr>
      </w:pPr>
      <w:r>
        <w:rPr>
          <w:rFonts w:ascii="Times New Roman" w:cs="Times New Roman" w:eastAsia="Times New Roman" w:hAnsi="Times New Roman"/>
          <w:sz w:val="8"/>
          <w:szCs w:val="8"/>
          <w:color w:val="auto"/>
        </w:rPr>
        <w:t>(New York, USA)</w:t>
      </w:r>
    </w:p>
    <w:p>
      <w:pPr>
        <w:ind w:left="1"/>
        <w:spacing w:after="0" w:line="212" w:lineRule="auto"/>
        <w:rPr>
          <w:sz w:val="20"/>
          <w:szCs w:val="20"/>
          <w:color w:val="auto"/>
        </w:rPr>
      </w:pPr>
      <w:r>
        <w:rPr>
          <w:rFonts w:ascii="Times New Roman" w:cs="Times New Roman" w:eastAsia="Times New Roman" w:hAnsi="Times New Roman"/>
          <w:sz w:val="8"/>
          <w:szCs w:val="8"/>
          <w:color w:val="auto"/>
        </w:rPr>
        <w:t>B Kostrzewa</w:t>
      </w:r>
    </w:p>
    <w:p>
      <w:pPr>
        <w:ind w:left="1"/>
        <w:spacing w:after="0"/>
        <w:rPr>
          <w:sz w:val="20"/>
          <w:szCs w:val="20"/>
          <w:color w:val="auto"/>
        </w:rPr>
      </w:pPr>
      <w:r>
        <w:rPr>
          <w:rFonts w:ascii="Times New Roman" w:cs="Times New Roman" w:eastAsia="Times New Roman" w:hAnsi="Times New Roman"/>
          <w:sz w:val="8"/>
          <w:szCs w:val="8"/>
          <w:color w:val="auto"/>
        </w:rPr>
        <w:t>(District of Columbia, USA)</w:t>
      </w:r>
    </w:p>
    <w:p>
      <w:pPr>
        <w:spacing w:after="0" w:line="6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8"/>
          <w:szCs w:val="8"/>
          <w:color w:val="auto"/>
        </w:rPr>
        <w:t>*Notary Public</w:t>
      </w:r>
    </w:p>
    <w:p>
      <w:pPr>
        <w:spacing w:after="0" w:line="195" w:lineRule="exact"/>
        <w:rPr>
          <w:sz w:val="24"/>
          <w:szCs w:val="24"/>
          <w:color w:val="auto"/>
        </w:rPr>
      </w:pPr>
    </w:p>
    <w:p>
      <w:pPr>
        <w:sectPr>
          <w:pgSz w:w="11900" w:h="16838" w:orient="portrait"/>
          <w:cols w:equalWidth="0" w:num="2">
            <w:col w:w="9480" w:space="639"/>
            <w:col w:w="1121"/>
          </w:cols>
          <w:pgMar w:left="320" w:top="23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Dilution, page 40</w:t>
      </w:r>
    </w:p>
    <w:p>
      <w:pPr>
        <w:spacing w:after="0" w:line="229" w:lineRule="exact"/>
        <w:rPr>
          <w:sz w:val="24"/>
          <w:szCs w:val="24"/>
          <w:color w:val="auto"/>
        </w:rPr>
      </w:pPr>
    </w:p>
    <w:p>
      <w:pPr>
        <w:ind w:left="460" w:right="140" w:hanging="452"/>
        <w:spacing w:after="0" w:line="266"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appears your presentation of net tangible book value of $5.46M is inconsistent with the actual net tangible book value of ($3.23)M at June 30, 2023. Please revise your dilution table to present net tangible book value and net tangible book value per share, including shares outstanding for the actual balance at June 30, 2023, actual as adjusted balance and the pro forma as adjusted balance.</w:t>
      </w:r>
    </w:p>
    <w:p>
      <w:pPr>
        <w:spacing w:after="0" w:line="1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40 and 41 of the Registration Statement.</w:t>
      </w:r>
    </w:p>
    <w:p>
      <w:pPr>
        <w:spacing w:after="0" w:line="230" w:lineRule="exact"/>
        <w:rPr>
          <w:sz w:val="24"/>
          <w:szCs w:val="24"/>
          <w:color w:val="auto"/>
        </w:rPr>
      </w:pPr>
    </w:p>
    <w:p>
      <w:pPr>
        <w:spacing w:after="0"/>
        <w:rPr>
          <w:sz w:val="20"/>
          <w:szCs w:val="20"/>
          <w:color w:val="auto"/>
        </w:rPr>
      </w:pPr>
      <w:r>
        <w:rPr>
          <w:rFonts w:ascii="Arial" w:cs="Arial" w:eastAsia="Arial" w:hAnsi="Arial"/>
          <w:sz w:val="11"/>
          <w:szCs w:val="11"/>
          <w:color w:val="auto"/>
        </w:rPr>
        <w:t>Hogan Lovells is an affiliated business of Hogan Lovells International LLP, a limited liability partnership registered in England and Wales.</w:t>
      </w:r>
    </w:p>
    <w:p>
      <w:pPr>
        <w:spacing w:after="0" w:line="117" w:lineRule="exact"/>
        <w:rPr>
          <w:sz w:val="24"/>
          <w:szCs w:val="24"/>
          <w:color w:val="auto"/>
        </w:rPr>
      </w:pPr>
    </w:p>
    <w:p>
      <w:pPr>
        <w:jc w:val="both"/>
        <w:spacing w:after="0"/>
        <w:rPr>
          <w:sz w:val="20"/>
          <w:szCs w:val="20"/>
          <w:color w:val="auto"/>
        </w:rPr>
      </w:pPr>
      <w:r>
        <w:rPr>
          <w:rFonts w:ascii="Arial" w:cs="Arial" w:eastAsia="Arial" w:hAnsi="Arial"/>
          <w:sz w:val="11"/>
          <w:szCs w:val="11"/>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Business Services Centers: Johannesburg Louisville. Legal Services Center: Berlin.</w:t>
      </w:r>
    </w:p>
    <w:p>
      <w:pPr>
        <w:spacing w:after="0" w:line="102" w:lineRule="exact"/>
        <w:rPr>
          <w:sz w:val="24"/>
          <w:szCs w:val="24"/>
          <w:color w:val="auto"/>
        </w:rPr>
      </w:pPr>
    </w:p>
    <w:p>
      <w:pPr>
        <w:jc w:val="both"/>
        <w:spacing w:after="0" w:line="245" w:lineRule="auto"/>
        <w:rPr>
          <w:sz w:val="20"/>
          <w:szCs w:val="20"/>
          <w:color w:val="auto"/>
        </w:rPr>
      </w:pPr>
      <w:r>
        <w:rPr>
          <w:rFonts w:ascii="Arial" w:cs="Arial" w:eastAsia="Arial" w:hAnsi="Arial"/>
          <w:sz w:val="11"/>
          <w:szCs w:val="11"/>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99" w:lineRule="exact"/>
        <w:rPr>
          <w:sz w:val="24"/>
          <w:szCs w:val="24"/>
          <w:color w:val="auto"/>
        </w:rPr>
      </w:pPr>
    </w:p>
    <w:p>
      <w:pPr>
        <w:jc w:val="both"/>
        <w:ind w:right="20"/>
        <w:spacing w:after="0" w:line="259" w:lineRule="auto"/>
        <w:rPr>
          <w:sz w:val="20"/>
          <w:szCs w:val="20"/>
          <w:color w:val="auto"/>
        </w:rPr>
      </w:pPr>
      <w:r>
        <w:rPr>
          <w:rFonts w:ascii="Arial" w:cs="Arial" w:eastAsia="Arial" w:hAnsi="Arial"/>
          <w:sz w:val="11"/>
          <w:szCs w:val="11"/>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460" w:hanging="452"/>
        <w:spacing w:after="0" w:line="259" w:lineRule="auto"/>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2 and your revised disclosure. Where you discuss your status as a controlled company, please state, if true, that Mr. Lim will have the ability to determine all matters requiring approval by stockholders, and clarify whether, in the event you were to lose your controlled company status, you could still rely on applicable NYSE or Nasdaq rules permitting foreign private issuers to follow their home country requirements concerning corporate governance issues, including specifically whether a majority of the board of directors must be independent.</w:t>
      </w:r>
    </w:p>
    <w:p>
      <w:pPr>
        <w:spacing w:after="0" w:line="18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the cover page and pages 4, 5 and 31 of the Registration Statement.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you have any questions regarding the Registration Statement, please contact me by telephone at (852) 2840 5026 (office) or via email</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stephanie.tang@hoganlovells.com. Questions relating to accounting and auditing matters of the Company may also be directed to Chris Zhao, partner at Marcum Asia CPAs LLP (“Marcum”), by telephone at (86) 139 2605 0901 or via email at chris.zhao@marumasia.com. Marcum is the independent registered public accounting firm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460" w:right="52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60" w:right="55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Sichenzia Ross Ference Carmel LLP Barry P. Biggar, Esq., Partner, Sichenzia Ross Ference Carmel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8"/>
    </w:lvl>
  </w:abstractNum>
  <w:abstractNum w:abstractNumId="1">
    <w:nsid w:val="238E1F29"/>
    <w:multiLevelType w:val="hybridMultilevel"/>
    <w:lvl w:ilvl="0">
      <w:lvlJc w:val="left"/>
      <w:lvlText w:val="T"/>
      <w:numFmt w:val="bullet"/>
      <w:start w:val="1"/>
    </w:lvl>
  </w:abstractNum>
  <w:abstractNum w:abstractNumId="2">
    <w:nsid w:val="46E87CCD"/>
    <w:multiLevelType w:val="hybridMultilevel"/>
    <w:lvl w:ilvl="0">
      <w:lvlJc w:val="left"/>
      <w:lvlText w:val="M"/>
      <w:numFmt w:val="bullet"/>
      <w:start w:val="1"/>
    </w:lvl>
  </w:abstractNum>
  <w:abstractNum w:abstractNumId="3">
    <w:nsid w:val="3D1B58BA"/>
    <w:multiLevelType w:val="hybridMultilevel"/>
    <w:lvl w:ilvl="0">
      <w:lvlJc w:val="left"/>
      <w:lvlText w:val="J"/>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2024-10-07T23:12:26Z</dcterms:created>
  <dcterms:modified xsi:type="dcterms:W3CDTF">2024-10-07T23:12:26Z</dcterms:modified>
</cp:coreProperties>
</file>