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60" w:right="459"/>
        <w:spacing w:after="0" w:line="302" w:lineRule="auto"/>
        <w:rPr>
          <w:sz w:val="20"/>
          <w:szCs w:val="20"/>
          <w:color w:val="auto"/>
        </w:rPr>
      </w:pPr>
      <w:r>
        <w:rPr>
          <w:rFonts w:ascii="Times New Roman" w:cs="Times New Roman" w:eastAsia="Times New Roman" w:hAnsi="Times New Roman"/>
          <w:sz w:val="18"/>
          <w:szCs w:val="18"/>
          <w:b w:val="1"/>
          <w:bCs w:val="1"/>
          <w:color w:val="auto"/>
        </w:rPr>
        <w:t>PROSPECTUS                                             Filed pursuant to Rule 424(b)(4) Registration No. 333-274857</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56515</wp:posOffset>
            </wp:positionV>
            <wp:extent cx="3943350" cy="840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320" w:right="1440" w:bottom="1440" w:gutter="0" w:footer="0" w:header="0"/>
        </w:sectPr>
      </w:pPr>
    </w:p>
    <w:p>
      <w:pPr>
        <w:spacing w:after="0" w:line="17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14,400,000</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109" w:lineRule="exact"/>
        <w:rPr>
          <w:sz w:val="24"/>
          <w:szCs w:val="24"/>
          <w:color w:val="auto"/>
        </w:rPr>
      </w:pPr>
    </w:p>
    <w:p>
      <w:pPr>
        <w:sectPr>
          <w:pgSz w:w="11900" w:h="16838" w:orient="portrait"/>
          <w:cols w:equalWidth="0" w:num="3">
            <w:col w:w="3240" w:space="720"/>
            <w:col w:w="1380" w:space="720"/>
            <w:col w:w="2959"/>
          </w:cols>
          <w:pgMar w:left="1440" w:top="320" w:right="1440" w:bottom="1440" w:gutter="0" w:footer="0" w:header="0"/>
          <w:type w:val="continuous"/>
        </w:sect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320" w:right="1440" w:bottom="1440" w:gutter="0" w:footer="0" w:header="0"/>
          <w:type w:val="continuous"/>
        </w:sectPr>
      </w:pPr>
    </w:p>
    <w:p>
      <w:pPr>
        <w:spacing w:after="0" w:line="97" w:lineRule="exact"/>
        <w:rPr>
          <w:sz w:val="24"/>
          <w:szCs w:val="24"/>
          <w:color w:val="auto"/>
        </w:rPr>
      </w:pPr>
    </w:p>
    <w:p>
      <w:pPr>
        <w:ind w:left="460" w:right="459" w:firstLine="432"/>
        <w:spacing w:after="0" w:line="233" w:lineRule="auto"/>
        <w:rPr>
          <w:sz w:val="20"/>
          <w:szCs w:val="20"/>
          <w:color w:val="auto"/>
        </w:rPr>
      </w:pPr>
      <w:r>
        <w:rPr>
          <w:rFonts w:ascii="Times New Roman" w:cs="Times New Roman" w:eastAsia="Times New Roman" w:hAnsi="Times New Roman"/>
          <w:sz w:val="14"/>
          <w:szCs w:val="14"/>
          <w:color w:val="auto"/>
        </w:rPr>
        <w:t>This is the initial public offering of American depositary shares, or ADSs, of Trident Digital Tech Holdings Ltd. We are offering on a firm commitment basis 1,800,000 ADSs representing 14,400,000 Class B ordinary shares (the “Public Offering ADSs”). Infinite Partner International Limited (the “Selling Shareholder”) is also offering 3,125,000 ADSs representing 25,000,000 Class B ordinary shares (the “Shareholder ADSs”) to be sold in the offering pursuant to a prospectus (the “Resale Prospectus”) which forms a part of the registration statement of which this prospectus also forms a part.</w:t>
      </w:r>
    </w:p>
    <w:p>
      <w:pPr>
        <w:spacing w:after="0" w:line="29" w:lineRule="exact"/>
        <w:rPr>
          <w:sz w:val="24"/>
          <w:szCs w:val="24"/>
          <w:color w:val="auto"/>
        </w:rPr>
      </w:pPr>
    </w:p>
    <w:p>
      <w:pPr>
        <w:ind w:left="460" w:right="479" w:firstLine="432"/>
        <w:spacing w:after="0" w:line="241" w:lineRule="auto"/>
        <w:rPr>
          <w:sz w:val="20"/>
          <w:szCs w:val="20"/>
          <w:color w:val="auto"/>
        </w:rPr>
      </w:pPr>
      <w:r>
        <w:rPr>
          <w:rFonts w:ascii="Times New Roman" w:cs="Times New Roman" w:eastAsia="Times New Roman" w:hAnsi="Times New Roman"/>
          <w:sz w:val="14"/>
          <w:szCs w:val="14"/>
          <w:color w:val="auto"/>
        </w:rPr>
        <w:t>Prior to this offering of the Public Offering ADSs, there has been no public market for our ADSs or our Class B ordinary shares. The initial public offering price in this offering is US$5.00 per ADS. We have been approved to list the ADSs on the Nasdaq Capital Market under the symbol “TDTH.”</w:t>
      </w:r>
    </w:p>
    <w:p>
      <w:pPr>
        <w:spacing w:after="0" w:line="28" w:lineRule="exact"/>
        <w:rPr>
          <w:sz w:val="24"/>
          <w:szCs w:val="24"/>
          <w:color w:val="auto"/>
        </w:rPr>
      </w:pPr>
    </w:p>
    <w:p>
      <w:pPr>
        <w:ind w:left="460" w:right="499" w:firstLine="432"/>
        <w:spacing w:after="0" w:line="236" w:lineRule="auto"/>
        <w:rPr>
          <w:sz w:val="20"/>
          <w:szCs w:val="20"/>
          <w:color w:val="auto"/>
        </w:rPr>
      </w:pPr>
      <w:r>
        <w:rPr>
          <w:rFonts w:ascii="Times New Roman" w:cs="Times New Roman" w:eastAsia="Times New Roman" w:hAnsi="Times New Roman"/>
          <w:sz w:val="14"/>
          <w:szCs w:val="14"/>
          <w:color w:val="auto"/>
        </w:rPr>
        <w:t>No sales of the Shareholder ADSs shall occur until after the closing of the offering of the Public Offering ADSs. Once our ADSs are listed on the Nasdaq Capital Market and there is an established market for these resale shares, the Shareholder ADSs may be sold at prevailing market prices, prices related to prevailing market prices or at privately negotiated prices. We will not receive any of the proceeds from the sale of the Shareholder ADSs by the Selling Shareholder.</w:t>
      </w:r>
    </w:p>
    <w:p>
      <w:pPr>
        <w:spacing w:after="0" w:line="42" w:lineRule="exact"/>
        <w:rPr>
          <w:sz w:val="24"/>
          <w:szCs w:val="24"/>
          <w:color w:val="auto"/>
        </w:rPr>
      </w:pPr>
    </w:p>
    <w:p>
      <w:pPr>
        <w:ind w:left="460" w:right="519" w:firstLine="432"/>
        <w:spacing w:after="0" w:line="224" w:lineRule="auto"/>
        <w:rPr>
          <w:sz w:val="20"/>
          <w:szCs w:val="20"/>
          <w:color w:val="auto"/>
        </w:rPr>
      </w:pPr>
      <w:r>
        <w:rPr>
          <w:rFonts w:ascii="Times New Roman" w:cs="Times New Roman" w:eastAsia="Times New Roman" w:hAnsi="Times New Roman"/>
          <w:sz w:val="14"/>
          <w:szCs w:val="14"/>
          <w:color w:val="auto"/>
        </w:rPr>
        <w:t>Following the completion of this offering of the Public Offering ADSs and the offering of the Shareholder ADSs by the Selling Shareholder pursuant to the Resale Prospectus, our issued and outstanding share capital will consist of 50,000,000 Class A ordinary shares and 466,364,286 Class B ordinary shares, assuming no exercise of the underwriter’s over-allotment option. Mr. Soon Huat Lim will beneficially own all of our issued Class A ordinary shares and will be able to exercise 92.4% of the total voting power of our issued and outstanding share capital immediately following the completion of this offering, assuming no exercise of the underwriter’s over-allotment option.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Immediately following the completion of this offering of the Public Offering ADSs and the offering of the Shareholder ADSs by the Selling Shareholder pursuant to the Resale Prospectus,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38" w:lineRule="exact"/>
        <w:rPr>
          <w:sz w:val="24"/>
          <w:szCs w:val="24"/>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under applicable U.S. federal securities laws and are eligible for reduced public company reporting requirements.</w:t>
      </w:r>
    </w:p>
    <w:p>
      <w:pPr>
        <w:spacing w:after="0" w:line="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Investing in our ADSs involves risks. See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beginning on page 11.</w:t>
      </w:r>
    </w:p>
    <w:p>
      <w:pPr>
        <w:spacing w:after="0" w:line="8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PRICE US$5.00 PER ADS</w:t>
      </w:r>
    </w:p>
    <w:p>
      <w:pPr>
        <w:spacing w:after="0" w:line="7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p>
    <w:p>
      <w:pPr>
        <w:spacing w:after="0" w:line="214" w:lineRule="exact"/>
        <w:rPr>
          <w:sz w:val="24"/>
          <w:szCs w:val="24"/>
          <w:color w:val="auto"/>
        </w:rPr>
      </w:pPr>
    </w:p>
    <w:tbl>
      <w:tblPr>
        <w:tblLayout w:type="fixed"/>
        <w:tblInd w:w="460" w:type="dxa"/>
        <w:tblCellMar>
          <w:top w:w="0" w:type="dxa"/>
          <w:left w:w="0" w:type="dxa"/>
          <w:bottom w:w="0" w:type="dxa"/>
          <w:right w:w="0" w:type="dxa"/>
        </w:tblCellMar>
      </w:tblPr>
      <w:tr>
        <w:trPr>
          <w:trHeight w:val="272"/>
        </w:trPr>
        <w:tc>
          <w:tcPr>
            <w:tcW w:w="468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4"/>
              </w:rPr>
              <w:t>Total</w:t>
            </w:r>
            <w:r>
              <w:rPr>
                <w:rFonts w:ascii="Times New Roman" w:cs="Times New Roman" w:eastAsia="Times New Roman" w:hAnsi="Times New Roman"/>
                <w:sz w:val="21"/>
                <w:szCs w:val="21"/>
                <w:b w:val="1"/>
                <w:bCs w:val="1"/>
                <w:color w:val="auto"/>
                <w:w w:val="94"/>
                <w:vertAlign w:val="superscript"/>
              </w:rPr>
              <w:t>(2)</w:t>
            </w:r>
          </w:p>
        </w:tc>
      </w:tr>
      <w:tr>
        <w:trPr>
          <w:trHeight w:val="24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 of the Public Offering ADSs</w:t>
            </w:r>
          </w:p>
        </w:tc>
        <w:tc>
          <w:tcPr>
            <w:tcW w:w="15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US$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9,000,000</w:t>
            </w:r>
          </w:p>
        </w:tc>
      </w:tr>
      <w:tr>
        <w:trPr>
          <w:trHeight w:val="28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1"/>
                <w:szCs w:val="21"/>
                <w:color w:val="auto"/>
                <w:vertAlign w:val="superscript"/>
              </w:rPr>
              <w:t>(1)</w:t>
            </w:r>
          </w:p>
        </w:tc>
        <w:tc>
          <w:tcPr>
            <w:tcW w:w="15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US$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630,000</w:t>
            </w:r>
          </w:p>
        </w:tc>
      </w:tr>
      <w:tr>
        <w:trPr>
          <w:trHeight w:val="26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15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US$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8,370,000</w:t>
            </w:r>
          </w:p>
        </w:tc>
      </w:tr>
      <w:tr>
        <w:trPr>
          <w:trHeight w:val="25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87" w:lineRule="exact"/>
        <w:rPr>
          <w:sz w:val="24"/>
          <w:szCs w:val="24"/>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for additional disclosure regarding underwriting compensation payable by us.</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the underwriter does not exercise any portion of the over-allotment option.</w:t>
      </w:r>
    </w:p>
    <w:p>
      <w:pPr>
        <w:spacing w:after="0" w:line="69" w:lineRule="exact"/>
        <w:rPr>
          <w:sz w:val="24"/>
          <w:szCs w:val="24"/>
          <w:color w:val="auto"/>
        </w:rPr>
      </w:pPr>
    </w:p>
    <w:p>
      <w:pPr>
        <w:ind w:left="460" w:right="499" w:firstLine="432"/>
        <w:spacing w:after="0" w:line="233" w:lineRule="auto"/>
        <w:rPr>
          <w:sz w:val="20"/>
          <w:szCs w:val="20"/>
          <w:color w:val="auto"/>
        </w:rPr>
      </w:pPr>
      <w:r>
        <w:rPr>
          <w:rFonts w:ascii="Times New Roman" w:cs="Times New Roman" w:eastAsia="Times New Roman" w:hAnsi="Times New Roman"/>
          <w:sz w:val="14"/>
          <w:szCs w:val="14"/>
          <w:color w:val="auto"/>
        </w:rPr>
        <w:t>We expect our total cash expenses for this offering of the Public Offering ADSs (including cash expenses payable to our underwriter for its out-of-pocket expenses) to be approximately US$3.53 million, exclusive of the above discounts and commissions. In addition, we will pay additional items of value in connection with this offering of the Public Offering ADSs that are viewed by the Financial Industry Regulatory Authority, or FINRA, as underwriting compensation. These payments will further reduce proceeds available to us before expenses. See “Underwriting.”</w:t>
      </w:r>
    </w:p>
    <w:p>
      <w:pPr>
        <w:spacing w:after="0" w:line="40" w:lineRule="exact"/>
        <w:rPr>
          <w:sz w:val="24"/>
          <w:szCs w:val="24"/>
          <w:color w:val="auto"/>
        </w:rPr>
      </w:pPr>
    </w:p>
    <w:p>
      <w:pPr>
        <w:ind w:left="460" w:right="539" w:firstLine="432"/>
        <w:spacing w:after="0" w:line="244" w:lineRule="auto"/>
        <w:rPr>
          <w:sz w:val="20"/>
          <w:szCs w:val="20"/>
          <w:color w:val="auto"/>
        </w:rPr>
      </w:pPr>
      <w:r>
        <w:rPr>
          <w:rFonts w:ascii="Times New Roman" w:cs="Times New Roman" w:eastAsia="Times New Roman" w:hAnsi="Times New Roman"/>
          <w:sz w:val="14"/>
          <w:szCs w:val="14"/>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88" w:lineRule="exact"/>
        <w:rPr>
          <w:sz w:val="24"/>
          <w:szCs w:val="24"/>
          <w:color w:val="auto"/>
        </w:rPr>
      </w:pPr>
    </w:p>
    <w:p>
      <w:pPr>
        <w:ind w:left="460" w:right="639" w:firstLine="432"/>
        <w:spacing w:after="0" w:line="250" w:lineRule="auto"/>
        <w:rPr>
          <w:sz w:val="20"/>
          <w:szCs w:val="20"/>
          <w:color w:val="auto"/>
        </w:rPr>
      </w:pPr>
      <w:r>
        <w:rPr>
          <w:rFonts w:ascii="Times New Roman" w:cs="Times New Roman" w:eastAsia="Times New Roman" w:hAnsi="Times New Roman"/>
          <w:sz w:val="14"/>
          <w:szCs w:val="14"/>
          <w:color w:val="auto"/>
        </w:rPr>
        <w:t>The underwriter expects to deliver the Public Offering ADSs against payment in U.S. dollars to purchasers on or about September 11, 2024.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WallachBeth Capital,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69215</wp:posOffset>
            </wp:positionV>
            <wp:extent cx="874395"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74395" cy="20574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dated September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73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7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2"/>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20"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Neither we nor the underwriter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spacing w:after="0" w:line="96"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Until October 4, 2024 (the 25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07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7310" cy="85077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5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40" w:right="1119" w:firstLine="432"/>
        <w:spacing w:after="0" w:line="261" w:lineRule="auto"/>
        <w:rPr>
          <w:sz w:val="20"/>
          <w:szCs w:val="20"/>
          <w:color w:val="auto"/>
        </w:rPr>
      </w:pPr>
      <w:r>
        <w:rPr>
          <w:rFonts w:ascii="Times New Roman" w:cs="Times New Roman" w:eastAsia="Times New Roman" w:hAnsi="Times New Roman"/>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72"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80" w:lineRule="exact"/>
        <w:rPr>
          <w:sz w:val="20"/>
          <w:szCs w:val="20"/>
          <w:color w:val="auto"/>
        </w:rPr>
      </w:pPr>
    </w:p>
    <w:p>
      <w:pPr>
        <w:ind w:left="540" w:right="69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68" w:lineRule="exact"/>
        <w:rPr>
          <w:sz w:val="20"/>
          <w:szCs w:val="20"/>
          <w:color w:val="auto"/>
        </w:rPr>
      </w:pPr>
    </w:p>
    <w:p>
      <w:pPr>
        <w:ind w:left="540" w:right="63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400" w:right="659" w:hanging="424"/>
        <w:spacing w:after="0" w:line="259"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400" w:right="639" w:hanging="424"/>
        <w:spacing w:after="0" w:line="26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540" w:right="65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December 31, 2023, we served over 200 clients across our core verticals such as food and beverage, wholesale and retail.</w:t>
      </w:r>
    </w:p>
    <w:p>
      <w:pPr>
        <w:spacing w:after="0" w:line="120" w:lineRule="exact"/>
        <w:rPr>
          <w:sz w:val="20"/>
          <w:szCs w:val="20"/>
          <w:color w:val="auto"/>
        </w:rPr>
      </w:pPr>
    </w:p>
    <w:p>
      <w:pPr>
        <w:ind w:left="540" w:right="579" w:firstLine="432"/>
        <w:spacing w:after="0" w:line="256"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We believe Tridentity addresses a massive market opportunity today and provides</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27" w:lineRule="exact"/>
        <w:rPr>
          <w:sz w:val="20"/>
          <w:szCs w:val="20"/>
          <w:color w:val="auto"/>
        </w:rPr>
      </w:pPr>
    </w:p>
    <w:p>
      <w:pPr>
        <w:ind w:left="540" w:right="679"/>
        <w:spacing w:after="0" w:line="266" w:lineRule="auto"/>
        <w:rPr>
          <w:sz w:val="20"/>
          <w:szCs w:val="20"/>
          <w:color w:val="auto"/>
        </w:rPr>
      </w:pPr>
      <w:r>
        <w:rPr>
          <w:rFonts w:ascii="Times New Roman" w:cs="Times New Roman" w:eastAsia="Times New Roman" w:hAnsi="Times New Roman"/>
          <w:sz w:val="18"/>
          <w:szCs w:val="18"/>
          <w:color w:val="auto"/>
        </w:rPr>
        <w:t>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8"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accounted for 50.2% and 49.8% of our total revenue for the year ended December 31, 2022 respectively. We incurred net losses of approximately US$4.77 million and US$1.13 million for the years ended December 31, 2023 and 2022, respectively.</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58" w:lineRule="exact"/>
        <w:rPr>
          <w:sz w:val="20"/>
          <w:szCs w:val="20"/>
          <w:color w:val="auto"/>
        </w:rPr>
      </w:pPr>
    </w:p>
    <w:p>
      <w:pPr>
        <w:ind w:left="1400" w:right="81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digital transformation enabler in the SME segment of the e-commerce enablement and digital optimizing services market in Singapore;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architecture;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perspective and efficient operational capabilities;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seasoned and visionary management team with international perspective.</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144" w:lineRule="exact"/>
        <w:rPr>
          <w:sz w:val="20"/>
          <w:szCs w:val="20"/>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a generational shift to Web 3.0;</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grow our client base;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geographical reach;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acquisitions.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2" w:lineRule="exact"/>
        <w:rPr>
          <w:sz w:val="20"/>
          <w:szCs w:val="20"/>
          <w:color w:val="auto"/>
        </w:rPr>
      </w:pPr>
    </w:p>
    <w:p>
      <w:pPr>
        <w:ind w:left="1400" w:right="759" w:hanging="424"/>
        <w:spacing w:after="0" w:line="28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growth may not be sustainable or indicative of our future growth. Our business could be harmed if we fail to manage our infrastructure to support future growth.</w:t>
      </w:r>
    </w:p>
    <w:p>
      <w:pPr>
        <w:spacing w:after="0" w:line="80" w:lineRule="exact"/>
        <w:rPr>
          <w:rFonts w:ascii="Times New Roman" w:cs="Times New Roman" w:eastAsia="Times New Roman" w:hAnsi="Times New Roman"/>
          <w:sz w:val="18"/>
          <w:szCs w:val="18"/>
          <w:color w:val="auto"/>
        </w:rPr>
      </w:pPr>
    </w:p>
    <w:p>
      <w:pPr>
        <w:ind w:left="1400" w:right="579" w:hanging="424"/>
        <w:spacing w:after="0" w:line="266"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08" w:lineRule="exact"/>
        <w:rPr>
          <w:rFonts w:ascii="Times New Roman" w:cs="Times New Roman" w:eastAsia="Times New Roman" w:hAnsi="Times New Roman"/>
          <w:sz w:val="18"/>
          <w:szCs w:val="18"/>
          <w:color w:val="auto"/>
        </w:rPr>
      </w:pPr>
    </w:p>
    <w:p>
      <w:pPr>
        <w:ind w:left="1400" w:right="579" w:hanging="424"/>
        <w:spacing w:after="0" w:line="28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solutions and services, our business and results of operations could be adversely affected.</w:t>
      </w:r>
    </w:p>
    <w:p>
      <w:pPr>
        <w:spacing w:after="0" w:line="80" w:lineRule="exact"/>
        <w:rPr>
          <w:rFonts w:ascii="Times New Roman" w:cs="Times New Roman" w:eastAsia="Times New Roman" w:hAnsi="Times New Roman"/>
          <w:sz w:val="18"/>
          <w:szCs w:val="18"/>
          <w:color w:val="auto"/>
        </w:rPr>
      </w:pPr>
    </w:p>
    <w:p>
      <w:pPr>
        <w:ind w:left="1400" w:right="839" w:hanging="424"/>
        <w:spacing w:after="0" w:line="266"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19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63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108" w:lineRule="exact"/>
        <w:rPr>
          <w:rFonts w:ascii="Times New Roman" w:cs="Times New Roman" w:eastAsia="Times New Roman" w:hAnsi="Times New Roman"/>
          <w:sz w:val="18"/>
          <w:szCs w:val="18"/>
          <w:color w:val="auto"/>
        </w:rPr>
      </w:pPr>
    </w:p>
    <w:p>
      <w:pPr>
        <w:ind w:left="1400" w:right="73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9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implement our growth strategies successfully which would limit our growth and cause the market price of our ADS to decline.</w:t>
      </w:r>
    </w:p>
    <w:p>
      <w:pPr>
        <w:spacing w:after="0" w:line="94" w:lineRule="exact"/>
        <w:rPr>
          <w:rFonts w:ascii="Times New Roman" w:cs="Times New Roman" w:eastAsia="Times New Roman" w:hAnsi="Times New Roman"/>
          <w:sz w:val="18"/>
          <w:szCs w:val="18"/>
          <w:color w:val="auto"/>
        </w:rPr>
      </w:pPr>
    </w:p>
    <w:p>
      <w:pPr>
        <w:ind w:left="1400" w:right="83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infrastructure may adversely affect our business, results of operations and financial condition.</w:t>
      </w:r>
    </w:p>
    <w:p>
      <w:pPr>
        <w:spacing w:after="0" w:line="94" w:lineRule="exact"/>
        <w:rPr>
          <w:rFonts w:ascii="Times New Roman" w:cs="Times New Roman" w:eastAsia="Times New Roman" w:hAnsi="Times New Roman"/>
          <w:sz w:val="18"/>
          <w:szCs w:val="18"/>
          <w:color w:val="auto"/>
        </w:rPr>
      </w:pPr>
    </w:p>
    <w:p>
      <w:pPr>
        <w:ind w:left="1400" w:right="101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reliable performance of Internet infrastructure, bandwidth providers, data center providers, cloud providers, mobile infrastructure, and other third parties.</w:t>
      </w:r>
    </w:p>
    <w:p>
      <w:pPr>
        <w:spacing w:after="0" w:line="80" w:lineRule="exact"/>
        <w:rPr>
          <w:rFonts w:ascii="Times New Roman" w:cs="Times New Roman" w:eastAsia="Times New Roman" w:hAnsi="Times New Roman"/>
          <w:sz w:val="18"/>
          <w:szCs w:val="18"/>
          <w:color w:val="auto"/>
        </w:rPr>
      </w:pPr>
    </w:p>
    <w:p>
      <w:pPr>
        <w:ind w:left="1400" w:right="7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08" w:lineRule="exact"/>
        <w:rPr>
          <w:rFonts w:ascii="Times New Roman" w:cs="Times New Roman" w:eastAsia="Times New Roman" w:hAnsi="Times New Roman"/>
          <w:sz w:val="18"/>
          <w:szCs w:val="18"/>
          <w:color w:val="auto"/>
        </w:rPr>
      </w:pPr>
    </w:p>
    <w:p>
      <w:pPr>
        <w:ind w:left="1400" w:right="99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or proprietary rights could substantially harm our business and results of operations.</w:t>
      </w:r>
    </w:p>
    <w:p>
      <w:pPr>
        <w:spacing w:after="0" w:line="94" w:lineRule="exact"/>
        <w:rPr>
          <w:rFonts w:ascii="Times New Roman" w:cs="Times New Roman" w:eastAsia="Times New Roman" w:hAnsi="Times New Roman"/>
          <w:sz w:val="18"/>
          <w:szCs w:val="18"/>
          <w:color w:val="auto"/>
        </w:rPr>
      </w:pPr>
    </w:p>
    <w:p>
      <w:pPr>
        <w:ind w:left="1400" w:right="639" w:hanging="424"/>
        <w:spacing w:after="0" w:line="261"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98" w:lineRule="exact"/>
        <w:rPr>
          <w:rFonts w:ascii="Times New Roman" w:cs="Times New Roman" w:eastAsia="Times New Roman" w:hAnsi="Times New Roman"/>
          <w:sz w:val="18"/>
          <w:szCs w:val="18"/>
          <w:color w:val="auto"/>
        </w:rPr>
      </w:pPr>
    </w:p>
    <w:p>
      <w:pPr>
        <w:jc w:val="both"/>
        <w:ind w:left="1400" w:right="77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senior management team and highly skilled personnel; if we are unable to retain or motivate key personnel or hire, retain and motivate qualified personnel, our business would be harmed.</w:t>
      </w:r>
    </w:p>
    <w:p>
      <w:pPr>
        <w:spacing w:after="0" w:line="108" w:lineRule="exact"/>
        <w:rPr>
          <w:rFonts w:ascii="Times New Roman" w:cs="Times New Roman" w:eastAsia="Times New Roman" w:hAnsi="Times New Roman"/>
          <w:sz w:val="18"/>
          <w:szCs w:val="18"/>
          <w:color w:val="auto"/>
        </w:rPr>
      </w:pPr>
    </w:p>
    <w:p>
      <w:pPr>
        <w:ind w:left="1400" w:right="67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8" w:lineRule="exact"/>
        <w:rPr>
          <w:rFonts w:ascii="Times New Roman" w:cs="Times New Roman" w:eastAsia="Times New Roman" w:hAnsi="Times New Roman"/>
          <w:sz w:val="18"/>
          <w:szCs w:val="18"/>
          <w:color w:val="auto"/>
        </w:rPr>
      </w:pPr>
    </w:p>
    <w:p>
      <w:pPr>
        <w:ind w:left="1400" w:right="59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Jurisdictions Where We Operate</w:t>
      </w:r>
    </w:p>
    <w:p>
      <w:pPr>
        <w:spacing w:after="0" w:line="148" w:lineRule="exact"/>
        <w:rPr>
          <w:sz w:val="20"/>
          <w:szCs w:val="20"/>
          <w:color w:val="auto"/>
        </w:rPr>
      </w:pPr>
    </w:p>
    <w:p>
      <w:pPr>
        <w:jc w:val="both"/>
        <w:ind w:left="1400" w:right="6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08" w:lineRule="exact"/>
        <w:rPr>
          <w:rFonts w:ascii="Times New Roman" w:cs="Times New Roman" w:eastAsia="Times New Roman" w:hAnsi="Times New Roman"/>
          <w:sz w:val="18"/>
          <w:szCs w:val="18"/>
          <w:color w:val="auto"/>
        </w:rPr>
      </w:pPr>
    </w:p>
    <w:p>
      <w:pPr>
        <w:ind w:left="1400" w:right="91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respect of acts of war, terrorist attacks, epidemics, political unrest, natural disasters, adverse weather and other uncontrollable events.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62" w:lineRule="exact"/>
        <w:rPr>
          <w:sz w:val="20"/>
          <w:szCs w:val="20"/>
          <w:color w:val="auto"/>
        </w:rPr>
      </w:pPr>
    </w:p>
    <w:p>
      <w:pPr>
        <w:ind w:left="1400" w:right="81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or our ADSs may not develop and the trading price for our ADSs may fluctuate significantly.</w:t>
      </w:r>
    </w:p>
    <w:p>
      <w:pPr>
        <w:spacing w:after="0" w:line="80" w:lineRule="exact"/>
        <w:rPr>
          <w:rFonts w:ascii="Times New Roman" w:cs="Times New Roman" w:eastAsia="Times New Roman" w:hAnsi="Times New Roman"/>
          <w:sz w:val="18"/>
          <w:szCs w:val="18"/>
          <w:color w:val="auto"/>
        </w:rPr>
      </w:pPr>
    </w:p>
    <w:p>
      <w:pPr>
        <w:ind w:left="1400" w:right="9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pacing w:after="0" w:line="94" w:lineRule="exact"/>
        <w:rPr>
          <w:rFonts w:ascii="Times New Roman" w:cs="Times New Roman" w:eastAsia="Times New Roman" w:hAnsi="Times New Roman"/>
          <w:sz w:val="18"/>
          <w:szCs w:val="18"/>
          <w:color w:val="auto"/>
        </w:rPr>
      </w:pPr>
    </w:p>
    <w:p>
      <w:pPr>
        <w:ind w:left="1400" w:right="71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96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7796530"/>
                    </a:xfrm>
                    <a:prstGeom prst="rect">
                      <a:avLst/>
                    </a:prstGeom>
                    <a:noFill/>
                  </pic:spPr>
                </pic:pic>
              </a:graphicData>
            </a:graphic>
          </wp:anchor>
        </w:drawing>
      </w:r>
    </w:p>
    <w:p>
      <w:pPr>
        <w:spacing w:after="0" w:line="327" w:lineRule="exact"/>
        <w:rPr>
          <w:sz w:val="20"/>
          <w:szCs w:val="20"/>
          <w:color w:val="auto"/>
        </w:rPr>
      </w:pPr>
    </w:p>
    <w:p>
      <w:pPr>
        <w:ind w:left="1400" w:right="5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08" w:lineRule="exact"/>
        <w:rPr>
          <w:rFonts w:ascii="Times New Roman" w:cs="Times New Roman" w:eastAsia="Times New Roman" w:hAnsi="Times New Roman"/>
          <w:sz w:val="18"/>
          <w:szCs w:val="18"/>
          <w:color w:val="auto"/>
        </w:rPr>
      </w:pPr>
    </w:p>
    <w:p>
      <w:pPr>
        <w:ind w:left="1400" w:right="8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Nasdaq Stock Market Rules.</w:t>
      </w:r>
    </w:p>
    <w:p>
      <w:pPr>
        <w:spacing w:after="0" w:line="94" w:lineRule="exact"/>
        <w:rPr>
          <w:rFonts w:ascii="Times New Roman" w:cs="Times New Roman" w:eastAsia="Times New Roman" w:hAnsi="Times New Roman"/>
          <w:sz w:val="18"/>
          <w:szCs w:val="18"/>
          <w:color w:val="auto"/>
        </w:rPr>
      </w:pPr>
    </w:p>
    <w:p>
      <w:pPr>
        <w:ind w:left="1400" w:right="659" w:hanging="424"/>
        <w:spacing w:after="0" w:line="261"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substantial sales of our ADSs by the Selling Shareholder after the effective date of the registration statement of which this prospectus forms a part, which could have a material adverse effect on the price of our ADSs after this offering (see the disclosure beginning on page 35 of this Public Offering Prospectus).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color w:val="auto"/>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spacing w:after="0" w:line="112" w:lineRule="exact"/>
        <w:rPr>
          <w:sz w:val="20"/>
          <w:szCs w:val="20"/>
          <w:color w:val="auto"/>
        </w:rPr>
      </w:pPr>
    </w:p>
    <w:p>
      <w:pPr>
        <w:ind w:left="540" w:right="659" w:firstLine="432"/>
        <w:spacing w:after="0" w:line="258"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spacing w:after="0" w:line="102" w:lineRule="exact"/>
        <w:rPr>
          <w:sz w:val="20"/>
          <w:szCs w:val="20"/>
          <w:color w:val="auto"/>
        </w:rPr>
      </w:pPr>
    </w:p>
    <w:p>
      <w:pPr>
        <w:ind w:left="540" w:right="719" w:firstLine="432"/>
        <w:spacing w:after="0" w:line="266" w:lineRule="auto"/>
        <w:rPr>
          <w:sz w:val="20"/>
          <w:szCs w:val="20"/>
          <w:color w:val="auto"/>
        </w:rPr>
      </w:pPr>
      <w:r>
        <w:rPr>
          <w:rFonts w:ascii="Times New Roman" w:cs="Times New Roman" w:eastAsia="Times New Roman" w:hAnsi="Times New Roman"/>
          <w:sz w:val="18"/>
          <w:szCs w:val="18"/>
          <w:color w:val="auto"/>
        </w:rPr>
        <w:t>Upon the completion of the reorganization, Quality Zone Technologies Pte. Ltd. became a wholly-owned subsidiary of Trident Digital Tech Holdings Ltd and Trident Digital Tech Pte. Ltd. became a wholly-owned subsidiary of Quality Zone Technologies Pte. Ltd.</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62" w:lineRule="exact"/>
        <w:rPr>
          <w:sz w:val="20"/>
          <w:szCs w:val="20"/>
          <w:color w:val="auto"/>
        </w:rPr>
      </w:pPr>
    </w:p>
    <w:p>
      <w:pPr>
        <w:ind w:left="540" w:right="659" w:firstLine="432"/>
        <w:spacing w:after="0" w:line="254"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79"/>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12"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of the Public Offering ADSs;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48" w:lineRule="exact"/>
        <w:rPr>
          <w:sz w:val="20"/>
          <w:szCs w:val="20"/>
          <w:color w:val="auto"/>
        </w:rPr>
      </w:pPr>
    </w:p>
    <w:p>
      <w:pPr>
        <w:ind w:left="540" w:right="59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of the Public Offering ADSs and the offering of the Shareholder ADSs by the Selling Shareholder pursuant to the Resale Prospectus, Mr. Soon Huat Lim, our founder, chairman of board of directors and chief executive officer will beneficially own 48.7% of our total issued and outstanding ordinary shares, representing 92.4% of the total voting power, assuming no exercise of the underwriter’s over-allotment option. As a result, Mr. Soon Huat Lim will have the ability to control or significantly influence the outcome of matters requiring approval by shareholders.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including an exemption from the requirement that a majority of our board of directors must be independent directors,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 Even if we cease to be a controlled company, we may still rely on exemptions available to foreign private issuers, including being able to adopt home country practices in relation to corporate governance matters and an exemption from the requirement that a majority of our board of directors must be independent directors. See the section of this prospectus captioned “— Implications of Being a Foreign Private Issuer.”</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540" w:right="619" w:firstLine="432"/>
        <w:spacing w:after="0" w:line="255"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w:t>
      </w:r>
    </w:p>
    <w:p>
      <w:pPr>
        <w:spacing w:after="0" w:line="3" w:lineRule="exact"/>
        <w:rPr>
          <w:sz w:val="20"/>
          <w:szCs w:val="20"/>
          <w:color w:val="auto"/>
        </w:rPr>
      </w:pPr>
    </w:p>
    <w:p>
      <w:pPr>
        <w:ind w:left="540" w:right="579"/>
        <w:spacing w:after="0" w:line="252" w:lineRule="auto"/>
        <w:rPr>
          <w:sz w:val="20"/>
          <w:szCs w:val="20"/>
          <w:color w:val="auto"/>
        </w:rPr>
      </w:pPr>
      <w:r>
        <w:rPr>
          <w:rFonts w:ascii="Times New Roman" w:cs="Times New Roman" w:eastAsia="Times New Roman" w:hAnsi="Times New Roman"/>
          <w:sz w:val="18"/>
          <w:szCs w:val="18"/>
          <w:color w:val="auto"/>
        </w:rPr>
        <w:t>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540" w:right="579" w:firstLine="432"/>
        <w:spacing w:after="0" w:line="264" w:lineRule="auto"/>
        <w:rPr>
          <w:sz w:val="20"/>
          <w:szCs w:val="20"/>
          <w:color w:val="auto"/>
        </w:rPr>
      </w:pPr>
      <w:r>
        <w:rPr>
          <w:rFonts w:ascii="Times New Roman" w:cs="Times New Roman" w:eastAsia="Times New Roman" w:hAnsi="Times New Roman"/>
          <w:sz w:val="18"/>
          <w:szCs w:val="18"/>
          <w:color w:val="auto"/>
        </w:rPr>
        <w:t>Our principal executive office is located at Suntec Tower 3, 8 Temasek Boulevard Road, #24-03, Singapore, 038988. Our telephone number at this address is +65 6513 6868. Our registered office in the Cayman Islands is located at the Office of Maples Corporate Services Limited, PO Box 309, Ugland House, Grand Cayman, KY1-1104, Cayman Islands.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51" w:lineRule="exact"/>
        <w:rPr>
          <w:sz w:val="20"/>
          <w:szCs w:val="20"/>
          <w:color w:val="auto"/>
        </w:rPr>
      </w:pPr>
    </w:p>
    <w:p>
      <w:pPr>
        <w:jc w:val="both"/>
        <w:ind w:left="540" w:right="5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offices. Our website is </w:t>
      </w:r>
      <w:r>
        <w:rPr>
          <w:rFonts w:ascii="Times New Roman" w:cs="Times New Roman" w:eastAsia="Times New Roman" w:hAnsi="Times New Roman"/>
          <w:sz w:val="18"/>
          <w:szCs w:val="18"/>
          <w:i w:val="1"/>
          <w:iCs w:val="1"/>
          <w:color w:val="auto"/>
        </w:rPr>
        <w:t>https://tridentity.me</w:t>
      </w:r>
      <w:r>
        <w:rPr>
          <w:rFonts w:ascii="Times New Roman" w:cs="Times New Roman" w:eastAsia="Times New Roman" w:hAnsi="Times New Roman"/>
          <w:sz w:val="18"/>
          <w:szCs w:val="18"/>
          <w:color w:val="auto"/>
        </w:rPr>
        <w:t>. The information contained on our website is not a part of this prospectus.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prospectus only:</w:t>
      </w:r>
    </w:p>
    <w:p>
      <w:pPr>
        <w:spacing w:after="0" w:line="158" w:lineRule="exact"/>
        <w:rPr>
          <w:sz w:val="20"/>
          <w:szCs w:val="20"/>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that evidence our ADSs;</w:t>
      </w:r>
    </w:p>
    <w:p>
      <w:pPr>
        <w:spacing w:after="0" w:line="144" w:lineRule="exact"/>
        <w:rPr>
          <w:rFonts w:ascii="Times New Roman" w:cs="Times New Roman" w:eastAsia="Times New Roman" w:hAnsi="Times New Roman"/>
          <w:sz w:val="18"/>
          <w:szCs w:val="18"/>
          <w:color w:val="auto"/>
        </w:rPr>
      </w:pPr>
    </w:p>
    <w:p>
      <w:pPr>
        <w:ind w:left="1400" w:right="117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eight Class B ordinary shares;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US$0.00001 per share;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US$0.00001 per share;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“GDP” refers to gross domestic product;</w:t>
      </w:r>
    </w:p>
    <w:p>
      <w:pPr>
        <w:spacing w:after="0" w:line="157" w:lineRule="exact"/>
        <w:rPr>
          <w:rFonts w:ascii="Times New Roman" w:cs="Times New Roman" w:eastAsia="Times New Roman" w:hAnsi="Times New Roman"/>
          <w:sz w:val="18"/>
          <w:szCs w:val="18"/>
          <w:color w:val="auto"/>
        </w:rPr>
      </w:pPr>
    </w:p>
    <w:p>
      <w:pPr>
        <w:ind w:left="1400" w:right="1279" w:hanging="424"/>
        <w:spacing w:after="0" w:line="312" w:lineRule="auto"/>
        <w:tabs>
          <w:tab w:leader="none" w:pos="139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“IMDA” refers to Infocomm Media Development Authority, a statutory board under the Singapore Ministry of Communications and Information of the Republic of Singapore;</w:t>
      </w:r>
    </w:p>
    <w:p>
      <w:pPr>
        <w:spacing w:after="0" w:line="58" w:lineRule="exact"/>
        <w:rPr>
          <w:rFonts w:ascii="Times New Roman" w:cs="Times New Roman" w:eastAsia="Times New Roman" w:hAnsi="Times New Roman"/>
          <w:sz w:val="17"/>
          <w:szCs w:val="17"/>
          <w:color w:val="auto"/>
        </w:rPr>
      </w:pPr>
    </w:p>
    <w:p>
      <w:pPr>
        <w:ind w:left="1400" w:right="79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and Class B ordinary shares, par value US$0.00001 per share;</w:t>
      </w:r>
    </w:p>
    <w:p>
      <w:pPr>
        <w:spacing w:after="0" w:line="94"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“QZT” refers to Quality Zone Technologies Pte. Ltd., a company incorporated in Singapore, and a direct wholly-owned subsidiary of our Company;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58"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Resale Shares” means the 1,925,000 ADSs of the 3,125,000 ADSs representing 25,000,000 Class B ordinary shares of the Company held by Infinite Partner International Limited, or the Selling Shareholder, and being subject to a lock-up agreement between the Selling Shareholder and the underwriter for the offering of the Public Offering ADSs, that are being registered pursuant to the Resale Prospectus;</w:t>
      </w:r>
    </w:p>
    <w:p>
      <w:pPr>
        <w:spacing w:after="0" w:line="102"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or “SGD” refers to the Singapore dollar, the legal currency of Singapore;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refers to the Republic of Singapore;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 refers to small and medium enterprises;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spacing w:after="0" w:line="98" w:lineRule="exact"/>
        <w:rPr>
          <w:rFonts w:ascii="Times New Roman" w:cs="Times New Roman" w:eastAsia="Times New Roman" w:hAnsi="Times New Roman"/>
          <w:sz w:val="18"/>
          <w:szCs w:val="18"/>
          <w:color w:val="auto"/>
        </w:rPr>
      </w:pPr>
    </w:p>
    <w:p>
      <w:pPr>
        <w:ind w:left="1400" w:right="133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Singapore” refers to Trident Digital Tech Pte. Ltd., a company incorporated in Singapore, and an indirect wholly-owned subsidiary of our Company;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“dollars,” or “U.S. dollars” refers to the legal currency of the United States;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 and</w:t>
      </w:r>
    </w:p>
    <w:p>
      <w:pPr>
        <w:spacing w:after="0" w:line="144" w:lineRule="exact"/>
        <w:rPr>
          <w:rFonts w:ascii="Times New Roman" w:cs="Times New Roman" w:eastAsia="Times New Roman" w:hAnsi="Times New Roman"/>
          <w:sz w:val="18"/>
          <w:szCs w:val="18"/>
          <w:color w:val="auto"/>
        </w:rPr>
      </w:pPr>
    </w:p>
    <w:p>
      <w:pPr>
        <w:ind w:left="1400" w:right="59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“Trident Cayman” and “our” refer to Trident Digital Tech Holdings Ltd, a Cayman Islands company and its subsidiaries.</w:t>
      </w:r>
    </w:p>
    <w:p>
      <w:pPr>
        <w:spacing w:after="0" w:line="94"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SGD1.3193 to US$1.00, the noon buying rate on December 29, 2023,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50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5509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w:t>
      </w: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right="40" w:hanging="179"/>
        <w:spacing w:after="0" w:line="282" w:lineRule="auto"/>
        <w:rPr>
          <w:sz w:val="20"/>
          <w:szCs w:val="20"/>
          <w:color w:val="auto"/>
        </w:rPr>
      </w:pPr>
      <w:r>
        <w:rPr>
          <w:rFonts w:ascii="Times New Roman" w:cs="Times New Roman" w:eastAsia="Times New Roman" w:hAnsi="Times New Roman"/>
          <w:sz w:val="18"/>
          <w:szCs w:val="18"/>
          <w:color w:val="auto"/>
        </w:rPr>
        <w:t>ADSs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after this offering</w:t>
      </w:r>
    </w:p>
    <w:p>
      <w:pPr>
        <w:spacing w:after="0" w:line="200" w:lineRule="exact"/>
        <w:rPr>
          <w:sz w:val="20"/>
          <w:szCs w:val="20"/>
          <w:color w:val="auto"/>
        </w:rPr>
      </w:pPr>
    </w:p>
    <w:p>
      <w:pPr>
        <w:spacing w:after="0" w:line="3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price is US$5.00 per ADS.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1,800,000 ADSs.</w:t>
      </w:r>
    </w:p>
    <w:p>
      <w:pPr>
        <w:spacing w:after="0" w:line="198" w:lineRule="exact"/>
        <w:rPr>
          <w:sz w:val="20"/>
          <w:szCs w:val="20"/>
          <w:color w:val="auto"/>
        </w:rPr>
      </w:pPr>
    </w:p>
    <w:p>
      <w:pPr>
        <w:ind w:right="779"/>
        <w:spacing w:after="0" w:line="266" w:lineRule="auto"/>
        <w:rPr>
          <w:sz w:val="20"/>
          <w:szCs w:val="20"/>
          <w:color w:val="auto"/>
        </w:rPr>
      </w:pPr>
      <w:r>
        <w:rPr>
          <w:rFonts w:ascii="Times New Roman" w:cs="Times New Roman" w:eastAsia="Times New Roman" w:hAnsi="Times New Roman"/>
          <w:sz w:val="18"/>
          <w:szCs w:val="18"/>
          <w:color w:val="auto"/>
        </w:rPr>
        <w:t>We have granted to the underwriters an option, which is exercisable within 45 days from the date of this prospectus, to purchase up to 270,000 additional ADSs.</w:t>
      </w:r>
    </w:p>
    <w:p>
      <w:pPr>
        <w:spacing w:after="0" w:line="365" w:lineRule="exact"/>
        <w:rPr>
          <w:sz w:val="20"/>
          <w:szCs w:val="20"/>
          <w:color w:val="auto"/>
        </w:rPr>
      </w:pPr>
    </w:p>
    <w:p>
      <w:pPr>
        <w:ind w:right="1159"/>
        <w:spacing w:after="0" w:line="261" w:lineRule="auto"/>
        <w:rPr>
          <w:sz w:val="20"/>
          <w:szCs w:val="20"/>
          <w:color w:val="auto"/>
        </w:rPr>
      </w:pPr>
      <w:r>
        <w:rPr>
          <w:rFonts w:ascii="Times New Roman" w:cs="Times New Roman" w:eastAsia="Times New Roman" w:hAnsi="Times New Roman"/>
          <w:sz w:val="18"/>
          <w:szCs w:val="18"/>
          <w:color w:val="auto"/>
        </w:rPr>
        <w:t>1,800,000 ADSs, excluding an aggregate of 3,125,000 Shareholder ADSs to be sold by the Selling Shareholder pursuant to the Resale Prospectus, and assuming that the underwriter does not exercise its over-allotment option.</w:t>
      </w:r>
    </w:p>
    <w:p>
      <w:pPr>
        <w:spacing w:after="0" w:line="369" w:lineRule="exact"/>
        <w:rPr>
          <w:sz w:val="20"/>
          <w:szCs w:val="20"/>
          <w:color w:val="auto"/>
        </w:rPr>
      </w:pPr>
    </w:p>
    <w:p>
      <w:pPr>
        <w:ind w:right="619"/>
        <w:spacing w:after="0" w:line="266"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 assuming that the underwriter does not exercise its over-allotment option.</w:t>
      </w:r>
    </w:p>
    <w:p>
      <w:pPr>
        <w:spacing w:after="0" w:line="149" w:lineRule="exact"/>
        <w:rPr>
          <w:sz w:val="20"/>
          <w:szCs w:val="20"/>
          <w:color w:val="auto"/>
        </w:rPr>
      </w:pPr>
    </w:p>
    <w:p>
      <w:pPr>
        <w:jc w:val="both"/>
        <w:ind w:right="719"/>
        <w:spacing w:after="0" w:line="282" w:lineRule="auto"/>
        <w:rPr>
          <w:sz w:val="20"/>
          <w:szCs w:val="20"/>
          <w:color w:val="auto"/>
        </w:rPr>
      </w:pPr>
      <w:r>
        <w:rPr>
          <w:rFonts w:ascii="Times New Roman" w:cs="Times New Roman" w:eastAsia="Times New Roman" w:hAnsi="Times New Roman"/>
          <w:sz w:val="18"/>
          <w:szCs w:val="18"/>
          <w:color w:val="auto"/>
        </w:rPr>
        <w:t>Each ADS represents eight Class B ordinary shares, par value US$0.00001 per share. The ADSs generally are uncertificated.</w:t>
      </w:r>
    </w:p>
    <w:p>
      <w:pPr>
        <w:spacing w:after="0" w:line="94"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The depositary will hold the Class B ordinary shares underlying your ADSs and you will have rights as provided in the deposit agreement.</w:t>
      </w:r>
    </w:p>
    <w:p>
      <w:pPr>
        <w:spacing w:after="0" w:line="108"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spacing w:after="0" w:line="102" w:lineRule="exact"/>
        <w:rPr>
          <w:sz w:val="20"/>
          <w:szCs w:val="20"/>
          <w:color w:val="auto"/>
        </w:rPr>
      </w:pPr>
    </w:p>
    <w:p>
      <w:pPr>
        <w:ind w:right="579"/>
        <w:spacing w:after="0" w:line="256" w:lineRule="auto"/>
        <w:rPr>
          <w:sz w:val="20"/>
          <w:szCs w:val="20"/>
          <w:color w:val="auto"/>
        </w:rPr>
      </w:pPr>
      <w:r>
        <w:rPr>
          <w:rFonts w:ascii="Times New Roman" w:cs="Times New Roman" w:eastAsia="Times New Roman" w:hAnsi="Times New Roman"/>
          <w:sz w:val="18"/>
          <w:szCs w:val="18"/>
          <w:color w:val="auto"/>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spacing w:after="0" w:line="120"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143" w:lineRule="exact"/>
        <w:rPr>
          <w:sz w:val="20"/>
          <w:szCs w:val="20"/>
          <w:color w:val="auto"/>
        </w:rPr>
      </w:pPr>
    </w:p>
    <w:p>
      <w:pPr>
        <w:ind w:right="579"/>
        <w:spacing w:after="0" w:line="256"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US$6.50 million from this offering of the Public Offering ADSs, after deducting the underwriting discounts, commissions, non-accountable expense allowance and estimated unpaid offering expenses payable by us and at the initial public offering price of US$5.00 per ADS.</w:t>
      </w:r>
    </w:p>
    <w:p>
      <w:pPr>
        <w:spacing w:after="0" w:line="120" w:lineRule="exact"/>
        <w:rPr>
          <w:sz w:val="20"/>
          <w:szCs w:val="20"/>
          <w:color w:val="auto"/>
        </w:rPr>
      </w:pPr>
    </w:p>
    <w:p>
      <w:pPr>
        <w:ind w:right="619"/>
        <w:spacing w:after="0" w:line="255" w:lineRule="auto"/>
        <w:rPr>
          <w:sz w:val="20"/>
          <w:szCs w:val="20"/>
          <w:color w:val="auto"/>
        </w:rPr>
      </w:pPr>
      <w:r>
        <w:rPr>
          <w:rFonts w:ascii="Times New Roman" w:cs="Times New Roman" w:eastAsia="Times New Roman" w:hAnsi="Times New Roman"/>
          <w:sz w:val="18"/>
          <w:szCs w:val="18"/>
          <w:color w:val="auto"/>
        </w:rPr>
        <w:t>We plan to use the net proceeds we receive from this offering of the Public Offering ADSs to invest in research and development, the Singapore market, and for general corporate purposes. We will not receive any proceeds from the sale of the Shareholder ADSs by the Selling Shareholder pursuant to the Resale Prospectus. See “Use of Proceeds” for additional information.</w:t>
      </w:r>
    </w:p>
    <w:p>
      <w:pPr>
        <w:spacing w:after="0" w:line="200" w:lineRule="exact"/>
        <w:rPr>
          <w:sz w:val="20"/>
          <w:szCs w:val="20"/>
          <w:color w:val="auto"/>
        </w:rPr>
      </w:pPr>
    </w:p>
    <w:p>
      <w:pPr>
        <w:sectPr>
          <w:pgSz w:w="11900" w:h="16838" w:orient="portrait"/>
          <w:cols w:equalWidth="0" w:num="2">
            <w:col w:w="3520" w:space="260"/>
            <w:col w:w="5239"/>
          </w:cols>
          <w:pgMar w:left="1440" w:top="270" w:right="1440" w:bottom="1440" w:gutter="0" w:footer="0" w:header="0"/>
          <w:type w:val="continuous"/>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6244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62445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Lock-up</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right="659"/>
        <w:spacing w:after="0" w:line="256" w:lineRule="auto"/>
        <w:rPr>
          <w:sz w:val="20"/>
          <w:szCs w:val="20"/>
          <w:color w:val="auto"/>
        </w:rPr>
      </w:pPr>
      <w:r>
        <w:rPr>
          <w:rFonts w:ascii="Times New Roman" w:cs="Times New Roman" w:eastAsia="Times New Roman" w:hAnsi="Times New Roman"/>
          <w:sz w:val="18"/>
          <w:szCs w:val="18"/>
          <w:color w:val="auto"/>
        </w:rPr>
        <w:t>Each of us and any successors of us will agree, for a period of three months from the closing of the offering, not to sell, transfer or otherwise dispose of any capital securities (or underlying securities) of the Company without the express written consent of the underwriter, which consent may be given or withheld in the underwriter’s sole discretion.</w:t>
      </w:r>
    </w:p>
    <w:p>
      <w:pPr>
        <w:spacing w:after="0" w:line="106"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3780" w:right="699"/>
        <w:spacing w:after="0" w:line="274" w:lineRule="auto"/>
        <w:rPr>
          <w:sz w:val="20"/>
          <w:szCs w:val="20"/>
          <w:color w:val="auto"/>
        </w:rPr>
      </w:pPr>
      <w:r>
        <w:rPr>
          <w:rFonts w:ascii="Times New Roman" w:cs="Times New Roman" w:eastAsia="Times New Roman" w:hAnsi="Times New Roman"/>
          <w:sz w:val="17"/>
          <w:szCs w:val="17"/>
          <w:color w:val="auto"/>
        </w:rPr>
        <w:t>Our directors, officers and holders of more than 5% of the Company’s outstanding ordinary shares as of the effective date of the registration statement are expected to enter into lock-up agreements with the underwriter not to sell, transfer, or dispose of any Class B ordinary shares for a period of up to six months after this offering of the Public Offering ADSs is completed.</w:t>
      </w:r>
    </w:p>
    <w:p>
      <w:pPr>
        <w:spacing w:after="0" w:line="105" w:lineRule="exact"/>
        <w:rPr>
          <w:sz w:val="20"/>
          <w:szCs w:val="20"/>
          <w:color w:val="auto"/>
        </w:rPr>
      </w:pPr>
    </w:p>
    <w:p>
      <w:pPr>
        <w:ind w:left="3780" w:right="559"/>
        <w:spacing w:after="0" w:line="256" w:lineRule="auto"/>
        <w:rPr>
          <w:sz w:val="20"/>
          <w:szCs w:val="20"/>
          <w:color w:val="auto"/>
        </w:rPr>
      </w:pPr>
      <w:r>
        <w:rPr>
          <w:rFonts w:ascii="Times New Roman" w:cs="Times New Roman" w:eastAsia="Times New Roman" w:hAnsi="Times New Roman"/>
          <w:sz w:val="18"/>
          <w:szCs w:val="18"/>
          <w:color w:val="auto"/>
        </w:rPr>
        <w:t>The Selling Shareholder is expected to enter into a lock-up agreement with the underwriter not to sell, transfer, or dispose of any Relevant Resale Shares for a period of up to six months after this offering of the Public Offering ADSs is completed. See “Shares Eligible for Future Sale” and “Underwriting” for more information.</w:t>
      </w:r>
    </w:p>
    <w:p>
      <w:pPr>
        <w:sectPr>
          <w:pgSz w:w="11900" w:h="16838" w:orient="portrait"/>
          <w:cols w:equalWidth="0" w:num="1">
            <w:col w:w="9019"/>
          </w:cols>
          <w:pgMar w:left="1440" w:top="270" w:right="1440" w:bottom="1440" w:gutter="0" w:footer="0" w:header="0"/>
          <w:type w:val="continuous"/>
        </w:sectPr>
      </w:pP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919"/>
        <w:spacing w:after="0" w:line="266" w:lineRule="auto"/>
        <w:rPr>
          <w:sz w:val="20"/>
          <w:szCs w:val="20"/>
          <w:color w:val="auto"/>
        </w:rPr>
      </w:pPr>
      <w:r>
        <w:rPr>
          <w:rFonts w:ascii="Times New Roman" w:cs="Times New Roman" w:eastAsia="Times New Roman" w:hAnsi="Times New Roman"/>
          <w:sz w:val="18"/>
          <w:szCs w:val="18"/>
          <w:color w:val="auto"/>
        </w:rPr>
        <w:t>See “Risk Factors” and other information included in this prospectus for a discussion of the risks you should carefully consider before investing in the ADSs.</w:t>
      </w:r>
    </w:p>
    <w:p>
      <w:pPr>
        <w:spacing w:after="0" w:line="149"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ind w:right="659"/>
        <w:spacing w:after="0" w:line="282" w:lineRule="auto"/>
        <w:rPr>
          <w:sz w:val="20"/>
          <w:szCs w:val="20"/>
          <w:color w:val="auto"/>
        </w:rPr>
      </w:pPr>
      <w:r>
        <w:rPr>
          <w:rFonts w:ascii="Times New Roman" w:cs="Times New Roman" w:eastAsia="Times New Roman" w:hAnsi="Times New Roman"/>
          <w:sz w:val="18"/>
          <w:szCs w:val="18"/>
          <w:color w:val="auto"/>
        </w:rPr>
        <w:t>We have applied to have the ADSs listed on the Nasdaq Capital Market under the symbol “TDTH.”</w:t>
      </w:r>
    </w:p>
    <w:p>
      <w:pPr>
        <w:spacing w:after="0" w:line="135"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Payment and settlement</w:t>
      </w:r>
    </w:p>
    <w:p>
      <w:pPr>
        <w:spacing w:after="0" w:line="20" w:lineRule="exact"/>
        <w:rPr>
          <w:sz w:val="20"/>
          <w:szCs w:val="20"/>
          <w:color w:val="auto"/>
        </w:rPr>
      </w:pPr>
      <w:r>
        <w:rPr>
          <w:sz w:val="20"/>
          <w:szCs w:val="20"/>
          <w:color w:val="auto"/>
        </w:rPr>
        <w:br w:type="column"/>
      </w:r>
    </w:p>
    <w:p>
      <w:pPr>
        <w:jc w:val="both"/>
        <w:ind w:right="659"/>
        <w:spacing w:after="0" w:line="289" w:lineRule="auto"/>
        <w:rPr>
          <w:sz w:val="20"/>
          <w:szCs w:val="20"/>
          <w:color w:val="auto"/>
        </w:rPr>
      </w:pPr>
      <w:r>
        <w:rPr>
          <w:rFonts w:ascii="Times New Roman" w:cs="Times New Roman" w:eastAsia="Times New Roman" w:hAnsi="Times New Roman"/>
          <w:sz w:val="17"/>
          <w:szCs w:val="17"/>
          <w:color w:val="auto"/>
        </w:rPr>
        <w:t>The Public Offering ADSs are expected to be delivered against payment on September 11, 2024. They will be registered in the name of a nominee of The Depository Trust Company, or DTC.</w:t>
      </w:r>
    </w:p>
    <w:p>
      <w:pPr>
        <w:spacing w:after="0" w:line="131"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211"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number of ordinary shares that will be issued and outstanding immediately after this offering:</w:t>
      </w:r>
    </w:p>
    <w:p>
      <w:pPr>
        <w:spacing w:after="0" w:line="169" w:lineRule="exact"/>
        <w:rPr>
          <w:sz w:val="20"/>
          <w:szCs w:val="20"/>
          <w:color w:val="auto"/>
        </w:rPr>
      </w:pPr>
    </w:p>
    <w:p>
      <w:pPr>
        <w:ind w:left="1400" w:hanging="42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501,964,286 issued and outstanding ordinary shares as of the date of this prospectus;</w:t>
      </w:r>
    </w:p>
    <w:p>
      <w:pPr>
        <w:spacing w:after="0" w:line="14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14,400,000 Class B ordinary shares in the form of ADSs that we will issue and sell in this offering, assuming no exercise of the underwriter’s over-allotment option;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784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678497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ind w:left="540" w:right="69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2023 and 2022 and summary consolidated balance sheet data as of December 31, 2023 and 2022 have been derived from our audited consolidated financial statements included elsewhere in this prospectus.</w:t>
      </w:r>
    </w:p>
    <w:p>
      <w:pPr>
        <w:spacing w:after="0" w:line="112" w:lineRule="exact"/>
        <w:rPr>
          <w:sz w:val="20"/>
          <w:szCs w:val="20"/>
          <w:color w:val="auto"/>
        </w:rPr>
      </w:pPr>
    </w:p>
    <w:p>
      <w:pPr>
        <w:ind w:left="540" w:right="79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06" w:lineRule="exact"/>
        <w:rPr>
          <w:sz w:val="20"/>
          <w:szCs w:val="20"/>
          <w:color w:val="auto"/>
        </w:rPr>
      </w:pPr>
    </w:p>
    <w:p>
      <w:pPr>
        <w:ind w:left="540" w:right="7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pacing w:after="0" w:line="1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1,483,109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1,262,899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(1,216,916)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(3,888,501)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136,576</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(expenses)/income, net</w:t>
            </w:r>
          </w:p>
        </w:tc>
        <w:tc>
          <w:tcPr>
            <w:tcW w:w="3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(4,774,087)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320" w:type="dxa"/>
            <w:vAlign w:val="bottom"/>
          </w:tcPr>
          <w:p>
            <w:pPr>
              <w:spacing w:after="0"/>
              <w:rPr>
                <w:sz w:val="22"/>
                <w:szCs w:val="22"/>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454,940,744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20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610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5610225"/>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18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1,808,603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1,046,187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80" w:type="dxa"/>
            <w:vAlign w:val="bottom"/>
          </w:tcPr>
          <w:p>
            <w:pPr>
              <w:spacing w:after="0"/>
              <w:rPr>
                <w:sz w:val="24"/>
                <w:szCs w:val="24"/>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2,012,025</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2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8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right="9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pacing w:after="0" w:line="1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7"/>
        </w:trPr>
        <w:tc>
          <w:tcPr>
            <w:tcW w:w="3500" w:type="dxa"/>
            <w:vAlign w:val="bottom"/>
            <w:gridSpan w:val="2"/>
          </w:tcPr>
          <w:p>
            <w:pPr>
              <w:spacing w:after="0"/>
              <w:rPr>
                <w:sz w:val="4"/>
                <w:szCs w:val="4"/>
                <w:color w:val="auto"/>
              </w:rPr>
            </w:pPr>
          </w:p>
        </w:tc>
        <w:tc>
          <w:tcPr>
            <w:tcW w:w="2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8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(4,942,098)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(609,946)</w:t>
            </w:r>
          </w:p>
        </w:tc>
        <w:tc>
          <w:tcPr>
            <w:tcW w:w="100" w:type="dxa"/>
            <w:vAlign w:val="bottom"/>
          </w:tcPr>
          <w:p>
            <w:pPr>
              <w:spacing w:after="0"/>
              <w:rPr>
                <w:sz w:val="21"/>
                <w:szCs w:val="21"/>
                <w:color w:val="auto"/>
              </w:rPr>
            </w:pPr>
          </w:p>
        </w:tc>
      </w:tr>
      <w:tr>
        <w:trPr>
          <w:trHeight w:val="243"/>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(73,885)</w:t>
            </w:r>
          </w:p>
        </w:tc>
        <w:tc>
          <w:tcPr>
            <w:tcW w:w="100" w:type="dxa"/>
            <w:vAlign w:val="bottom"/>
          </w:tcPr>
          <w:p>
            <w:pPr>
              <w:spacing w:after="0"/>
              <w:rPr>
                <w:sz w:val="21"/>
                <w:szCs w:val="21"/>
                <w:color w:val="auto"/>
              </w:rPr>
            </w:pPr>
          </w:p>
        </w:tc>
      </w:tr>
      <w:tr>
        <w:trPr>
          <w:trHeight w:val="40"/>
        </w:trPr>
        <w:tc>
          <w:tcPr>
            <w:tcW w:w="3500" w:type="dxa"/>
            <w:vAlign w:val="bottom"/>
            <w:gridSpan w:val="2"/>
          </w:tcPr>
          <w:p>
            <w:pPr>
              <w:spacing w:after="0"/>
              <w:rPr>
                <w:sz w:val="3"/>
                <w:szCs w:val="3"/>
                <w:color w:val="auto"/>
              </w:rPr>
            </w:pPr>
          </w:p>
        </w:tc>
        <w:tc>
          <w:tcPr>
            <w:tcW w:w="2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5,902,303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1,378,257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tcPr>
          <w:p>
            <w:pPr>
              <w:spacing w:after="0"/>
              <w:rPr>
                <w:sz w:val="22"/>
                <w:szCs w:val="22"/>
                <w:color w:val="auto"/>
              </w:rPr>
            </w:pPr>
          </w:p>
        </w:tc>
      </w:tr>
      <w:tr>
        <w:trPr>
          <w:trHeight w:val="27"/>
        </w:trPr>
        <w:tc>
          <w:tcPr>
            <w:tcW w:w="350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863,338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
        </w:trPr>
        <w:tc>
          <w:tcPr>
            <w:tcW w:w="8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945,265</w:t>
            </w:r>
          </w:p>
        </w:tc>
        <w:tc>
          <w:tcPr>
            <w:tcW w:w="14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8"/>
        </w:trPr>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rapid growth may not be sustainable or indicative of our future growth.</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fail to manage our infrastructure to support future growth.</w:t>
      </w:r>
    </w:p>
    <w:p>
      <w:pPr>
        <w:spacing w:after="0" w:line="16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89" w:lineRule="exact"/>
        <w:rPr>
          <w:sz w:val="20"/>
          <w:szCs w:val="20"/>
          <w:color w:val="auto"/>
        </w:rPr>
      </w:pPr>
    </w:p>
    <w:p>
      <w:pPr>
        <w:ind w:left="460" w:right="9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Currently, substantially all of our sales are to clients in the e-commerce, food and beverage, fintech, healthcare and service, wholesale and retail industries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spacing w:after="0" w:line="184" w:lineRule="exact"/>
        <w:rPr>
          <w:sz w:val="20"/>
          <w:szCs w:val="20"/>
          <w:color w:val="auto"/>
        </w:rPr>
      </w:pPr>
    </w:p>
    <w:p>
      <w:pPr>
        <w:ind w:left="4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solutions and services, our business and results of operations could be adversely affected.</w:t>
      </w:r>
    </w:p>
    <w:p>
      <w:pPr>
        <w:spacing w:after="0" w:line="9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ability to attract new clients and increase revenue from existing clients depends in part on our ability to enhance and improve our solutions and to introduce new features and services. For example, we introduced Tridentity, our Web 3.0-enabled e-commerce platform whereby customers and merchants can transact in a transparent and secure way, in December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spacing w:after="0" w:line="127" w:lineRule="exact"/>
        <w:rPr>
          <w:sz w:val="20"/>
          <w:szCs w:val="20"/>
          <w:color w:val="auto"/>
        </w:rPr>
      </w:pPr>
    </w:p>
    <w:p>
      <w:pPr>
        <w:jc w:val="both"/>
        <w:ind w:left="460" w:right="759" w:firstLine="432"/>
        <w:spacing w:after="0" w:line="272" w:lineRule="auto"/>
        <w:rPr>
          <w:sz w:val="20"/>
          <w:szCs w:val="20"/>
          <w:color w:val="auto"/>
        </w:rPr>
      </w:pPr>
      <w:r>
        <w:rPr>
          <w:rFonts w:ascii="Times New Roman" w:cs="Times New Roman" w:eastAsia="Times New Roman" w:hAnsi="Times New Roman"/>
          <w:sz w:val="17"/>
          <w:szCs w:val="17"/>
          <w:color w:val="auto"/>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w:t>
      </w:r>
    </w:p>
    <w:p>
      <w:pPr>
        <w:spacing w:after="0" w:line="2" w:lineRule="exact"/>
        <w:rPr>
          <w:sz w:val="20"/>
          <w:szCs w:val="20"/>
          <w:color w:val="auto"/>
        </w:rPr>
      </w:pPr>
    </w:p>
    <w:p>
      <w:pPr>
        <w:ind w:left="460" w:right="479"/>
        <w:spacing w:after="0" w:line="251" w:lineRule="auto"/>
        <w:rPr>
          <w:sz w:val="20"/>
          <w:szCs w:val="20"/>
          <w:color w:val="auto"/>
        </w:rPr>
      </w:pPr>
      <w:r>
        <w:rPr>
          <w:rFonts w:ascii="Times New Roman" w:cs="Times New Roman" w:eastAsia="Times New Roman" w:hAnsi="Times New Roman"/>
          <w:sz w:val="18"/>
          <w:szCs w:val="18"/>
          <w:color w:val="auto"/>
        </w:rPr>
        <w:t>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spacing w:after="0" w:line="190"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services or pricing models may not accurately reflect the optimal pricing necessary to attract new clients and retain existing clients as the market matures.</w:t>
      </w:r>
    </w:p>
    <w:p>
      <w:pPr>
        <w:spacing w:after="0" w:line="78"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spacing w:after="0" w:line="190"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spacing w:after="0" w:line="10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spacing w:after="0" w:line="185"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client support, if we experience complaints regarding our client support or if our support is more expensive than anticipated, our business and reputation could suffer.</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spacing w:after="0" w:line="183"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9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spacing w:after="0" w:line="193" w:lineRule="exact"/>
        <w:rPr>
          <w:sz w:val="20"/>
          <w:szCs w:val="20"/>
          <w:color w:val="auto"/>
        </w:rPr>
      </w:pPr>
    </w:p>
    <w:p>
      <w:pPr>
        <w:jc w:val="both"/>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9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spacing w:after="0" w:line="11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66" w:lineRule="auto"/>
        <w:rPr>
          <w:sz w:val="20"/>
          <w:szCs w:val="20"/>
          <w:color w:val="auto"/>
        </w:rPr>
      </w:pPr>
      <w:r>
        <w:rPr>
          <w:rFonts w:ascii="Times New Roman" w:cs="Times New Roman" w:eastAsia="Times New Roman" w:hAnsi="Times New Roman"/>
          <w:sz w:val="18"/>
          <w:szCs w:val="18"/>
          <w:color w:val="auto"/>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Further, in light of these advantages, even if our solutions and services are more effective than the offerings of our competitors, current or potential clients might accept our competitors’ offerings in lieu of purchasing our solutions and services.</w:t>
      </w:r>
    </w:p>
    <w:p>
      <w:pPr>
        <w:spacing w:after="0" w:line="10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spacing w:after="0" w:line="10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spacing w:after="0" w:line="183"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on an annual basis since we were founded, anticipate increasing our operating expenses in the future, and may not achieve or sustain profitability.</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incurred net loss of approximately US$4.77 million and US$1.13 million in 2023 and 2022, respectively. We must generate and sustain higher revenue levels in future periods to become profitable, and, even if we do, we may not be able to maintain or increase our profitability. We expect to continue to incur losses for the foreseeable future as we expend substantial financial and other resources on, among other things:</w:t>
      </w:r>
    </w:p>
    <w:p>
      <w:pPr>
        <w:spacing w:after="0" w:line="112" w:lineRule="exact"/>
        <w:rPr>
          <w:sz w:val="20"/>
          <w:szCs w:val="20"/>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expanding our direct sales team and online marketing programs;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development of new solutions and new features for, and enhancements of, our existing services;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and infrastructure organically and through acquisitions and strategic partnerships; and</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risk management, accounting, and other expenses related to being a public company.</w:t>
      </w:r>
    </w:p>
    <w:p>
      <w:pPr>
        <w:spacing w:after="0" w:line="8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spacing w:after="0" w:line="12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94"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108"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other risks described herein, factors that may affect our operating results include the following:</w:t>
      </w:r>
    </w:p>
    <w:p>
      <w:pPr>
        <w:spacing w:after="0" w:line="94" w:lineRule="exact"/>
        <w:rPr>
          <w:sz w:val="20"/>
          <w:szCs w:val="20"/>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digital solutions and e-commerce offerings;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retain and increase adoption by our existing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preference for cloud-based services as a result of security breaches in the industry or privacy concerns, or other security or reliability concerns regarding our solutions;</w:t>
      </w:r>
    </w:p>
    <w:p>
      <w:pPr>
        <w:spacing w:after="0" w:line="94"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in the timing of their budget and billing cycles and purchasing decisions;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implementation timeline of our solutions with new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and existing clients choosing our competitors’ solutions or developing their own solutions in-house;</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or introduction of new solutions that are easier to use or more advanced than our current solutions;</w:t>
      </w:r>
    </w:p>
    <w:p>
      <w:pPr>
        <w:spacing w:after="0" w:line="80"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or retention of more entrenched or rival services in the markets where we compete or plan to compete;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5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80"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share-based compensation, goodwill impairments and other non-cash charges;</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44"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as well as economic conditions specifically affecting industries in which our clients operate;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technical difficulties with, or interruptions to, the delivery and use of our solutions from our technology vendors, and/or our own developed technology;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and our reputation in our target markets.</w:t>
      </w:r>
    </w:p>
    <w:p>
      <w:pPr>
        <w:spacing w:after="0" w:line="14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incur indebtedness that could adversely affect our financial flexibility and expose us to risks that could materially adversely affect our liquidity and financial condition.</w:t>
      </w:r>
    </w:p>
    <w:p>
      <w:pPr>
        <w:spacing w:after="0" w:line="55"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US$0.25 million of outstanding principal amount of the term loans under our existing credit facility at interest rates which are subject to market fluctuation. These term loans gradually mature in 2024 to 2027. Our indebtedness and related obligations could have important future consequences to us, such as:</w:t>
      </w:r>
    </w:p>
    <w:p>
      <w:pPr>
        <w:spacing w:after="0" w:line="112" w:lineRule="exact"/>
        <w:rPr>
          <w:sz w:val="20"/>
          <w:szCs w:val="20"/>
          <w:color w:val="auto"/>
        </w:rPr>
      </w:pPr>
    </w:p>
    <w:p>
      <w:pPr>
        <w:ind w:left="1320" w:right="7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spacing w:after="0" w:line="94"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80"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if our future borrowings are at variable rates of interest, which could result in higher interest expense in the event of increases in interest rates.</w:t>
      </w:r>
    </w:p>
    <w:p>
      <w:pPr>
        <w:spacing w:after="0" w:line="95"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spacing w:after="0" w:line="188"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0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spacing w:after="0" w:line="190"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implement our growth strategies successfully which would limit our growth and cause the market price of our ADS to decline.</w:t>
      </w:r>
    </w:p>
    <w:p>
      <w:pPr>
        <w:spacing w:after="0" w:line="91" w:lineRule="exact"/>
        <w:rPr>
          <w:sz w:val="20"/>
          <w:szCs w:val="20"/>
          <w:color w:val="auto"/>
        </w:rPr>
      </w:pPr>
    </w:p>
    <w:p>
      <w:pPr>
        <w:ind w:left="460" w:right="1199" w:firstLine="432"/>
        <w:spacing w:after="0" w:line="282"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implement successfully our growth strategies. We expect to invest substantial amounts to:</w:t>
      </w:r>
    </w:p>
    <w:p>
      <w:pPr>
        <w:spacing w:after="0" w:line="81" w:lineRule="exact"/>
        <w:rPr>
          <w:sz w:val="20"/>
          <w:szCs w:val="20"/>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Tridentity offerings;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new solutions and add features and functionality to existing solutions;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salesforce and marketing to win new clients;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our existing clients;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verticals and markets;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acquisitions or strategic investments;</w:t>
      </w:r>
    </w:p>
    <w:p>
      <w:pPr>
        <w:spacing w:after="0" w:line="144"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systems architecture, scalability, availability, performance and network security;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and risk management.</w:t>
      </w:r>
    </w:p>
    <w:p>
      <w:pPr>
        <w:spacing w:after="0" w:line="158"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Our investment in these programs will affect adversely our short-term profitability. This would impact revenues adversely and cause our business to suffer.</w:t>
      </w:r>
    </w:p>
    <w:p>
      <w:pPr>
        <w:spacing w:after="0" w:line="15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entering new market segments or further penetrating our existing market segments, our revenue or revenue growth could be materially adversely affected.</w:t>
      </w:r>
    </w:p>
    <w:p>
      <w:pPr>
        <w:spacing w:after="0" w:line="7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spacing w:after="0" w:line="11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spacing w:after="0" w:line="160" w:lineRule="exact"/>
        <w:rPr>
          <w:sz w:val="20"/>
          <w:szCs w:val="20"/>
          <w:color w:val="auto"/>
        </w:rPr>
      </w:pPr>
    </w:p>
    <w:p>
      <w:pPr>
        <w:jc w:val="both"/>
        <w:ind w:left="4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spacing w:after="0" w:line="94"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16" w:lineRule="exact"/>
        <w:rPr>
          <w:sz w:val="20"/>
          <w:szCs w:val="20"/>
          <w:color w:val="auto"/>
        </w:rPr>
      </w:pPr>
    </w:p>
    <w:p>
      <w:pPr>
        <w:ind w:left="1320" w:right="579" w:hanging="434"/>
        <w:spacing w:after="0" w:line="258"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spacing w:after="0" w:line="115" w:lineRule="exact"/>
        <w:rPr>
          <w:rFonts w:ascii="Times New Roman" w:cs="Times New Roman" w:eastAsia="Times New Roman" w:hAnsi="Times New Roman"/>
          <w:sz w:val="18"/>
          <w:szCs w:val="18"/>
          <w:color w:val="auto"/>
        </w:rPr>
      </w:pPr>
    </w:p>
    <w:p>
      <w:pPr>
        <w:jc w:val="both"/>
        <w:ind w:left="1320" w:right="599" w:hanging="434"/>
        <w:spacing w:after="0" w:line="266"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solutions, personnel or operations of any company that we acquire, particularly if key personnel of the acquired company decide not to work for 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57"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business;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would limit other potential uses for our cash;</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financial maintenance covenants; and</w:t>
      </w:r>
    </w:p>
    <w:p>
      <w:pPr>
        <w:spacing w:after="0" w:line="67"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shareholders may be diluted and earnings per share may decrease.</w:t>
      </w:r>
    </w:p>
    <w:p>
      <w:pPr>
        <w:spacing w:after="0" w:line="67"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81"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spacing w:after="0" w:line="189" w:lineRule="exact"/>
        <w:rPr>
          <w:sz w:val="20"/>
          <w:szCs w:val="20"/>
          <w:color w:val="auto"/>
        </w:rPr>
      </w:pPr>
    </w:p>
    <w:p>
      <w:pPr>
        <w:ind w:left="4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infrastructure may adversely affect our business, results of operations and financial condition.</w:t>
      </w:r>
    </w:p>
    <w:p>
      <w:pPr>
        <w:spacing w:after="0" w:line="6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spacing w:after="0" w:line="186" w:lineRule="exact"/>
        <w:rPr>
          <w:sz w:val="20"/>
          <w:szCs w:val="20"/>
          <w:color w:val="auto"/>
        </w:rPr>
      </w:pPr>
    </w:p>
    <w:p>
      <w:pPr>
        <w:ind w:left="46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reliable performance of Internet infrastructure, bandwidth providers, data center providers, cloud providers, mobile infrastructure, and other third parties.</w:t>
      </w:r>
    </w:p>
    <w:p>
      <w:pPr>
        <w:spacing w:after="0" w:line="6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9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spacing w:after="0" w:line="123"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85" w:lineRule="exact"/>
        <w:rPr>
          <w:sz w:val="20"/>
          <w:szCs w:val="20"/>
          <w:color w:val="auto"/>
        </w:rPr>
      </w:pPr>
    </w:p>
    <w:p>
      <w:pPr>
        <w:ind w:left="4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or proprietary rights could substantially harm our business and results of operations.</w:t>
      </w:r>
    </w:p>
    <w:p>
      <w:pPr>
        <w:spacing w:after="0" w:line="9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As of December 31, 2023, we have one registered trademark in Singapore. See “</w:t>
      </w:r>
      <w:r>
        <w:rPr>
          <w:rFonts w:ascii="Times New Roman" w:cs="Times New Roman" w:eastAsia="Times New Roman" w:hAnsi="Times New Roman"/>
          <w:sz w:val="18"/>
          <w:szCs w:val="18"/>
          <w:i w:val="1"/>
          <w:iCs w:val="1"/>
          <w:color w:val="auto"/>
        </w:rPr>
        <w:t>Business — Intellectual Property.</w:t>
      </w:r>
      <w:r>
        <w:rPr>
          <w:rFonts w:ascii="Times New Roman" w:cs="Times New Roman" w:eastAsia="Times New Roman" w:hAnsi="Times New Roman"/>
          <w:sz w:val="18"/>
          <w:szCs w:val="18"/>
          <w:color w:val="auto"/>
        </w:rPr>
        <w:t>” Any use of trademarks by third parties which are similar or identical to ours may also result in imitation of our platform, which may adversely affect our business, prospects, financial condition and results of operation.</w:t>
      </w:r>
    </w:p>
    <w:p>
      <w:pPr>
        <w:spacing w:after="0" w:line="9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spacing w:after="0" w:line="12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66" w:lineRule="auto"/>
        <w:rPr>
          <w:sz w:val="20"/>
          <w:szCs w:val="20"/>
          <w:color w:val="auto"/>
        </w:rPr>
      </w:pPr>
      <w:r>
        <w:rPr>
          <w:rFonts w:ascii="Times New Roman" w:cs="Times New Roman" w:eastAsia="Times New Roman" w:hAnsi="Times New Roman"/>
          <w:sz w:val="18"/>
          <w:szCs w:val="18"/>
          <w:color w:val="auto"/>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rely on certain technology and software licensed from third parties.</w:t>
      </w:r>
    </w:p>
    <w:p>
      <w:pPr>
        <w:spacing w:after="0" w:line="162" w:lineRule="exact"/>
        <w:rPr>
          <w:sz w:val="20"/>
          <w:szCs w:val="20"/>
          <w:color w:val="auto"/>
        </w:rPr>
      </w:pPr>
    </w:p>
    <w:p>
      <w:pPr>
        <w:jc w:val="both"/>
        <w:ind w:left="460" w:right="679" w:firstLine="432"/>
        <w:spacing w:after="0" w:line="257" w:lineRule="auto"/>
        <w:rPr>
          <w:sz w:val="20"/>
          <w:szCs w:val="20"/>
          <w:color w:val="auto"/>
        </w:rPr>
      </w:pPr>
      <w:r>
        <w:rPr>
          <w:rFonts w:ascii="Times New Roman" w:cs="Times New Roman" w:eastAsia="Times New Roman" w:hAnsi="Times New Roman"/>
          <w:sz w:val="18"/>
          <w:szCs w:val="18"/>
          <w:color w:val="auto"/>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w:t>
      </w:r>
    </w:p>
    <w:p>
      <w:pPr>
        <w:spacing w:after="0" w:line="1" w:lineRule="exact"/>
        <w:rPr>
          <w:sz w:val="20"/>
          <w:szCs w:val="20"/>
          <w:color w:val="auto"/>
        </w:rPr>
      </w:pPr>
    </w:p>
    <w:p>
      <w:pPr>
        <w:ind w:left="460" w:right="699"/>
        <w:spacing w:after="0" w:line="252" w:lineRule="auto"/>
        <w:rPr>
          <w:sz w:val="20"/>
          <w:szCs w:val="20"/>
          <w:color w:val="auto"/>
        </w:rPr>
      </w:pPr>
      <w:r>
        <w:rPr>
          <w:rFonts w:ascii="Times New Roman" w:cs="Times New Roman" w:eastAsia="Times New Roman" w:hAnsi="Times New Roman"/>
          <w:sz w:val="18"/>
          <w:szCs w:val="18"/>
          <w:color w:val="auto"/>
        </w:rPr>
        <w:t>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spacing w:after="0" w:line="12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spacing w:after="0" w:line="179" w:lineRule="exact"/>
        <w:rPr>
          <w:sz w:val="20"/>
          <w:szCs w:val="20"/>
          <w:color w:val="auto"/>
        </w:rPr>
      </w:pPr>
    </w:p>
    <w:p>
      <w:pPr>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of our services and technologies may use “open source” software, which may restrict how we use or distribute our services or require that we release the source code of certain solutions subject to those licenses.</w:t>
      </w:r>
    </w:p>
    <w:p>
      <w:pPr>
        <w:spacing w:after="0" w:line="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83" w:lineRule="exact"/>
        <w:rPr>
          <w:sz w:val="20"/>
          <w:szCs w:val="20"/>
          <w:color w:val="auto"/>
        </w:rPr>
      </w:pPr>
    </w:p>
    <w:p>
      <w:pPr>
        <w:ind w:left="46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3"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7" w:lineRule="auto"/>
        <w:rPr>
          <w:sz w:val="20"/>
          <w:szCs w:val="20"/>
          <w:color w:val="auto"/>
        </w:rPr>
      </w:pPr>
      <w:r>
        <w:rPr>
          <w:rFonts w:ascii="Times New Roman" w:cs="Times New Roman" w:eastAsia="Times New Roman" w:hAnsi="Times New Roman"/>
          <w:sz w:val="17"/>
          <w:szCs w:val="17"/>
          <w:color w:val="auto"/>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72" w:lineRule="exact"/>
        <w:rPr>
          <w:sz w:val="20"/>
          <w:szCs w:val="20"/>
          <w:color w:val="auto"/>
        </w:rPr>
      </w:pPr>
    </w:p>
    <w:p>
      <w:pPr>
        <w:ind w:left="460" w:right="7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senior management team and highly skilled personnel; if we are unable to retain or motivate key personnel or hire, retain and motivate qualified personnel, our business would be harmed.</w:t>
      </w:r>
    </w:p>
    <w:p>
      <w:pPr>
        <w:spacing w:after="0" w:line="10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spacing w:after="0" w:line="11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89" w:lineRule="auto"/>
        <w:rPr>
          <w:sz w:val="20"/>
          <w:szCs w:val="20"/>
          <w:color w:val="auto"/>
        </w:rPr>
      </w:pPr>
      <w:r>
        <w:rPr>
          <w:rFonts w:ascii="Times New Roman" w:cs="Times New Roman" w:eastAsia="Times New Roman" w:hAnsi="Times New Roman"/>
          <w:sz w:val="17"/>
          <w:szCs w:val="17"/>
          <w:color w:val="auto"/>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spacing w:after="0" w:line="154"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7"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91" w:lineRule="exact"/>
        <w:rPr>
          <w:sz w:val="20"/>
          <w:szCs w:val="20"/>
          <w:color w:val="auto"/>
        </w:rPr>
      </w:pPr>
    </w:p>
    <w:p>
      <w:pPr>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0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109"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62"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Jurisdictions Where We Operate</w:t>
      </w:r>
    </w:p>
    <w:p>
      <w:pPr>
        <w:spacing w:after="0" w:line="225" w:lineRule="exact"/>
        <w:rPr>
          <w:sz w:val="20"/>
          <w:szCs w:val="20"/>
          <w:color w:val="auto"/>
        </w:rPr>
      </w:pPr>
    </w:p>
    <w:p>
      <w:pPr>
        <w:ind w:left="4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4" w:lineRule="exact"/>
        <w:rPr>
          <w:sz w:val="20"/>
          <w:szCs w:val="20"/>
          <w:color w:val="auto"/>
        </w:rPr>
      </w:pPr>
    </w:p>
    <w:p>
      <w:pPr>
        <w:ind w:left="4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in respect of acts of war, terrorist attacks, epidemics, political unrest, natural disasters, adverse weather and other uncontrollable events.</w:t>
      </w:r>
    </w:p>
    <w:p>
      <w:pPr>
        <w:spacing w:after="0" w:line="9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spacing w:after="0" w:line="184" w:lineRule="exact"/>
        <w:rPr>
          <w:sz w:val="20"/>
          <w:szCs w:val="20"/>
          <w:color w:val="auto"/>
        </w:rPr>
      </w:pPr>
    </w:p>
    <w:p>
      <w:pPr>
        <w:ind w:left="4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and policies, and any actual or perceived failure to comply could harm our reputation and brand, subject us to significant fines and liability, or otherwise adversely affect our business.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225" w:lineRule="exact"/>
        <w:rPr>
          <w:sz w:val="20"/>
          <w:szCs w:val="20"/>
          <w:color w:val="auto"/>
        </w:rPr>
      </w:pPr>
    </w:p>
    <w:p>
      <w:pPr>
        <w:ind w:left="4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our ADSs may not develop and the trading price for our ADSs may fluctuate significantly.</w:t>
      </w:r>
    </w:p>
    <w:p>
      <w:pPr>
        <w:spacing w:after="0" w:line="78"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88" w:lineRule="exact"/>
        <w:rPr>
          <w:sz w:val="20"/>
          <w:szCs w:val="20"/>
          <w:color w:val="auto"/>
        </w:rPr>
      </w:pPr>
    </w:p>
    <w:p>
      <w:pPr>
        <w:ind w:left="4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9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2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85"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9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our founder, chairman of board of directors and chief executive officer, Mr. Soon Huat Lim, will together beneficially own all of our issued Class A ordinary shares. These Class A ordinary shares will constitute approximately 9.7% of our total issued and outstanding share capital immediately after the completion of this offering and 86.5%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ADSs.</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86" w:lineRule="exact"/>
        <w:rPr>
          <w:sz w:val="20"/>
          <w:szCs w:val="20"/>
          <w:color w:val="auto"/>
        </w:rPr>
      </w:pPr>
    </w:p>
    <w:p>
      <w:pPr>
        <w:jc w:val="both"/>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07"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9" w:lineRule="exact"/>
        <w:rPr>
          <w:sz w:val="20"/>
          <w:szCs w:val="20"/>
          <w:color w:val="auto"/>
        </w:rPr>
      </w:pPr>
    </w:p>
    <w:p>
      <w:pPr>
        <w:ind w:left="4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99"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89"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91"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of the Public Offering ADSs.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89" w:lineRule="auto"/>
        <w:rPr>
          <w:sz w:val="20"/>
          <w:szCs w:val="20"/>
          <w:color w:val="auto"/>
        </w:rPr>
      </w:pPr>
      <w:r>
        <w:rPr>
          <w:rFonts w:ascii="Times New Roman" w:cs="Times New Roman" w:eastAsia="Times New Roman" w:hAnsi="Times New Roman"/>
          <w:sz w:val="17"/>
          <w:szCs w:val="17"/>
          <w:color w:val="auto"/>
        </w:rPr>
        <w:t>In addition, you may experience 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spacing w:after="0" w:line="140" w:lineRule="exact"/>
        <w:rPr>
          <w:sz w:val="20"/>
          <w:szCs w:val="20"/>
          <w:color w:val="auto"/>
        </w:rPr>
      </w:pPr>
    </w:p>
    <w:p>
      <w:pPr>
        <w:ind w:left="4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of the Public Offering ADSs and we may use these proceeds in ways with which you may not agree.</w:t>
      </w:r>
    </w:p>
    <w:p>
      <w:pPr>
        <w:spacing w:after="0" w:line="6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of the Public Offering ADSs,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of the Public Offering ADSs.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171"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64"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7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contain anti-takeover provisions that could have a material adverse effect on the rights of holders of our ordinary shares and the ADSs.</w:t>
      </w:r>
    </w:p>
    <w:p>
      <w:pPr>
        <w:spacing w:after="0" w:line="6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78"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9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499"/>
        <w:spacing w:after="0" w:line="267" w:lineRule="auto"/>
        <w:rPr>
          <w:sz w:val="20"/>
          <w:szCs w:val="20"/>
          <w:color w:val="auto"/>
        </w:rPr>
      </w:pPr>
      <w:r>
        <w:rPr>
          <w:rFonts w:ascii="Times New Roman" w:cs="Times New Roman" w:eastAsia="Times New Roman" w:hAnsi="Times New Roman"/>
          <w:sz w:val="17"/>
          <w:szCs w:val="17"/>
          <w:color w:val="auto"/>
        </w:rPr>
        <w:t>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spacing w:after="0" w:line="397" w:lineRule="exact"/>
        <w:rPr>
          <w:sz w:val="20"/>
          <w:szCs w:val="20"/>
          <w:color w:val="auto"/>
        </w:rPr>
      </w:pPr>
    </w:p>
    <w:p>
      <w:pPr>
        <w:jc w:val="both"/>
        <w:ind w:left="4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6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08" w:lineRule="exact"/>
        <w:rPr>
          <w:sz w:val="20"/>
          <w:szCs w:val="20"/>
          <w:color w:val="auto"/>
        </w:rPr>
      </w:pPr>
    </w:p>
    <w:p>
      <w:pPr>
        <w:ind w:left="1320" w:right="779" w:hanging="434"/>
        <w:spacing w:after="0" w:line="266"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poll, the depository bank will vote (or cause the custodian to vote) the ordinary shares held on deposit in accordance with the voting instructions received from the holders of ADSs.</w:t>
      </w:r>
    </w:p>
    <w:p>
      <w:pPr>
        <w:spacing w:after="0" w:line="108"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9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10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spacing w:after="0" w:line="9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35" w:lineRule="exact"/>
        <w:rPr>
          <w:sz w:val="20"/>
          <w:szCs w:val="20"/>
          <w:color w:val="auto"/>
        </w:rPr>
      </w:pPr>
    </w:p>
    <w:p>
      <w:pPr>
        <w:ind w:left="460" w:right="1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w:t>
      </w:r>
    </w:p>
    <w:p>
      <w:pPr>
        <w:spacing w:after="0" w:line="7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47"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4"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3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519"/>
        <w:spacing w:after="0" w:line="261" w:lineRule="auto"/>
        <w:rPr>
          <w:sz w:val="20"/>
          <w:szCs w:val="20"/>
          <w:color w:val="auto"/>
        </w:rPr>
      </w:pPr>
      <w:r>
        <w:rPr>
          <w:rFonts w:ascii="Times New Roman" w:cs="Times New Roman" w:eastAsia="Times New Roman" w:hAnsi="Times New Roman"/>
          <w:sz w:val="18"/>
          <w:szCs w:val="18"/>
          <w:color w:val="auto"/>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62"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4" w:lineRule="exact"/>
        <w:rPr>
          <w:sz w:val="20"/>
          <w:szCs w:val="20"/>
          <w:color w:val="auto"/>
        </w:rPr>
      </w:pPr>
    </w:p>
    <w:p>
      <w:pPr>
        <w:ind w:left="460" w:right="1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7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4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79"/>
        <w:spacing w:after="0" w:line="256" w:lineRule="auto"/>
        <w:rPr>
          <w:sz w:val="20"/>
          <w:szCs w:val="20"/>
          <w:color w:val="auto"/>
        </w:rPr>
      </w:pPr>
      <w:r>
        <w:rPr>
          <w:rFonts w:ascii="Times New Roman" w:cs="Times New Roman" w:eastAsia="Times New Roman" w:hAnsi="Times New Roman"/>
          <w:sz w:val="18"/>
          <w:szCs w:val="18"/>
          <w:color w:val="auto"/>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spacing w:after="0" w:line="183" w:lineRule="exact"/>
        <w:rPr>
          <w:sz w:val="20"/>
          <w:szCs w:val="20"/>
          <w:color w:val="auto"/>
        </w:rPr>
      </w:pPr>
    </w:p>
    <w:p>
      <w:pPr>
        <w:ind w:left="4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91"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B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spacing w:after="0" w:line="12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w:t>
      </w:r>
    </w:p>
    <w:p>
      <w:pPr>
        <w:spacing w:after="0" w:line="2"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0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2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76" w:lineRule="exact"/>
        <w:rPr>
          <w:sz w:val="20"/>
          <w:szCs w:val="20"/>
          <w:color w:val="auto"/>
        </w:rPr>
      </w:pPr>
    </w:p>
    <w:p>
      <w:pPr>
        <w:ind w:left="4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the Cayman Islands, we are permitted to adopt certain home country practices in relation to corporate governance matters that differ significantly from the Nasdaq Stock Market Rules.</w:t>
      </w:r>
    </w:p>
    <w:p>
      <w:pPr>
        <w:spacing w:after="0" w:line="68" w:lineRule="exact"/>
        <w:rPr>
          <w:sz w:val="20"/>
          <w:szCs w:val="20"/>
          <w:color w:val="auto"/>
        </w:rPr>
      </w:pPr>
    </w:p>
    <w:p>
      <w:pPr>
        <w:jc w:val="both"/>
        <w:ind w:left="460" w:right="579" w:firstLine="432"/>
        <w:spacing w:after="0" w:line="272" w:lineRule="auto"/>
        <w:rPr>
          <w:sz w:val="20"/>
          <w:szCs w:val="20"/>
          <w:color w:val="auto"/>
        </w:rPr>
      </w:pPr>
      <w:r>
        <w:rPr>
          <w:rFonts w:ascii="Times New Roman" w:cs="Times New Roman" w:eastAsia="Times New Roman" w:hAnsi="Times New Roman"/>
          <w:sz w:val="17"/>
          <w:szCs w:val="17"/>
          <w:color w:val="auto"/>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w:t>
      </w:r>
    </w:p>
    <w:p>
      <w:pPr>
        <w:spacing w:after="0" w:line="2" w:lineRule="exact"/>
        <w:rPr>
          <w:sz w:val="20"/>
          <w:szCs w:val="20"/>
          <w:color w:val="auto"/>
        </w:rPr>
      </w:pPr>
    </w:p>
    <w:p>
      <w:pPr>
        <w:jc w:val="both"/>
        <w:ind w:left="460" w:right="519"/>
        <w:spacing w:after="0" w:line="255" w:lineRule="auto"/>
        <w:rPr>
          <w:sz w:val="20"/>
          <w:szCs w:val="20"/>
          <w:color w:val="auto"/>
        </w:rPr>
      </w:pPr>
      <w:r>
        <w:rPr>
          <w:rFonts w:ascii="Times New Roman" w:cs="Times New Roman" w:eastAsia="Times New Roman" w:hAnsi="Times New Roman"/>
          <w:sz w:val="18"/>
          <w:szCs w:val="18"/>
          <w:color w:val="auto"/>
        </w:rPr>
        <w:t>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05" w:lineRule="exact"/>
        <w:rPr>
          <w:sz w:val="20"/>
          <w:szCs w:val="20"/>
          <w:color w:val="auto"/>
        </w:rPr>
      </w:pPr>
    </w:p>
    <w:p>
      <w:pPr>
        <w:jc w:val="both"/>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4" w:lineRule="exact"/>
        <w:rPr>
          <w:sz w:val="20"/>
          <w:szCs w:val="20"/>
          <w:color w:val="auto"/>
        </w:rPr>
      </w:pPr>
    </w:p>
    <w:p>
      <w:pPr>
        <w:ind w:left="460" w:right="479" w:firstLine="432"/>
        <w:spacing w:after="0" w:line="312" w:lineRule="auto"/>
        <w:rPr>
          <w:sz w:val="20"/>
          <w:szCs w:val="20"/>
          <w:color w:val="auto"/>
        </w:rPr>
      </w:pPr>
      <w:r>
        <w:rPr>
          <w:rFonts w:ascii="Times New Roman" w:cs="Times New Roman" w:eastAsia="Times New Roman" w:hAnsi="Times New Roman"/>
          <w:sz w:val="17"/>
          <w:szCs w:val="17"/>
          <w:color w:val="auto"/>
        </w:rPr>
        <w:t>Because we are a foreign private issuer under the Exchange Act, we are exempt from certain provisions of the securities rules and regulations in the United States that are applicable to U.S. domestic issuers, including:</w:t>
      </w:r>
    </w:p>
    <w:p>
      <w:pPr>
        <w:spacing w:after="0" w:line="32" w:lineRule="exact"/>
        <w:rPr>
          <w:sz w:val="20"/>
          <w:szCs w:val="20"/>
          <w:color w:val="auto"/>
        </w:rPr>
      </w:pPr>
    </w:p>
    <w:p>
      <w:pPr>
        <w:ind w:left="1320" w:right="6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53"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320" w:right="499" w:hanging="434"/>
        <w:spacing w:after="0" w:line="312" w:lineRule="auto"/>
        <w:tabs>
          <w:tab w:leader="none" w:pos="13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liability for insiders who profit from trades made in a short period of time;</w:t>
      </w:r>
    </w:p>
    <w:p>
      <w:pPr>
        <w:spacing w:after="0" w:line="31"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selective disclosure rules by issuers of material nonpublic information under Regulation FD; and</w:t>
      </w:r>
    </w:p>
    <w:p>
      <w:pPr>
        <w:spacing w:after="0" w:line="128"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13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08" w:lineRule="exact"/>
        <w:rPr>
          <w:sz w:val="20"/>
          <w:szCs w:val="20"/>
          <w:color w:val="auto"/>
        </w:rPr>
      </w:pPr>
    </w:p>
    <w:p>
      <w:pPr>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spacing w:after="0" w:line="160" w:lineRule="exact"/>
        <w:rPr>
          <w:sz w:val="20"/>
          <w:szCs w:val="20"/>
          <w:color w:val="auto"/>
        </w:rPr>
      </w:pPr>
    </w:p>
    <w:p>
      <w:pPr>
        <w:jc w:val="both"/>
        <w:ind w:left="460" w:right="9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4"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We will be a “controlled company” as defined under the Nasdaq Stock Market Rules upon the completion of this offering. Upon the completion of this offering, Mr. Soon Huat Lim, our founder, chairman of board of directors and chief executive officer will beneficially own 48.7% of our total issued and outstanding ordinary shares, representing 92.4% of the total voting power, assuming no exercise of the underwriter’s over-allotment option. As a result, Mr. Soon Huat Lim will have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including the proceeds from this offering of the Public Offering ADSs,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2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w:t>
      </w:r>
    </w:p>
    <w:p>
      <w:pPr>
        <w:spacing w:after="0" w:line="148" w:lineRule="exact"/>
        <w:rPr>
          <w:sz w:val="20"/>
          <w:szCs w:val="20"/>
          <w:color w:val="auto"/>
        </w:rPr>
      </w:pPr>
    </w:p>
    <w:p>
      <w:pPr>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Upon the completion of this offering, we will become a public company and expect to incur significant legal, accounting and other expenses that we did not incur as a private company. The Sarbanes-Oxley</w:t>
      </w:r>
    </w:p>
    <w:p>
      <w:pPr>
        <w:spacing w:after="0" w:line="1"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4" w:lineRule="exact"/>
        <w:rPr>
          <w:sz w:val="20"/>
          <w:szCs w:val="20"/>
          <w:color w:val="auto"/>
        </w:rPr>
      </w:pPr>
    </w:p>
    <w:p>
      <w:pPr>
        <w:ind w:left="460" w:right="979" w:firstLine="432"/>
        <w:spacing w:after="0" w:line="266" w:lineRule="auto"/>
        <w:rPr>
          <w:sz w:val="20"/>
          <w:szCs w:val="20"/>
          <w:color w:val="auto"/>
        </w:rPr>
      </w:pPr>
      <w:r>
        <w:rPr>
          <w:rFonts w:ascii="Times New Roman" w:cs="Times New Roman" w:eastAsia="Times New Roman" w:hAnsi="Times New Roman"/>
          <w:sz w:val="18"/>
          <w:szCs w:val="18"/>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72" w:lineRule="exact"/>
        <w:rPr>
          <w:sz w:val="20"/>
          <w:szCs w:val="20"/>
          <w:color w:val="auto"/>
        </w:rPr>
      </w:pPr>
    </w:p>
    <w:p>
      <w:pPr>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13"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spacing w:after="0" w:line="108"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 ii) lack of robust and formal period-end financial reporting policies and procedures in place to address complex U.S. GAAP technical accounting and the SEC reporting requirements; and iii) lack of sufficient controls designed and implemented in IT environment and IT general control activities, mainly associated with areas of access logical security, system change management, IT operations and cyber security monitoring activities.</w:t>
      </w:r>
    </w:p>
    <w:p>
      <w:pPr>
        <w:spacing w:after="0" w:line="127" w:lineRule="exact"/>
        <w:rPr>
          <w:sz w:val="20"/>
          <w:szCs w:val="20"/>
          <w:color w:val="auto"/>
        </w:rPr>
      </w:pPr>
    </w:p>
    <w:p>
      <w:pPr>
        <w:ind w:left="460" w:right="539" w:firstLine="432"/>
        <w:spacing w:after="0" w:line="312" w:lineRule="auto"/>
        <w:rPr>
          <w:sz w:val="20"/>
          <w:szCs w:val="20"/>
          <w:color w:val="auto"/>
        </w:rPr>
      </w:pPr>
      <w:r>
        <w:rPr>
          <w:rFonts w:ascii="Times New Roman" w:cs="Times New Roman" w:eastAsia="Times New Roman" w:hAnsi="Times New Roman"/>
          <w:sz w:val="17"/>
          <w:szCs w:val="17"/>
          <w:color w:val="auto"/>
        </w:rPr>
        <w:t>In response to the material weaknesses identified prior to this offering, we are in the process of implementing a number of measures to address the material weaknesses identified, including but not limited to:</w:t>
      </w:r>
    </w:p>
    <w:p>
      <w:pPr>
        <w:spacing w:after="0" w:line="72" w:lineRule="exact"/>
        <w:rPr>
          <w:sz w:val="20"/>
          <w:szCs w:val="20"/>
          <w:color w:val="auto"/>
        </w:rPr>
      </w:pPr>
    </w:p>
    <w:p>
      <w:pPr>
        <w:ind w:left="1320" w:right="10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comprehensive set of processes and internal controls to timely and appropriately;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transactions that may be subject to complex U.S. GAAP accounting treatment;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the transactions in accordance with the relevant U.S. GAAP;</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accounting technical analysis;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ongoing training program to provide sufficient and appropriate trainings for accounting and financial reporting personnel, including trainings related to U.S. GAAP and SEC reporting requirements.</w:t>
      </w:r>
    </w:p>
    <w:p>
      <w:pPr>
        <w:spacing w:after="0" w:line="108" w:lineRule="exact"/>
        <w:rPr>
          <w:rFonts w:ascii="Times New Roman" w:cs="Times New Roman" w:eastAsia="Times New Roman" w:hAnsi="Times New Roman"/>
          <w:sz w:val="18"/>
          <w:szCs w:val="18"/>
          <w:color w:val="auto"/>
        </w:rPr>
      </w:pPr>
    </w:p>
    <w:p>
      <w:pPr>
        <w:jc w:val="both"/>
        <w:ind w:left="1320" w:right="799" w:hanging="434"/>
        <w:spacing w:after="0" w:line="312" w:lineRule="auto"/>
        <w:tabs>
          <w:tab w:leader="none" w:pos="13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strengthening the supervision and controls on the IT functions, including the enhancement of IT security policies and procedures setup, logical security, data backup and cyber security training.</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spacing w:after="0" w:line="127"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3"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78"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90"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9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73" w:lineRule="auto"/>
        <w:rPr>
          <w:sz w:val="20"/>
          <w:szCs w:val="20"/>
          <w:color w:val="auto"/>
        </w:rPr>
      </w:pPr>
      <w:r>
        <w:rPr>
          <w:rFonts w:ascii="Times New Roman" w:cs="Times New Roman" w:eastAsia="Times New Roman" w:hAnsi="Times New Roman"/>
          <w:sz w:val="17"/>
          <w:szCs w:val="17"/>
          <w:color w:val="auto"/>
        </w:rPr>
        <w:t>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could be subject to rapid and substantial volatility.</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spacing w:after="0" w:line="12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spacing w:after="0" w:line="188" w:lineRule="exact"/>
        <w:rPr>
          <w:sz w:val="20"/>
          <w:szCs w:val="20"/>
          <w:color w:val="auto"/>
        </w:rPr>
      </w:pPr>
    </w:p>
    <w:p>
      <w:pPr>
        <w:ind w:left="4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may be substantial sales of our ADSs by the Selling Shareholder after the effective date of this registration statement of which this prospectus forms a part, which could have a material adverse effect on the price of our ADSs after this offering of Public Offering ADSs.</w:t>
      </w:r>
    </w:p>
    <w:p>
      <w:pPr>
        <w:spacing w:after="0" w:line="9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also registers on behalf of the Selling Shareholder an aggregate of 3,125,000 ADSs representing 25,000,000 Class B ordinary shares. The Selling Shareholder, however, will not be required to sell any or all of its respective Shareholder ADSs or, conversely, the Selling Shareholder may choose to sell its respective Shareholder ADSs at its own initiative. Sales of a substantial number of ADSs representing our Class B ordinary shares by the Selling Shareholder after the effective date of the registration statement of which this prospectus forms a part could cause the market price of our ADSs to drop (possibly below the initial public offering price of the Public Offering ADSs in this offering of Public Offering ADSs) and could impair our ability to raise capital in the future by selling additional Company securities.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148"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0" w:lineRule="exact"/>
        <w:rPr>
          <w:sz w:val="20"/>
          <w:szCs w:val="20"/>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digital solutions and e-commerce market in Singapore, Southeast Asia and globally;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Singapore, Southeast Asia and globally.</w:t>
      </w:r>
    </w:p>
    <w:p>
      <w:pPr>
        <w:spacing w:after="0" w:line="15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24"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spacing w:after="0" w:line="108" w:lineRule="exact"/>
        <w:rPr>
          <w:sz w:val="20"/>
          <w:szCs w:val="20"/>
          <w:color w:val="auto"/>
        </w:rPr>
      </w:pPr>
    </w:p>
    <w:p>
      <w:pPr>
        <w:jc w:val="both"/>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We estimate that we will receive the aggregate net proceeds of approximately US$6.50 million from this offering of the Public Offering ADSs, after deducting underwriting discounts, commissions, non-accountable expense allowance and estimated unpaid expenses payable by us in connection with this offering, and at the initial offering price of US$5.00 per ADS. Assuming the number of ADSs offered by us as set forth on the cover page of this prospectus remains the same, and after deduction of underwriting discounts and estimated expenses payable by us in connection with this offering, a US$1.00 increase (decrease) in the initial public offering price of US$5.00 per ADS would increase (decrease) the net proceeds of this offering of the Public Offering ADSs by approximately US$1.656 million.</w:t>
      </w:r>
    </w:p>
    <w:p>
      <w:pPr>
        <w:spacing w:after="0" w:line="124" w:lineRule="exact"/>
        <w:rPr>
          <w:sz w:val="20"/>
          <w:szCs w:val="20"/>
          <w:color w:val="auto"/>
        </w:rPr>
      </w:pPr>
    </w:p>
    <w:p>
      <w:pPr>
        <w:ind w:left="460" w:right="959"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Shareholder ADSs by the Selling Shareholder pursuant to the Resale Prospectus.</w:t>
      </w:r>
    </w:p>
    <w:p>
      <w:pPr>
        <w:spacing w:after="0" w:line="9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of the Public Offering ADSs for the following purposes:</w:t>
      </w:r>
    </w:p>
    <w:p>
      <w:pPr>
        <w:spacing w:after="0" w:line="99" w:lineRule="exact"/>
        <w:rPr>
          <w:sz w:val="20"/>
          <w:szCs w:val="20"/>
          <w:color w:val="auto"/>
        </w:rPr>
      </w:pPr>
    </w:p>
    <w:p>
      <w:pPr>
        <w:ind w:left="1320" w:right="7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of the net proceeds for research and development, including development of infrastructure for our Web 3.0 e-commerce platform and further investment in our solutions;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of the net proceeds for investment in the Singapore market; and</w:t>
      </w:r>
    </w:p>
    <w:p>
      <w:pPr>
        <w:spacing w:after="0" w:line="157" w:lineRule="exact"/>
        <w:rPr>
          <w:rFonts w:ascii="Times New Roman" w:cs="Times New Roman" w:eastAsia="Times New Roman" w:hAnsi="Times New Roman"/>
          <w:sz w:val="18"/>
          <w:szCs w:val="18"/>
          <w:color w:val="auto"/>
        </w:rPr>
      </w:pPr>
    </w:p>
    <w:p>
      <w:pPr>
        <w:jc w:val="both"/>
        <w:ind w:left="1320" w:right="49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spacing w:after="0" w:line="95"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of the Public Offering ADSs and we may use these proceeds in ways with which you may not agree.”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spacing w:after="0" w:line="11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07"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2023:</w:t>
      </w:r>
    </w:p>
    <w:p>
      <w:pPr>
        <w:spacing w:after="0" w:line="104" w:lineRule="exact"/>
        <w:rPr>
          <w:sz w:val="20"/>
          <w:szCs w:val="20"/>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73" w:lineRule="auto"/>
        <w:tabs>
          <w:tab w:leader="none" w:pos="13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as adjusted basis to reflect (i) the issuance and sale of 14,400,000 Class B ordinary shares in the form of ADSs by us in this offering with no exercise of over-allotment option, at the initial public offering price of US$5.00 per ADS, after deducting the underwriting discounts and commissions and estimated offering expenses payable by us; and (ii) the issuance and sale of 16,560,000 Class B ordinary shares in the form of ADSs by us in this offering if with full exercise of the over-allotment option, at the initial public offering price of US$5.00 per ADS, after deducting the underwriting discounts and commissions and estimated offering expenses payable by us.</w:t>
      </w:r>
    </w:p>
    <w:p>
      <w:pPr>
        <w:spacing w:after="0" w:line="36" w:lineRule="exact"/>
        <w:rPr>
          <w:sz w:val="20"/>
          <w:szCs w:val="20"/>
          <w:color w:val="auto"/>
        </w:rPr>
      </w:pPr>
    </w:p>
    <w:p>
      <w:pPr>
        <w:ind w:left="460" w:right="539" w:firstLine="432"/>
        <w:spacing w:after="0" w:line="274" w:lineRule="auto"/>
        <w:rPr>
          <w:sz w:val="20"/>
          <w:szCs w:val="20"/>
          <w:color w:val="auto"/>
        </w:rPr>
      </w:pPr>
      <w:r>
        <w:rPr>
          <w:rFonts w:ascii="Times New Roman" w:cs="Times New Roman" w:eastAsia="Times New Roman" w:hAnsi="Times New Roman"/>
          <w:sz w:val="17"/>
          <w:szCs w:val="17"/>
          <w:color w:val="auto"/>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46"/>
        </w:trPr>
        <w:tc>
          <w:tcPr>
            <w:tcW w:w="47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As Adjusted</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(Full Exercise of</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c>
          <w:tcPr>
            <w:tcW w:w="0" w:type="dxa"/>
            <w:vAlign w:val="bottom"/>
          </w:tcPr>
          <w:p>
            <w:pPr>
              <w:spacing w:after="0"/>
              <w:rPr>
                <w:sz w:val="1"/>
                <w:szCs w:val="1"/>
                <w:color w:val="auto"/>
              </w:rPr>
            </w:pPr>
          </w:p>
        </w:tc>
      </w:tr>
      <w:tr>
        <w:trPr>
          <w:trHeight w:val="255"/>
        </w:trPr>
        <w:tc>
          <w:tcPr>
            <w:tcW w:w="4740" w:type="dxa"/>
            <w:vAlign w:val="bottom"/>
          </w:tcPr>
          <w:p>
            <w:pPr>
              <w:spacing w:after="0"/>
              <w:rPr>
                <w:sz w:val="22"/>
                <w:szCs w:val="22"/>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2"/>
                <w:szCs w:val="22"/>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As Adjusted</w:t>
            </w:r>
            <w:r>
              <w:rPr>
                <w:rFonts w:ascii="Times New Roman" w:cs="Times New Roman" w:eastAsia="Times New Roman" w:hAnsi="Times New Roman"/>
                <w:sz w:val="18"/>
                <w:szCs w:val="18"/>
                <w:b w:val="1"/>
                <w:bCs w:val="1"/>
                <w:color w:val="auto"/>
                <w:w w:val="97"/>
                <w:vertAlign w:val="superscript"/>
              </w:rPr>
              <w:t>(1)</w:t>
            </w:r>
          </w:p>
        </w:tc>
        <w:tc>
          <w:tcPr>
            <w:tcW w:w="80" w:type="dxa"/>
            <w:vAlign w:val="bottom"/>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Option)</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US$</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US$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US$</w:t>
            </w:r>
          </w:p>
        </w:tc>
        <w:tc>
          <w:tcPr>
            <w:tcW w:w="0" w:type="dxa"/>
            <w:vAlign w:val="bottom"/>
          </w:tcPr>
          <w:p>
            <w:pPr>
              <w:spacing w:after="0"/>
              <w:rPr>
                <w:sz w:val="1"/>
                <w:szCs w:val="1"/>
                <w:color w:val="auto"/>
              </w:rPr>
            </w:pPr>
          </w:p>
        </w:tc>
      </w:tr>
      <w:tr>
        <w:trPr>
          <w:trHeight w:val="46"/>
        </w:trPr>
        <w:tc>
          <w:tcPr>
            <w:tcW w:w="4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68,987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68,987</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176,589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176,589</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1,000,000,000 Class A ordinary shares authorized,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50,000,000 and 50,000,000 Class A ordinary shares issued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December 31, 2023 and 2022,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4,000,000,000 Class B ordinary shares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451,964,286 and 360,205,000 Class B ordinary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respectively.)*</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8,426,684</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14,927,359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16,169,337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(6,183,545)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(6,183,545)</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(6,183,545)</w:t>
            </w:r>
          </w:p>
        </w:tc>
        <w:tc>
          <w:tcPr>
            <w:tcW w:w="0" w:type="dxa"/>
            <w:vAlign w:val="bottom"/>
          </w:tcPr>
          <w:p>
            <w:pPr>
              <w:spacing w:after="0"/>
              <w:rPr>
                <w:sz w:val="1"/>
                <w:szCs w:val="1"/>
                <w:color w:val="auto"/>
              </w:rPr>
            </w:pPr>
          </w:p>
        </w:tc>
      </w:tr>
      <w:tr>
        <w:trPr>
          <w:trHeight w:val="25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184,491</w:t>
            </w:r>
          </w:p>
        </w:tc>
        <w:tc>
          <w:tcPr>
            <w:tcW w:w="10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184,491</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8,933,469</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10,175,469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vMerge w:val="continue"/>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12,330,762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13,572,762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99" w:hanging="426"/>
        <w:spacing w:after="0" w:line="267" w:lineRule="auto"/>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14,400,000 Class B ordinary shares in the form of ADSs by us in this offering, at the initial public offering price of US$5.00 per ADS, after deducting the underwriting discounts and commissions and estimated offering expenses payable by us.</w:t>
      </w:r>
    </w:p>
    <w:p>
      <w:pPr>
        <w:spacing w:after="0" w:line="1" w:lineRule="exact"/>
        <w:rPr>
          <w:rFonts w:ascii="Times New Roman" w:cs="Times New Roman" w:eastAsia="Times New Roman" w:hAnsi="Times New Roman"/>
          <w:sz w:val="16"/>
          <w:szCs w:val="16"/>
          <w:color w:val="auto"/>
        </w:rPr>
      </w:pPr>
    </w:p>
    <w:p>
      <w:pPr>
        <w:jc w:val="both"/>
        <w:ind w:left="880" w:right="599" w:hanging="426"/>
        <w:spacing w:after="0" w:line="276" w:lineRule="auto"/>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16,560,000 Class B ordinary shares in the form of ADSs by us in this offering with full exercise of the over-allotment option at the initial public offering price of US$5.00 per ADS, after deducting the underwriting discounts and commissions and estimated offering expenses payable by us.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actual net tangible book value as of December 31, 2023 was approximately US$1.39 million in equity, or US$0.003 per ordinary share in equity and US$0.02 per ADS in equity, respectively as of such date.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initial public offering price of US$0.625 per ordinary share, which is the initial public offering price set forth on the front cover of this prospectus adjusted to reflect the ADS-to-ordinary share ratio, and after deducting underwriting discounts and commissions and estimated offering expenses payable by us.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Without taking into account any other changes in actual as adjusted net tangible book value after December 31, 2023, other than to give effect to our sale of the ADSs offered in this offering at the initial public offering price of US$5.00 per ADS, after deduction of the underwriting discounts and commissions and estimated offering expenses payable by us, the pro forma as adjusted net tangible book value as of December 31, 2023 would have been US$7.89 million, or US$0.02 per ordinary share and US$0.12 per ADS. This represents an immediate increase in actual as adjusted net tangible book value of US$0.012 per ordinary share and US$0.10 per ADS to the existing shareholders and an immediate dilution in actual as adjusted net tangible book value of US$0.61 per ordinary share and US$4.88 per ADS to investors purchasing ADSs in this offering. The following table illustrates such dilution:</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Per ordinary</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360" w:type="dxa"/>
            <w:vAlign w:val="bottom"/>
          </w:tcPr>
          <w:p>
            <w:pPr>
              <w:spacing w:after="0"/>
              <w:rPr>
                <w:sz w:val="18"/>
                <w:szCs w:val="18"/>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Per ADS</w:t>
            </w:r>
          </w:p>
        </w:tc>
      </w:tr>
      <w:tr>
        <w:trPr>
          <w:trHeight w:val="46"/>
        </w:trPr>
        <w:tc>
          <w:tcPr>
            <w:tcW w:w="49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Actual net tangible book value as of December 31, 2023</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0.003</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40"/>
        </w:trPr>
        <w:tc>
          <w:tcPr>
            <w:tcW w:w="4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8"/>
        </w:trPr>
        <w:tc>
          <w:tcPr>
            <w:tcW w:w="4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 to</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5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198"/>
        </w:trPr>
        <w:tc>
          <w:tcPr>
            <w:tcW w:w="4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 of dilution in actual as adjusted net tangible book value to</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investors in this offering</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bl>
    <w:p>
      <w:pPr>
        <w:spacing w:after="0" w:line="19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 US$1.00 increase (decrease) in the initial public offering price of US$5.00 per ADS would increase (decrease) the pro forma as adjusted net tangible book value after giving effect to this offering by US$1.66 million, the pro forma as adjusted net tangible book value per ordinary share and per ADS after giving effect to this offering by US$0.003 per ordinary share and US$0.02 per ADS, and the dilution in the pro forma as adjusted net tangible book value per ordinary share and per ADS to new investors in this offering by US$0.61 per ordinary share and US$4.86 per ADS, assuming no change to the number of ADSs offered by us as set forth on the front cover of this prospectus, and after deducting underwriting discounts and commissions and estimated offering expenses payable by us.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December 31,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Ordinary Shares Purchased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Ordinary</w:t>
            </w:r>
          </w:p>
        </w:tc>
        <w:tc>
          <w:tcPr>
            <w:tcW w:w="98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46"/>
        </w:trPr>
        <w:tc>
          <w:tcPr>
            <w:tcW w:w="16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66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320" w:type="dxa"/>
            <w:vAlign w:val="bottom"/>
          </w:tcPr>
          <w:p>
            <w:pPr>
              <w:spacing w:after="0"/>
              <w:rPr>
                <w:sz w:val="20"/>
                <w:szCs w:val="20"/>
                <w:color w:val="auto"/>
              </w:rPr>
            </w:pPr>
          </w:p>
        </w:tc>
        <w:tc>
          <w:tcPr>
            <w:tcW w:w="66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ADS</w:t>
            </w:r>
          </w:p>
        </w:tc>
        <w:tc>
          <w:tcPr>
            <w:tcW w:w="0" w:type="dxa"/>
            <w:vAlign w:val="bottom"/>
          </w:tcPr>
          <w:p>
            <w:pPr>
              <w:spacing w:after="0"/>
              <w:rPr>
                <w:sz w:val="1"/>
                <w:szCs w:val="1"/>
                <w:color w:val="auto"/>
              </w:rPr>
            </w:pPr>
          </w:p>
        </w:tc>
      </w:tr>
      <w:tr>
        <w:trPr>
          <w:trHeight w:val="46"/>
        </w:trPr>
        <w:tc>
          <w:tcPr>
            <w:tcW w:w="1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501,964,286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8,603,742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14,400,000</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 US$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0.63 US$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516,364,286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17,603,742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08"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94" w:lineRule="exact"/>
        <w:rPr>
          <w:sz w:val="20"/>
          <w:szCs w:val="20"/>
          <w:color w:val="auto"/>
        </w:rPr>
      </w:pPr>
    </w:p>
    <w:p>
      <w:pPr>
        <w:ind w:left="1320" w:right="679" w:hanging="434"/>
        <w:spacing w:after="0" w:line="266"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8" w:lineRule="exact"/>
        <w:rPr>
          <w:rFonts w:ascii="Times New Roman" w:cs="Times New Roman" w:eastAsia="Times New Roman" w:hAnsi="Times New Roman"/>
          <w:sz w:val="18"/>
          <w:szCs w:val="18"/>
          <w:color w:val="auto"/>
        </w:rPr>
      </w:pPr>
    </w:p>
    <w:p>
      <w:pPr>
        <w:ind w:left="1320" w:right="133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81"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08"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21"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 as our agent upon whom process may be served in any action brought against us under the securities laws of the United States.</w:t>
      </w:r>
    </w:p>
    <w:p>
      <w:pPr>
        <w:spacing w:after="0" w:line="107"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10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08" w:lineRule="exact"/>
        <w:rPr>
          <w:sz w:val="20"/>
          <w:szCs w:val="20"/>
          <w:color w:val="auto"/>
        </w:rPr>
      </w:pPr>
    </w:p>
    <w:p>
      <w:pPr>
        <w:jc w:val="both"/>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Cayman Islands court may stay enforcement proceedings if concurrent proceedings are being brought elsewhere.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2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1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spacing w:after="0" w:line="9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102870</wp:posOffset>
            </wp:positionV>
            <wp:extent cx="3034665" cy="1791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3466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2023 and 2022 and summary consolidated balance sheet data as of December 31, 2023 and 2022 have been derived from our audited consolidated financial statements included elsewhere in this prospectus.</w:t>
      </w:r>
    </w:p>
    <w:p>
      <w:pPr>
        <w:spacing w:after="0" w:line="11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2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1,483,109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1,262,899</w:t>
            </w:r>
          </w:p>
        </w:tc>
      </w:tr>
      <w:tr>
        <w:trPr>
          <w:trHeight w:val="25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(1,216,916)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(1,000,689)</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262,210</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(555,280)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(241,344)</w:t>
            </w: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(3,888,501)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(989,774)</w:t>
            </w:r>
          </w:p>
        </w:tc>
      </w:tr>
      <w:tr>
        <w:trPr>
          <w:trHeight w:val="41"/>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(586,419)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(287,578)</w:t>
            </w:r>
          </w:p>
        </w:tc>
      </w:tr>
      <w:tr>
        <w:trPr>
          <w:trHeight w:val="23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(46,619)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(4,786)</w:t>
            </w: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36,539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136,576</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(expenses)/income,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131,790</w:t>
            </w:r>
          </w:p>
        </w:tc>
      </w:tr>
      <w:tr>
        <w:trPr>
          <w:trHeight w:val="22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(4,774,087)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(1,124,696)</w:t>
            </w:r>
          </w:p>
        </w:tc>
        <w:tc>
          <w:tcPr>
            <w:tcW w:w="160" w:type="dxa"/>
            <w:vAlign w:val="bottom"/>
          </w:tcPr>
          <w:p>
            <w:pPr>
              <w:spacing w:after="0"/>
              <w:rPr>
                <w:sz w:val="19"/>
                <w:szCs w:val="19"/>
                <w:color w:val="auto"/>
              </w:rPr>
            </w:pPr>
          </w:p>
        </w:tc>
      </w:tr>
      <w:tr>
        <w:trPr>
          <w:trHeight w:val="36"/>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(4,793)</w:t>
            </w: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0"/>
        </w:trPr>
        <w:tc>
          <w:tcPr>
            <w:tcW w:w="5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222,279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(37,482)</w:t>
            </w: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4"/>
        </w:trPr>
        <w:tc>
          <w:tcPr>
            <w:tcW w:w="558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454,940,744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558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20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341,808</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1,046,187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451,217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2,012,025</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460" w:type="dxa"/>
            <w:vAlign w:val="bottom"/>
            <w:tcBorders>
              <w:bottom w:val="single" w:sz="8" w:color="CCEEFF"/>
            </w:tcBorders>
          </w:tcPr>
          <w:p>
            <w:pPr>
              <w:spacing w:after="0"/>
              <w:rPr>
                <w:sz w:val="4"/>
                <w:szCs w:val="4"/>
                <w:color w:val="auto"/>
              </w:rPr>
            </w:pPr>
          </w:p>
        </w:tc>
        <w:tc>
          <w:tcPr>
            <w:tcW w:w="2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(4,942,098)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(609,946)</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(73,885)</w:t>
            </w:r>
          </w:p>
        </w:tc>
        <w:tc>
          <w:tcPr>
            <w:tcW w:w="0" w:type="dxa"/>
            <w:vAlign w:val="bottom"/>
          </w:tcPr>
          <w:p>
            <w:pPr>
              <w:spacing w:after="0"/>
              <w:rPr>
                <w:sz w:val="1"/>
                <w:szCs w:val="1"/>
                <w:color w:val="auto"/>
              </w:rPr>
            </w:pPr>
          </w:p>
        </w:tc>
      </w:tr>
      <w:tr>
        <w:trPr>
          <w:trHeight w:val="40"/>
        </w:trPr>
        <w:tc>
          <w:tcPr>
            <w:tcW w:w="34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5,902,303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1,378,257</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863,338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273,593</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945,265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 Statements.”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spacing w:after="0" w:line="104" w:lineRule="exact"/>
        <w:rPr>
          <w:sz w:val="20"/>
          <w:szCs w:val="20"/>
          <w:color w:val="auto"/>
        </w:rPr>
      </w:pPr>
    </w:p>
    <w:p>
      <w:pPr>
        <w:ind w:left="1320" w:right="479" w:hanging="434"/>
        <w:spacing w:after="0" w:line="259"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460" w:right="999" w:firstLine="432"/>
        <w:spacing w:after="0" w:line="266" w:lineRule="auto"/>
        <w:rPr>
          <w:sz w:val="20"/>
          <w:szCs w:val="20"/>
          <w:color w:val="auto"/>
        </w:rPr>
      </w:pPr>
      <w:r>
        <w:rPr>
          <w:rFonts w:ascii="Times New Roman" w:cs="Times New Roman" w:eastAsia="Times New Roman" w:hAnsi="Times New Roman"/>
          <w:sz w:val="18"/>
          <w:szCs w:val="18"/>
          <w:color w:val="auto"/>
        </w:rPr>
        <w:t>We provide customized offerings that address the specific needs of clients in our strategic vertical markets. As of December 31, 2023, we served over 200 clients across our core verticals such as food and beverage, wholesale and retail.</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have launched a Web 3.0 e-commerce platform whereby customers and merchants can transact in a transparent and secure way, or Tridentity, in December 2023. We believe Tridentity addresses a massive market opportunity today and provides us with an attractive runway for growth. According to the Frost &amp; Sullivan Report, the market size of global Web 3.0-enabled e-commerce is expected to reach US$189.3 billion and</w:t>
      </w:r>
    </w:p>
    <w:p>
      <w:pPr>
        <w:spacing w:after="0" w:line="3" w:lineRule="exact"/>
        <w:rPr>
          <w:sz w:val="20"/>
          <w:szCs w:val="20"/>
          <w:color w:val="auto"/>
        </w:rPr>
      </w:pPr>
    </w:p>
    <w:p>
      <w:pPr>
        <w:ind w:left="460" w:right="639"/>
        <w:spacing w:after="0" w:line="251" w:lineRule="auto"/>
        <w:rPr>
          <w:sz w:val="20"/>
          <w:szCs w:val="20"/>
          <w:color w:val="auto"/>
        </w:rPr>
      </w:pPr>
      <w:r>
        <w:rPr>
          <w:rFonts w:ascii="Times New Roman" w:cs="Times New Roman" w:eastAsia="Times New Roman" w:hAnsi="Times New Roman"/>
          <w:sz w:val="18"/>
          <w:szCs w:val="18"/>
          <w:color w:val="auto"/>
        </w:rPr>
        <w:t>US$1,587.4 billion in 2023 and 2027, respectively, representing a CAGR of 70.2% from 2023 to 2027. 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and accounted for 50.2% and 49.8% of our total revenue for the year ended December 31, 2022 respectively. We incurred a net loss of approximately US$4.77 million and US$1.13 million for the year ended December 31, 2023 and 2022, respectively.</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162"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our solutions and services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have launched Tridentity in December 2023. We may continue to expend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clients</w:t>
      </w:r>
    </w:p>
    <w:p>
      <w:pPr>
        <w:spacing w:after="0" w:line="135"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into new verticals and new markets</w:t>
      </w:r>
    </w:p>
    <w:p>
      <w:pPr>
        <w:spacing w:after="0" w:line="13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35" w:lineRule="exact"/>
        <w:rPr>
          <w:sz w:val="20"/>
          <w:szCs w:val="20"/>
          <w:color w:val="auto"/>
        </w:rPr>
      </w:pPr>
    </w:p>
    <w:p>
      <w:pPr>
        <w:ind w:left="460" w:right="1099" w:firstLine="432"/>
        <w:spacing w:after="0" w:line="282" w:lineRule="auto"/>
        <w:rPr>
          <w:sz w:val="20"/>
          <w:szCs w:val="20"/>
          <w:color w:val="auto"/>
        </w:rPr>
      </w:pPr>
      <w:r>
        <w:rPr>
          <w:rFonts w:ascii="Times New Roman" w:cs="Times New Roman" w:eastAsia="Times New Roman" w:hAnsi="Times New Roman"/>
          <w:sz w:val="18"/>
          <w:szCs w:val="18"/>
          <w:color w:val="auto"/>
        </w:rPr>
        <w:t>We derive revenues principally from providing business consulting services and IT customization services.</w:t>
      </w:r>
    </w:p>
    <w:p>
      <w:pPr>
        <w:spacing w:after="0" w:line="65"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We provide a wide range of business consulting services to customers of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from business strategy advisory, design of business workflows and processes, brand and reputation, to digital marketing in achieving organization objectives such as enhancing cost efficiency, productivity and customer experience.</w:t>
      </w:r>
    </w:p>
    <w:p>
      <w:pPr>
        <w:spacing w:after="0" w:line="9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We offer IT customization services, including tailor-made IT solutions or packaged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solutions to meet clients’ objectives. Our services cover end-to-end solutions, including IT consultancy, design of the system architecture, planning and design of the solution, implementation, quality assurance, as well as maintenance support services. 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88"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We also generate revenue from selling event tickets on behalf of merchants in our own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identify one performance obligation in this business, which is to transfer control of an event ticket to a ticker buyer once an order has been confirmed.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35"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5" w:lineRule="exact"/>
        <w:rPr>
          <w:sz w:val="20"/>
          <w:szCs w:val="20"/>
          <w:color w:val="auto"/>
        </w:rPr>
      </w:pPr>
    </w:p>
    <w:p>
      <w:pPr>
        <w:ind w:left="460" w:right="879" w:firstLine="432"/>
        <w:spacing w:after="0" w:line="257" w:lineRule="auto"/>
        <w:rPr>
          <w:sz w:val="20"/>
          <w:szCs w:val="20"/>
          <w:color w:val="auto"/>
        </w:rPr>
      </w:pPr>
      <w:r>
        <w:rPr>
          <w:rFonts w:ascii="Times New Roman" w:cs="Times New Roman" w:eastAsia="Times New Roman" w:hAnsi="Times New Roman"/>
          <w:sz w:val="18"/>
          <w:szCs w:val="18"/>
          <w:color w:val="auto"/>
        </w:rPr>
        <w:t>Operating expenses include general and administrative expenses, selling expenses and research and development expenses. General and administrative expenses mainly consist of (i) salary and social welfare expenses to the management team, (ii) professional service fees, (iii) rental cost for offices, and</w:t>
      </w:r>
    </w:p>
    <w:p>
      <w:pPr>
        <w:spacing w:after="0" w:line="1" w:lineRule="exact"/>
        <w:rPr>
          <w:sz w:val="20"/>
          <w:szCs w:val="20"/>
          <w:color w:val="auto"/>
        </w:rPr>
      </w:pPr>
    </w:p>
    <w:p>
      <w:pPr>
        <w:ind w:left="460" w:right="579" w:hanging="6"/>
        <w:spacing w:after="0" w:line="265" w:lineRule="auto"/>
        <w:tabs>
          <w:tab w:leader="none" w:pos="76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expenses. Our selling expenses mainly consist of (i) salary and social welfare expenses to the marketing team, and (ii) advertising costs and market promotion expenses. Our research and development expenses mainly consist of (i) system development expenses for Tridentity, our Web 3.0 e-commerce platform;</w:t>
      </w:r>
    </w:p>
    <w:p>
      <w:pPr>
        <w:ind w:left="720" w:hanging="26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and social welfare expenses to the development team and (iii) outsource service fees.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2"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 from terminated consulting projects, (iii) referral commission, and (iv) interest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62"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income for the years ended December 31, 2023 and 2022, respectively.</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08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32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1,483,109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(1,216,916)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(216,227)</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(555,280)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(313,936)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(3,888,501)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(2,898,727)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(586,419)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(298,841)</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(3,511,504</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231.22%</w:t>
            </w: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(4,764,007)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(1,256,486)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(3,507,521)</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279.15%</w:t>
            </w:r>
          </w:p>
        </w:tc>
        <w:tc>
          <w:tcPr>
            <w:tcW w:w="0" w:type="dxa"/>
            <w:vAlign w:val="bottom"/>
          </w:tcPr>
          <w:p>
            <w:pPr>
              <w:spacing w:after="0"/>
              <w:rPr>
                <w:sz w:val="1"/>
                <w:szCs w:val="1"/>
                <w:color w:val="auto"/>
              </w:rPr>
            </w:pPr>
          </w:p>
        </w:tc>
      </w:tr>
      <w:tr>
        <w:trPr>
          <w:trHeight w:val="32"/>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(expenses)/income, net</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(10,080)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131,790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(141,870)</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-107.65%</w:t>
            </w: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(4,774,087)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(1,124,696)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(3,649,391)</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32"/>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(3,644,598</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322.68%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breakdown of revenues by revenue streams for the years ended December 31, 2023 and 2022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0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321,716</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(307,718)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1,155,229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521,764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571,592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522,013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583,637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111,452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6,164</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line="20" w:lineRule="exact"/>
              <w:rPr>
                <w:sz w:val="1"/>
                <w:szCs w:val="1"/>
                <w:color w:val="auto"/>
              </w:rPr>
            </w:pPr>
          </w:p>
        </w:tc>
      </w:tr>
      <w:tr>
        <w:trPr>
          <w:trHeight w:val="244"/>
        </w:trPr>
        <w:tc>
          <w:tcPr>
            <w:tcW w:w="3120" w:type="dxa"/>
            <w:vAlign w:val="bottom"/>
            <w:vMerge w:val="continue"/>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1,483,109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220,210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revenues significantly increased from US$1,262,899 in 2022 to US$1,483,109 in 2023, representing a year-on-year increase of 17.44%. The increase was primarily due to our success in helping our clients to optimize and grow their business, resulting in positive feedback and our brand and services developing and expanding in the market and industry, which has brought us more clients and projects in 2023.</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Net revenues from business consulting services decreased from US$629,434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US$321,716 in 2023, primarily attributed to (i) reduction of business consulting projects were completed, delivered and accepted by customers in 2023; and partially offset by (ii) the appreciation of SGD against USD in our reporting currency translation from 1.3404 in 2022 to 1.3193 in 2023. We continued to offer more comprehensive brand consulting services to assist our customers in building international brands in 2023, and the average contract price of completed projects increased from US$44,960 in 2022 to US$53,619 in 2023.</w:t>
      </w:r>
    </w:p>
    <w:p>
      <w:pPr>
        <w:spacing w:after="0" w:line="115"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Net revenues from IT customization increased from US$633,465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to US$1,155,229 for the year ended December 31, 2023, primarily due to (i) our newly engaged business line in providing management software solutions in second quarter of 2022, the business has thrived and generated greater revenue in 2023; (ii) the appreciation of SGD against USD in our reporting currency translation; (iii) the increased of average contract price of IT customization projects from US$57,588 in 2022 to US$63,510 in 2023; and partially offset by (iv) reduction of IT customization projects that were completed, delivered and accepted by customers for the year ended December 31, 2023.</w:t>
      </w:r>
    </w:p>
    <w:p>
      <w:pPr>
        <w:spacing w:after="0" w:line="115" w:lineRule="exact"/>
        <w:rPr>
          <w:sz w:val="20"/>
          <w:szCs w:val="20"/>
          <w:color w:val="auto"/>
        </w:rPr>
      </w:pPr>
    </w:p>
    <w:p>
      <w:pPr>
        <w:jc w:val="both"/>
        <w:ind w:left="460" w:right="7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Our Web 3.0 e-commerce platform, or Tridentity, launched in December 2023. We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US$6,164 from providing technical support for selling tickets on behalf of merchants through this platform.</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breakdown of cost of revenues for the years ended December 31, 2023 and 2022 is summarized below:</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2"/>
        </w:trPr>
        <w:tc>
          <w:tcPr>
            <w:tcW w:w="3120" w:type="dxa"/>
            <w:vAlign w:val="bottom"/>
          </w:tcPr>
          <w:p>
            <w:pPr>
              <w:spacing w:after="0"/>
              <w:rPr>
                <w:sz w:val="18"/>
                <w:szCs w:val="18"/>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0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840" w:type="dxa"/>
            <w:vAlign w:val="bottom"/>
          </w:tcPr>
          <w:p>
            <w:pPr>
              <w:spacing w:after="0"/>
              <w:rPr>
                <w:sz w:val="18"/>
                <w:szCs w:val="18"/>
                <w:color w:val="auto"/>
              </w:rPr>
            </w:pPr>
          </w:p>
        </w:tc>
      </w:tr>
      <w:tr>
        <w:trPr>
          <w:trHeight w:val="46"/>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3120" w:type="dxa"/>
            <w:vAlign w:val="bottom"/>
          </w:tcPr>
          <w:p>
            <w:pPr>
              <w:spacing w:after="0"/>
              <w:rPr>
                <w:sz w:val="20"/>
                <w:szCs w:val="20"/>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3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840" w:type="dxa"/>
            <w:vAlign w:val="bottom"/>
          </w:tcPr>
          <w:p>
            <w:pPr>
              <w:spacing w:after="0"/>
              <w:rPr>
                <w:sz w:val="20"/>
                <w:szCs w:val="20"/>
                <w:color w:val="auto"/>
              </w:rPr>
            </w:pPr>
          </w:p>
        </w:tc>
      </w:tr>
      <w:tr>
        <w:trPr>
          <w:trHeight w:val="46"/>
        </w:trPr>
        <w:tc>
          <w:tcPr>
            <w:tcW w:w="3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931,945</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710,793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221,152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263,352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239,296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cost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10,082</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40,518</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(21,431)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r>
      <w:tr>
        <w:trPr>
          <w:trHeight w:val="27"/>
        </w:trPr>
        <w:tc>
          <w:tcPr>
            <w:tcW w:w="3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1,216,916</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1,000,689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216,227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cost of revenues increased from US$1,000,689 in 2022 to US$1,216,916 in 2023, representing a year-on-year increase of 21.61%.</w:t>
      </w:r>
    </w:p>
    <w:p>
      <w:pPr>
        <w:spacing w:after="0" w:line="92" w:lineRule="exact"/>
        <w:rPr>
          <w:sz w:val="20"/>
          <w:szCs w:val="20"/>
          <w:color w:val="auto"/>
        </w:rPr>
      </w:pPr>
    </w:p>
    <w:p>
      <w:pPr>
        <w:ind w:left="46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fees. </w:t>
      </w:r>
      <w:r>
        <w:rPr>
          <w:rFonts w:ascii="Times New Roman" w:cs="Times New Roman" w:eastAsia="Times New Roman" w:hAnsi="Times New Roman"/>
          <w:sz w:val="18"/>
          <w:szCs w:val="18"/>
          <w:color w:val="auto"/>
        </w:rPr>
        <w:t>Service fees increased from US$710,793 in 2022 to US$931,945 in 2023,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of service fees paid to suppliers or outsourcers, as a result of the fulfillment of increased project demands in 2023.</w:t>
      </w:r>
    </w:p>
    <w:p>
      <w:pPr>
        <w:spacing w:after="0" w:line="92" w:lineRule="exact"/>
        <w:rPr>
          <w:sz w:val="20"/>
          <w:szCs w:val="20"/>
          <w:color w:val="auto"/>
        </w:rPr>
      </w:pPr>
    </w:p>
    <w:p>
      <w:pPr>
        <w:ind w:left="460" w:right="91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labor costs. </w:t>
      </w:r>
      <w:r>
        <w:rPr>
          <w:rFonts w:ascii="Times New Roman" w:cs="Times New Roman" w:eastAsia="Times New Roman" w:hAnsi="Times New Roman"/>
          <w:sz w:val="18"/>
          <w:szCs w:val="18"/>
          <w:color w:val="auto"/>
        </w:rPr>
        <w:t>Direct labor costs increased from US$239,296 in 2022 to US$263,352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increase in both headcount and bonuses to our staff in 2023.</w:t>
      </w:r>
    </w:p>
    <w:p>
      <w:pPr>
        <w:spacing w:after="0" w:line="91" w:lineRule="exact"/>
        <w:rPr>
          <w:sz w:val="20"/>
          <w:szCs w:val="20"/>
          <w:color w:val="auto"/>
        </w:rPr>
      </w:pPr>
    </w:p>
    <w:p>
      <w:pPr>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Commission costs. </w:t>
      </w:r>
      <w:r>
        <w:rPr>
          <w:rFonts w:ascii="Times New Roman" w:cs="Times New Roman" w:eastAsia="Times New Roman" w:hAnsi="Times New Roman"/>
          <w:sz w:val="18"/>
          <w:szCs w:val="18"/>
          <w:color w:val="auto"/>
        </w:rPr>
        <w:t>Commission costs decreased from US$10,082 in 2022 to US$2,532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attributed to the decreased commission costs needed to obtain new sales contracts related to our newly engaged business line in providing management software solutions in 2023.</w:t>
      </w:r>
    </w:p>
    <w:p>
      <w:pPr>
        <w:spacing w:after="0" w:line="106" w:lineRule="exact"/>
        <w:rPr>
          <w:sz w:val="20"/>
          <w:szCs w:val="20"/>
          <w:color w:val="auto"/>
        </w:rPr>
      </w:pPr>
    </w:p>
    <w:p>
      <w:pPr>
        <w:ind w:left="460" w:right="8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costs. </w:t>
      </w:r>
      <w:r>
        <w:rPr>
          <w:rFonts w:ascii="Times New Roman" w:cs="Times New Roman" w:eastAsia="Times New Roman" w:hAnsi="Times New Roman"/>
          <w:sz w:val="18"/>
          <w:szCs w:val="18"/>
          <w:color w:val="auto"/>
        </w:rPr>
        <w:t>Miscellaneous cost decreased from US$40,518 in 2022 to US$19,087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decrease of our outsourcing contractor fee for general project’s support, which was gradually transferred to in-house team during 2023.</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from US$1,518,696 in 2022 to US$5,030,200 in 2023, representing a year-on-year increase of 231.22%.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46" w:lineRule="exact"/>
        <w:rPr>
          <w:sz w:val="20"/>
          <w:szCs w:val="20"/>
          <w:color w:val="auto"/>
        </w:rPr>
      </w:pPr>
    </w:p>
    <w:p>
      <w:pPr>
        <w:ind w:left="460" w:right="579" w:firstLine="432"/>
        <w:spacing w:after="0" w:line="281" w:lineRule="auto"/>
        <w:rPr>
          <w:sz w:val="20"/>
          <w:szCs w:val="20"/>
          <w:color w:val="auto"/>
        </w:rPr>
      </w:pPr>
      <w:r>
        <w:rPr>
          <w:rFonts w:ascii="Times New Roman" w:cs="Times New Roman" w:eastAsia="Times New Roman" w:hAnsi="Times New Roman"/>
          <w:sz w:val="17"/>
          <w:szCs w:val="17"/>
          <w:color w:val="auto"/>
        </w:rPr>
        <w:t>Our selling and marketing expenses increased from US$241,344 in 2022 to US$555,280 in 2023, primarily due to (i) the increase in staff costs of US$279,988 as a result of the business development persons hired in the new subsidiary in 2023; (ii) the increase in marketing and advertising expenses of US$29,661 for the exploration of business opportunities and preparation to initiate our Web 3.0 e-commerce platform in 2023.</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general and administrative expenses increased from US$989,774 in 2022 to US$3,888,501 in 2023.</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was primarily attributable to (i) the increase in staff costs from US$501,943 in 2022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US$1,589,714 as a result of an increase in the number of employees hired to meet our business needs as well 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increase in average based salaries and bonuses; (ii) the increase in professional service fees from US$134,523 in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to US$1,368,587 in 2023 related to IPO professional services and the initiation of the Web 3.0 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commerce platform; (iii) the increase in rent and utilities expenses of US$268,957 due to additions of operating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leases; and (iv) the increase of other overhead expenses as a result of our expansion of business and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preparation of IPO in 2023.</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from US$287,578 in 2022 to US$586,419 in 2023, primarily due to the increase in system development expenses and technical support expenses for the Web 3.0 e-commerce platform, salary expenses to the development team and outsource service fees.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(expenses)/income, net</w:t>
      </w:r>
    </w:p>
    <w:p>
      <w:pPr>
        <w:spacing w:after="0" w:line="135" w:lineRule="exact"/>
        <w:rPr>
          <w:sz w:val="20"/>
          <w:szCs w:val="20"/>
          <w:color w:val="auto"/>
        </w:rPr>
      </w:pPr>
    </w:p>
    <w:p>
      <w:pPr>
        <w:jc w:val="both"/>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Other (expenses)/income, net mainly consists of (i) government subsidies, (ii) non-refundable service fees from terminated consulting projects, (iii) referral commission, and (iv) interest expenses. Our other income, net decreased from US$131,790 in 2022 to other expenses, net of US$10,080 in 2023, primarily due to the decrease of government subsidies and non-refundable service fees from terminated consulting projects.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35"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foregoing, we incurred a net loss of US$1,129,489 in 2022 and US$4,774,087 in 2023, respectively. The increase in net loss was primarily due to our early-stage input on initiating Web 3.0 e-commerce platform as well as professional services fees incurred in anticipation of becoming a listed company, which led to a significant increase of our operating expenses in 2023.</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3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have been cash flows from our operating activities, capital contributions from shareholders and loans from banks. As of December 31, 2023 and 2022, we had cash of US$1,808,603 and US$945,265, and total positive working capital of US$1,975,908 and negative working capital US$1,236,728, respectively.</w:t>
      </w:r>
    </w:p>
    <w:p>
      <w:pPr>
        <w:spacing w:after="0" w:line="11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We incurred net loss of $4,774,087 and $1,129,489 for the years ended December 31, 2023 and 2022, respectively. Net cash used in operating activities were $4,942,098 and $609,946 for the years ended December 31, 2023 and 2022, respectively. Accumulated deficits were $6,183,545 and $1,323,341 as of December 31, 2023 and 2022, respectively.</w:t>
      </w:r>
    </w:p>
    <w:p>
      <w:pPr>
        <w:spacing w:after="0" w:line="9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liquidity is based on its ability to generate cash from operating activities, obtain capital financing from equity interest investors and borrow funds from financial institutions. Our future capital requirements depend on many factors including our growth rate, the continuing market acceptance of our offerings, the timing and extent of spending to support our efforts to develop our platform, the expansion of sales and marketing activities, and the expansion and penetration of our business into different geographies and markets. To enhance our liquidity position or increase our cash reserve for future investments or operations through additional financing activities, we may in the future seek equity financing or obtain credit facilities. The issue of additional equity securities, including convertible debt securities, would result in further dilution to our shareholders. The incurrence of indebtedness would result in increased fixed obligations and could result in operating covenants that would restrict our operations. There can be no assurances, however, that the current operating plan will be achieved or that additional funding will be available on terms acceptable to us, or at all. If we are unable to obtain sufficient funding, it could be required to delay its development efforts and limit activities, which could adversely affect its business and the consolidated financial statements.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Note 3 to the consolidated financial statements discloses all of the matters of which we are aware that are relevant to our ability to continue as a going concern for a reasonable period of time (defined as the time within one year after the date that the financial statements are issued, or available to be issued, where applicable), including significant conditions and events, and management’s plans to mitigate the adverse effects of such conditions and events. There is no approved plan for liquidation and liquidation is not being forced by any other party. As such, we believe that the going concern basis of accounting is appropriate.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(4,942,098)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(609,946)</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(73,885)</w:t>
            </w: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5,902,303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1,378,257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(22,754)</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863,338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945,265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in 2023 was US$4,942,098, primarily attributable to (i) our net loss of US$4,774,087, as adjusted by the reconciliation of net loss to net cash used in operating activities, which primarily comprised depreciation of right-of-use assets of US$366,852, and depreciation and amortization of US$47,057; and (ii) changes in operating assets and liabilities, which was primarily the result of (a) a decrease in operating lease liabilities of US$340,756, (a) an increase in prepaid expenses and other current assets of US$309,366 as a result of increased prepayments to suppliers, (c) an increase in amounts due from related parties of US$92,295, (d) a decrease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6" w:lineRule="auto"/>
        <w:rPr>
          <w:sz w:val="20"/>
          <w:szCs w:val="20"/>
          <w:color w:val="auto"/>
        </w:rPr>
      </w:pPr>
      <w:r>
        <w:rPr>
          <w:rFonts w:ascii="Times New Roman" w:cs="Times New Roman" w:eastAsia="Times New Roman" w:hAnsi="Times New Roman"/>
          <w:sz w:val="18"/>
          <w:szCs w:val="18"/>
          <w:color w:val="auto"/>
        </w:rPr>
        <w:t>in deferred revenue of US$81,877, (e) an increase in contract cost assets of US$73,299, partially offset by (a) an increase in accrued expenses and other current liabilities of US$286,404, and (b) a decrease in accounts receivable of US$38,177.</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Net cash used in operating activities in 2022 was US$609,946, primarily attributable to (i) our net loss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US$1,129,489, as adjusted by the reconciliation of net loss to net cash used in operating activities,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primarily comprised depreciation of right-of-use assets of US$101,099, and depreciation and amortization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US$16,867; and (ii) changes in operating assets and liabilities, which was primarily the result of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prepaid expenses and other current assets of US$111,981, (b) an increase in contract cost assets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US$268,509, and (c) a decrease in operating lease liabilities of US$127,196, partially offset by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deferred revenue of US$461,128, (b) an increase in accrued expenses and other current liabilities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US$249,052, and (c) an increase in accounts payable of US$166,358.</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2023 was US$139,757, which was primarily attributable to purchase of property and equipment in the amount of US$139,757, mainly expenditure on computer and office equipment, and leasehold improvement.</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was US$73,885, which was primarily attributable to purchase of property and equipment in the amount of US$73,885 for our newly established subsidiary.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 2023 was US$5,902,303, which primarily comprised (i) contribution from shareholders of US$8,242,988, (ii) loans from related parties of US$1,047,894, partially offset by (i) repayment of loans from related parties of US$1,814,818, (ii) payment of deferred offering costs of US$903,132, (iii) repayments of long-term bank loans of US$391,520 and (iv) payment of financing costs of US$204,638.</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2022 was US$1,378,257, which primarily comprised (i) loans from related parties of US$748,533, (ii) proceeds from long-term bank loans of US$652,789, and</w:t>
      </w:r>
    </w:p>
    <w:p>
      <w:pPr>
        <w:ind w:left="460" w:right="799" w:hanging="6"/>
        <w:spacing w:after="0" w:line="260" w:lineRule="auto"/>
        <w:tabs>
          <w:tab w:leader="none" w:pos="7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fees advance from a shareholder of US$ 524,560, partially offset by (i) repayment of loans from related parties of US$239,357, and (iii) dividend distribution of US$229,201.</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Our capital expenditures are primarily incurred for purposes of purchasing office and electric equipment and investments in office renovation. Our capital expenditures were US$139,757 and US$73,885 for the years ended December 31, 2023 and 2022, respectively. We intend to fund our future capital expenditures with our existing cash balance and proceeds from this offering. We will continue to make well-planned capital expenditures to meet the expected growth of our business.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under the non-cancellable operating lease with respect to the office and the warehouse as of December 31, 2023 are payable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46"/>
        </w:trPr>
        <w:tc>
          <w:tcPr>
            <w:tcW w:w="318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497,628</w:t>
            </w: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4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1,783,182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460" w:right="779" w:firstLine="432"/>
        <w:spacing w:after="0" w:line="281"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jc w:val="both"/>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nature of our business does not appear to be affected by seasonal variations.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2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spacing w:after="0" w:line="99" w:lineRule="exact"/>
        <w:rPr>
          <w:sz w:val="20"/>
          <w:szCs w:val="20"/>
          <w:color w:val="auto"/>
        </w:rPr>
      </w:pPr>
    </w:p>
    <w:p>
      <w:pPr>
        <w:ind w:left="1280" w:hanging="394"/>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144" w:lineRule="exact"/>
        <w:rPr>
          <w:sz w:val="20"/>
          <w:szCs w:val="20"/>
          <w:color w:val="auto"/>
        </w:rPr>
      </w:pPr>
    </w:p>
    <w:p>
      <w:pPr>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Our critical accounting policies and practices include the following: (i) credit losses; (ii) 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97" w:lineRule="exact"/>
        <w:rPr>
          <w:sz w:val="20"/>
          <w:szCs w:val="20"/>
          <w:color w:val="auto"/>
        </w:rPr>
      </w:pPr>
    </w:p>
    <w:p>
      <w:pPr>
        <w:ind w:left="460" w:right="999" w:firstLine="432"/>
        <w:spacing w:after="0" w:line="276" w:lineRule="auto"/>
        <w:rPr>
          <w:sz w:val="20"/>
          <w:szCs w:val="20"/>
          <w:color w:val="auto"/>
        </w:rPr>
      </w:pPr>
      <w:r>
        <w:rPr>
          <w:rFonts w:ascii="Times New Roman" w:cs="Times New Roman" w:eastAsia="Times New Roman" w:hAnsi="Times New Roman"/>
          <w:sz w:val="17"/>
          <w:szCs w:val="17"/>
          <w:color w:val="auto"/>
        </w:rPr>
        <w:t>We consider an accounting estimate to be critical if: (i) the accounting estimate requires us to make assumptions about matters that were highly uncertain at the time the accounting estimate was made, and</w:t>
      </w:r>
    </w:p>
    <w:p>
      <w:pPr>
        <w:spacing w:after="0" w:line="1" w:lineRule="exact"/>
        <w:rPr>
          <w:sz w:val="20"/>
          <w:szCs w:val="20"/>
          <w:color w:val="auto"/>
        </w:rPr>
      </w:pPr>
    </w:p>
    <w:p>
      <w:pPr>
        <w:ind w:left="460" w:right="499" w:hanging="6"/>
        <w:spacing w:after="0" w:line="253" w:lineRule="auto"/>
        <w:tabs>
          <w:tab w:leader="none" w:pos="7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provision of allowance for credit losses and (ii) valuation allowance of deferred tax assets.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of allowance for credit losses</w:t>
      </w:r>
    </w:p>
    <w:p>
      <w:pPr>
        <w:spacing w:after="0" w:line="14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On January 1, 2023, we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our financial statements.</w:t>
      </w:r>
    </w:p>
    <w:p>
      <w:pPr>
        <w:spacing w:after="0" w:line="12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accounts receivable, amounts due from related parties and other receivables which is included prepaid expenses and other current assets line item in the balance sheet are within the scope of ASC Topic 326. We use an aging schedule method in combination with current situation adjustment, to determine the loss rate of receivable balances and evaluate the expected credit losses on an individual basis. When establishing the loss rate, we make the assessment based on various factors, including aging of receivable balances, historical experience, credit-worthiness of debtor, current economic conditions, reasonable and supportable forecasts of future economic, and other factors that may affect our ability to collect form the debtors. We also apply current situation adjustment to provide specific provisions for allowance when facts and circumstances indicate that the receivable is unlikely to be collected.</w:t>
      </w:r>
    </w:p>
    <w:p>
      <w:pPr>
        <w:spacing w:after="0" w:line="121"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Expected credit losses are indicated in general and administrative expenses in the consolidated statements of operations and comprehensive loss. After all attempts to collect a receivable have failed, the receivable is written off against the allowance. Allowance for doubtful accounts receivable were US$7,299 and nil as of December 31,2023 and 2022, respectively.</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of deferred tax assets</w:t>
      </w:r>
    </w:p>
    <w:p>
      <w:pPr>
        <w:spacing w:after="0" w:line="146"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2023 and 2022. Thus, management decided to record all of the valuation allowance. Valuation allowance amounted to US$929,574 and US$238,081 as of December 31, 2023 and 2022,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January 1, 2024. We expect that no material effect of the adoption of this ASU.</w:t>
      </w:r>
    </w:p>
    <w:p>
      <w:pPr>
        <w:spacing w:after="0" w:line="121"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 Estate — Real Estate Investment</w:t>
      </w:r>
    </w:p>
    <w:p>
      <w:pPr>
        <w:ind w:left="460" w:right="539"/>
        <w:spacing w:after="0" w:line="251" w:lineRule="auto"/>
        <w:rPr>
          <w:sz w:val="20"/>
          <w:szCs w:val="20"/>
          <w:color w:val="auto"/>
        </w:rPr>
      </w:pPr>
      <w:r>
        <w:rPr>
          <w:rFonts w:ascii="Times New Roman" w:cs="Times New Roman" w:eastAsia="Times New Roman" w:hAnsi="Times New Roman"/>
          <w:sz w:val="18"/>
          <w:szCs w:val="18"/>
          <w:color w:val="auto"/>
        </w:rPr>
        <w:t>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We are in the process of evaluating the effect of the adoption of this ASU.</w:t>
      </w:r>
    </w:p>
    <w:p>
      <w:pPr>
        <w:spacing w:after="0" w:line="126"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We expect the adoption of this ASU will not have a material effect on the consolidated financial statements.</w:t>
      </w:r>
    </w:p>
    <w:p>
      <w:pPr>
        <w:spacing w:after="0" w:line="111"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We do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62"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60"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 translation and transaction</w:t>
      </w:r>
    </w:p>
    <w:p>
      <w:pPr>
        <w:spacing w:after="0" w:line="160"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4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Digital Solutions in Singapore</w:t>
      </w:r>
    </w:p>
    <w:p>
      <w:pPr>
        <w:spacing w:after="0" w:line="16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color w:val="auto"/>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w:t>
      </w:r>
    </w:p>
    <w:p>
      <w:pPr>
        <w:spacing w:after="0" w:line="1" w:lineRule="exact"/>
        <w:rPr>
          <w:sz w:val="20"/>
          <w:szCs w:val="20"/>
          <w:color w:val="auto"/>
        </w:rPr>
      </w:pPr>
    </w:p>
    <w:p>
      <w:pPr>
        <w:ind w:left="460" w:right="639" w:hanging="6"/>
        <w:spacing w:after="0" w:line="260" w:lineRule="auto"/>
        <w:tabs>
          <w:tab w:leader="none" w:pos="7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branding, design and marketing consulting services; (iii) application development and user experience and user interface interfacing; and (iv) IT consulting solution.</w:t>
      </w:r>
    </w:p>
    <w:p>
      <w:pPr>
        <w:spacing w:after="0" w:line="11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spacing w:after="0" w:line="7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spacing w:after="0" w:line="10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spacing w:after="0" w:line="11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Digital Solutions in Singapore</w:t>
      </w:r>
    </w:p>
    <w:p>
      <w:pPr>
        <w:spacing w:after="0" w:line="146" w:lineRule="exact"/>
        <w:rPr>
          <w:sz w:val="20"/>
          <w:szCs w:val="20"/>
          <w:color w:val="auto"/>
        </w:rPr>
      </w:pPr>
    </w:p>
    <w:p>
      <w:pPr>
        <w:ind w:left="1320" w:right="499" w:hanging="434"/>
        <w:spacing w:after="0" w:line="270" w:lineRule="auto"/>
        <w:tabs>
          <w:tab w:leader="none" w:pos="13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Demand for operational efficiency. </w:t>
      </w:r>
      <w:r>
        <w:rPr>
          <w:rFonts w:ascii="Times New Roman" w:cs="Times New Roman" w:eastAsia="Times New Roman" w:hAnsi="Times New Roman"/>
          <w:sz w:val="17"/>
          <w:szCs w:val="17"/>
          <w:color w:val="auto"/>
        </w:rPr>
        <w:t>Particularly for market entrants of e-commerce platforms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spacing w:after="0" w:line="105" w:lineRule="exact"/>
        <w:rPr>
          <w:rFonts w:ascii="Times New Roman" w:cs="Times New Roman" w:eastAsia="Times New Roman" w:hAnsi="Times New Roman"/>
          <w:sz w:val="17"/>
          <w:szCs w:val="17"/>
          <w:color w:val="auto"/>
        </w:rPr>
      </w:pPr>
    </w:p>
    <w:p>
      <w:pPr>
        <w:ind w:left="1320" w:right="499" w:hanging="434"/>
        <w:spacing w:after="0" w:line="256" w:lineRule="auto"/>
        <w:tabs>
          <w:tab w:leader="none" w:pos="131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Robust demand for omnichannel customer experience. </w:t>
      </w:r>
      <w:r>
        <w:rPr>
          <w:rFonts w:ascii="Times New Roman" w:cs="Times New Roman" w:eastAsia="Times New Roman" w:hAnsi="Times New Roman"/>
          <w:sz w:val="18"/>
          <w:szCs w:val="18"/>
          <w:color w:val="auto"/>
        </w:rPr>
        <w:t>With thriving numbers of Internet users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99"/>
        <w:spacing w:after="0" w:line="254" w:lineRule="auto"/>
        <w:rPr>
          <w:sz w:val="20"/>
          <w:szCs w:val="20"/>
          <w:color w:val="auto"/>
        </w:rPr>
      </w:pPr>
      <w:r>
        <w:rPr>
          <w:rFonts w:ascii="Times New Roman" w:cs="Times New Roman" w:eastAsia="Times New Roman" w:hAnsi="Times New Roman"/>
          <w:sz w:val="18"/>
          <w:szCs w:val="18"/>
          <w:color w:val="auto"/>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spacing w:after="0" w:line="119" w:lineRule="exact"/>
        <w:rPr>
          <w:sz w:val="20"/>
          <w:szCs w:val="20"/>
          <w:color w:val="auto"/>
        </w:rPr>
      </w:pPr>
    </w:p>
    <w:p>
      <w:pPr>
        <w:ind w:left="1320" w:right="679" w:hanging="434"/>
        <w:spacing w:after="0" w:line="254"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effort in promoting digital economy and society. </w:t>
      </w:r>
      <w:r>
        <w:rPr>
          <w:rFonts w:ascii="Times New Roman" w:cs="Times New Roman" w:eastAsia="Times New Roman" w:hAnsi="Times New Roman"/>
          <w:sz w:val="18"/>
          <w:szCs w:val="18"/>
          <w:color w:val="auto"/>
        </w:rPr>
        <w:t>Singapore government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54"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Significant impetus from SMEs. </w:t>
      </w:r>
      <w:r>
        <w:rPr>
          <w:rFonts w:ascii="Times New Roman" w:cs="Times New Roman" w:eastAsia="Times New Roman" w:hAnsi="Times New Roman"/>
          <w:sz w:val="18"/>
          <w:szCs w:val="18"/>
          <w:color w:val="auto"/>
        </w:rPr>
        <w:t>Government support for SME digitalization and skills upgrading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spacing w:after="0" w:line="10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Rise of Web 3.0 propelling e-commerce enablement</w:t>
      </w:r>
      <w:r>
        <w:rPr>
          <w:rFonts w:ascii="Times New Roman" w:cs="Times New Roman" w:eastAsia="Times New Roman" w:hAnsi="Times New Roman"/>
          <w:sz w:val="18"/>
          <w:szCs w:val="18"/>
          <w:color w:val="auto"/>
        </w:rPr>
        <w:t>. Web 3.0 primarily focuses on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spacing w:after="0" w:line="117" w:lineRule="exact"/>
        <w:rPr>
          <w:rFonts w:ascii="Times New Roman" w:cs="Times New Roman" w:eastAsia="Times New Roman" w:hAnsi="Times New Roman"/>
          <w:sz w:val="18"/>
          <w:szCs w:val="18"/>
          <w:color w:val="auto"/>
        </w:rPr>
      </w:pPr>
    </w:p>
    <w:p>
      <w:pPr>
        <w:ind w:left="1320" w:right="559" w:hanging="434"/>
        <w:spacing w:after="0" w:line="254" w:lineRule="auto"/>
        <w:tabs>
          <w:tab w:leader="none" w:pos="131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Demand for advancement in IT infrastructure and analytical tools. </w:t>
      </w:r>
      <w:r>
        <w:rPr>
          <w:rFonts w:ascii="Times New Roman" w:cs="Times New Roman" w:eastAsia="Times New Roman" w:hAnsi="Times New Roman"/>
          <w:sz w:val="18"/>
          <w:szCs w:val="18"/>
          <w:color w:val="auto"/>
        </w:rPr>
        <w:t>Advancements in IT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839"/>
        <w:spacing w:after="0" w:line="289" w:lineRule="auto"/>
        <w:rPr>
          <w:sz w:val="20"/>
          <w:szCs w:val="20"/>
          <w:color w:val="auto"/>
        </w:rPr>
      </w:pPr>
      <w:r>
        <w:rPr>
          <w:rFonts w:ascii="Times New Roman" w:cs="Times New Roman" w:eastAsia="Times New Roman" w:hAnsi="Times New Roman"/>
          <w:sz w:val="17"/>
          <w:szCs w:val="17"/>
          <w:color w:val="auto"/>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Singapore</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SMEs Go Digital Program in Singapore</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program is led by IMDA. Only those digital solutions providers that have been approved by IMDA can participate in the program and provide services to SMEs. Our Company is one of the pre-approved digital solution vendors.</w:t>
      </w:r>
    </w:p>
    <w:p>
      <w:pPr>
        <w:spacing w:after="0" w:line="108" w:lineRule="exact"/>
        <w:rPr>
          <w:sz w:val="20"/>
          <w:szCs w:val="20"/>
          <w:color w:val="auto"/>
        </w:rPr>
      </w:pPr>
    </w:p>
    <w:p>
      <w:pPr>
        <w:jc w:val="both"/>
        <w:ind w:left="460" w:right="1059" w:firstLine="432"/>
        <w:spacing w:after="0" w:line="266" w:lineRule="auto"/>
        <w:rPr>
          <w:sz w:val="20"/>
          <w:szCs w:val="20"/>
          <w:color w:val="auto"/>
        </w:rPr>
      </w:pPr>
      <w:r>
        <w:rPr>
          <w:rFonts w:ascii="Times New Roman" w:cs="Times New Roman" w:eastAsia="Times New Roman" w:hAnsi="Times New Roman"/>
          <w:sz w:val="18"/>
          <w:szCs w:val="18"/>
          <w:color w:val="auto"/>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80645</wp:posOffset>
            </wp:positionV>
            <wp:extent cx="4989195" cy="1800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891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Web 3.0 E-Commerce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more secure, and decentralized.</w:t>
      </w:r>
    </w:p>
    <w:p>
      <w:pPr>
        <w:spacing w:after="0" w:line="9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spacing w:after="0" w:line="120"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Web 3.0 E-Commerce</w:t>
      </w:r>
    </w:p>
    <w:p>
      <w:pPr>
        <w:spacing w:after="0" w:line="148" w:lineRule="exact"/>
        <w:rPr>
          <w:sz w:val="20"/>
          <w:szCs w:val="20"/>
          <w:color w:val="auto"/>
        </w:rPr>
      </w:pPr>
    </w:p>
    <w:p>
      <w:pPr>
        <w:ind w:left="460" w:right="1359" w:firstLine="432"/>
        <w:spacing w:after="0" w:line="282" w:lineRule="auto"/>
        <w:rPr>
          <w:sz w:val="20"/>
          <w:szCs w:val="20"/>
          <w:color w:val="auto"/>
        </w:rPr>
      </w:pPr>
      <w:r>
        <w:rPr>
          <w:rFonts w:ascii="Times New Roman" w:cs="Times New Roman" w:eastAsia="Times New Roman" w:hAnsi="Times New Roman"/>
          <w:sz w:val="18"/>
          <w:szCs w:val="18"/>
          <w:color w:val="auto"/>
        </w:rPr>
        <w:t>Web 3.0 will enable a decentralized commerce model where merchants list their products on a decentralized marketplace and customers can access them directly without any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4989195" cy="2434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Web 3.0 E-Commerce in Southeast Asia</w:t>
      </w:r>
    </w:p>
    <w:p>
      <w:pPr>
        <w:spacing w:after="0" w:line="160" w:lineRule="exact"/>
        <w:rPr>
          <w:sz w:val="20"/>
          <w:szCs w:val="20"/>
          <w:color w:val="auto"/>
        </w:rPr>
      </w:pPr>
    </w:p>
    <w:p>
      <w:pPr>
        <w:ind w:left="1320" w:right="479" w:hanging="434"/>
        <w:spacing w:after="0" w:line="253" w:lineRule="auto"/>
        <w:tabs>
          <w:tab w:leader="none" w:pos="1315"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Improved security, transparency and trust. </w:t>
      </w:r>
      <w:r>
        <w:rPr>
          <w:rFonts w:ascii="Times New Roman" w:cs="Times New Roman" w:eastAsia="Times New Roman" w:hAnsi="Times New Roman"/>
          <w:sz w:val="18"/>
          <w:szCs w:val="18"/>
          <w:color w:val="auto"/>
        </w:rPr>
        <w:t>The key technological advances in Web 3.0,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Enhanced personalized digital experience. </w:t>
      </w:r>
      <w:r>
        <w:rPr>
          <w:rFonts w:ascii="Times New Roman" w:cs="Times New Roman" w:eastAsia="Times New Roman" w:hAnsi="Times New Roman"/>
          <w:sz w:val="18"/>
          <w:szCs w:val="18"/>
          <w:color w:val="auto"/>
        </w:rPr>
        <w:t>Consumers nowadays expect personalized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spacing w:after="0" w:line="117" w:lineRule="exact"/>
        <w:rPr>
          <w:rFonts w:ascii="Times New Roman" w:cs="Times New Roman" w:eastAsia="Times New Roman" w:hAnsi="Times New Roman"/>
          <w:sz w:val="18"/>
          <w:szCs w:val="18"/>
          <w:i w:val="1"/>
          <w:iCs w:val="1"/>
          <w:color w:val="auto"/>
        </w:rPr>
      </w:pPr>
    </w:p>
    <w:p>
      <w:pPr>
        <w:ind w:left="1320" w:right="479" w:hanging="434"/>
        <w:spacing w:after="0" w:line="257"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Variety of user experience. </w:t>
      </w:r>
      <w:r>
        <w:rPr>
          <w:rFonts w:ascii="Times New Roman" w:cs="Times New Roman" w:eastAsia="Times New Roman" w:hAnsi="Times New Roman"/>
          <w:sz w:val="18"/>
          <w:szCs w:val="18"/>
          <w:color w:val="auto"/>
        </w:rPr>
        <w:t>Web 3.0 features advanced technology such as virtual/augmented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spacing w:after="0" w:line="114" w:lineRule="exact"/>
        <w:rPr>
          <w:rFonts w:ascii="Times New Roman" w:cs="Times New Roman" w:eastAsia="Times New Roman" w:hAnsi="Times New Roman"/>
          <w:sz w:val="18"/>
          <w:szCs w:val="18"/>
          <w:color w:val="auto"/>
        </w:rPr>
      </w:pPr>
    </w:p>
    <w:p>
      <w:pPr>
        <w:ind w:left="1320" w:right="519" w:hanging="434"/>
        <w:spacing w:after="0" w:line="25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growing consumer base that embraces technology. </w:t>
      </w:r>
      <w:r>
        <w:rPr>
          <w:rFonts w:ascii="Times New Roman" w:cs="Times New Roman" w:eastAsia="Times New Roman" w:hAnsi="Times New Roman"/>
          <w:sz w:val="18"/>
          <w:szCs w:val="18"/>
          <w:color w:val="auto"/>
        </w:rPr>
        <w:t>With a high Internet penetration rate, a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spacing w:after="0" w:line="101" w:lineRule="exact"/>
        <w:rPr>
          <w:rFonts w:ascii="Times New Roman" w:cs="Times New Roman" w:eastAsia="Times New Roman" w:hAnsi="Times New Roman"/>
          <w:sz w:val="18"/>
          <w:szCs w:val="18"/>
          <w:color w:val="auto"/>
        </w:rPr>
      </w:pPr>
    </w:p>
    <w:p>
      <w:pPr>
        <w:ind w:left="1320" w:right="579" w:hanging="434"/>
        <w:spacing w:after="0" w:line="255"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endeavor. </w:t>
      </w:r>
      <w:r>
        <w:rPr>
          <w:rFonts w:ascii="Times New Roman" w:cs="Times New Roman" w:eastAsia="Times New Roman" w:hAnsi="Times New Roman"/>
          <w:sz w:val="18"/>
          <w:szCs w:val="18"/>
          <w:color w:val="auto"/>
        </w:rPr>
        <w:t>Governments in Southeast Asia have generally taken a progressive 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spacing w:after="0" w:line="117" w:lineRule="exact"/>
        <w:rPr>
          <w:rFonts w:ascii="Times New Roman" w:cs="Times New Roman" w:eastAsia="Times New Roman" w:hAnsi="Times New Roman"/>
          <w:sz w:val="18"/>
          <w:szCs w:val="18"/>
          <w:color w:val="auto"/>
        </w:rPr>
      </w:pPr>
    </w:p>
    <w:p>
      <w:pPr>
        <w:ind w:left="1320" w:right="519" w:hanging="434"/>
        <w:spacing w:after="0" w:line="255"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Cross-border trade. </w:t>
      </w:r>
      <w:r>
        <w:rPr>
          <w:rFonts w:ascii="Times New Roman" w:cs="Times New Roman" w:eastAsia="Times New Roman" w:hAnsi="Times New Roman"/>
          <w:sz w:val="18"/>
          <w:szCs w:val="18"/>
          <w:color w:val="auto"/>
        </w:rPr>
        <w:t>In 2021, the Southeast Asia countries signed the ASEAN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Opportunities of Web 3.0 E-Commerce in Southeast Asia and Globally</w:t>
      </w:r>
    </w:p>
    <w:p>
      <w:pPr>
        <w:spacing w:after="0" w:line="162" w:lineRule="exact"/>
        <w:rPr>
          <w:sz w:val="20"/>
          <w:szCs w:val="20"/>
          <w:color w:val="auto"/>
        </w:rPr>
      </w:pPr>
    </w:p>
    <w:p>
      <w:pPr>
        <w:jc w:val="both"/>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spacing w:after="0" w:line="100" w:lineRule="exact"/>
        <w:rPr>
          <w:sz w:val="20"/>
          <w:szCs w:val="20"/>
          <w:color w:val="auto"/>
        </w:rPr>
      </w:pPr>
    </w:p>
    <w:p>
      <w:pPr>
        <w:ind w:left="1320" w:right="579" w:hanging="434"/>
        <w:spacing w:after="0" w:line="258" w:lineRule="auto"/>
        <w:tabs>
          <w:tab w:leader="none" w:pos="1315"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Nominal GDP in Southeast Asia. </w:t>
      </w:r>
      <w:r>
        <w:rPr>
          <w:rFonts w:ascii="Times New Roman" w:cs="Times New Roman" w:eastAsia="Times New Roman" w:hAnsi="Times New Roman"/>
          <w:sz w:val="18"/>
          <w:szCs w:val="18"/>
          <w:color w:val="auto"/>
        </w:rPr>
        <w:t>According to The International Monetary Fund, the nominal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559" w:hanging="434"/>
        <w:spacing w:after="0" w:line="256" w:lineRule="auto"/>
        <w:tabs>
          <w:tab w:leader="none" w:pos="131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Number of Internet users in Southeast Asia. </w:t>
      </w:r>
      <w:r>
        <w:rPr>
          <w:rFonts w:ascii="Times New Roman" w:cs="Times New Roman" w:eastAsia="Times New Roman" w:hAnsi="Times New Roman"/>
          <w:sz w:val="18"/>
          <w:szCs w:val="18"/>
          <w:color w:val="auto"/>
        </w:rPr>
        <w:t>In 2022, the number of Internet users in Southeast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spacing w:after="0" w:line="115" w:lineRule="exact"/>
        <w:rPr>
          <w:rFonts w:ascii="Times New Roman" w:cs="Times New Roman" w:eastAsia="Times New Roman" w:hAnsi="Times New Roman"/>
          <w:sz w:val="18"/>
          <w:szCs w:val="18"/>
          <w:i w:val="1"/>
          <w:iCs w:val="1"/>
          <w:color w:val="auto"/>
        </w:rPr>
      </w:pPr>
    </w:p>
    <w:p>
      <w:pPr>
        <w:ind w:left="1320" w:right="459" w:hanging="434"/>
        <w:spacing w:after="0" w:line="253"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size of e-commerce in Southeast Asia. </w:t>
      </w:r>
      <w:r>
        <w:rPr>
          <w:rFonts w:ascii="Times New Roman" w:cs="Times New Roman" w:eastAsia="Times New Roman" w:hAnsi="Times New Roman"/>
          <w:sz w:val="18"/>
          <w:szCs w:val="18"/>
          <w:color w:val="auto"/>
        </w:rPr>
        <w:t>The e-commerce industry in the region has grown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92075</wp:posOffset>
            </wp:positionV>
            <wp:extent cx="4594860" cy="1774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948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60"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market size of Web 3.0-enabled e-commerce in Southeast Asia is expected to grow at a CAGR of 100.3% from 2023 to 2027, reaching US$47.0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71120</wp:posOffset>
            </wp:positionV>
            <wp:extent cx="4011930" cy="213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1193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size of global e-commerce. </w:t>
      </w:r>
      <w:r>
        <w:rPr>
          <w:rFonts w:ascii="Times New Roman" w:cs="Times New Roman" w:eastAsia="Times New Roman" w:hAnsi="Times New Roman"/>
          <w:sz w:val="18"/>
          <w:szCs w:val="18"/>
          <w:color w:val="auto"/>
        </w:rPr>
        <w:t>Rapid urbanization across the globe is one of the key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87630</wp:posOffset>
            </wp:positionV>
            <wp:extent cx="4509135" cy="16548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0913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46"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85090</wp:posOffset>
            </wp:positionV>
            <wp:extent cx="3789045" cy="19888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7890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Our mission is to be the leader in Web 3.0 enablement, bridging business to a trusted and secure e-commerce platform with curated customer experience.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spacing w:after="0" w:line="10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320" w:right="479" w:hanging="434"/>
        <w:spacing w:after="0" w:line="259"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1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December 31, 2023, we served over 200 clients across our core verticals such as food and beverage, wholesale and retail.</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accounted for 50.2% and 49.8% of our total revenue for the year ended December 31, 2022 respectively. We incurred net losses of approximately US$4.77 million and US$1.13 million for the years ended December 31, 2023 and 2022,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81"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Leading digital transformation enabler in the SME segment of the e-commerce enablement and digital optimizing services market in Singapore</w:t>
      </w:r>
    </w:p>
    <w:p>
      <w:pPr>
        <w:spacing w:after="0" w:line="7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spacing w:after="0" w:line="8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spacing w:after="0" w:line="8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 Architecture</w:t>
      </w:r>
    </w:p>
    <w:p>
      <w:pPr>
        <w:spacing w:after="0" w:line="13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spacing w:after="0" w:line="93"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Unique Perspective and Efficient Operational Capabilities</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spacing w:after="0" w:line="120"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believe that these unique perspectives and the efficient operational capabilities can be applied to our developing Web 3.0 e-commerce platform which accelerates merchants and customers’ acquisition and increases their stickiness.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Seasoned and Visionary Management Team with International Perspective</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spacing w:after="0" w:line="12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Capitalize on a Generational Shift to Web 3.0</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spacing w:after="0" w:line="12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operates Tridentity, a Web 3.0 e-commerce platform whereby customers and merchants can transact in a transparent and secure way, launched in December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and Grow our Client Base</w:t>
      </w:r>
    </w:p>
    <w:p>
      <w:pPr>
        <w:spacing w:after="0" w:line="162"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We plan to grow our existing clients by adding product features and additional functionality to our solutions and continuing to drive digital adoption of our existing solutions.</w:t>
      </w:r>
    </w:p>
    <w:p>
      <w:pPr>
        <w:spacing w:after="0" w:line="81"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Broaden our Geographical Reach</w:t>
      </w:r>
    </w:p>
    <w:p>
      <w:pPr>
        <w:spacing w:after="0" w:line="14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Selectively Pursue Strategic Acquisitions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Business Consulting Solutions</w:t>
      </w:r>
    </w:p>
    <w:p>
      <w:pPr>
        <w:spacing w:after="0" w:line="16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Our approach, with an eye on execution, combines creative thinking and industry expertise to enable companies to achieve market-leading performance.</w:t>
      </w:r>
    </w:p>
    <w:p>
      <w:pPr>
        <w:spacing w:after="0" w:line="81" w:lineRule="exact"/>
        <w:rPr>
          <w:sz w:val="20"/>
          <w:szCs w:val="20"/>
          <w:color w:val="auto"/>
        </w:rPr>
      </w:pPr>
    </w:p>
    <w:p>
      <w:pPr>
        <w:jc w:val="both"/>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spacing w:after="0" w:line="108" w:lineRule="exact"/>
        <w:rPr>
          <w:sz w:val="20"/>
          <w:szCs w:val="20"/>
          <w:color w:val="auto"/>
        </w:rPr>
      </w:pPr>
    </w:p>
    <w:p>
      <w:pPr>
        <w:jc w:val="both"/>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provide market intelligence to our clients by identifying the objectives and audience, formulating customized digital marketing strategies in order to magnify their brand positioning and enhance operational efficiency.</w:t>
      </w:r>
    </w:p>
    <w:p>
      <w:pPr>
        <w:spacing w:after="0" w:line="95" w:lineRule="exact"/>
        <w:rPr>
          <w:sz w:val="20"/>
          <w:szCs w:val="20"/>
          <w:color w:val="auto"/>
        </w:rPr>
      </w:pPr>
    </w:p>
    <w:p>
      <w:pPr>
        <w:jc w:val="both"/>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data analysis</w:t>
      </w:r>
    </w:p>
    <w:p>
      <w:pPr>
        <w:spacing w:after="0" w:line="16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Visual identity elements design</w:t>
      </w:r>
    </w:p>
    <w:p>
      <w:pPr>
        <w:spacing w:after="0" w:line="146"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Strategic planning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spacing w:after="0" w:line="121"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146" w:lineRule="exact"/>
        <w:rPr>
          <w:sz w:val="20"/>
          <w:szCs w:val="20"/>
          <w:color w:val="auto"/>
        </w:rPr>
      </w:pPr>
    </w:p>
    <w:p>
      <w:pPr>
        <w:ind w:left="460" w:right="739" w:firstLine="432"/>
        <w:spacing w:after="0" w:line="274" w:lineRule="auto"/>
        <w:rPr>
          <w:sz w:val="20"/>
          <w:szCs w:val="20"/>
          <w:color w:val="auto"/>
        </w:rPr>
      </w:pPr>
      <w:r>
        <w:rPr>
          <w:rFonts w:ascii="Times New Roman" w:cs="Times New Roman" w:eastAsia="Times New Roman" w:hAnsi="Times New Roman"/>
          <w:sz w:val="17"/>
          <w:szCs w:val="17"/>
          <w:color w:val="auto"/>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spacing w:after="0" w:line="105"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IT Customization Services</w:t>
      </w:r>
    </w:p>
    <w:p>
      <w:pPr>
        <w:spacing w:after="0" w:line="162" w:lineRule="exact"/>
        <w:rPr>
          <w:sz w:val="20"/>
          <w:szCs w:val="20"/>
          <w:color w:val="auto"/>
        </w:rPr>
      </w:pPr>
    </w:p>
    <w:p>
      <w:pPr>
        <w:jc w:val="both"/>
        <w:ind w:left="460" w:right="619" w:firstLine="432"/>
        <w:spacing w:after="0" w:line="289" w:lineRule="auto"/>
        <w:rPr>
          <w:sz w:val="20"/>
          <w:szCs w:val="20"/>
          <w:color w:val="auto"/>
        </w:rPr>
      </w:pPr>
      <w:r>
        <w:rPr>
          <w:rFonts w:ascii="Times New Roman" w:cs="Times New Roman" w:eastAsia="Times New Roman" w:hAnsi="Times New Roman"/>
          <w:sz w:val="17"/>
          <w:szCs w:val="17"/>
          <w:color w:val="auto"/>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IT Consulting Services</w:t>
      </w:r>
    </w:p>
    <w:p>
      <w:pPr>
        <w:spacing w:after="0" w:line="148"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Our IT consulting services include a full range of consulting and technical services relating to the software solutions, from the early design and planning stages of an implementation to end-user training and after-implementation consulting services.</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spacing w:after="0" w:line="112" w:lineRule="exact"/>
        <w:rPr>
          <w:sz w:val="20"/>
          <w:szCs w:val="20"/>
          <w:color w:val="auto"/>
        </w:rPr>
      </w:pPr>
    </w:p>
    <w:p>
      <w:pPr>
        <w:ind w:left="1320" w:right="87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and evaluation of client’s business requirements, especially with regard to the size and complexity of the projects to be supported, as well as the client’s customized needs;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key problems and challenges of the current business operation and workflow;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proposed software solution based on client’s requirements;</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of the system features to fulfill our client’s business by revamping and integrating different information technology systems and operational systems;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project’s lifecycle by certified professionals;</w:t>
      </w:r>
    </w:p>
    <w:p>
      <w:pPr>
        <w:spacing w:after="0" w:line="144"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fine-tuned adjustment and customization of software solutions to meet the client’s business needs such as project plan or solution proposal, etc.;</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 implementation strategy that assesses operational impacts and improves ease of learning about the new computerized operations;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assistance with face-to-face or online professional training and reinforcement.</w:t>
      </w:r>
    </w:p>
    <w:p>
      <w:pPr>
        <w:spacing w:after="0" w:line="144"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 Software Solutions</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We offer a range of management software solutions to customers via annual subscriptions, including client relationship management solutions, inventory management solutions.</w:t>
      </w:r>
    </w:p>
    <w:p>
      <w:pPr>
        <w:spacing w:after="0" w:line="9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Web 3.0 E-Commerce Platform</w:t>
      </w:r>
    </w:p>
    <w:p>
      <w:pPr>
        <w:spacing w:after="0" w:line="148" w:lineRule="exact"/>
        <w:rPr>
          <w:sz w:val="20"/>
          <w:szCs w:val="20"/>
          <w:color w:val="auto"/>
        </w:rPr>
      </w:pPr>
    </w:p>
    <w:p>
      <w:pPr>
        <w:jc w:val="both"/>
        <w:ind w:left="460" w:right="879" w:firstLine="432"/>
        <w:spacing w:after="0" w:line="277" w:lineRule="auto"/>
        <w:rPr>
          <w:sz w:val="20"/>
          <w:szCs w:val="20"/>
          <w:color w:val="auto"/>
        </w:rPr>
      </w:pPr>
      <w:r>
        <w:rPr>
          <w:rFonts w:ascii="Times New Roman" w:cs="Times New Roman" w:eastAsia="Times New Roman" w:hAnsi="Times New Roman"/>
          <w:sz w:val="17"/>
          <w:szCs w:val="17"/>
          <w:color w:val="auto"/>
        </w:rPr>
        <w:t>In December 2023, we launched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0" w:lineRule="exact"/>
        <w:rPr>
          <w:sz w:val="20"/>
          <w:szCs w:val="20"/>
          <w:color w:val="auto"/>
        </w:rPr>
      </w:pPr>
    </w:p>
    <w:p>
      <w:pPr>
        <w:ind w:left="460" w:right="559" w:firstLine="432"/>
        <w:spacing w:after="0" w:line="281" w:lineRule="auto"/>
        <w:rPr>
          <w:sz w:val="20"/>
          <w:szCs w:val="20"/>
          <w:color w:val="auto"/>
        </w:rPr>
      </w:pPr>
      <w:r>
        <w:rPr>
          <w:rFonts w:ascii="Times New Roman" w:cs="Times New Roman" w:eastAsia="Times New Roman" w:hAnsi="Times New Roman"/>
          <w:sz w:val="17"/>
          <w:szCs w:val="17"/>
          <w:color w:val="auto"/>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spacing w:after="0" w:line="97"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spacing w:after="0" w:line="127" w:lineRule="exact"/>
        <w:rPr>
          <w:sz w:val="20"/>
          <w:szCs w:val="20"/>
          <w:color w:val="auto"/>
        </w:rPr>
      </w:pPr>
    </w:p>
    <w:p>
      <w:pPr>
        <w:jc w:val="both"/>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w:t>
      </w:r>
    </w:p>
    <w:p>
      <w:pPr>
        <w:spacing w:after="0" w:line="5" w:lineRule="exact"/>
        <w:rPr>
          <w:sz w:val="20"/>
          <w:szCs w:val="20"/>
          <w:color w:val="auto"/>
        </w:rPr>
      </w:pPr>
    </w:p>
    <w:p>
      <w:pPr>
        <w:ind w:left="460" w:right="559"/>
        <w:spacing w:after="0" w:line="253" w:lineRule="auto"/>
        <w:rPr>
          <w:sz w:val="20"/>
          <w:szCs w:val="20"/>
          <w:color w:val="auto"/>
        </w:rPr>
      </w:pPr>
      <w:r>
        <w:rPr>
          <w:rFonts w:ascii="Times New Roman" w:cs="Times New Roman" w:eastAsia="Times New Roman" w:hAnsi="Times New Roman"/>
          <w:sz w:val="18"/>
          <w:szCs w:val="18"/>
          <w:color w:val="auto"/>
        </w:rPr>
        <w:t>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spacing w:after="0" w:line="119"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spacing w:after="0" w:line="9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spacing w:after="0" w:line="12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a diversified client base spanning a range of industry verticals, including e-commerce, food and beverage, fintech, healthcare and service, wholesale and retail. As of December 31, 2023, we served over 200 clients across our core verticals such as food and beverage, wholesale and retail, all of whom utilize our services and talent to help them evolve the digital capabilities within their organizations.</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6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solutions are designed from the ground up for speed-to-market, scalability, security, durability, and reliability. The foundational technology that enables these benefits includes:</w:t>
      </w:r>
    </w:p>
    <w:p>
      <w:pPr>
        <w:spacing w:after="0" w:line="81" w:lineRule="exact"/>
        <w:rPr>
          <w:sz w:val="20"/>
          <w:szCs w:val="20"/>
          <w:color w:val="auto"/>
        </w:rPr>
      </w:pPr>
    </w:p>
    <w:p>
      <w:pPr>
        <w:ind w:left="1320" w:right="499" w:hanging="434"/>
        <w:spacing w:after="0" w:line="271" w:lineRule="auto"/>
        <w:tabs>
          <w:tab w:leader="none" w:pos="13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spacing w:after="0" w:line="78" w:lineRule="exact"/>
        <w:rPr>
          <w:rFonts w:ascii="Times New Roman" w:cs="Times New Roman" w:eastAsia="Times New Roman" w:hAnsi="Times New Roman"/>
          <w:sz w:val="17"/>
          <w:szCs w:val="17"/>
          <w:color w:val="auto"/>
        </w:rPr>
      </w:pPr>
    </w:p>
    <w:p>
      <w:pPr>
        <w:ind w:left="1320" w:right="459" w:hanging="434"/>
        <w:spacing w:after="0" w:line="258"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spacing w:after="0" w:line="88"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56"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92" w:lineRule="exact"/>
        <w:rPr>
          <w:rFonts w:ascii="Times New Roman" w:cs="Times New Roman" w:eastAsia="Times New Roman" w:hAnsi="Times New Roman"/>
          <w:sz w:val="18"/>
          <w:szCs w:val="18"/>
          <w:color w:val="auto"/>
        </w:rPr>
      </w:pPr>
    </w:p>
    <w:p>
      <w:pPr>
        <w:ind w:left="1320" w:right="599" w:hanging="434"/>
        <w:spacing w:after="0" w:line="254"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Maintenance and Support</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spacing w:after="0" w:line="99" w:lineRule="exact"/>
        <w:rPr>
          <w:sz w:val="20"/>
          <w:szCs w:val="20"/>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track record and reputation in the industry;</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customization;</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innovation, quality, functionality and design;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partnerships with upstream and downstream partners;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vertical domain experience;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commitment to security and privacy.</w:t>
      </w:r>
    </w:p>
    <w:p>
      <w:pPr>
        <w:spacing w:after="0" w:line="144" w:lineRule="exact"/>
        <w:rPr>
          <w:sz w:val="20"/>
          <w:szCs w:val="20"/>
          <w:color w:val="auto"/>
        </w:rPr>
      </w:pPr>
    </w:p>
    <w:p>
      <w:pPr>
        <w:ind w:left="460" w:right="519" w:firstLine="432"/>
        <w:spacing w:after="0" w:line="273" w:lineRule="auto"/>
        <w:rPr>
          <w:sz w:val="20"/>
          <w:szCs w:val="20"/>
          <w:color w:val="auto"/>
        </w:rPr>
      </w:pPr>
      <w:r>
        <w:rPr>
          <w:rFonts w:ascii="Times New Roman" w:cs="Times New Roman" w:eastAsia="Times New Roman" w:hAnsi="Times New Roman"/>
          <w:sz w:val="17"/>
          <w:szCs w:val="17"/>
          <w:color w:val="auto"/>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35"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We are headquartered in Singapore where we lease four corporate offices under leases of which all expire in 2027. We also lease one corporate office under lease in Vietnam which expires in 2027. We believe our facilities are adequate and suitable for our current needs, and that should it be needed, suitable additional or alternative space will be available to accommodate our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spacing w:after="0" w:line="116"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spacing w:after="0" w:line="10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Protecting our intellectual property rights is important to our business. We plan to invest in research and development to enhance our domain knowledge and create complex, specialized solutions for our clients. As of December 31, 2023, we have registered one trademark “TRIDENTITY” (trademark number 40202251004W) in Singapore under Classes 09, 35, 38, 42 and 45 under the International Classification of Goods and Services.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also registered and maintained the domain names “Qzonetech.com” and “Tridentity.me” for our</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business operations to ensure that we maintain the ability to engage with our clients, employees, and the public.</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2023, we had a total of 50 full-time employees. We are highly dependent on our management, highly-skilled software engineers, sales and marketing personnel, and other professionals, and it is crucial that we continue to attract and retain valuable employees.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We provide work injury compensation insurance for our employees as required by applicable law and in line with general market practice.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6"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Regulations in Singapore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158" w:lineRule="exact"/>
        <w:rPr>
          <w:sz w:val="20"/>
          <w:szCs w:val="20"/>
          <w:color w:val="auto"/>
        </w:rPr>
      </w:pPr>
    </w:p>
    <w:p>
      <w:pPr>
        <w:ind w:left="460" w:right="499" w:firstLine="432"/>
        <w:spacing w:after="0" w:line="259" w:lineRule="auto"/>
        <w:rPr>
          <w:sz w:val="20"/>
          <w:szCs w:val="20"/>
          <w:color w:val="auto"/>
        </w:rPr>
      </w:pPr>
      <w:r>
        <w:rPr>
          <w:rFonts w:ascii="Times New Roman" w:cs="Times New Roman" w:eastAsia="Times New Roman" w:hAnsi="Times New Roman"/>
          <w:sz w:val="18"/>
          <w:szCs w:val="18"/>
          <w:color w:val="auto"/>
        </w:rPr>
        <w:t>The Personal Data Protection Act 2012 of Singapore (the “</w:t>
      </w:r>
      <w:r>
        <w:rPr>
          <w:rFonts w:ascii="Times New Roman" w:cs="Times New Roman" w:eastAsia="Times New Roman" w:hAnsi="Times New Roman"/>
          <w:sz w:val="18"/>
          <w:szCs w:val="18"/>
          <w:b w:val="1"/>
          <w:bCs w:val="1"/>
          <w:color w:val="auto"/>
        </w:rPr>
        <w:t>PDPA</w:t>
      </w:r>
      <w:r>
        <w:rPr>
          <w:rFonts w:ascii="Times New Roman" w:cs="Times New Roman" w:eastAsia="Times New Roman" w:hAnsi="Times New Roman"/>
          <w:sz w:val="18"/>
          <w:szCs w:val="18"/>
          <w:color w:val="auto"/>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spacing w:after="0" w:line="116"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An organization is required to comply with, amongst other things, the following obligations prescribed by the PDPA:</w:t>
      </w:r>
    </w:p>
    <w:p>
      <w:pPr>
        <w:spacing w:after="0" w:line="79" w:lineRule="exact"/>
        <w:rPr>
          <w:sz w:val="20"/>
          <w:szCs w:val="20"/>
          <w:color w:val="auto"/>
        </w:rPr>
      </w:pPr>
    </w:p>
    <w:p>
      <w:pPr>
        <w:jc w:val="both"/>
        <w:ind w:left="1320" w:right="639" w:hanging="434"/>
        <w:spacing w:after="0" w:line="267" w:lineRule="auto"/>
        <w:tabs>
          <w:tab w:leader="none" w:pos="12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 limitation obligation </w:t>
      </w:r>
      <w:r>
        <w:rPr>
          <w:rFonts w:ascii="Times New Roman" w:cs="Times New Roman" w:eastAsia="Times New Roman" w:hAnsi="Times New Roman"/>
          <w:sz w:val="18"/>
          <w:szCs w:val="18"/>
          <w:color w:val="auto"/>
        </w:rPr>
        <w:t>— personal data must be collected, used, disclosed and/or processed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for purposes that a reasonable person would consider appropriate in the circumstances, and if applicable, have been notified to the individual concerned;</w:t>
      </w:r>
    </w:p>
    <w:p>
      <w:pPr>
        <w:spacing w:after="0" w:line="105" w:lineRule="exact"/>
        <w:rPr>
          <w:rFonts w:ascii="Times New Roman" w:cs="Times New Roman" w:eastAsia="Times New Roman" w:hAnsi="Times New Roman"/>
          <w:sz w:val="18"/>
          <w:szCs w:val="18"/>
          <w:color w:val="auto"/>
        </w:rPr>
      </w:pPr>
    </w:p>
    <w:p>
      <w:pPr>
        <w:ind w:left="1320" w:right="679" w:hanging="434"/>
        <w:spacing w:after="0" w:line="267" w:lineRule="auto"/>
        <w:tabs>
          <w:tab w:leader="none" w:pos="12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Notification obligation </w:t>
      </w:r>
      <w:r>
        <w:rPr>
          <w:rFonts w:ascii="Times New Roman" w:cs="Times New Roman" w:eastAsia="Times New Roman" w:hAnsi="Times New Roman"/>
          <w:sz w:val="18"/>
          <w:szCs w:val="18"/>
          <w:color w:val="auto"/>
        </w:rPr>
        <w:t>— individuals must be notified of the purposes for the collection,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and/or processing of their personal data, prior to such collection, use, disclosure and/or processing;</w:t>
      </w:r>
    </w:p>
    <w:p>
      <w:pPr>
        <w:spacing w:after="0" w:line="105" w:lineRule="exact"/>
        <w:rPr>
          <w:rFonts w:ascii="Times New Roman" w:cs="Times New Roman" w:eastAsia="Times New Roman" w:hAnsi="Times New Roman"/>
          <w:sz w:val="18"/>
          <w:szCs w:val="18"/>
          <w:color w:val="auto"/>
        </w:rPr>
      </w:pPr>
    </w:p>
    <w:p>
      <w:pPr>
        <w:ind w:left="1320" w:right="499" w:hanging="434"/>
        <w:spacing w:after="0" w:line="290" w:lineRule="auto"/>
        <w:tabs>
          <w:tab w:leader="none" w:pos="129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Consent obligation </w:t>
      </w:r>
      <w:r>
        <w:rPr>
          <w:rFonts w:ascii="Times New Roman" w:cs="Times New Roman" w:eastAsia="Times New Roman" w:hAnsi="Times New Roman"/>
          <w:sz w:val="17"/>
          <w:szCs w:val="17"/>
          <w:color w:val="auto"/>
        </w:rPr>
        <w:t>— the consent of individuals must be obtained for any collection, use,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processing of their personal data, unless exception(s) apply. Additionally, an organization must allow the withdrawal of consent which has been given or is deemed to have been given;</w:t>
      </w:r>
    </w:p>
    <w:p>
      <w:pPr>
        <w:spacing w:after="0" w:line="74" w:lineRule="exact"/>
        <w:rPr>
          <w:rFonts w:ascii="Times New Roman" w:cs="Times New Roman" w:eastAsia="Times New Roman" w:hAnsi="Times New Roman"/>
          <w:sz w:val="17"/>
          <w:szCs w:val="17"/>
          <w:color w:val="auto"/>
        </w:rPr>
      </w:pPr>
    </w:p>
    <w:p>
      <w:pPr>
        <w:ind w:left="1320" w:right="479" w:hanging="434"/>
        <w:spacing w:after="0" w:line="277" w:lineRule="auto"/>
        <w:tabs>
          <w:tab w:leader="none" w:pos="128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Access and correction obligations </w:t>
      </w:r>
      <w:r>
        <w:rPr>
          <w:rFonts w:ascii="Times New Roman" w:cs="Times New Roman" w:eastAsia="Times New Roman" w:hAnsi="Times New Roman"/>
          <w:sz w:val="17"/>
          <w:szCs w:val="17"/>
          <w:color w:val="auto"/>
        </w:rPr>
        <w:t>— when requested by an individual and unless exception(s) apply,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spacing w:after="0" w:line="100" w:lineRule="exact"/>
        <w:rPr>
          <w:rFonts w:ascii="Times New Roman" w:cs="Times New Roman" w:eastAsia="Times New Roman" w:hAnsi="Times New Roman"/>
          <w:sz w:val="17"/>
          <w:szCs w:val="17"/>
          <w:color w:val="auto"/>
        </w:rPr>
      </w:pPr>
    </w:p>
    <w:p>
      <w:pPr>
        <w:ind w:left="1320" w:right="519" w:hanging="434"/>
        <w:spacing w:after="0" w:line="261" w:lineRule="auto"/>
        <w:tabs>
          <w:tab w:leader="none" w:pos="1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Accuracy obligation </w:t>
      </w:r>
      <w:r>
        <w:rPr>
          <w:rFonts w:ascii="Times New Roman" w:cs="Times New Roman" w:eastAsia="Times New Roman" w:hAnsi="Times New Roman"/>
          <w:sz w:val="18"/>
          <w:szCs w:val="18"/>
          <w:color w:val="auto"/>
        </w:rPr>
        <w:t>— an organization must make reasonable efforts to ensure that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by or on its behalf is accurate and complete if such data is likely to be used by the organization to make a decision affecting the individual to whom the personal data relates or if such data is likely to be disclosed to another organization;</w:t>
      </w:r>
    </w:p>
    <w:p>
      <w:pPr>
        <w:spacing w:after="0" w:line="112"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2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Protection obligation </w:t>
      </w:r>
      <w:r>
        <w:rPr>
          <w:rFonts w:ascii="Times New Roman" w:cs="Times New Roman" w:eastAsia="Times New Roman" w:hAnsi="Times New Roman"/>
          <w:sz w:val="18"/>
          <w:szCs w:val="18"/>
          <w:color w:val="auto"/>
        </w:rPr>
        <w:t>— an organization must implement reasonable security arrangements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of personal data in its possession or under its control from (a) unauthorized access, collection, use, disclosure, copying, modification, disposal or similar risks, and (b) the loss of any storage medium or device on which personal data is stored;</w:t>
      </w:r>
    </w:p>
    <w:p>
      <w:pPr>
        <w:spacing w:after="0" w:line="98" w:lineRule="exact"/>
        <w:rPr>
          <w:rFonts w:ascii="Times New Roman" w:cs="Times New Roman" w:eastAsia="Times New Roman" w:hAnsi="Times New Roman"/>
          <w:sz w:val="18"/>
          <w:szCs w:val="18"/>
          <w:color w:val="auto"/>
        </w:rPr>
      </w:pPr>
    </w:p>
    <w:p>
      <w:pPr>
        <w:ind w:left="1320" w:right="659" w:hanging="434"/>
        <w:spacing w:after="0" w:line="315" w:lineRule="auto"/>
        <w:tabs>
          <w:tab w:leader="none" w:pos="128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Retention limitation obligation </w:t>
      </w:r>
      <w:r>
        <w:rPr>
          <w:rFonts w:ascii="Times New Roman" w:cs="Times New Roman" w:eastAsia="Times New Roman" w:hAnsi="Times New Roman"/>
          <w:sz w:val="17"/>
          <w:szCs w:val="17"/>
          <w:color w:val="auto"/>
        </w:rPr>
        <w:t>— an organization must not keep personal data for longer than it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fulfil (a) the purposes for which it was collected, or (b) a legal or business purpose;</w:t>
      </w:r>
    </w:p>
    <w:p>
      <w:pPr>
        <w:spacing w:after="0" w:line="67" w:lineRule="exact"/>
        <w:rPr>
          <w:rFonts w:ascii="Times New Roman" w:cs="Times New Roman" w:eastAsia="Times New Roman" w:hAnsi="Times New Roman"/>
          <w:sz w:val="17"/>
          <w:szCs w:val="17"/>
          <w:color w:val="auto"/>
        </w:rPr>
      </w:pPr>
    </w:p>
    <w:p>
      <w:pPr>
        <w:ind w:left="1320" w:right="719" w:hanging="434"/>
        <w:spacing w:after="0" w:line="284" w:lineRule="auto"/>
        <w:tabs>
          <w:tab w:leader="none" w:pos="12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limitation obligation </w:t>
      </w:r>
      <w:r>
        <w:rPr>
          <w:rFonts w:ascii="Times New Roman" w:cs="Times New Roman" w:eastAsia="Times New Roman" w:hAnsi="Times New Roman"/>
          <w:sz w:val="18"/>
          <w:szCs w:val="18"/>
          <w:color w:val="auto"/>
        </w:rPr>
        <w:t>— personal data must not be transferred out of Singapore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requirements prescribed under the PDPA;</w:t>
      </w:r>
    </w:p>
    <w:p>
      <w:pPr>
        <w:spacing w:after="0" w:line="90"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Accountability obligation </w:t>
      </w:r>
      <w:r>
        <w:rPr>
          <w:rFonts w:ascii="Times New Roman" w:cs="Times New Roman" w:eastAsia="Times New Roman" w:hAnsi="Times New Roman"/>
          <w:sz w:val="18"/>
          <w:szCs w:val="18"/>
          <w:color w:val="auto"/>
        </w:rPr>
        <w:t>— an organization must implement the necessary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order to meet the obligations under the PDPA, communicate and inform its staff about these policies and procedures, and shall make information about its policies and procedures available on request.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79"/>
        <w:spacing w:after="0" w:line="266" w:lineRule="auto"/>
        <w:rPr>
          <w:sz w:val="20"/>
          <w:szCs w:val="20"/>
          <w:color w:val="auto"/>
        </w:rPr>
      </w:pPr>
      <w:r>
        <w:rPr>
          <w:rFonts w:ascii="Times New Roman" w:cs="Times New Roman" w:eastAsia="Times New Roman" w:hAnsi="Times New Roman"/>
          <w:sz w:val="18"/>
          <w:szCs w:val="18"/>
          <w:color w:val="auto"/>
        </w:rPr>
        <w:t>In addition, an organization must develop a process to receive and respond to data-related complaints, and must designate at least one individual as the data protection officer to oversee the organization’s compliance with the PDPA;</w:t>
      </w:r>
    </w:p>
    <w:p>
      <w:pPr>
        <w:spacing w:after="0" w:line="106" w:lineRule="exact"/>
        <w:rPr>
          <w:sz w:val="20"/>
          <w:szCs w:val="20"/>
          <w:color w:val="auto"/>
        </w:rPr>
      </w:pPr>
    </w:p>
    <w:p>
      <w:pPr>
        <w:ind w:left="1320" w:right="519" w:hanging="434"/>
        <w:spacing w:after="0" w:line="256" w:lineRule="auto"/>
        <w:tabs>
          <w:tab w:leader="none" w:pos="12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breach notification obligation </w:t>
      </w:r>
      <w:r>
        <w:rPr>
          <w:rFonts w:ascii="Times New Roman" w:cs="Times New Roman" w:eastAsia="Times New Roman" w:hAnsi="Times New Roman"/>
          <w:sz w:val="18"/>
          <w:szCs w:val="18"/>
          <w:color w:val="auto"/>
        </w:rPr>
        <w:t>— an organization must notify the Singapore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Commission (“</w:t>
      </w:r>
      <w:r>
        <w:rPr>
          <w:rFonts w:ascii="Times New Roman" w:cs="Times New Roman" w:eastAsia="Times New Roman" w:hAnsi="Times New Roman"/>
          <w:sz w:val="18"/>
          <w:szCs w:val="18"/>
          <w:b w:val="1"/>
          <w:bCs w:val="1"/>
          <w:color w:val="auto"/>
        </w:rPr>
        <w:t>PDPC</w:t>
      </w:r>
      <w:r>
        <w:rPr>
          <w:rFonts w:ascii="Times New Roman" w:cs="Times New Roman" w:eastAsia="Times New Roman" w:hAnsi="Times New Roman"/>
          <w:sz w:val="18"/>
          <w:szCs w:val="18"/>
          <w:color w:val="auto"/>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spacing w:after="0" w:line="115" w:lineRule="exact"/>
        <w:rPr>
          <w:rFonts w:ascii="Times New Roman" w:cs="Times New Roman" w:eastAsia="Times New Roman" w:hAnsi="Times New Roman"/>
          <w:sz w:val="18"/>
          <w:szCs w:val="18"/>
          <w:color w:val="auto"/>
        </w:rPr>
      </w:pPr>
    </w:p>
    <w:p>
      <w:pPr>
        <w:ind w:left="1320" w:right="559" w:hanging="434"/>
        <w:spacing w:after="0" w:line="257" w:lineRule="auto"/>
        <w:tabs>
          <w:tab w:leader="none" w:pos="12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portability obligation </w:t>
      </w:r>
      <w:r>
        <w:rPr>
          <w:rFonts w:ascii="Times New Roman" w:cs="Times New Roman" w:eastAsia="Times New Roman" w:hAnsi="Times New Roman"/>
          <w:sz w:val="18"/>
          <w:szCs w:val="18"/>
          <w:color w:val="auto"/>
        </w:rPr>
        <w:t>— the data portability obligation (which is not yet in force as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spacing w:after="0" w:line="103"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to the general data protection obligations imposed under the PDPA, the PDPA also generally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prohibits organizations and individuals from sending direct marketing messages (in the form of voice calls, text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fax messages) to Singapore telephone numbers, including mobile, fixed-line, residential and 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numbers, registered with the Do Not Call Registry (the “</w:t>
      </w:r>
      <w:r>
        <w:rPr>
          <w:rFonts w:ascii="Times New Roman" w:cs="Times New Roman" w:eastAsia="Times New Roman" w:hAnsi="Times New Roman"/>
          <w:sz w:val="18"/>
          <w:szCs w:val="18"/>
          <w:b w:val="1"/>
          <w:bCs w:val="1"/>
          <w:color w:val="auto"/>
        </w:rPr>
        <w:t>DNC Registry</w:t>
      </w:r>
      <w:r>
        <w:rPr>
          <w:rFonts w:ascii="Times New Roman" w:cs="Times New Roman" w:eastAsia="Times New Roman" w:hAnsi="Times New Roman"/>
          <w:sz w:val="18"/>
          <w:szCs w:val="18"/>
          <w:color w:val="auto"/>
        </w:rPr>
        <w:t>”), as maintained by the PDPC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DNC Obligations</w:t>
      </w:r>
      <w:r>
        <w:rPr>
          <w:rFonts w:ascii="Times New Roman" w:cs="Times New Roman" w:eastAsia="Times New Roman" w:hAnsi="Times New Roman"/>
          <w:sz w:val="17"/>
          <w:szCs w:val="17"/>
          <w:color w:val="auto"/>
        </w:rPr>
        <w:t>”). The DNC Obligations only apply to the sending of “specified messages” as defined in the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PDPA, which are marketing messages that offer, promote or advertise goods or services.</w:t>
      </w:r>
    </w:p>
    <w:p>
      <w:pPr>
        <w:spacing w:after="0" w:line="13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w:t>
      </w:r>
    </w:p>
    <w:p>
      <w:pPr>
        <w:spacing w:after="0" w:line="14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The Employment Act 1968 of Singapore (the “</w:t>
      </w:r>
      <w:r>
        <w:rPr>
          <w:rFonts w:ascii="Times New Roman" w:cs="Times New Roman" w:eastAsia="Times New Roman" w:hAnsi="Times New Roman"/>
          <w:sz w:val="18"/>
          <w:szCs w:val="18"/>
          <w:b w:val="1"/>
          <w:bCs w:val="1"/>
          <w:color w:val="auto"/>
        </w:rPr>
        <w:t>Employment Act</w:t>
      </w:r>
      <w:r>
        <w:rPr>
          <w:rFonts w:ascii="Times New Roman" w:cs="Times New Roman" w:eastAsia="Times New Roman" w:hAnsi="Times New Roman"/>
          <w:sz w:val="18"/>
          <w:szCs w:val="18"/>
          <w:color w:val="auto"/>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spacing w:after="0" w:line="122"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and Chief Executive Officer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Haiyan Huang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 and Director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Teck Lim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Noi Keng Koh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Chwee Koh Chua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6" w:lineRule="exact"/>
        <w:rPr>
          <w:sz w:val="20"/>
          <w:szCs w:val="20"/>
          <w:color w:val="auto"/>
        </w:rPr>
      </w:pPr>
    </w:p>
    <w:p>
      <w:pPr>
        <w:ind w:left="460" w:right="539" w:firstLine="432"/>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Mr. Soon Huat Lim </w:t>
      </w:r>
      <w:r>
        <w:rPr>
          <w:rFonts w:ascii="Times New Roman" w:cs="Times New Roman" w:eastAsia="Times New Roman" w:hAnsi="Times New Roman"/>
          <w:sz w:val="17"/>
          <w:szCs w:val="17"/>
          <w:color w:val="auto"/>
        </w:rPr>
        <w:t>is our founder, and has served as the chairman of the board of directors and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spacing w:after="0" w:line="10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Ms. Haiyan Huang </w:t>
      </w:r>
      <w:r>
        <w:rPr>
          <w:rFonts w:ascii="Times New Roman" w:cs="Times New Roman" w:eastAsia="Times New Roman" w:hAnsi="Times New Roman"/>
          <w:sz w:val="18"/>
          <w:szCs w:val="18"/>
          <w:color w:val="auto"/>
        </w:rPr>
        <w:t>has served as our chief financial officer since the Company’s inception. Ms. Huang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spacing w:after="0" w:line="11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Poh Kiong Tan </w:t>
      </w:r>
      <w:r>
        <w:rPr>
          <w:rFonts w:ascii="Times New Roman" w:cs="Times New Roman" w:eastAsia="Times New Roman" w:hAnsi="Times New Roman"/>
          <w:sz w:val="18"/>
          <w:szCs w:val="18"/>
          <w:color w:val="auto"/>
        </w:rPr>
        <w:t>has served as our chief technology officer since the Company’s inception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the Company.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spacing w:after="0" w:line="115"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How Teck Lim </w:t>
      </w:r>
      <w:r>
        <w:rPr>
          <w:rFonts w:ascii="Times New Roman" w:cs="Times New Roman" w:eastAsia="Times New Roman" w:hAnsi="Times New Roman"/>
          <w:sz w:val="18"/>
          <w:szCs w:val="18"/>
          <w:color w:val="auto"/>
        </w:rPr>
        <w:t>is an independent director of the Company. Mr. Lim has extensive board,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2019),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 Accountants of UK (FCMA), a Fellow of the Certified Public Accountants of Australia</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66" w:lineRule="auto"/>
        <w:rPr>
          <w:sz w:val="20"/>
          <w:szCs w:val="20"/>
          <w:color w:val="auto"/>
        </w:rPr>
      </w:pPr>
      <w:r>
        <w:rPr>
          <w:rFonts w:ascii="Times New Roman" w:cs="Times New Roman" w:eastAsia="Times New Roman" w:hAnsi="Times New Roman"/>
          <w:sz w:val="18"/>
          <w:szCs w:val="18"/>
          <w:color w:val="auto"/>
        </w:rPr>
        <w:t>(FCPA Aust), a Fellow of the Institute of Certified Public Accountants of Singapore (FCPA ICPAS), and a Fellow of the Singapore Institute of Directors (FSID). Mr. Lim received his bachelor’s degree in accountancy from the University of Singapore in 1975.</w:t>
      </w:r>
    </w:p>
    <w:p>
      <w:pPr>
        <w:spacing w:after="0" w:line="106"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Dr. Noi Keng Koh </w:t>
      </w:r>
      <w:r>
        <w:rPr>
          <w:rFonts w:ascii="Times New Roman" w:cs="Times New Roman" w:eastAsia="Times New Roman" w:hAnsi="Times New Roman"/>
          <w:sz w:val="17"/>
          <w:szCs w:val="17"/>
          <w:color w:val="auto"/>
        </w:rPr>
        <w:t>is an independent director of the Company. Dr. Koh has extensive experience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spacing w:after="0" w:line="10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Chwee Koh Chua </w:t>
      </w:r>
      <w:r>
        <w:rPr>
          <w:rFonts w:ascii="Times New Roman" w:cs="Times New Roman" w:eastAsia="Times New Roman" w:hAnsi="Times New Roman"/>
          <w:sz w:val="18"/>
          <w:szCs w:val="18"/>
          <w:color w:val="auto"/>
        </w:rPr>
        <w:t>is an independent director of the Company. Mr. Chua brings with him a wealth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spacing w:after="0" w:line="104"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three directors, namely How Teck Lim, Noi Keng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Koh and Chwee Koh Chua. How Teck Lim is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06" w:lineRule="exact"/>
        <w:rPr>
          <w:sz w:val="20"/>
          <w:szCs w:val="20"/>
          <w:color w:val="auto"/>
        </w:rPr>
      </w:pPr>
    </w:p>
    <w:p>
      <w:pPr>
        <w:ind w:left="1320" w:right="59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appointing the independent auditors and pre-approving all auditing and non-auditing services permitted to be performed by such independent auditors;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979" w:hanging="434"/>
        <w:spacing w:after="0" w:line="282"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44"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our independent auditors;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w:t>
      </w:r>
    </w:p>
    <w:p>
      <w:pPr>
        <w:spacing w:after="0" w:line="144" w:lineRule="exact"/>
        <w:rPr>
          <w:rFonts w:ascii="Times New Roman" w:cs="Times New Roman" w:eastAsia="Times New Roman" w:hAnsi="Times New Roman"/>
          <w:sz w:val="18"/>
          <w:szCs w:val="18"/>
          <w:color w:val="auto"/>
        </w:rPr>
      </w:pPr>
    </w:p>
    <w:p>
      <w:pPr>
        <w:ind w:left="1320" w:right="959" w:hanging="434"/>
        <w:spacing w:after="0" w:line="282"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9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are specifically assigned to our audit committee by our board of directors from time to time.</w:t>
      </w:r>
    </w:p>
    <w:p>
      <w:pPr>
        <w:spacing w:after="0" w:line="90"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three members, namely Noi Keng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Koh, How Teck Lim and Chwee Koh Chua. Noi Keng Koh is the chairwoman of our compensation committee. Each of those three directors satisfies the “independence” requirements of 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11" w:lineRule="exact"/>
        <w:rPr>
          <w:sz w:val="20"/>
          <w:szCs w:val="20"/>
          <w:color w:val="auto"/>
        </w:rPr>
      </w:pPr>
    </w:p>
    <w:p>
      <w:pPr>
        <w:ind w:left="1320" w:right="91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 the board with respect to the compensation for our chief executive officer and other executive officers;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most senior executive officers;</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of our non-employee directors; and</w:t>
      </w:r>
    </w:p>
    <w:p>
      <w:pPr>
        <w:spacing w:after="0" w:line="80"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 programs or arrangements of similar nature such as annual bonuses, employee pension and welfare benefit plans.</w:t>
      </w:r>
    </w:p>
    <w:p>
      <w:pPr>
        <w:spacing w:after="0" w:line="10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consists of three directors, namely, Chwee Koh Chua, How Teck Lim and Noi Keng Koh. Chwee Koh Chua is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84" w:lineRule="exact"/>
        <w:rPr>
          <w:sz w:val="20"/>
          <w:szCs w:val="20"/>
          <w:color w:val="auto"/>
        </w:rPr>
      </w:pPr>
    </w:p>
    <w:p>
      <w:pPr>
        <w:ind w:left="1320" w:right="819" w:hanging="434"/>
        <w:spacing w:after="0" w:line="282"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by the shareholders or appointment by the board of directors;</w:t>
      </w:r>
    </w:p>
    <w:p>
      <w:pPr>
        <w:spacing w:after="0" w:line="53"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of directors about its current composition with regards to characteristics such as independence, age, skills, experience, diversity and availability of service to us;</w:t>
      </w:r>
    </w:p>
    <w:p>
      <w:pPr>
        <w:spacing w:after="0" w:line="67"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the frequency and structure of board meetings and monitoring the functioning of the committees of the board; and</w:t>
      </w:r>
    </w:p>
    <w:p>
      <w:pPr>
        <w:spacing w:after="0" w:line="53"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spacing w:after="0" w:line="106"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320" w:right="999" w:hanging="434"/>
        <w:spacing w:after="0" w:line="282"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and responsibilities of the officers;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320" w:right="839" w:hanging="434"/>
        <w:spacing w:after="0" w:line="282"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Oversight of Cybersecurity Risks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w:t>
      </w:r>
    </w:p>
    <w:p>
      <w:pPr>
        <w:spacing w:after="0" w:line="2" w:lineRule="exact"/>
        <w:rPr>
          <w:sz w:val="20"/>
          <w:szCs w:val="20"/>
          <w:color w:val="auto"/>
        </w:rPr>
      </w:pPr>
    </w:p>
    <w:p>
      <w:pPr>
        <w:jc w:val="both"/>
        <w:ind w:left="460" w:right="639" w:hanging="6"/>
        <w:spacing w:after="0" w:line="255" w:lineRule="auto"/>
        <w:tabs>
          <w:tab w:leader="none" w:pos="7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our memorandum and articles of association, as amended and restated from time to time. Our officers are elected by and serve at the discretion of the board of directors.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expect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 officer may terminate his or her</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8" w:lineRule="auto"/>
        <w:rPr>
          <w:sz w:val="20"/>
          <w:szCs w:val="20"/>
          <w:color w:val="auto"/>
        </w:rPr>
      </w:pPr>
      <w:r>
        <w:rPr>
          <w:rFonts w:ascii="Times New Roman" w:cs="Times New Roman" w:eastAsia="Times New Roman" w:hAnsi="Times New Roman"/>
          <w:sz w:val="18"/>
          <w:szCs w:val="18"/>
          <w:color w:val="auto"/>
        </w:rPr>
        <w:t>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spacing w:after="0" w:line="11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we paid an aggregate of approximately US$0.95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Executive Compensation Recovery Policy</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have adopted (i) a written code of business conduct and ethics and (ii) executive compensation recovery policy that applies to our officers, and employees, including our chief executive officer, chief financial officer, principal accounting officer or controller or persons performing similar functions (collectively the “Policies”), effective upon the SEC’s declaration of effectiveness of our registration statement on Form F-1, of which this prospectus is a part. Following the effectiveness of the registration statement of which this prospectus is a part, a current copy of the Policies will be posted on our website. The information on our website is deemed not to be incorporated in this prospectus or to be a part of this prospectus. We intend to disclose any amendments to the Policies, and any waivers of the Policies for our directors, executive officers and senior finance executives, on our website to the extent required by applicable U.S. federal securities laws and the corporate governance rules of the Nasdaq Capital Market.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162"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spacing w:after="0" w:line="266" w:lineRule="auto"/>
        <w:rPr>
          <w:sz w:val="20"/>
          <w:szCs w:val="20"/>
          <w:color w:val="auto"/>
        </w:rPr>
      </w:pPr>
      <w:r>
        <w:rPr>
          <w:rFonts w:ascii="Times New Roman" w:cs="Times New Roman" w:eastAsia="Times New Roman" w:hAnsi="Times New Roman"/>
          <w:sz w:val="18"/>
          <w:szCs w:val="18"/>
          <w:color w:val="auto"/>
        </w:rPr>
        <w:t>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Awards under the Equity Incentive Plan</w:t>
      </w:r>
    </w:p>
    <w:p>
      <w:pPr>
        <w:spacing w:after="0" w:line="160"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Share options may be granted under the 2023 Equity Incentive Plan.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spacing w:after="0" w:line="11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A restricted share award agreement will specify restrictions on the duration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spacing w:after="0" w:line="10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Awards of restricted share units may be granted by the administrator.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the administrator may provide for termination or acceleration of awards, purchase of awards from holders or replacement of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62"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Unless terminated earlier, the 2023 Equity Incentive Plan will continue in effect for a term of ten years from the date of its adoption.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48"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Subject to applicable shareholders’ approval and certain exceptions, the board of directors may at any time amend or terminate the 2023 Equity Incentive Plan.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4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the date of this prospectus by:</w:t>
      </w:r>
    </w:p>
    <w:p>
      <w:pPr>
        <w:spacing w:after="0" w:line="94" w:lineRule="exact"/>
        <w:rPr>
          <w:sz w:val="20"/>
          <w:szCs w:val="20"/>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ordinary shares.</w:t>
      </w:r>
    </w:p>
    <w:p>
      <w:pPr>
        <w:spacing w:after="0" w:line="8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501,964,286 ordinary shares issued and outstanding as of the date of this prospectus, and 50,000,000 Class A ordinary shares and 466,364,286 Class B ordinary shares issued and outstanding immediately after the completion of this offering. All of our issued and outstanding shares are fully paid.</w:t>
      </w:r>
    </w:p>
    <w:p>
      <w:pPr>
        <w:spacing w:after="0" w:line="11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An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An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Basis†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4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1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Directors and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Huat Lim</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201,444,999</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201,444,999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8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Poh Kiong Tan</w:t>
            </w:r>
            <w:r>
              <w:rPr>
                <w:rFonts w:ascii="Times New Roman" w:cs="Times New Roman" w:eastAsia="Times New Roman" w:hAnsi="Times New Roman"/>
                <w:sz w:val="21"/>
                <w:szCs w:val="21"/>
                <w:color w:val="auto"/>
                <w:vertAlign w:val="superscript"/>
              </w:rPr>
              <w:t>(2)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Haiyan Huang</w:t>
            </w:r>
            <w:r>
              <w:rPr>
                <w:rFonts w:ascii="Times New Roman" w:cs="Times New Roman" w:eastAsia="Times New Roman" w:hAnsi="Times New Roman"/>
                <w:sz w:val="21"/>
                <w:szCs w:val="21"/>
                <w:color w:val="auto"/>
                <w:vertAlign w:val="superscript"/>
              </w:rPr>
              <w:t>(3)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executive officers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 group</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216,444,999</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93.2</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216,444,999</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Trident Digital Tech</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1"/>
                <w:szCs w:val="21"/>
                <w:color w:val="auto"/>
                <w:vertAlign w:val="superscript"/>
              </w:rPr>
              <w:t>(4)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Trident Group</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Holdings Ltd</w:t>
            </w:r>
            <w:r>
              <w:rPr>
                <w:rFonts w:ascii="Times New Roman" w:cs="Times New Roman" w:eastAsia="Times New Roman" w:hAnsi="Times New Roman"/>
                <w:sz w:val="21"/>
                <w:szCs w:val="21"/>
                <w:color w:val="auto"/>
                <w:vertAlign w:val="superscript"/>
              </w:rPr>
              <w:t>(5)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101,811,428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101,811,428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 Wealth Ltd</w:t>
            </w:r>
            <w:r>
              <w:rPr>
                <w:rFonts w:ascii="Times New Roman" w:cs="Times New Roman" w:eastAsia="Times New Roman" w:hAnsi="Times New Roman"/>
                <w:sz w:val="21"/>
                <w:szCs w:val="21"/>
                <w:color w:val="auto"/>
                <w:vertAlign w:val="superscript"/>
              </w:rPr>
              <w:t>(6)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99,633,571</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99,633,571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Tai Lee</w:t>
            </w:r>
            <w:r>
              <w:rPr>
                <w:rFonts w:ascii="Times New Roman" w:cs="Times New Roman" w:eastAsia="Times New Roman" w:hAnsi="Times New Roman"/>
                <w:sz w:val="21"/>
                <w:szCs w:val="21"/>
                <w:color w:val="auto"/>
                <w:vertAlign w:val="superscript"/>
              </w:rPr>
              <w:t>(7)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Yat Hong Lo</w:t>
            </w:r>
            <w:r>
              <w:rPr>
                <w:rFonts w:ascii="Times New Roman" w:cs="Times New Roman" w:eastAsia="Times New Roman" w:hAnsi="Times New Roman"/>
                <w:sz w:val="21"/>
                <w:szCs w:val="21"/>
                <w:color w:val="auto"/>
                <w:vertAlign w:val="superscript"/>
              </w:rPr>
              <w:t>(8)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80" w:right="659" w:hanging="426"/>
        <w:spacing w:after="0" w:line="264" w:lineRule="auto"/>
        <w:tabs>
          <w:tab w:leader="none" w:pos="853"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Suntec Tower 3, 8 Temasek Boulevard Road, #24-03 Singapore, 038988.</w:t>
      </w:r>
    </w:p>
    <w:p>
      <w:pPr>
        <w:ind w:left="880" w:right="479" w:hanging="426"/>
        <w:spacing w:after="0" w:line="264" w:lineRule="auto"/>
        <w:tabs>
          <w:tab w:leader="none" w:pos="85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ind w:left="880" w:right="539" w:hanging="426"/>
        <w:spacing w:after="0" w:line="268" w:lineRule="auto"/>
        <w:tabs>
          <w:tab w:leader="none" w:pos="85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619" w:hanging="426"/>
        <w:spacing w:after="0" w:line="263"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50,000,000 Class A ordinary shares held by Trident Digital Tech Ltd, a company limited by shares incorporated in British Virgin Islands which is wholly owned by Mr. Soon Huat Lim; (ii) 101,811,428 Class B ordinary shares held by Trident Group Holdings Ltd, a company limited by shares incorporated in British Virgin Islands which is wholly owned by Mr. Soon Huat Lim; and (iii) 99,633,571 Class B ordinary shares held by Tri Wealth Ltd, a company 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10,000,000 Class B ordinary shares directly held by Mr. Poh Kiong Tan.</w:t>
      </w:r>
    </w:p>
    <w:p>
      <w:pPr>
        <w:spacing w:after="0" w:line="18" w:lineRule="exact"/>
        <w:rPr>
          <w:rFonts w:ascii="Times New Roman" w:cs="Times New Roman" w:eastAsia="Times New Roman" w:hAnsi="Times New Roman"/>
          <w:sz w:val="16"/>
          <w:szCs w:val="16"/>
          <w:color w:val="auto"/>
        </w:rPr>
      </w:pPr>
    </w:p>
    <w:p>
      <w:pPr>
        <w:ind w:left="880" w:right="559" w:hanging="426"/>
        <w:spacing w:after="0" w:line="264"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ind w:left="880" w:right="599" w:hanging="426"/>
        <w:spacing w:after="0" w:line="264"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ind w:left="880" w:right="679" w:hanging="426"/>
        <w:spacing w:after="0" w:line="264"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101,811,428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ind w:left="880" w:right="599" w:hanging="426"/>
        <w:spacing w:after="0" w:line="264"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99,633,571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75,000,000 Class B ordinary shares directly held by Mr. Soon Tai Lee.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directly held by Mr. Yat Hong Lo.</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the date of this prospectus, none of our ordinary shares are held by record holders in the</w:t>
      </w:r>
    </w:p>
    <w:p>
      <w:pPr>
        <w:spacing w:after="0" w:line="27" w:lineRule="exact"/>
        <w:rPr>
          <w:sz w:val="20"/>
          <w:szCs w:val="20"/>
          <w:color w:val="auto"/>
        </w:rPr>
      </w:pPr>
    </w:p>
    <w:p>
      <w:pPr>
        <w:jc w:val="both"/>
        <w:ind w:left="460" w:right="599"/>
        <w:spacing w:after="0" w:line="255" w:lineRule="auto"/>
        <w:rPr>
          <w:sz w:val="20"/>
          <w:szCs w:val="20"/>
          <w:color w:val="auto"/>
        </w:rPr>
      </w:pPr>
      <w:r>
        <w:rPr>
          <w:rFonts w:ascii="Times New Roman" w:cs="Times New Roman" w:eastAsia="Times New Roman" w:hAnsi="Times New Roman"/>
          <w:sz w:val="18"/>
          <w:szCs w:val="18"/>
          <w:color w:val="auto"/>
        </w:rPr>
        <w:t>United States.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Equity Incentive Plan.”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from related parties</w:t>
      </w:r>
    </w:p>
    <w:p>
      <w:pPr>
        <w:spacing w:after="0" w:line="162" w:lineRule="exact"/>
        <w:rPr>
          <w:sz w:val="20"/>
          <w:szCs w:val="20"/>
          <w:color w:val="auto"/>
        </w:rPr>
      </w:pPr>
    </w:p>
    <w:p>
      <w:pPr>
        <w:jc w:val="both"/>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Trident Consultancy Pte. Ltd., a wholly-owned company of Mr. Soon Huat Lim, our founder, chairman of board of directors and chief executive officer, provided an interest-free loan in the amount of US$957,928 to us to support our operations. The loan was due on demand. The remaining balance of the loan was fully settled in March 2023.</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Mr. Lim has also historically provided short-term financing in the aggregate amount of US$695,404 for us to support our operation. The financing was provided in the form of interest-free short-term borrowings. The short-term borrowings did not have a fixed term and were repayable upon demand. The remaining balance of the short-term borrowings was fully settled in 2023.</w:t>
      </w:r>
    </w:p>
    <w:p>
      <w:pPr>
        <w:spacing w:after="0" w:line="99" w:lineRule="exact"/>
        <w:rPr>
          <w:sz w:val="20"/>
          <w:szCs w:val="20"/>
          <w:color w:val="auto"/>
        </w:rPr>
      </w:pPr>
    </w:p>
    <w:p>
      <w:pPr>
        <w:jc w:val="both"/>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Mr. Poh Kiong Tan, our chief technology officer, has historically provided short-term financing in the aggregate amount of US$143,095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do not intend to receive any financing from related parties after completion of this offering.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to related parties</w:t>
      </w:r>
    </w:p>
    <w:p>
      <w:pPr>
        <w:spacing w:after="0" w:line="162"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Mr. Lim also received US$939,578 investment funds on behalf of the Company during pre-IPO financing in October and December 2023, and the balance due from Mr. Lim was US$250,000 as of December 31, 2023, which was fully paid to us in March 2024.</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spacing w:after="0" w:line="112" w:lineRule="exact"/>
        <w:rPr>
          <w:sz w:val="20"/>
          <w:szCs w:val="20"/>
          <w:color w:val="auto"/>
        </w:rPr>
      </w:pPr>
    </w:p>
    <w:p>
      <w:pPr>
        <w:jc w:val="both"/>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As of the date of this prospectus, our authorized share capital is US$50,000 divided into 5,000,000,000 ordinary shares with a par value of US$0.00001 each, comprising (i) 1,000,000,000 Class A ordinary shares,</w:t>
      </w:r>
    </w:p>
    <w:p>
      <w:pPr>
        <w:spacing w:after="0" w:line="1" w:lineRule="exact"/>
        <w:rPr>
          <w:sz w:val="20"/>
          <w:szCs w:val="20"/>
          <w:color w:val="auto"/>
        </w:rPr>
      </w:pPr>
    </w:p>
    <w:p>
      <w:pPr>
        <w:ind w:left="460" w:right="739" w:hanging="6"/>
        <w:spacing w:after="0" w:line="260" w:lineRule="auto"/>
        <w:tabs>
          <w:tab w:leader="none" w:pos="7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4,000,000,000 Class B ordinary shares. As of the date of this prospectus, (i) 50,000,000 Class A ordinary shares, and (ii) 451,964,286 Class B ordinary shares are issued and outstanding.</w:t>
      </w:r>
    </w:p>
    <w:p>
      <w:pPr>
        <w:spacing w:after="0" w:line="114" w:lineRule="exact"/>
        <w:rPr>
          <w:sz w:val="20"/>
          <w:szCs w:val="20"/>
          <w:color w:val="auto"/>
        </w:rPr>
      </w:pPr>
    </w:p>
    <w:p>
      <w:pPr>
        <w:ind w:left="460" w:right="819" w:firstLine="432"/>
        <w:spacing w:after="0" w:line="276" w:lineRule="auto"/>
        <w:rPr>
          <w:sz w:val="20"/>
          <w:szCs w:val="20"/>
          <w:color w:val="auto"/>
        </w:rPr>
      </w:pPr>
      <w:r>
        <w:rPr>
          <w:rFonts w:ascii="Times New Roman" w:cs="Times New Roman" w:eastAsia="Times New Roman" w:hAnsi="Times New Roman"/>
          <w:sz w:val="17"/>
          <w:szCs w:val="17"/>
          <w:color w:val="auto"/>
        </w:rPr>
        <w:t>Immediately prior to the completion of this offering, our authorized share capital will be changed into US$50,000 divided into 5,000,000,000 ordinary shares with a par value of US$0.00001 each, comprising</w:t>
      </w:r>
    </w:p>
    <w:p>
      <w:pPr>
        <w:spacing w:after="0" w:line="1" w:lineRule="exact"/>
        <w:rPr>
          <w:sz w:val="20"/>
          <w:szCs w:val="20"/>
          <w:color w:val="auto"/>
        </w:rPr>
      </w:pPr>
    </w:p>
    <w:p>
      <w:pPr>
        <w:ind w:left="460" w:right="519" w:hanging="6"/>
        <w:spacing w:after="0" w:line="252" w:lineRule="auto"/>
        <w:tabs>
          <w:tab w:leader="none" w:pos="6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14,400,000 Class B ordinary shares represented by ADSs in this offering. All options, regardless of grant dates, will entitle holders to an equivalent number of ordinary shares once the vesting and exercising conditions are met.</w:t>
      </w:r>
    </w:p>
    <w:p>
      <w:pPr>
        <w:spacing w:after="0" w:line="107"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and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112"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Class A ordinary shares may be converted into the same number of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spacing w:after="0" w:line="10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Companies Act, our directors may declare dividends in any currency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2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also pay interim dividends, whenever our financial position, in the opinion of our directors, justifies such payment.</w:t>
      </w:r>
    </w:p>
    <w:p>
      <w:pPr>
        <w:spacing w:after="0" w:line="9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8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16" w:lineRule="exact"/>
        <w:rPr>
          <w:sz w:val="20"/>
          <w:szCs w:val="20"/>
          <w:color w:val="auto"/>
        </w:rPr>
      </w:pPr>
    </w:p>
    <w:p>
      <w:pPr>
        <w:ind w:left="460" w:right="679" w:firstLine="432"/>
        <w:spacing w:after="0" w:line="274" w:lineRule="auto"/>
        <w:rPr>
          <w:sz w:val="20"/>
          <w:szCs w:val="20"/>
          <w:color w:val="auto"/>
        </w:rPr>
      </w:pPr>
      <w:r>
        <w:rPr>
          <w:rFonts w:ascii="Times New Roman" w:cs="Times New Roman" w:eastAsia="Times New Roman" w:hAnsi="Times New Roman"/>
          <w:sz w:val="17"/>
          <w:szCs w:val="17"/>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10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95"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23"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On a show of hands each shareholder is entitled to one vote or, on a poll,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13"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present in person or by proxy.</w:t>
      </w:r>
    </w:p>
    <w:p>
      <w:pPr>
        <w:spacing w:after="0" w:line="8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any applicable restrictions set forth in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Capital Market or in another form that our directors may approve.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94" w:lineRule="exact"/>
        <w:rPr>
          <w:sz w:val="20"/>
          <w:szCs w:val="20"/>
          <w:color w:val="auto"/>
        </w:rPr>
      </w:pPr>
    </w:p>
    <w:p>
      <w:pPr>
        <w:ind w:left="1320" w:right="479" w:hanging="434"/>
        <w:spacing w:after="0" w:line="266" w:lineRule="auto"/>
        <w:tabs>
          <w:tab w:leader="none" w:pos="1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the Nasdaq Capital Market may determine to be payable or such lesser sum as our directors may from time to time require is paid to us in respect thereof.</w:t>
      </w:r>
    </w:p>
    <w:p>
      <w:pPr>
        <w:spacing w:after="0" w:line="90"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Subject to any future shares which are issued with specific rights, (1) if we are wound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2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04" w:lineRule="exact"/>
        <w:rPr>
          <w:sz w:val="20"/>
          <w:szCs w:val="20"/>
          <w:color w:val="auto"/>
        </w:rPr>
      </w:pPr>
    </w:p>
    <w:p>
      <w:pPr>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our memorandum and articles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subject to forfeiture.</w:t>
      </w:r>
    </w:p>
    <w:p>
      <w:pPr>
        <w:spacing w:after="0" w:line="15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are empowered by the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and our amended and restated articles of association to purchase our own shares, subject to certain restrictions.</w:t>
      </w:r>
    </w:p>
    <w:p>
      <w:pPr>
        <w:spacing w:after="0" w:line="10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spacing w:after="0" w:line="99" w:lineRule="exact"/>
        <w:rPr>
          <w:sz w:val="20"/>
          <w:szCs w:val="20"/>
          <w:color w:val="auto"/>
        </w:rPr>
      </w:pPr>
    </w:p>
    <w:p>
      <w:pPr>
        <w:ind w:left="460" w:right="539" w:firstLine="432"/>
        <w:spacing w:after="0" w:line="269" w:lineRule="auto"/>
        <w:rPr>
          <w:sz w:val="20"/>
          <w:szCs w:val="20"/>
          <w:color w:val="auto"/>
        </w:rPr>
      </w:pPr>
      <w:r>
        <w:rPr>
          <w:rFonts w:ascii="Times New Roman" w:cs="Times New Roman" w:eastAsia="Times New Roman" w:hAnsi="Times New Roman"/>
          <w:sz w:val="17"/>
          <w:szCs w:val="17"/>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w:t>
      </w:r>
    </w:p>
    <w:p>
      <w:pPr>
        <w:spacing w:after="0" w:line="3" w:lineRule="exact"/>
        <w:rPr>
          <w:sz w:val="20"/>
          <w:szCs w:val="20"/>
          <w:color w:val="auto"/>
        </w:rPr>
      </w:pPr>
    </w:p>
    <w:p>
      <w:pPr>
        <w:jc w:val="both"/>
        <w:ind w:left="460" w:right="679" w:hanging="6"/>
        <w:spacing w:after="0" w:line="255" w:lineRule="auto"/>
        <w:tabs>
          <w:tab w:leader="none" w:pos="7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or repurchase would result in there being no shares outstanding, or (3) if the company has commenced liquidation. In addition, our company may accept the surrender of any fully paid share for no consideration.</w:t>
      </w:r>
    </w:p>
    <w:p>
      <w:pPr>
        <w:spacing w:after="0" w:line="114"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91" w:lineRule="exact"/>
        <w:rPr>
          <w:sz w:val="20"/>
          <w:szCs w:val="20"/>
          <w:color w:val="auto"/>
        </w:rPr>
      </w:pPr>
    </w:p>
    <w:p>
      <w:pPr>
        <w:ind w:left="460" w:right="5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88" w:lineRule="exact"/>
        <w:rPr>
          <w:sz w:val="20"/>
          <w:szCs w:val="20"/>
          <w:color w:val="auto"/>
        </w:rPr>
      </w:pPr>
    </w:p>
    <w:p>
      <w:pPr>
        <w:ind w:left="460" w:right="5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post-offering amended and restated memorandum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80"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95" w:lineRule="exact"/>
        <w:rPr>
          <w:sz w:val="20"/>
          <w:szCs w:val="20"/>
          <w:color w:val="auto"/>
        </w:rPr>
      </w:pPr>
    </w:p>
    <w:p>
      <w:pPr>
        <w:ind w:left="1320" w:hanging="43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31" w:lineRule="exact"/>
        <w:rPr>
          <w:sz w:val="20"/>
          <w:szCs w:val="20"/>
          <w:color w:val="auto"/>
        </w:rPr>
      </w:pPr>
    </w:p>
    <w:p>
      <w:pPr>
        <w:ind w:left="460" w:right="819" w:firstLine="432"/>
        <w:spacing w:after="0" w:line="312" w:lineRule="auto"/>
        <w:rPr>
          <w:sz w:val="20"/>
          <w:szCs w:val="20"/>
          <w:color w:val="auto"/>
        </w:rPr>
      </w:pPr>
      <w:r>
        <w:rPr>
          <w:rFonts w:ascii="Times New Roman" w:cs="Times New Roman" w:eastAsia="Times New Roman" w:hAnsi="Times New Roman"/>
          <w:sz w:val="17"/>
          <w:szCs w:val="17"/>
          <w:color w:val="auto"/>
        </w:rPr>
        <w:t>Our board of directors may issue preferred shares without action by our shareholders to the extent authorized but unissued. Issuance of these shares may dilute the voting power of holders of ordinary shares.</w:t>
      </w:r>
    </w:p>
    <w:p>
      <w:pPr>
        <w:spacing w:after="0" w:line="41"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post-offering amended and restated memorandum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articles of association may discourage, delay or prevent a change of control of our company or management that shareholders may consider favorable, including provisions that</w:t>
      </w:r>
    </w:p>
    <w:p>
      <w:pPr>
        <w:spacing w:after="0" w:line="107" w:lineRule="exact"/>
        <w:rPr>
          <w:sz w:val="20"/>
          <w:szCs w:val="20"/>
          <w:color w:val="auto"/>
        </w:rPr>
      </w:pPr>
    </w:p>
    <w:p>
      <w:pPr>
        <w:ind w:left="1320" w:right="599" w:hanging="434"/>
        <w:spacing w:after="0" w:line="266"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44" w:lineRule="exact"/>
        <w:rPr>
          <w:sz w:val="20"/>
          <w:szCs w:val="20"/>
          <w:color w:val="auto"/>
        </w:rPr>
      </w:pPr>
    </w:p>
    <w:p>
      <w:pPr>
        <w:jc w:val="both"/>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0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Unless we consent in writing to the selection of an alternative forum,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spacing w:after="0" w:line="97"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106"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spacing w:after="0" w:line="95"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In the event we fail to update our register of member, the depositary, as the aggrieved party, may apply for an order with the courts of the Cayman Islands for the rectification of the register.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08" w:lineRule="exact"/>
        <w:rPr>
          <w:sz w:val="20"/>
          <w:szCs w:val="20"/>
          <w:color w:val="auto"/>
        </w:rPr>
      </w:pPr>
    </w:p>
    <w:p>
      <w:pPr>
        <w:ind w:left="460" w:right="999" w:firstLine="432"/>
        <w:spacing w:after="0" w:line="261"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spacing w:after="0" w:line="95"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2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07" w:lineRule="exact"/>
        <w:rPr>
          <w:sz w:val="20"/>
          <w:szCs w:val="20"/>
          <w:color w:val="auto"/>
        </w:rPr>
      </w:pPr>
    </w:p>
    <w:p>
      <w:pPr>
        <w:ind w:left="1320" w:hanging="434"/>
        <w:spacing w:after="0"/>
        <w:tabs>
          <w:tab w:leader="none" w:pos="1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8"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80"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95"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 xml:space="preserve">Foss v. Harbottle </w:t>
      </w:r>
      <w:r>
        <w:rPr>
          <w:rFonts w:ascii="Times New Roman" w:cs="Times New Roman" w:eastAsia="Times New Roman" w:hAnsi="Times New Roman"/>
          <w:sz w:val="18"/>
          <w:szCs w:val="18"/>
          <w:color w:val="auto"/>
        </w:rPr>
        <w:t>and the exceptions thereto) so that a non-controlling shareholder may be permitted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a class action against or derivative actions in the name of our company to challenge actions where:</w:t>
      </w:r>
    </w:p>
    <w:p>
      <w:pPr>
        <w:spacing w:after="0" w:line="119" w:lineRule="exact"/>
        <w:rPr>
          <w:sz w:val="20"/>
          <w:szCs w:val="20"/>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our company are perpetrating a “fraud on the minority.”</w:t>
      </w:r>
    </w:p>
    <w:p>
      <w:pPr>
        <w:spacing w:after="0" w:line="154"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39"/>
        <w:spacing w:after="0" w:line="277" w:lineRule="auto"/>
        <w:rPr>
          <w:sz w:val="20"/>
          <w:szCs w:val="20"/>
          <w:color w:val="auto"/>
        </w:rPr>
      </w:pPr>
      <w:r>
        <w:rPr>
          <w:rFonts w:ascii="Times New Roman" w:cs="Times New Roman" w:eastAsia="Times New Roman" w:hAnsi="Times New Roman"/>
          <w:sz w:val="17"/>
          <w:szCs w:val="17"/>
          <w:color w:val="auto"/>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0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0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102" w:lineRule="exact"/>
        <w:rPr>
          <w:sz w:val="20"/>
          <w:szCs w:val="20"/>
          <w:color w:val="auto"/>
        </w:rPr>
      </w:pPr>
    </w:p>
    <w:p>
      <w:pPr>
        <w:ind w:left="460" w:right="6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6"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12"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Cumulative Voting. </w:t>
      </w:r>
      <w:r>
        <w:rPr>
          <w:rFonts w:ascii="Times New Roman" w:cs="Times New Roman" w:eastAsia="Times New Roman" w:hAnsi="Times New Roman"/>
          <w:sz w:val="17"/>
          <w:szCs w:val="17"/>
          <w:color w:val="auto"/>
        </w:rPr>
        <w:t>Under the Delaware General Corporation Law, cumulative voting for elections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0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0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7"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0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15" w:lineRule="exact"/>
        <w:rPr>
          <w:sz w:val="20"/>
          <w:szCs w:val="20"/>
          <w:color w:val="auto"/>
        </w:rPr>
      </w:pPr>
    </w:p>
    <w:p>
      <w:pPr>
        <w:ind w:left="460" w:right="59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12"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History of Securities Issuance</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spacing w:after="0" w:line="11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On June 12, 2023, we issued an aggregate of 275,705,000 Class B ordinary shares, to Trident Group Holdings Ltd and Tri Wealth Ltd, entities owned by Mr. Lim, at par value of US$0.00001 each.</w:t>
      </w:r>
    </w:p>
    <w:p>
      <w:pPr>
        <w:spacing w:after="0" w:line="94"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10,000,000 Class B ordinary shares to our chief technology officer, Mr. Poh Kiong Tan, at par value.</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5,000,000 Class B ordinary shares to Trident Verse Ltd, an entity owned by our chief financial officer, Ms. Haiyan Huang, at par value.</w:t>
      </w:r>
    </w:p>
    <w:p>
      <w:pPr>
        <w:spacing w:after="0" w:line="9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spacing w:after="0" w:line="112"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On October 3, 2023, we issued an aggregate of 1,964,286 Class B ordinary shares in the aggregate consideration of US$1,100,000 to certain individual and institutional investors.</w:t>
      </w:r>
    </w:p>
    <w:p>
      <w:pPr>
        <w:spacing w:after="0" w:line="8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Times New Roman" w:cs="Times New Roman" w:eastAsia="Times New Roman" w:hAnsi="Times New Roman"/>
          <w:sz w:val="35"/>
          <w:szCs w:val="35"/>
          <w:color w:val="auto"/>
          <w:vertAlign w:val="superscript"/>
        </w:rPr>
        <w:t>.</w:t>
      </w:r>
    </w:p>
    <w:p>
      <w:pPr>
        <w:spacing w:after="0" w:line="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Please refer to Registration Number 333-275089 when retrieving such copy.</w:t>
      </w:r>
    </w:p>
    <w:p>
      <w:pPr>
        <w:spacing w:after="0" w:line="12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06"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(8)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2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04" w:lineRule="exact"/>
        <w:rPr>
          <w:sz w:val="20"/>
          <w:szCs w:val="20"/>
          <w:color w:val="auto"/>
        </w:rPr>
      </w:pPr>
    </w:p>
    <w:p>
      <w:pPr>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11"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and Distributions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Cash</w:t>
      </w:r>
    </w:p>
    <w:p>
      <w:pPr>
        <w:spacing w:after="0" w:line="13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99"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81" w:lineRule="exact"/>
        <w:rPr>
          <w:sz w:val="20"/>
          <w:szCs w:val="20"/>
          <w:color w:val="auto"/>
        </w:rPr>
      </w:pPr>
    </w:p>
    <w:p>
      <w:pPr>
        <w:ind w:left="460" w:right="659" w:firstLine="432"/>
        <w:spacing w:after="0" w:line="277" w:lineRule="auto"/>
        <w:rPr>
          <w:sz w:val="20"/>
          <w:szCs w:val="20"/>
          <w:color w:val="auto"/>
        </w:rPr>
      </w:pPr>
      <w:r>
        <w:rPr>
          <w:rFonts w:ascii="Times New Roman" w:cs="Times New Roman" w:eastAsia="Times New Roman" w:hAnsi="Times New Roman"/>
          <w:sz w:val="17"/>
          <w:szCs w:val="17"/>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Class B ordinary shares</w:t>
      </w:r>
    </w:p>
    <w:p>
      <w:pPr>
        <w:spacing w:after="0" w:line="14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 representing the Class B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21" w:lineRule="exact"/>
        <w:rPr>
          <w:sz w:val="20"/>
          <w:szCs w:val="20"/>
          <w:color w:val="auto"/>
        </w:rPr>
      </w:pPr>
    </w:p>
    <w:p>
      <w:pPr>
        <w:ind w:left="460" w:right="619" w:firstLine="432"/>
        <w:spacing w:after="0" w:line="281" w:lineRule="auto"/>
        <w:rPr>
          <w:sz w:val="20"/>
          <w:szCs w:val="20"/>
          <w:color w:val="auto"/>
        </w:rPr>
      </w:pPr>
      <w:r>
        <w:rPr>
          <w:rFonts w:ascii="Times New Roman" w:cs="Times New Roman" w:eastAsia="Times New Roman" w:hAnsi="Times New Roman"/>
          <w:sz w:val="17"/>
          <w:szCs w:val="17"/>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95"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Rights</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10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46" w:lineRule="exact"/>
        <w:rPr>
          <w:sz w:val="20"/>
          <w:szCs w:val="20"/>
          <w:color w:val="auto"/>
        </w:rPr>
      </w:pPr>
    </w:p>
    <w:p>
      <w:pPr>
        <w:ind w:left="1320" w:right="799" w:hanging="434"/>
        <w:spacing w:after="0" w:line="282"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44"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Elective Distributions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1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Other Distributions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12"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77"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60" w:lineRule="exact"/>
        <w:rPr>
          <w:sz w:val="20"/>
          <w:szCs w:val="20"/>
          <w:color w:val="auto"/>
        </w:rPr>
      </w:pPr>
    </w:p>
    <w:p>
      <w:pPr>
        <w:ind w:left="1320" w:right="75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determines that all or a portion of the distribution to you is not reasonably practicable.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Redemption</w:t>
      </w:r>
    </w:p>
    <w:p>
      <w:pPr>
        <w:spacing w:after="0" w:line="14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bank may determine.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Changes Affecting Class B ordinary shares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9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ADSs upon Deposit of Class B ordinary shares</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completion of the offering, the Class B ordinary shares being offered pursuant to the prospectus will be deposited by us with the custodian. Upon receipt of confirmation of such deposit, the depositary bank will issue ADSs to the underwriter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 named in the prospectus.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2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95" w:lineRule="exact"/>
        <w:rPr>
          <w:sz w:val="20"/>
          <w:szCs w:val="20"/>
          <w:color w:val="auto"/>
        </w:rPr>
      </w:pPr>
    </w:p>
    <w:p>
      <w:pPr>
        <w:jc w:val="both"/>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B ordinary shares, you will be responsible for transferring good and valid title to the depositary bank. As such, you will be deemed to represent and warrant that:</w:t>
      </w:r>
    </w:p>
    <w:p>
      <w:pPr>
        <w:spacing w:after="0" w:line="94" w:lineRule="exact"/>
        <w:rPr>
          <w:sz w:val="20"/>
          <w:szCs w:val="20"/>
          <w:color w:val="auto"/>
        </w:rPr>
      </w:pPr>
    </w:p>
    <w:p>
      <w:pPr>
        <w:ind w:left="1320" w:right="91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are duly authorized, validly issued, fully paid, non-assessable and legally obtained.</w:t>
      </w:r>
    </w:p>
    <w:p>
      <w:pPr>
        <w:spacing w:after="0" w:line="9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B ordinary shares have been validly waived or exercised.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B ordinary shares.</w:t>
      </w:r>
    </w:p>
    <w:p>
      <w:pPr>
        <w:spacing w:after="0" w:line="157" w:lineRule="exact"/>
        <w:rPr>
          <w:rFonts w:ascii="Times New Roman" w:cs="Times New Roman" w:eastAsia="Times New Roman" w:hAnsi="Times New Roman"/>
          <w:sz w:val="18"/>
          <w:szCs w:val="18"/>
          <w:color w:val="auto"/>
        </w:rPr>
      </w:pPr>
    </w:p>
    <w:p>
      <w:pPr>
        <w:ind w:left="1320" w:right="599" w:hanging="434"/>
        <w:spacing w:after="0" w:line="266"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08" w:lineRule="exact"/>
        <w:rPr>
          <w:rFonts w:ascii="Times New Roman" w:cs="Times New Roman" w:eastAsia="Times New Roman" w:hAnsi="Times New Roman"/>
          <w:sz w:val="18"/>
          <w:szCs w:val="18"/>
          <w:color w:val="auto"/>
        </w:rPr>
      </w:pPr>
    </w:p>
    <w:p>
      <w:pPr>
        <w:ind w:left="1320" w:right="129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have not been stripped of any rights or entitlements.</w:t>
      </w:r>
    </w:p>
    <w:p>
      <w:pPr>
        <w:spacing w:after="0" w:line="81" w:lineRule="exact"/>
        <w:rPr>
          <w:sz w:val="20"/>
          <w:szCs w:val="20"/>
          <w:color w:val="auto"/>
        </w:rPr>
      </w:pPr>
    </w:p>
    <w:p>
      <w:pPr>
        <w:ind w:left="460" w:right="519" w:firstLine="432"/>
        <w:spacing w:after="0" w:line="312" w:lineRule="auto"/>
        <w:rPr>
          <w:sz w:val="20"/>
          <w:szCs w:val="20"/>
          <w:color w:val="auto"/>
        </w:rPr>
      </w:pPr>
      <w:r>
        <w:rPr>
          <w:rFonts w:ascii="Times New Roman" w:cs="Times New Roman" w:eastAsia="Times New Roman" w:hAnsi="Times New Roman"/>
          <w:sz w:val="17"/>
          <w:szCs w:val="17"/>
          <w:color w:val="auto"/>
        </w:rPr>
        <w:t>If any of the representations or warranties are incorrect in any way, we and the depositary bank may, at your cost and expense, take any and all actions necessary to correct the consequences of the misrepresentations.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Transfer, Combination and Split Up of ADRs</w:t>
      </w:r>
    </w:p>
    <w:p>
      <w:pPr>
        <w:spacing w:after="0" w:line="162" w:lineRule="exact"/>
        <w:rPr>
          <w:sz w:val="20"/>
          <w:szCs w:val="20"/>
          <w:color w:val="auto"/>
        </w:rPr>
      </w:pPr>
    </w:p>
    <w:p>
      <w:pPr>
        <w:jc w:val="both"/>
        <w:ind w:left="460" w:right="1139" w:firstLine="432"/>
        <w:spacing w:after="0" w:line="266"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08" w:lineRule="exact"/>
        <w:rPr>
          <w:sz w:val="20"/>
          <w:szCs w:val="20"/>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44" w:lineRule="exact"/>
        <w:rPr>
          <w:rFonts w:ascii="Times New Roman" w:cs="Times New Roman" w:eastAsia="Times New Roman" w:hAnsi="Times New Roman"/>
          <w:sz w:val="18"/>
          <w:szCs w:val="18"/>
          <w:color w:val="auto"/>
        </w:rPr>
      </w:pPr>
    </w:p>
    <w:p>
      <w:pPr>
        <w:ind w:left="1320" w:right="119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bank deems appropriate;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57"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81"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Withdrawal of Class B ordinary shares Upon Cancellation of ADSs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44" w:lineRule="exact"/>
        <w:rPr>
          <w:sz w:val="20"/>
          <w:szCs w:val="20"/>
          <w:color w:val="auto"/>
        </w:rPr>
      </w:pPr>
    </w:p>
    <w:p>
      <w:pPr>
        <w:ind w:left="1320" w:right="739" w:hanging="434"/>
        <w:spacing w:after="0" w:line="266"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8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Voting Rights</w:t>
      </w:r>
    </w:p>
    <w:p>
      <w:pPr>
        <w:spacing w:after="0" w:line="162"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10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9"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If the depositary bank timely receives voting instructions from a holder of ADSs, it will endeavor to vote the securities (in person or by proxy) represented by the holder’s ADSs in accordance with such voting instructions as follows:</w:t>
      </w:r>
    </w:p>
    <w:p>
      <w:pPr>
        <w:spacing w:after="0" w:line="106" w:lineRule="exact"/>
        <w:rPr>
          <w:sz w:val="20"/>
          <w:szCs w:val="20"/>
          <w:color w:val="auto"/>
        </w:rPr>
      </w:pPr>
    </w:p>
    <w:p>
      <w:pPr>
        <w:ind w:left="1320" w:right="699" w:hanging="434"/>
        <w:spacing w:after="0" w:line="267"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bank will vote (or cause the custodian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all Class B ordinary shares held on deposit at that time in accordance with the voting instructions received from a majority of holders of ADSs who provide timely voting instructions.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67" w:lineRule="auto"/>
        <w:tabs>
          <w:tab w:leader="none" w:pos="1315"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bank will vote (or cause the Custodian to vote)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ordinary shares held on deposit in accordance with the voting instructions received from the holders of ADSs.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Fees and Charges</w:t>
      </w:r>
    </w:p>
    <w:p>
      <w:pPr>
        <w:spacing w:after="0" w:line="162" w:lineRule="exact"/>
        <w:rPr>
          <w:sz w:val="20"/>
          <w:szCs w:val="20"/>
          <w:color w:val="auto"/>
        </w:rPr>
      </w:pPr>
    </w:p>
    <w:p>
      <w:pPr>
        <w:ind w:left="460" w:right="1259" w:firstLine="432"/>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384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Fees</w:t>
            </w:r>
          </w:p>
        </w:tc>
        <w:tc>
          <w:tcPr>
            <w:tcW w:w="0" w:type="dxa"/>
            <w:vAlign w:val="bottom"/>
          </w:tcPr>
          <w:p>
            <w:pPr>
              <w:spacing w:after="0"/>
              <w:rPr>
                <w:sz w:val="1"/>
                <w:szCs w:val="1"/>
                <w:color w:val="auto"/>
              </w:rPr>
            </w:pPr>
          </w:p>
        </w:tc>
      </w:tr>
      <w:tr>
        <w:trPr>
          <w:trHeight w:val="46"/>
        </w:trPr>
        <w:tc>
          <w:tcPr>
            <w:tcW w:w="4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Issuance of ADSs (e.g., an issuance of ADS upon a</w:t>
            </w:r>
          </w:p>
        </w:tc>
        <w:tc>
          <w:tcPr>
            <w:tcW w:w="100" w:type="dxa"/>
            <w:vAlign w:val="bottom"/>
            <w:vMerge w:val="continue"/>
          </w:tcPr>
          <w:p>
            <w:pPr>
              <w:spacing w:after="0"/>
              <w:rPr>
                <w:sz w:val="16"/>
                <w:szCs w:val="16"/>
                <w:color w:val="auto"/>
              </w:rPr>
            </w:pP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 5¢ per ADS issued</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deposit of Class B ordinary shares, upon a change in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ADS(s)-to-Class B ordinary share(s) ratio, or for</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other reason), excluding ADS issuances as a result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distributions of Class B ordinary shares)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80" w:right="1899" w:hanging="226"/>
        <w:spacing w:after="0" w:line="261" w:lineRule="auto"/>
        <w:tabs>
          <w:tab w:leader="none" w:pos="6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(e.g., a cancellation of ADSs for Up to U.S. 5¢ per ADS cancelled delivery of deposited property, upon a change in the</w:t>
      </w:r>
    </w:p>
    <w:p>
      <w:pPr>
        <w:ind w:left="680" w:right="4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ADS(s)-to-Class B ordinary share(s) ratio, or for any other reason)</w:t>
      </w:r>
    </w:p>
    <w:p>
      <w:pPr>
        <w:spacing w:after="0" w:line="154"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cash dividends or other cash</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distributions (e.g., upon a sale of rights and other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entitlements)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ADSs pursuant to (i) stock dividends</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 other free stock distributions, or (ii) exercise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rights to purchase additional ADSs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financial instruments, including, but</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limited to, securities other than ADSs or rights to</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purchase additional ADSs (e.g., spin-off shares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contingent value rights)</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ind w:left="660" w:hanging="206"/>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Services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680" w:hanging="226"/>
        <w:spacing w:after="0" w:line="261" w:lineRule="auto"/>
        <w:tabs>
          <w:tab w:leader="none" w:pos="66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of ADS transfers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p>
      <w:pPr>
        <w:spacing w:after="0" w:line="152" w:lineRule="exact"/>
        <w:rPr>
          <w:rFonts w:ascii="Times New Roman" w:cs="Times New Roman" w:eastAsia="Times New Roman" w:hAnsi="Times New Roman"/>
          <w:sz w:val="18"/>
          <w:szCs w:val="18"/>
          <w:color w:val="auto"/>
        </w:rPr>
      </w:pPr>
    </w:p>
    <w:p>
      <w:pPr>
        <w:ind w:left="680" w:right="20" w:hanging="226"/>
        <w:spacing w:after="0" w:line="254" w:lineRule="auto"/>
        <w:tabs>
          <w:tab w:leader="none" w:pos="66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99"/>
        <w:spacing w:after="0" w:line="282" w:lineRule="auto"/>
        <w:rPr>
          <w:sz w:val="20"/>
          <w:szCs w:val="20"/>
          <w:color w:val="auto"/>
        </w:rPr>
      </w:pPr>
      <w:r>
        <w:rPr>
          <w:rFonts w:ascii="Times New Roman" w:cs="Times New Roman" w:eastAsia="Times New Roman" w:hAnsi="Times New Roman"/>
          <w:sz w:val="18"/>
          <w:szCs w:val="18"/>
          <w:color w:val="auto"/>
        </w:rPr>
        <w:t>Up to U.S. 5¢ per ADS held on the applicable record date(s) established by the depositary bank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w:t>
      </w:r>
    </w:p>
    <w:p>
      <w:pPr>
        <w:spacing w:after="0" w:line="1511" w:lineRule="exact"/>
        <w:rPr>
          <w:sz w:val="20"/>
          <w:szCs w:val="20"/>
          <w:color w:val="auto"/>
        </w:rPr>
      </w:pPr>
    </w:p>
    <w:p>
      <w:pPr>
        <w:sectPr>
          <w:pgSz w:w="11900" w:h="16838" w:orient="portrait"/>
          <w:cols w:equalWidth="0" w:num="2">
            <w:col w:w="4600" w:space="120"/>
            <w:col w:w="4299"/>
          </w:cols>
          <w:pgMar w:left="1440" w:top="270" w:right="1440"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58" w:lineRule="exact"/>
        <w:rPr>
          <w:sz w:val="20"/>
          <w:szCs w:val="20"/>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57"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08" w:lineRule="exact"/>
        <w:rPr>
          <w:rFonts w:ascii="Times New Roman" w:cs="Times New Roman" w:eastAsia="Times New Roman" w:hAnsi="Times New Roman"/>
          <w:sz w:val="18"/>
          <w:szCs w:val="18"/>
          <w:color w:val="auto"/>
        </w:rPr>
      </w:pPr>
    </w:p>
    <w:p>
      <w:pPr>
        <w:jc w:val="both"/>
        <w:ind w:left="1320" w:right="519" w:hanging="434"/>
        <w:spacing w:after="0" w:line="266"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 and</w:t>
      </w:r>
    </w:p>
    <w:p>
      <w:pPr>
        <w:spacing w:after="0" w:line="94"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08"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w:t>
      </w:r>
    </w:p>
    <w:p>
      <w:pPr>
        <w:spacing w:after="0" w:line="195" w:lineRule="exact"/>
        <w:rPr>
          <w:sz w:val="20"/>
          <w:szCs w:val="20"/>
          <w:color w:val="auto"/>
        </w:rPr>
      </w:pPr>
    </w:p>
    <w:p>
      <w:pPr>
        <w:ind w:left="460" w:right="479" w:hanging="6"/>
        <w:spacing w:after="0" w:line="260" w:lineRule="auto"/>
        <w:tabs>
          <w:tab w:leader="none" w:pos="72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ADSs of one series for ADSs of another series, the ADS conversion fee will be payable by the Holder whose ADSs are converted or by the person to whom the converted ADSs are delivered.</w:t>
      </w:r>
    </w:p>
    <w:p>
      <w:pPr>
        <w:spacing w:after="0" w:line="100"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and Termination</w:t>
      </w:r>
    </w:p>
    <w:p>
      <w:pPr>
        <w:spacing w:after="0" w:line="162" w:lineRule="exact"/>
        <w:rPr>
          <w:sz w:val="20"/>
          <w:szCs w:val="20"/>
          <w:color w:val="auto"/>
        </w:rPr>
      </w:pPr>
    </w:p>
    <w:p>
      <w:pPr>
        <w:ind w:left="460" w:right="919" w:firstLine="432"/>
        <w:spacing w:after="0" w:line="261" w:lineRule="auto"/>
        <w:rPr>
          <w:sz w:val="20"/>
          <w:szCs w:val="20"/>
          <w:color w:val="auto"/>
        </w:rPr>
      </w:pPr>
      <w:r>
        <w:rPr>
          <w:rFonts w:ascii="Times New Roman" w:cs="Times New Roman" w:eastAsia="Times New Roman" w:hAnsi="Times New Roman"/>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1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9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20"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Books of Depositary</w:t>
      </w:r>
    </w:p>
    <w:p>
      <w:pPr>
        <w:spacing w:after="0" w:line="162" w:lineRule="exact"/>
        <w:rPr>
          <w:sz w:val="20"/>
          <w:szCs w:val="20"/>
          <w:color w:val="auto"/>
        </w:rPr>
      </w:pPr>
    </w:p>
    <w:p>
      <w:pPr>
        <w:jc w:val="both"/>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9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Obligations and Liabilities</w:t>
      </w:r>
    </w:p>
    <w:p>
      <w:pPr>
        <w:spacing w:after="0" w:line="16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 bank’s obligations to you. Please note the following:</w:t>
      </w:r>
    </w:p>
    <w:p>
      <w:pPr>
        <w:spacing w:after="0" w:line="94" w:lineRule="exact"/>
        <w:rPr>
          <w:sz w:val="20"/>
          <w:szCs w:val="20"/>
          <w:color w:val="auto"/>
        </w:rPr>
      </w:pPr>
    </w:p>
    <w:p>
      <w:pPr>
        <w:ind w:left="1320" w:right="65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are obligated only to take the actions specifically stated in the deposit agreement without negligence or bad faith.</w:t>
      </w:r>
    </w:p>
    <w:p>
      <w:pPr>
        <w:spacing w:after="0" w:line="80"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55"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21"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will not be obligated to perform any act that is inconsistent with the terms of the deposit agreement.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39" w:hanging="434"/>
        <w:spacing w:after="0" w:line="255"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08" w:lineRule="exact"/>
        <w:rPr>
          <w:rFonts w:ascii="Times New Roman" w:cs="Times New Roman" w:eastAsia="Times New Roman" w:hAnsi="Times New Roman"/>
          <w:sz w:val="18"/>
          <w:szCs w:val="18"/>
          <w:color w:val="auto"/>
        </w:rPr>
      </w:pPr>
    </w:p>
    <w:p>
      <w:pPr>
        <w:ind w:left="1320" w:right="579" w:hanging="434"/>
        <w:spacing w:after="0" w:line="261"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8"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108"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may rely without any liability upon any written notice, request or other document believed to be genuine and to have been signed or presented by the proper parties.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any consequential or punitive damages for any breach of the terms of the deposit agreement.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5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w:t>
      </w:r>
    </w:p>
    <w:p>
      <w:pPr>
        <w:spacing w:after="0" w:line="94" w:lineRule="exact"/>
        <w:rPr>
          <w:rFonts w:ascii="Times New Roman" w:cs="Times New Roman" w:eastAsia="Times New Roman" w:hAnsi="Times New Roman"/>
          <w:sz w:val="18"/>
          <w:szCs w:val="18"/>
          <w:color w:val="auto"/>
        </w:rPr>
      </w:pPr>
    </w:p>
    <w:p>
      <w:pPr>
        <w:ind w:left="1320" w:right="519" w:hanging="434"/>
        <w:spacing w:after="0" w:line="258"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17"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Taxes</w:t>
      </w:r>
    </w:p>
    <w:p>
      <w:pPr>
        <w:spacing w:after="0" w:line="162"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02" w:lineRule="exact"/>
        <w:rPr>
          <w:sz w:val="20"/>
          <w:szCs w:val="20"/>
          <w:color w:val="auto"/>
        </w:rPr>
      </w:pPr>
    </w:p>
    <w:p>
      <w:pPr>
        <w:ind w:left="460" w:right="539" w:firstLine="432"/>
        <w:spacing w:after="0" w:line="289" w:lineRule="auto"/>
        <w:rPr>
          <w:sz w:val="20"/>
          <w:szCs w:val="20"/>
          <w:color w:val="auto"/>
        </w:rPr>
      </w:pPr>
      <w:r>
        <w:rPr>
          <w:rFonts w:ascii="Times New Roman" w:cs="Times New Roman" w:eastAsia="Times New Roman" w:hAnsi="Times New Roman"/>
          <w:sz w:val="17"/>
          <w:szCs w:val="17"/>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sectPr>
          <w:pgSz w:w="11900" w:h="16838" w:orient="portrait"/>
          <w:cols w:equalWidth="0" w:num="1">
            <w:col w:w="9019"/>
          </w:cols>
          <w:pgMar w:left="1440" w:top="270"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Conversion</w:t>
      </w:r>
    </w:p>
    <w:p>
      <w:pPr>
        <w:spacing w:after="0" w:line="162" w:lineRule="exact"/>
        <w:rPr>
          <w:sz w:val="20"/>
          <w:szCs w:val="20"/>
          <w:color w:val="auto"/>
        </w:rPr>
      </w:pPr>
    </w:p>
    <w:p>
      <w:pPr>
        <w:jc w:val="both"/>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7"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95" w:lineRule="exact"/>
        <w:rPr>
          <w:sz w:val="20"/>
          <w:szCs w:val="20"/>
          <w:color w:val="auto"/>
        </w:rPr>
      </w:pPr>
    </w:p>
    <w:p>
      <w:pPr>
        <w:ind w:left="1320" w:right="579" w:hanging="434"/>
        <w:spacing w:after="0" w:line="282"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Law/Waiver of Jury Trial</w:t>
      </w:r>
    </w:p>
    <w:p>
      <w:pPr>
        <w:spacing w:after="0" w:line="148"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0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10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Jurisdiction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1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69" w:lineRule="auto"/>
        <w:rPr>
          <w:sz w:val="20"/>
          <w:szCs w:val="20"/>
          <w:color w:val="auto"/>
        </w:rPr>
      </w:pPr>
      <w:r>
        <w:rPr>
          <w:rFonts w:ascii="Times New Roman" w:cs="Times New Roman" w:eastAsia="Times New Roman" w:hAnsi="Times New Roman"/>
          <w:sz w:val="17"/>
          <w:szCs w:val="17"/>
          <w:color w:val="auto"/>
        </w:rPr>
        <w:t>Upon completion of this offering of Public Offering ADSs, we will have 4,925,000 ADSs outstanding, including 3,125,000 Shareholder ADSs, representing 39,400,000 Class B ordinary shares, or approximately 7.6% of our outstanding ordinary shares. An aggregate of 3,125,000 Shareholder ADSs will be eligible for immediate sale by the Selling Shareholder upon the completion of this offering of Public Offering ADSs, subject to the lock-up agreement described below. All of the Public Offering ADSs and Shareholder ADSs (subject to the lock-up agreement described below)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3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three months after the date of closing of this offering, subject to certain exceptions and applicable notice requirements.</w:t>
      </w:r>
    </w:p>
    <w:p>
      <w:pPr>
        <w:spacing w:after="0" w:line="103"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our shareholders holding more than 5.0%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underwriter for a period of six months after the date of this prospectus, subject to certain exceptions and applicable notice requirements.</w:t>
      </w:r>
    </w:p>
    <w:p>
      <w:pPr>
        <w:spacing w:after="0" w:line="115"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the Selling Shareholder has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Relevant Resale Shares, our ordinary shares or securities convertible into or exchangeable or exercisable for any Relevant Resale Shares, or enter into any swap or other arrangement that transfers to another, in whole or in part, any of the economic consequences of ownership of any Relevant Resale Shares, our ordinary shares or securities convertible into or exercisable or exchangeable for any Relevant Resale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Relevant Resale Shares, our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ordinary shares or securities convertible into or exercisable or exchangeable for any Relevant Resale Shares, or publicly disclose the intention to do any of the foregoing, without the prior written consent of the underwriter for a period of six months after the date of this prospectus, subject to certain exceptions and applicable notice requirements.</w:t>
      </w:r>
    </w:p>
    <w:p>
      <w:pPr>
        <w:spacing w:after="0" w:line="8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not aware of any plans by any significant shareholders, other than the Selling Shareholder (subject to the lock-up agreement described above), to dispose of significant numbers of our ordinary shares or the ADSs. We cannot predict what effect, if any, future sales of our ordinary shares or the ADSs, or the availability of ordinary shares or ADSs for future sale, will have on the trading price of the ADSs from time to time. Sales of substantial amounts of our ordinary shares or the ADSs in the public market, or the perception that these sales could occur, could adversely affect the trading price of the ADSs.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All of our ordinary shares that will be outstanding upon the completion of this offering, other than those Class B ordinary shares represented by ADSs sold in this offering of Public Offering ADSs and Shareholder ADSs,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11" w:lineRule="exact"/>
        <w:rPr>
          <w:sz w:val="20"/>
          <w:szCs w:val="20"/>
          <w:color w:val="auto"/>
        </w:rPr>
      </w:pPr>
    </w:p>
    <w:p>
      <w:pPr>
        <w:ind w:left="1320" w:right="839" w:hanging="434"/>
        <w:spacing w:after="0" w:line="282"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in the form of ADSs or otherwise, which will equal approximately 5,163,642 ordinary shares immediately after this offering; or</w:t>
      </w:r>
    </w:p>
    <w:p>
      <w:pPr>
        <w:spacing w:after="0" w:line="94"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Capital Market, during the four calendar weeks preceding the date on which notice of the sale is filed with the SEC.</w:t>
      </w:r>
    </w:p>
    <w:p>
      <w:pPr>
        <w:spacing w:after="0" w:line="10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spacing w:after="0" w:line="95"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6"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48" w:lineRule="exact"/>
        <w:rPr>
          <w:sz w:val="20"/>
          <w:szCs w:val="20"/>
          <w:color w:val="auto"/>
        </w:rPr>
      </w:pPr>
    </w:p>
    <w:p>
      <w:pPr>
        <w:jc w:val="both"/>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Singapore Taxation Considerations</w:t>
      </w:r>
    </w:p>
    <w:p>
      <w:pPr>
        <w:spacing w:after="0" w:line="162"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summary is not intended to be or to be regarded as tax advice to any investors, and investors should consult their own professional tax advisors regarding the Singapore tax matters.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Corporate Income Tax</w:t>
      </w:r>
    </w:p>
    <w:p>
      <w:pPr>
        <w:spacing w:after="0" w:line="133"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Singapore tax resident corporate taxpayer is subject to Singapore income tax on:</w:t>
      </w:r>
    </w:p>
    <w:p>
      <w:pPr>
        <w:spacing w:after="0" w:line="144" w:lineRule="exact"/>
        <w:rPr>
          <w:sz w:val="20"/>
          <w:szCs w:val="20"/>
          <w:color w:val="auto"/>
        </w:rPr>
      </w:pPr>
    </w:p>
    <w:p>
      <w:pPr>
        <w:ind w:left="1320" w:hanging="434"/>
        <w:spacing w:after="0"/>
        <w:tabs>
          <w:tab w:leader="none" w:pos="1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accruing in or derived from Singapore; or</w:t>
      </w:r>
    </w:p>
    <w:p>
      <w:pPr>
        <w:spacing w:after="0" w:line="130"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2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outside Singapore (i.e. foreign-sourced income) which is received or deemed received in Singapore, unless otherwise exempted.</w:t>
      </w:r>
    </w:p>
    <w:p>
      <w:pPr>
        <w:spacing w:after="0" w:line="67"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A non-Singapore tax resident corporate taxpayer, subject to certain exceptions, is subject to Singapore income tax on income accrued in or derived from Singapore, and on foreign income received or deemed received in Singapore.</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Foreign-sourced income is deemed to be received in Singapore when it is:</w:t>
      </w:r>
    </w:p>
    <w:p>
      <w:pPr>
        <w:spacing w:after="0" w:line="131" w:lineRule="exact"/>
        <w:rPr>
          <w:sz w:val="20"/>
          <w:szCs w:val="20"/>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remitted to, transmitted or brought into Singapore;</w:t>
      </w:r>
    </w:p>
    <w:p>
      <w:pPr>
        <w:spacing w:after="0" w:line="130"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pay off any debt incurred in respect of a trade or business carried on in Singapore;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purchase any movable property brought into Singapore.</w:t>
      </w:r>
    </w:p>
    <w:p>
      <w:pPr>
        <w:spacing w:after="0" w:line="131"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spacing w:after="0" w:line="81" w:lineRule="exact"/>
        <w:rPr>
          <w:sz w:val="20"/>
          <w:szCs w:val="20"/>
          <w:color w:val="auto"/>
        </w:rPr>
      </w:pPr>
    </w:p>
    <w:p>
      <w:pPr>
        <w:ind w:left="1320" w:right="619" w:hanging="434"/>
        <w:spacing w:after="0" w:line="282" w:lineRule="auto"/>
        <w:tabs>
          <w:tab w:leader="none" w:pos="131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(by whatever name called) under the law of the territory from which such income is received;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61" w:lineRule="auto"/>
        <w:tabs>
          <w:tab w:leader="none" w:pos="12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12"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0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The prevailing corporate income tax rate in Singapore is 17.0% with the first S$200,000 of chargeable income of a company being partially exempt from tax as follows:</w:t>
      </w:r>
    </w:p>
    <w:p>
      <w:pPr>
        <w:spacing w:after="0" w:line="81" w:lineRule="exact"/>
        <w:rPr>
          <w:sz w:val="20"/>
          <w:szCs w:val="20"/>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S$190,000 of chargeable income.</w:t>
      </w:r>
    </w:p>
    <w:p>
      <w:pPr>
        <w:spacing w:after="0" w:line="158"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for each of the company’s first three (3) years of assessment as follows:</w:t>
      </w:r>
    </w:p>
    <w:p>
      <w:pPr>
        <w:spacing w:after="0" w:line="81" w:lineRule="exact"/>
        <w:rPr>
          <w:sz w:val="20"/>
          <w:szCs w:val="20"/>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S$100,000 of chargeable income.</w:t>
      </w:r>
    </w:p>
    <w:p>
      <w:pPr>
        <w:spacing w:after="0" w:line="15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remaining chargeable income (after the tax exemption scheme for new companies or the partial tax exemption scheme for companies) will be fully taxable at the prevailing corporate tax rate. For the year of assessment 2024, companies will receive a 50% corporate income tax rebate capped at S$40,000. For companies which employed at least one local employee in 2023 will receive a cash payout of at least S$2,000. The maximum total benefits of the corporate income tax rebate and the cash payout that a company may receive is capped at S$40,000.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14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All Singapore-tax resident companies are currently under the one-tier corporate tax system, or one-tier system.</w:t>
      </w:r>
    </w:p>
    <w:p>
      <w:pPr>
        <w:spacing w:after="0" w:line="94"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12"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Accordingly, dividends received in respect of the ordinary shares of a Singapore-tax resident company by either a resident or non-resident of Singapore are not subject to Singapore income tax (whether by withholding or otherwise).</w:t>
      </w:r>
    </w:p>
    <w:p>
      <w:pPr>
        <w:spacing w:after="0" w:line="95"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Shares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w:cs="Times New Roman" w:eastAsia="Times New Roman" w:hAnsi="Times New Roman"/>
          <w:sz w:val="18"/>
          <w:szCs w:val="18"/>
          <w:b w:val="1"/>
          <w:bCs w:val="1"/>
          <w:color w:val="auto"/>
        </w:rPr>
        <w:t>IRAS</w:t>
      </w:r>
      <w:r>
        <w:rPr>
          <w:rFonts w:ascii="Times New Roman" w:cs="Times New Roman" w:eastAsia="Times New Roman" w:hAnsi="Times New Roman"/>
          <w:sz w:val="18"/>
          <w:szCs w:val="18"/>
          <w:color w:val="auto"/>
        </w:rPr>
        <w:t>”), are not taxable in Singapore.</w:t>
      </w:r>
    </w:p>
    <w:p>
      <w:pPr>
        <w:spacing w:after="0" w:line="12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Subject to Section 10L of the Income Tax Act 1947 (“SITA”), and specified exceptions, Section 13W of the SITA, provides for certainty on the non-taxability of gains derived by a corporate taxpayer from the disposal of ordinary shares during the period from June 1, 2012 to December 31, 2027 (both dates inclusive) where:</w:t>
      </w:r>
    </w:p>
    <w:p>
      <w:pPr>
        <w:spacing w:after="0" w:line="77" w:lineRule="exact"/>
        <w:rPr>
          <w:sz w:val="20"/>
          <w:szCs w:val="20"/>
          <w:color w:val="auto"/>
        </w:rPr>
      </w:pPr>
    </w:p>
    <w:p>
      <w:pPr>
        <w:ind w:left="1320" w:right="819" w:hanging="434"/>
        <w:spacing w:after="0" w:line="282" w:lineRule="auto"/>
        <w:tabs>
          <w:tab w:leader="none" w:pos="1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legally and beneficially held a minimum shareholding of 20% of the ordinary shares of the company whose shares are being disposed;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maintained the minimum 20% shareholding for a continuous period of at least 24 months immediately prior to the disposal.</w:t>
      </w:r>
    </w:p>
    <w:p>
      <w:pPr>
        <w:spacing w:after="0" w:line="9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above-mentioned “safe harbor rules” prescribed under Section 13W of SITA will not apply to a divesting company under certain scenarios. These include, but are not limited to, the divesting company that is in the business of trading or holding Singapore immovable properties, or property development (subject to certain exceptions), where the shares are not listed on a stock exchange in Singapore or elsewhere, the divesting company whose gains or profits from the disposal of ordinary shares are included as part of its income, disposal of shares by a partnership, limited partnership or limited liability partnership where one or more of the partners is a company or are companies, etc.</w:t>
      </w:r>
    </w:p>
    <w:p>
      <w:pPr>
        <w:spacing w:after="0" w:line="10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Section 10L of the SITA, gains received in Singapore by an entity of a relevant group from the sale or disposal of any movable or immovable property outside Singapore will be treated as income chargeable to tax under Section 10(1)(g) of the ITA under certain circumstances. The foreign-sourced disposal gains will be subject to tax if the entity does not have adequate economic substance in Singapore. The foreign-sourced disposal gains will be subject to tax if the entity does not have adequate economic substance in Singapore and the sale or disposal of the foreign asset occurs on or after January 1, 2024. 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(a) the entities of the group are not all incorporated, registered or established in Singapore; or (b) any entity of the group has a place of business outside Singapore.</w:t>
      </w:r>
    </w:p>
    <w:p>
      <w:pPr>
        <w:spacing w:after="0" w:line="1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Shareholders who apply, or who are required to apply, the Singapore Financial Reporting Standard 39</w:t>
      </w:r>
    </w:p>
    <w:p>
      <w:pPr>
        <w:spacing w:after="0" w:line="27" w:lineRule="exact"/>
        <w:rPr>
          <w:sz w:val="20"/>
          <w:szCs w:val="20"/>
          <w:color w:val="auto"/>
        </w:rPr>
      </w:pPr>
    </w:p>
    <w:p>
      <w:pPr>
        <w:ind w:left="460" w:right="639"/>
        <w:spacing w:after="0" w:line="270" w:lineRule="auto"/>
        <w:rPr>
          <w:sz w:val="20"/>
          <w:szCs w:val="20"/>
          <w:color w:val="auto"/>
        </w:rPr>
      </w:pPr>
      <w:r>
        <w:rPr>
          <w:rFonts w:ascii="Times New Roman" w:cs="Times New Roman" w:eastAsia="Times New Roman" w:hAnsi="Times New Roman"/>
          <w:sz w:val="17"/>
          <w:szCs w:val="17"/>
          <w:color w:val="auto"/>
        </w:rPr>
        <w:t>—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spacing w:after="0" w:line="80"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Shareholders who may be subject to the above-mentioned tax treatments should consult their accounting and tax advisers regarding the Singapore income tax consequences of their acquisition, holding and disposal of the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99" w:lineRule="exact"/>
        <w:rPr>
          <w:sz w:val="20"/>
          <w:szCs w:val="20"/>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required to use a mark-to-market method of accounting;</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44" w:lineRule="exact"/>
        <w:rPr>
          <w:rFonts w:ascii="Times New Roman" w:cs="Times New Roman" w:eastAsia="Times New Roman" w:hAnsi="Times New Roman"/>
          <w:sz w:val="18"/>
          <w:szCs w:val="18"/>
          <w:color w:val="auto"/>
        </w:rPr>
      </w:pPr>
    </w:p>
    <w:p>
      <w:pPr>
        <w:ind w:left="1320" w:right="7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6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through a bank, financial institution or other entity, or a branch thereof, located, organized or resident outside the United States;</w:t>
      </w:r>
    </w:p>
    <w:p>
      <w:pPr>
        <w:spacing w:after="0" w:line="6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power of all classes of our voting stock;</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 employee stock option or otherwise as compensation; or</w:t>
      </w:r>
    </w:p>
    <w:p>
      <w:pPr>
        <w:spacing w:after="0" w:line="67"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or ordinary shares through such entities.</w:t>
      </w:r>
    </w:p>
    <w:p>
      <w:pPr>
        <w:spacing w:after="0" w:line="67" w:lineRule="exact"/>
        <w:rPr>
          <w:sz w:val="20"/>
          <w:szCs w:val="20"/>
          <w:color w:val="auto"/>
        </w:rPr>
      </w:pPr>
    </w:p>
    <w:p>
      <w:pPr>
        <w:ind w:left="460" w:right="919" w:firstLine="432"/>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spacing w:after="0" w:line="11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spacing w:after="0" w:line="9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our ADSs or ordinary shares that is, for United States federal income tax purposes:</w:t>
      </w:r>
    </w:p>
    <w:p>
      <w:pPr>
        <w:spacing w:after="0" w:line="81" w:lineRule="exact"/>
        <w:rPr>
          <w:sz w:val="20"/>
          <w:szCs w:val="20"/>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79" w:hanging="434"/>
        <w:spacing w:after="0" w:line="282" w:lineRule="auto"/>
        <w:tabs>
          <w:tab w:leader="none" w:pos="13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94"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16"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is true and that the obligations in such agreements will be complied with in accordance with their terms.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111"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56" w:lineRule="auto"/>
        <w:rPr>
          <w:sz w:val="20"/>
          <w:szCs w:val="20"/>
          <w:color w:val="auto"/>
        </w:rPr>
      </w:pPr>
      <w:r>
        <w:rPr>
          <w:rFonts w:ascii="Times New Roman" w:cs="Times New Roman" w:eastAsia="Times New Roman" w:hAnsi="Times New Roman"/>
          <w:sz w:val="18"/>
          <w:szCs w:val="18"/>
          <w:color w:val="auto"/>
        </w:rPr>
        <w:t>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2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spacing w:after="0" w:line="12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w:t>
      </w:r>
    </w:p>
    <w:p>
      <w:pPr>
        <w:spacing w:after="0" w:line="3" w:lineRule="exact"/>
        <w:rPr>
          <w:sz w:val="20"/>
          <w:szCs w:val="20"/>
          <w:color w:val="auto"/>
        </w:rPr>
      </w:pPr>
    </w:p>
    <w:p>
      <w:pPr>
        <w:ind w:left="460" w:right="519" w:hanging="6"/>
        <w:spacing w:after="0" w:line="251" w:lineRule="auto"/>
        <w:tabs>
          <w:tab w:leader="none" w:pos="7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26"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 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48"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121" w:lineRule="exact"/>
        <w:rPr>
          <w:sz w:val="20"/>
          <w:szCs w:val="20"/>
          <w:color w:val="auto"/>
        </w:rPr>
      </w:pPr>
    </w:p>
    <w:p>
      <w:pPr>
        <w:ind w:left="1320" w:right="47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94" w:lineRule="exact"/>
        <w:rPr>
          <w:rFonts w:ascii="Times New Roman" w:cs="Times New Roman" w:eastAsia="Times New Roman" w:hAnsi="Times New Roman"/>
          <w:sz w:val="18"/>
          <w:szCs w:val="18"/>
          <w:color w:val="auto"/>
        </w:rPr>
      </w:pPr>
    </w:p>
    <w:p>
      <w:pPr>
        <w:jc w:val="both"/>
        <w:ind w:left="1320" w:right="539" w:hanging="434"/>
        <w:spacing w:after="0" w:line="266"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94" w:lineRule="exact"/>
        <w:rPr>
          <w:rFonts w:ascii="Times New Roman" w:cs="Times New Roman" w:eastAsia="Times New Roman" w:hAnsi="Times New Roman"/>
          <w:sz w:val="18"/>
          <w:szCs w:val="18"/>
          <w:color w:val="auto"/>
        </w:rPr>
      </w:pPr>
    </w:p>
    <w:p>
      <w:pPr>
        <w:jc w:val="both"/>
        <w:ind w:left="1320" w:right="579" w:hanging="434"/>
        <w:spacing w:after="0" w:line="261"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1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28" w:lineRule="exact"/>
        <w:rPr>
          <w:sz w:val="20"/>
          <w:szCs w:val="20"/>
          <w:color w:val="auto"/>
        </w:rPr>
      </w:pPr>
    </w:p>
    <w:p>
      <w:pPr>
        <w:ind w:left="460" w:right="479" w:firstLine="432"/>
        <w:spacing w:after="0" w:line="277"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spacing w:after="0" w:line="87"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08" w:lineRule="exact"/>
        <w:rPr>
          <w:sz w:val="20"/>
          <w:szCs w:val="20"/>
          <w:color w:val="auto"/>
        </w:rPr>
      </w:pPr>
    </w:p>
    <w:p>
      <w:pPr>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UNDERWRITING </w:t>
      </w:r>
      <w:r>
        <w:rPr>
          <w:rFonts w:ascii="Times New Roman" w:cs="Times New Roman" w:eastAsia="Times New Roman" w:hAnsi="Times New Roman"/>
          <w:sz w:val="18"/>
          <w:szCs w:val="18"/>
          <w:b w:val="1"/>
          <w:bCs w:val="1"/>
          <w:i w:val="1"/>
          <w:iCs w:val="1"/>
          <w:color w:val="auto"/>
        </w:rPr>
        <w:t>[SRFC to confirm]</w:t>
      </w:r>
    </w:p>
    <w:p>
      <w:pPr>
        <w:spacing w:after="0" w:line="14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WallachBeth Capital LLC is acting as the representative of the underwriters of this Offering (the “Representative”). Under the terms and subject to the conditions contained in the underwriting agreement dated as of the date of this prospectus, each of the Underwriters named below has severally but not jointly agreed to purchase, and we have agreed to sell to those Underwriters, the number of ADSs set forth opposite the Underwriter’s name below:</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2"/>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w:t>
            </w: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ADSs</w:t>
            </w:r>
          </w:p>
        </w:tc>
      </w:tr>
      <w:tr>
        <w:trPr>
          <w:trHeight w:val="47"/>
        </w:trPr>
        <w:tc>
          <w:tcPr>
            <w:tcW w:w="6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43"/>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WallachBeth Capital LLC</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r>
      <w:tr>
        <w:trPr>
          <w:trHeight w:val="24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w:t>
            </w:r>
          </w:p>
        </w:tc>
      </w:tr>
    </w:tbl>
    <w:p>
      <w:pPr>
        <w:spacing w:after="0" w:line="19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ADSs subject to its acceptance of the ADSs from us and subject to prior sale. The underwriting agreement provides that the obligations of the Underwriters to pay for and accept delivery of the ADSs offered by this prospectus are subject to the approval of certain legal matters by its counsel and to other conditions. The Underwriters are obligated to take and pay for all of the ADSs offered by this prospectus if any such ADSs are taken.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exercisable within forty five (45) days after the closing of the offering, to acquire up to an additional fifteen percent (15%) of the total number of securities to be offered by us in the offering on the same terms as the securities sold in the offering, solely for the purpose of covering over allotments.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Discounts and Expenses</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underwriting discounts and commissions are equal to seven percent (7%) of the gross proceeds from the sale of the securities in the offering (the “Underwriting Discount”), and the Underwriters may in their discretion apportion such Underwriting Discount in whole or in part to any selected dealer engaged by the Underwriter(s) in connection with the IPO.</w:t>
      </w:r>
    </w:p>
    <w:p>
      <w:pPr>
        <w:spacing w:after="0" w:line="11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We have agreed to pay advisory fees in connection with the offering in the amount of $30,000 upon successful closing of the IPO within six months upon the execution of the engagement letter. As consideration for this advisory fee, the Underwriters provided general advisory services to us regarding U.S. public market readiness, including but not limited to Board of Directors composition, review and advice on the capitalization table and corporate structure, PCAOB auditors, and national securities exchange requirements.</w:t>
      </w:r>
    </w:p>
    <w:p>
      <w:pPr>
        <w:spacing w:after="0" w:line="116"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ADS and total initial public offering price, underwriting discounts and commissions, and proceeds before expenses to us.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w w:val="99"/>
              </w:rPr>
              <w:t>Per ADS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8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6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630,000</w:t>
            </w:r>
          </w:p>
        </w:tc>
      </w:tr>
      <w:tr>
        <w:trPr>
          <w:trHeight w:val="40"/>
        </w:trPr>
        <w:tc>
          <w:tcPr>
            <w:tcW w:w="4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8,370,000</w:t>
            </w:r>
          </w:p>
        </w:tc>
      </w:tr>
      <w:tr>
        <w:trPr>
          <w:trHeight w:val="40"/>
        </w:trPr>
        <w:tc>
          <w:tcPr>
            <w:tcW w:w="48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We have agreed, to reimburse the Underwriters, promptly when invoiced, for all of their reasonable, out-of-pocket expenses (including, but not limited to, travel, due diligence expenses, reasonable fees and expenses of their legal counsel, roadshow and background check on the Company’s principals) in connection with the performance of its services hereunder not to exceed an aggregate of $250,000, regardless of whether the offering occurs. For any expense that exceeds the amount of $5,000, the Underwriters should seek the Company’s approval.</w:t>
      </w:r>
    </w:p>
    <w:p>
      <w:pPr>
        <w:spacing w:after="0" w:line="120" w:lineRule="exact"/>
        <w:rPr>
          <w:sz w:val="20"/>
          <w:szCs w:val="20"/>
          <w:color w:val="auto"/>
        </w:rPr>
      </w:pPr>
    </w:p>
    <w:p>
      <w:pPr>
        <w:jc w:val="both"/>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In addition, we have agreed to pay to the Underwriters upon closing of this offering a non-accountable expense allowance equal to one percent (1%) of the gross proceeds received by the Company from the sale of the ADSs in this offering.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Underwriters may reasonably request; (ii) the costs of preparing, printing and delivering exhibits thereto, in such quantities as Underwriters may reasonably request; (iii) all fees, expenses and disbursements relating to the registration, qualification or exemption of securities offered under the securities laws of foreign jurisdictions designated by the Underwriters; (iv) the fees of counsel(s) and accountants for the Company, including fees associated with any blue sky filings where applicable; (v) fees associated with the Company’s transfer agent; and (vi) fees, if necessary, associated with translation services.</w:t>
      </w:r>
    </w:p>
    <w:p>
      <w:pPr>
        <w:spacing w:after="0" w:line="127" w:lineRule="exact"/>
        <w:rPr>
          <w:sz w:val="20"/>
          <w:szCs w:val="20"/>
          <w:color w:val="auto"/>
        </w:rPr>
      </w:pPr>
    </w:p>
    <w:p>
      <w:pPr>
        <w:ind w:left="460" w:right="739" w:firstLine="432"/>
        <w:spacing w:after="0" w:line="312" w:lineRule="auto"/>
        <w:rPr>
          <w:sz w:val="20"/>
          <w:szCs w:val="20"/>
          <w:color w:val="auto"/>
        </w:rPr>
      </w:pPr>
      <w:r>
        <w:rPr>
          <w:rFonts w:ascii="Times New Roman" w:cs="Times New Roman" w:eastAsia="Times New Roman" w:hAnsi="Times New Roman"/>
          <w:sz w:val="17"/>
          <w:szCs w:val="17"/>
          <w:color w:val="auto"/>
        </w:rPr>
        <w:t>We estimate that the total expenses of the offering payable by us, excluding the underwriting discounts and commissions and non-accountable expense allowance, will be approximately US$3.53 million.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ind w:left="460" w:right="679" w:firstLine="432"/>
        <w:spacing w:after="0" w:line="312" w:lineRule="auto"/>
        <w:rPr>
          <w:sz w:val="20"/>
          <w:szCs w:val="20"/>
          <w:color w:val="auto"/>
        </w:rPr>
      </w:pPr>
      <w:r>
        <w:rPr>
          <w:rFonts w:ascii="Times New Roman" w:cs="Times New Roman" w:eastAsia="Times New Roman" w:hAnsi="Times New Roman"/>
          <w:sz w:val="17"/>
          <w:szCs w:val="17"/>
          <w:color w:val="auto"/>
        </w:rPr>
        <w:t>We have agreed that, subject to certain exceptions, we or any successors of us will not without the prior written consent of the Underwriters, during the period of three (3) months after the closing of the offering:</w:t>
      </w:r>
    </w:p>
    <w:p>
      <w:pPr>
        <w:spacing w:after="0" w:line="72" w:lineRule="exact"/>
        <w:rPr>
          <w:sz w:val="20"/>
          <w:szCs w:val="20"/>
          <w:color w:val="auto"/>
        </w:rPr>
      </w:pPr>
    </w:p>
    <w:p>
      <w:pPr>
        <w:ind w:left="1320" w:right="499" w:hanging="434"/>
        <w:spacing w:after="0" w:line="266" w:lineRule="auto"/>
        <w:tabs>
          <w:tab w:leader="none" w:pos="128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or otherwise transfer or dispose of, directly or indirectly, any shares of capital stock of the Company or any securities convertible into or exercisable or exchangeable for shares of capital stock of the Company;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8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cause to be filed any registration statement with the SEC relating to the offering of any shares of capital stock of the Company or any securities convertible into or exercisable or exchangeable for shares of capital stock of the Company.</w:t>
      </w:r>
    </w:p>
    <w:p>
      <w:pPr>
        <w:spacing w:after="0" w:line="95"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Our directors, officers and holders of more than 5% of the Company’s outstanding ordinary shares as of the effective date of the registration statement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(6) months following the closing of the offering, such persons may not offer, sell, pledge or otherwise dispose of these securities without the prior written consent of the Underwriters.</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In addition, the Selling Shareholder has agreed, subject to certain exceptions, to a six month “lock-up” period from the effective date of the registration statement of which this prospectus forms a part with respect to the Relevant Resale Shares that they beneficially own. This means that, for a period of six months following the closing of the offering, the Selling Shareholder may not offer, sell, pledge or otherwise dispose of these securities without the prior written consent of the Underwriters.</w:t>
      </w:r>
    </w:p>
    <w:p>
      <w:pPr>
        <w:spacing w:after="0" w:line="116"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Underwriters have no present intention to waive or shorten the lock-up period; however, the terms of the lock-up agreements may be waived at their discretion. In determining whether to waive the terms of the lock-up agreements, each Underwriter may base its decision on its assessment of the relative strengths of the securities markets and companies similar to ours in general, and the trading pattern of, and demand for, our securities in general.</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48" w:lineRule="exact"/>
        <w:rPr>
          <w:sz w:val="20"/>
          <w:szCs w:val="20"/>
          <w:color w:val="auto"/>
        </w:rPr>
      </w:pPr>
    </w:p>
    <w:p>
      <w:pPr>
        <w:ind w:left="460" w:right="819" w:firstLine="432"/>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ADS or our ordinary shares. The initial public offering price of the shares has been negotiated between us and the Underwriters.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Securities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Underwriters or selling group members, if any, participating in this offering and the Underwriters may distribute prospectuses electronically. The Underwriters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Underwriters, and should not be relied upon by investors.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transactions that stabilize, maintain or otherwise affect the price of our ADSs. Specifically, the Underwriters may sell more shares than they are obligated to purchase under the underwriting agreement, creating a short position. The Underwriters can close out a covered short sale by purchasing shares in the open market. The Underwriters must close out any naked short position by purchasing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08" w:lineRule="exact"/>
        <w:rPr>
          <w:sz w:val="20"/>
          <w:szCs w:val="20"/>
          <w:color w:val="auto"/>
        </w:rPr>
      </w:pPr>
    </w:p>
    <w:p>
      <w:pPr>
        <w:jc w:val="both"/>
        <w:ind w:left="460" w:right="79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0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Finally, the Underwriters may bid for, and purchase, our ADSs in market making transactions, including “passive” market making transactions as described below.</w:t>
      </w:r>
    </w:p>
    <w:p>
      <w:pPr>
        <w:spacing w:after="0" w:line="9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These activities may stabilize or maintain the market price of our ADSs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Capital Market, in the over-the-counter market,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Conflicts of Interest</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Underwriters and their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Underwriters and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66" w:lineRule="auto"/>
        <w:rPr>
          <w:sz w:val="20"/>
          <w:szCs w:val="20"/>
          <w:color w:val="auto"/>
        </w:rPr>
      </w:pPr>
      <w:r>
        <w:rPr>
          <w:rFonts w:ascii="Times New Roman" w:cs="Times New Roman" w:eastAsia="Times New Roman" w:hAnsi="Times New Roman"/>
          <w:sz w:val="18"/>
          <w:szCs w:val="18"/>
          <w:color w:val="auto"/>
        </w:rPr>
        <w:t>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Underwriters may in the future perform a variety of such activities and services for us and for persons or entities with relationships with us for which they received or will receive customary fees, commissions and expenses.</w:t>
      </w:r>
    </w:p>
    <w:p>
      <w:pPr>
        <w:spacing w:after="0" w:line="120"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their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spacing w:after="0" w:line="99"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Such investments and securities activities may involve assets, securities and/or instruments of ours or our affiliates. The Underwriters and their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 outside the United States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6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spacing w:after="0" w:line="120"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46"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jc w:val="both"/>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6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20" w:lineRule="exact"/>
        <w:rPr>
          <w:sz w:val="20"/>
          <w:szCs w:val="20"/>
          <w:color w:val="auto"/>
        </w:rPr>
      </w:pPr>
    </w:p>
    <w:p>
      <w:pPr>
        <w:jc w:val="both"/>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Malaysia</w:t>
      </w:r>
    </w:p>
    <w:p>
      <w:pPr>
        <w:spacing w:after="0" w:line="146"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6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44" w:lineRule="exact"/>
        <w:rPr>
          <w:sz w:val="20"/>
          <w:szCs w:val="20"/>
          <w:color w:val="auto"/>
        </w:rPr>
      </w:pPr>
    </w:p>
    <w:p>
      <w:pPr>
        <w:jc w:val="both"/>
        <w:ind w:left="1320" w:right="719" w:hanging="434"/>
        <w:spacing w:after="0" w:line="266"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12" w:lineRule="exact"/>
        <w:rPr>
          <w:sz w:val="20"/>
          <w:szCs w:val="20"/>
          <w:color w:val="auto"/>
        </w:rPr>
      </w:pPr>
    </w:p>
    <w:p>
      <w:pPr>
        <w:ind w:left="1320" w:right="659" w:hanging="434"/>
        <w:spacing w:after="0" w:line="266"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63" w:lineRule="exact"/>
        <w:rPr>
          <w:sz w:val="20"/>
          <w:szCs w:val="20"/>
          <w:color w:val="auto"/>
        </w:rPr>
      </w:pPr>
    </w:p>
    <w:p>
      <w:pPr>
        <w:ind w:left="46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SFA Product Classification: </w:t>
      </w:r>
      <w:r>
        <w:rPr>
          <w:rFonts w:ascii="Times New Roman" w:cs="Times New Roman" w:eastAsia="Times New Roman" w:hAnsi="Times New Roman"/>
          <w:sz w:val="18"/>
          <w:szCs w:val="18"/>
          <w:i w:val="1"/>
          <w:iCs w:val="1"/>
          <w:color w:val="auto"/>
        </w:rPr>
        <w:t>In accordance with Section 309B of the SFA,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determined, and hereby notifies all relevant persons (as defined under Section 309A(1) of the SFA), that the ADSs 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Purchasers are advised to seek legal advice prior to any resale of the securities.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People’s Republic of China</w:t>
      </w:r>
    </w:p>
    <w:p>
      <w:pPr>
        <w:spacing w:after="0" w:line="133"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46"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Taiwan</w:t>
      </w:r>
    </w:p>
    <w:p>
      <w:pPr>
        <w:spacing w:after="0" w:line="133"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Indonesia</w:t>
      </w:r>
    </w:p>
    <w:p>
      <w:pPr>
        <w:spacing w:after="0" w:line="133"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Vietnam</w:t>
      </w:r>
    </w:p>
    <w:p>
      <w:pPr>
        <w:spacing w:after="0" w:line="13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Thailand</w:t>
      </w:r>
    </w:p>
    <w:p>
      <w:pPr>
        <w:spacing w:after="0" w:line="119" w:lineRule="exact"/>
        <w:rPr>
          <w:sz w:val="20"/>
          <w:szCs w:val="20"/>
          <w:color w:val="auto"/>
        </w:rPr>
      </w:pPr>
    </w:p>
    <w:p>
      <w:pPr>
        <w:jc w:val="both"/>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Korea</w:t>
      </w:r>
    </w:p>
    <w:p>
      <w:pPr>
        <w:spacing w:after="0" w:line="11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New Zealand</w:t>
      </w:r>
    </w:p>
    <w:p>
      <w:pPr>
        <w:spacing w:after="0" w:line="14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spacing w:after="0" w:line="81" w:lineRule="exact"/>
        <w:rPr>
          <w:sz w:val="20"/>
          <w:szCs w:val="20"/>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FMCA; or</w:t>
      </w:r>
    </w:p>
    <w:p>
      <w:pPr>
        <w:spacing w:after="0" w:line="11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FMCA. The Securities are not being offered or sold to retail investors in New Zealand.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Cayman Islands</w:t>
      </w:r>
    </w:p>
    <w:p>
      <w:pPr>
        <w:spacing w:after="0" w:line="146"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commissions and non-accountable expense allowance, that we expect to incur in connection with this offering. With the exception of the SEC registration fee, the Financial Industry Regulatory Authority, or FINRA, filing fee, and the stock exchange application and listing fee, all amounts are estimates.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580" w:type="dxa"/>
            <w:vAlign w:val="bottom"/>
            <w:tcBorders>
              <w:bottom w:val="single" w:sz="8" w:color="CCEEFF"/>
            </w:tcBorders>
            <w:gridSpan w:val="2"/>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Application and Listing Fee</w:t>
            </w:r>
          </w:p>
        </w:tc>
        <w:tc>
          <w:tcPr>
            <w:tcW w:w="3580" w:type="dxa"/>
            <w:vAlign w:val="bottom"/>
            <w:tcBorders>
              <w:bottom w:val="single" w:sz="8" w:color="CCEEFF"/>
            </w:tcBorders>
            <w:gridSpan w:val="2"/>
            <w:shd w:val="clear" w:color="auto" w:fill="CCEEFF"/>
          </w:tcPr>
          <w:p>
            <w:pPr>
              <w:ind w:left="3040"/>
              <w:spacing w:after="0"/>
              <w:rPr>
                <w:sz w:val="20"/>
                <w:szCs w:val="20"/>
                <w:color w:val="auto"/>
              </w:rPr>
            </w:pPr>
            <w:r>
              <w:rPr>
                <w:rFonts w:ascii="Times New Roman" w:cs="Times New Roman" w:eastAsia="Times New Roman" w:hAnsi="Times New Roman"/>
                <w:sz w:val="18"/>
                <w:szCs w:val="18"/>
                <w:i w:val="1"/>
                <w:iCs w:val="1"/>
                <w:color w:val="auto"/>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580" w:type="dxa"/>
            <w:vAlign w:val="bottom"/>
            <w:tcBorders>
              <w:bottom w:val="single" w:sz="8" w:color="CCEEFF"/>
            </w:tcBorders>
            <w:gridSpan w:val="2"/>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Advisory and Other Expenses</w:t>
            </w:r>
          </w:p>
        </w:tc>
        <w:tc>
          <w:tcPr>
            <w:tcW w:w="358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580" w:type="dxa"/>
            <w:vAlign w:val="bottom"/>
            <w:tcBorders>
              <w:bottom w:val="single" w:sz="8" w:color="CCEEFF"/>
            </w:tcBorders>
            <w:gridSpan w:val="2"/>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60" w:type="dxa"/>
            <w:vAlign w:val="bottom"/>
            <w:vMerge w:val="continue"/>
          </w:tcPr>
          <w:p>
            <w:pPr>
              <w:spacing w:after="0"/>
              <w:rPr>
                <w:sz w:val="21"/>
                <w:szCs w:val="21"/>
                <w:color w:val="auto"/>
              </w:rPr>
            </w:pPr>
          </w:p>
        </w:tc>
        <w:tc>
          <w:tcPr>
            <w:tcW w:w="358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3,525,380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123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5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 New York State law. Sichenzia Ross Ference Carmel LLP is representing the Underwriters with respect to certain legal matters as to the United States federal and New York State law. The validity of the ordinary shares represented by the ADSs offered in this offering and certain other legal matters as to Cayman Islands law will be passed upon for us by Maples and Calder (Hong Kong) LLP.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2023 and 2022, and for each of the two years in the period ended December 31, 2023,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spacing w:after="0" w:line="116" w:lineRule="exact"/>
        <w:rPr>
          <w:sz w:val="20"/>
          <w:szCs w:val="20"/>
          <w:color w:val="auto"/>
        </w:rPr>
      </w:pPr>
    </w:p>
    <w:p>
      <w:pPr>
        <w:ind w:left="460" w:right="1279" w:firstLine="432"/>
        <w:spacing w:after="0" w:line="282" w:lineRule="auto"/>
        <w:rPr>
          <w:sz w:val="20"/>
          <w:szCs w:val="20"/>
          <w:color w:val="auto"/>
        </w:rPr>
      </w:pPr>
      <w:r>
        <w:rPr>
          <w:rFonts w:ascii="Times New Roman" w:cs="Times New Roman" w:eastAsia="Times New Roman" w:hAnsi="Times New Roman"/>
          <w:sz w:val="18"/>
          <w:szCs w:val="18"/>
          <w:color w:val="auto"/>
        </w:rPr>
        <w:t>The office of Marcum Asia CPAs LLP is located at 7 Pennsylvania Plaza Suite 830, New York, NY 10001,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20"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9"/>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TRIDENT DIGITAL TECH HOLDINGS LTD</w:t>
            </w:r>
          </w:p>
        </w:tc>
        <w:tc>
          <w:tcPr>
            <w:tcW w:w="8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40" w:type="dxa"/>
            <w:vAlign w:val="bottom"/>
            <w:gridSpan w:val="9"/>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PAGE(S)</w:t>
            </w:r>
          </w:p>
        </w:tc>
      </w:tr>
      <w:tr>
        <w:trPr>
          <w:trHeight w:val="47"/>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4"/>
        </w:trPr>
        <w:tc>
          <w:tcPr>
            <w:tcW w:w="728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w:t>
            </w:r>
          </w:p>
        </w:tc>
        <w:tc>
          <w:tcPr>
            <w:tcW w:w="820" w:type="dxa"/>
            <w:vAlign w:val="bottom"/>
            <w:shd w:val="clear" w:color="auto" w:fill="CCEEFF"/>
          </w:tcPr>
          <w:p>
            <w:pPr>
              <w:spacing w:after="0"/>
              <w:rPr>
                <w:sz w:val="15"/>
                <w:szCs w:val="15"/>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2023 AND 2022</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5"/>
        </w:trPr>
        <w:tc>
          <w:tcPr>
            <w:tcW w:w="72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w:t>
            </w:r>
          </w:p>
        </w:tc>
        <w:tc>
          <w:tcPr>
            <w:tcW w:w="820" w:type="dxa"/>
            <w:vAlign w:val="bottom"/>
          </w:tcPr>
          <w:p>
            <w:pPr>
              <w:spacing w:after="0"/>
              <w:rPr>
                <w:sz w:val="15"/>
                <w:szCs w:val="15"/>
                <w:color w:val="auto"/>
              </w:rPr>
            </w:pPr>
          </w:p>
        </w:tc>
      </w:tr>
      <w:tr>
        <w:trPr>
          <w:trHeight w:val="196"/>
        </w:trPr>
        <w:tc>
          <w:tcPr>
            <w:tcW w:w="164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5395)</w:t>
            </w:r>
          </w:p>
        </w:tc>
        <w:tc>
          <w:tcPr>
            <w:tcW w:w="16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F-2</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684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OPERATIONS AND COMPREHENSIVE LOSS FOR</w:t>
            </w:r>
          </w:p>
        </w:tc>
        <w:tc>
          <w:tcPr>
            <w:tcW w:w="4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YEARS ENDED DECEMBER 31, 2023 AND 2022</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EQUITY/(DEFICIT) FOR THE YEARS</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60" w:type="dxa"/>
            <w:vAlign w:val="bottom"/>
            <w:tcBorders>
              <w:top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2023 AND 2022</w:t>
            </w:r>
          </w:p>
        </w:tc>
        <w:tc>
          <w:tcPr>
            <w:tcW w:w="34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31, 2023 AND 2022</w:t>
            </w: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jc w:val="center"/>
              <w:ind w:right="2520"/>
              <w:spacing w:after="0"/>
              <w:rPr>
                <w:sz w:val="20"/>
                <w:szCs w:val="20"/>
                <w:color w:val="auto"/>
              </w:rPr>
            </w:pPr>
            <w:r>
              <w:rPr>
                <w:rFonts w:ascii="Times New Roman" w:cs="Times New Roman" w:eastAsia="Times New Roman" w:hAnsi="Times New Roman"/>
                <w:sz w:val="18"/>
                <w:szCs w:val="18"/>
                <w:color w:val="auto"/>
                <w:w w:val="95"/>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Trident Digital Tech Holdings Ltd</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Trident Digital Tech Holdings Ltd (the “Company”) as of December 31, 2023 and 2022, the related consolidated statements of operations and comprehensive loss, changes in equity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19,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BALANCE SHEETS (In U.S. dollars, except for share and per share data, or otherwise noted)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1,808,603</w:t>
            </w:r>
          </w:p>
        </w:tc>
        <w:tc>
          <w:tcPr>
            <w:tcW w:w="4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341,808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1,046,187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337,920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451,217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202,777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1,639,233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1,494,082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1,842,010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1,600,800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68,987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202,289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572,186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654,063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a shareholder</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524,560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733,189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430,554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277,699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2,012,025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176,589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498,572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1,208,679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1,385,268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1,688,859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issued and outstanding as of December 31, 2023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respectively; 4,000,000,000 Class B ordinary shares authorized,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451,964,286 and 360,205,000 Class B ordinary shares issued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8,426,684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(6,183,545)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(1,323,341)</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184,491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ectPr>
          <w:pgSz w:w="11900" w:h="16838" w:orient="portrait"/>
          <w:cols w:equalWidth="0" w:num="1">
            <w:col w:w="9019"/>
          </w:cols>
          <w:pgMar w:left="1440" w:top="270" w:right="1440" w:bottom="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121" w:right="1440"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STATEMENTS OF OPERATIONS AND COMPREHENSIVE LOSS (In U.S. dollars, except for share and per share data, or otherwise noted)</w:t>
      </w:r>
    </w:p>
    <w:p>
      <w:pPr>
        <w:spacing w:after="0" w:line="137"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1,483,109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1,262,899</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(1,216,916)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(1,000,689)</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262,210</w:t>
            </w:r>
          </w:p>
        </w:tc>
      </w:tr>
      <w:tr>
        <w:trPr>
          <w:trHeight w:val="277"/>
        </w:trPr>
        <w:tc>
          <w:tcPr>
            <w:tcW w:w="55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(555,280)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(241,344)</w:t>
            </w: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(3,888,501)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(989,774)</w:t>
            </w: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(586,419)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(287,578)</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(expenses)/income, net:</w:t>
      </w:r>
    </w:p>
    <w:p>
      <w:pPr>
        <w:sectPr>
          <w:pgSz w:w="11900" w:h="16838" w:orient="portrait"/>
          <w:cols w:equalWidth="0" w:num="1">
            <w:col w:w="9019"/>
          </w:cols>
          <w:pgMar w:left="1440" w:top="270" w:right="1440" w:bottom="1440" w:gutter="0" w:footer="0" w:header="0"/>
        </w:sectPr>
      </w:pP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Financial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income</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other (expenses)/income,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96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96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3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Weighted average number of Ordinary Shares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50165</wp:posOffset>
            </wp:positionV>
            <wp:extent cx="514350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loss per ordinary share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left="340"/>
        <w:spacing w:after="0"/>
        <w:tabs>
          <w:tab w:leader="none" w:pos="1740" w:val="left"/>
        </w:tabs>
        <w:rPr>
          <w:sz w:val="20"/>
          <w:szCs w:val="20"/>
          <w:color w:val="auto"/>
        </w:rPr>
      </w:pPr>
      <w:r>
        <w:rPr>
          <w:rFonts w:ascii="Times New Roman" w:cs="Times New Roman" w:eastAsia="Times New Roman" w:hAnsi="Times New Roman"/>
          <w:sz w:val="18"/>
          <w:szCs w:val="18"/>
          <w:color w:val="auto"/>
        </w:rPr>
        <w:t>(46,619)</w:t>
      </w:r>
      <w:r>
        <w:rPr>
          <w:sz w:val="20"/>
          <w:szCs w:val="20"/>
          <w:color w:val="auto"/>
        </w:rPr>
        <w:tab/>
      </w:r>
      <w:r>
        <w:rPr>
          <w:rFonts w:ascii="Times New Roman" w:cs="Times New Roman" w:eastAsia="Times New Roman" w:hAnsi="Times New Roman"/>
          <w:sz w:val="18"/>
          <w:szCs w:val="18"/>
          <w:color w:val="auto"/>
        </w:rPr>
        <w:t>(4,786)</w:t>
      </w:r>
    </w:p>
    <w:p>
      <w:pPr>
        <w:spacing w:after="0" w:line="90" w:lineRule="exact"/>
        <w:rPr>
          <w:sz w:val="20"/>
          <w:szCs w:val="20"/>
          <w:color w:val="auto"/>
        </w:rPr>
      </w:pPr>
    </w:p>
    <w:p>
      <w:pPr>
        <w:ind w:left="400"/>
        <w:spacing w:after="0"/>
        <w:tabs>
          <w:tab w:leader="none" w:pos="1620" w:val="left"/>
        </w:tabs>
        <w:rPr>
          <w:sz w:val="20"/>
          <w:szCs w:val="20"/>
          <w:color w:val="auto"/>
        </w:rPr>
      </w:pPr>
      <w:r>
        <w:rPr>
          <w:rFonts w:ascii="Times New Roman" w:cs="Times New Roman" w:eastAsia="Times New Roman" w:hAnsi="Times New Roman"/>
          <w:sz w:val="18"/>
          <w:szCs w:val="18"/>
          <w:color w:val="auto"/>
        </w:rPr>
        <w:t>36,539</w:t>
      </w:r>
      <w:r>
        <w:rPr>
          <w:sz w:val="20"/>
          <w:szCs w:val="20"/>
          <w:color w:val="auto"/>
        </w:rPr>
        <w:tab/>
      </w:r>
      <w:r>
        <w:rPr>
          <w:rFonts w:ascii="Times New Roman" w:cs="Times New Roman" w:eastAsia="Times New Roman" w:hAnsi="Times New Roman"/>
          <w:sz w:val="18"/>
          <w:szCs w:val="18"/>
          <w:color w:val="auto"/>
        </w:rPr>
        <w:t>136,576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34290</wp:posOffset>
            </wp:positionV>
            <wp:extent cx="1499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9" w:lineRule="exact"/>
        <w:rPr>
          <w:sz w:val="20"/>
          <w:szCs w:val="20"/>
          <w:color w:val="auto"/>
        </w:rPr>
      </w:pPr>
    </w:p>
    <w:p>
      <w:pPr>
        <w:ind w:left="3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(10,080)</w:t>
      </w:r>
      <w:r>
        <w:rPr>
          <w:sz w:val="20"/>
          <w:szCs w:val="20"/>
          <w:color w:val="auto"/>
        </w:rPr>
        <w:tab/>
      </w:r>
      <w:r>
        <w:rPr>
          <w:rFonts w:ascii="Times New Roman" w:cs="Times New Roman" w:eastAsia="Times New Roman" w:hAnsi="Times New Roman"/>
          <w:sz w:val="17"/>
          <w:szCs w:val="17"/>
          <w:b w:val="1"/>
          <w:bCs w:val="1"/>
          <w:color w:val="auto"/>
        </w:rPr>
        <w:t>131,790</w:t>
      </w:r>
    </w:p>
    <w:p>
      <w:pPr>
        <w:spacing w:after="0" w:line="378"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(4,774,087)</w:t>
      </w:r>
      <w:r>
        <w:rPr>
          <w:sz w:val="20"/>
          <w:szCs w:val="20"/>
          <w:color w:val="auto"/>
        </w:rPr>
        <w:tab/>
      </w:r>
      <w:r>
        <w:rPr>
          <w:rFonts w:ascii="Times New Roman" w:cs="Times New Roman" w:eastAsia="Times New Roman" w:hAnsi="Times New Roman"/>
          <w:sz w:val="18"/>
          <w:szCs w:val="18"/>
          <w:color w:val="auto"/>
        </w:rPr>
        <w:t>(1,124,696)</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(4,793)</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(4,774,087)(1,129,489)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36830</wp:posOffset>
            </wp:positionV>
            <wp:extent cx="1499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-133985</wp:posOffset>
            </wp:positionV>
            <wp:extent cx="1499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20"/>
        <w:spacing w:after="0"/>
        <w:tabs>
          <w:tab w:leader="none" w:pos="1660" w:val="left"/>
        </w:tabs>
        <w:rPr>
          <w:sz w:val="20"/>
          <w:szCs w:val="20"/>
          <w:color w:val="auto"/>
        </w:rPr>
      </w:pPr>
      <w:r>
        <w:rPr>
          <w:rFonts w:ascii="Times New Roman" w:cs="Times New Roman" w:eastAsia="Times New Roman" w:hAnsi="Times New Roman"/>
          <w:sz w:val="18"/>
          <w:szCs w:val="18"/>
          <w:color w:val="auto"/>
        </w:rPr>
        <w:t>222,279</w:t>
      </w:r>
      <w:r>
        <w:rPr>
          <w:sz w:val="20"/>
          <w:szCs w:val="20"/>
          <w:color w:val="auto"/>
        </w:rPr>
        <w:tab/>
      </w:r>
      <w:r>
        <w:rPr>
          <w:rFonts w:ascii="Times New Roman" w:cs="Times New Roman" w:eastAsia="Times New Roman" w:hAnsi="Times New Roman"/>
          <w:sz w:val="18"/>
          <w:szCs w:val="18"/>
          <w:color w:val="auto"/>
        </w:rPr>
        <w:t>(37,482)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43180</wp:posOffset>
            </wp:positionV>
            <wp:extent cx="1499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53"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(4,551,808)</w:t>
      </w:r>
      <w:r>
        <w:rPr>
          <w:sz w:val="20"/>
          <w:szCs w:val="20"/>
          <w:color w:val="auto"/>
        </w:rPr>
        <w:tab/>
      </w:r>
      <w:r>
        <w:rPr>
          <w:rFonts w:ascii="Times New Roman" w:cs="Times New Roman" w:eastAsia="Times New Roman" w:hAnsi="Times New Roman"/>
          <w:sz w:val="18"/>
          <w:szCs w:val="18"/>
          <w:b w:val="1"/>
          <w:bCs w:val="1"/>
          <w:color w:val="auto"/>
        </w:rPr>
        <w:t>(1,166,971)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36830</wp:posOffset>
            </wp:positionV>
            <wp:extent cx="1499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7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454,940,744</w:t>
      </w:r>
      <w:r>
        <w:rPr>
          <w:sz w:val="20"/>
          <w:szCs w:val="20"/>
          <w:color w:val="auto"/>
        </w:rPr>
        <w:tab/>
      </w:r>
      <w:r>
        <w:rPr>
          <w:rFonts w:ascii="Times New Roman" w:cs="Times New Roman" w:eastAsia="Times New Roman" w:hAnsi="Times New Roman"/>
          <w:sz w:val="18"/>
          <w:szCs w:val="18"/>
          <w:color w:val="auto"/>
        </w:rPr>
        <w:t>410,205,000</w:t>
      </w:r>
    </w:p>
    <w:p>
      <w:pPr>
        <w:spacing w:after="0" w:line="360" w:lineRule="exact"/>
        <w:rPr>
          <w:sz w:val="20"/>
          <w:szCs w:val="20"/>
          <w:color w:val="auto"/>
        </w:rPr>
      </w:pPr>
    </w:p>
    <w:p>
      <w:pPr>
        <w:jc w:val="right"/>
        <w:ind w:right="559"/>
        <w:spacing w:after="0"/>
        <w:tabs>
          <w:tab w:leader="none" w:pos="400" w:val="left"/>
        </w:tabs>
        <w:rPr>
          <w:sz w:val="20"/>
          <w:szCs w:val="20"/>
          <w:color w:val="auto"/>
        </w:rPr>
      </w:pPr>
      <w:r>
        <w:rPr>
          <w:rFonts w:ascii="Times New Roman" w:cs="Times New Roman" w:eastAsia="Times New Roman" w:hAnsi="Times New Roman"/>
          <w:sz w:val="18"/>
          <w:szCs w:val="18"/>
          <w:color w:val="auto"/>
        </w:rPr>
        <w:t>(0.01)</w:t>
      </w:r>
      <w:r>
        <w:rPr>
          <w:sz w:val="20"/>
          <w:szCs w:val="20"/>
          <w:color w:val="auto"/>
        </w:rPr>
        <w:tab/>
      </w:r>
      <w:r>
        <w:rPr>
          <w:rFonts w:ascii="Times New Roman" w:cs="Times New Roman" w:eastAsia="Times New Roman" w:hAnsi="Times New Roman"/>
          <w:sz w:val="17"/>
          <w:szCs w:val="17"/>
          <w:color w:val="auto"/>
        </w:rPr>
        <w:t>(0.00)</w:t>
      </w:r>
    </w:p>
    <w:p>
      <w:pPr>
        <w:spacing w:after="0" w:line="404" w:lineRule="exact"/>
        <w:rPr>
          <w:sz w:val="20"/>
          <w:szCs w:val="20"/>
          <w:color w:val="auto"/>
        </w:rPr>
      </w:pPr>
    </w:p>
    <w:p>
      <w:pPr>
        <w:sectPr>
          <w:pgSz w:w="11900" w:h="16838" w:orient="portrait"/>
          <w:cols w:equalWidth="0" w:num="2">
            <w:col w:w="5460" w:space="720"/>
            <w:col w:w="2839"/>
          </w:cols>
          <w:pgMar w:left="1440" w:top="270" w:right="1440" w:bottom="1440" w:gutter="0" w:footer="0" w:header="0"/>
          <w:type w:val="continuous"/>
        </w:sectPr>
      </w:pPr>
    </w:p>
    <w:p>
      <w:pPr>
        <w:ind w:left="860" w:hanging="406"/>
        <w:spacing w:after="0"/>
        <w:tabs>
          <w:tab w:leader="none" w:pos="8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162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960" w:type="dxa"/>
            <w:vAlign w:val="bottom"/>
            <w:gridSpan w:val="5"/>
            <w:vMerge w:val="restart"/>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rPr>
              <w:t>Subscription</w:t>
            </w:r>
          </w:p>
        </w:tc>
        <w:tc>
          <w:tcPr>
            <w:tcW w:w="100" w:type="dxa"/>
            <w:vAlign w:val="bottom"/>
          </w:tcPr>
          <w:p>
            <w:pPr>
              <w:spacing w:after="0"/>
              <w:rPr>
                <w:sz w:val="10"/>
                <w:szCs w:val="10"/>
                <w:color w:val="auto"/>
              </w:rPr>
            </w:pPr>
          </w:p>
        </w:tc>
        <w:tc>
          <w:tcPr>
            <w:tcW w:w="780" w:type="dxa"/>
            <w:vAlign w:val="bottom"/>
            <w:gridSpan w:val="2"/>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line="145"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120" w:type="dxa"/>
            <w:vAlign w:val="bottom"/>
            <w:gridSpan w:val="5"/>
            <w:vMerge w:val="restart"/>
          </w:tcPr>
          <w:p>
            <w:pPr>
              <w:ind w:left="60"/>
              <w:spacing w:after="0" w:line="14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6"/>
        </w:trPr>
        <w:tc>
          <w:tcPr>
            <w:tcW w:w="14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20"/>
                <w:szCs w:val="20"/>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20"/>
                <w:szCs w:val="20"/>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20"/>
                <w:szCs w:val="20"/>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20"/>
                <w:szCs w:val="20"/>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(loss)/income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47"/>
        </w:trPr>
        <w:tc>
          <w:tcPr>
            <w:tcW w:w="14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410,205,000</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4,102</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35,349</w:t>
            </w:r>
          </w:p>
        </w:tc>
        <w:tc>
          <w:tcPr>
            <w:tcW w:w="2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35,119</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(1,129,489)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(1,129,489)</w:t>
            </w:r>
          </w:p>
        </w:tc>
        <w:tc>
          <w:tcPr>
            <w:tcW w:w="0" w:type="dxa"/>
            <w:vAlign w:val="bottom"/>
          </w:tcPr>
          <w:p>
            <w:pPr>
              <w:spacing w:after="0"/>
              <w:rPr>
                <w:sz w:val="1"/>
                <w:szCs w:val="1"/>
                <w:color w:val="auto"/>
              </w:rPr>
            </w:pPr>
          </w:p>
        </w:tc>
      </w:tr>
      <w:tr>
        <w:trPr>
          <w:trHeight w:val="40"/>
        </w:trPr>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32,164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(229,201)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(229,201)</w:t>
            </w:r>
          </w:p>
        </w:tc>
        <w:tc>
          <w:tcPr>
            <w:tcW w:w="0" w:type="dxa"/>
            <w:vAlign w:val="bottom"/>
          </w:tcPr>
          <w:p>
            <w:pPr>
              <w:spacing w:after="0"/>
              <w:rPr>
                <w:sz w:val="1"/>
                <w:szCs w:val="1"/>
                <w:color w:val="auto"/>
              </w:rPr>
            </w:pPr>
          </w:p>
        </w:tc>
      </w:tr>
      <w:tr>
        <w:trPr>
          <w:trHeight w:val="40"/>
        </w:trPr>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174"/>
        </w:trPr>
        <w:tc>
          <w:tcPr>
            <w:tcW w:w="14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410,205,000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4,102</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32,240</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(1,323,341)</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(37,788)</w:t>
            </w:r>
          </w:p>
        </w:tc>
        <w:tc>
          <w:tcPr>
            <w:tcW w:w="4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(1,324,787)</w:t>
            </w:r>
          </w:p>
        </w:tc>
        <w:tc>
          <w:tcPr>
            <w:tcW w:w="0" w:type="dxa"/>
            <w:vAlign w:val="bottom"/>
          </w:tcPr>
          <w:p>
            <w:pPr>
              <w:spacing w:after="0"/>
              <w:rPr>
                <w:sz w:val="1"/>
                <w:szCs w:val="1"/>
                <w:color w:val="auto"/>
              </w:rPr>
            </w:pPr>
          </w:p>
        </w:tc>
      </w:tr>
      <w:tr>
        <w:trPr>
          <w:trHeight w:val="224"/>
        </w:trPr>
        <w:tc>
          <w:tcPr>
            <w:tcW w:w="14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(4,774,087)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(4,774,087)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91,759,286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8,394,444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8,395,362</w:t>
            </w:r>
          </w:p>
        </w:tc>
        <w:tc>
          <w:tcPr>
            <w:tcW w:w="0" w:type="dxa"/>
            <w:vAlign w:val="bottom"/>
          </w:tcPr>
          <w:p>
            <w:pPr>
              <w:spacing w:after="0"/>
              <w:rPr>
                <w:sz w:val="1"/>
                <w:szCs w:val="1"/>
                <w:color w:val="auto"/>
              </w:rPr>
            </w:pPr>
          </w:p>
        </w:tc>
      </w:tr>
      <w:tr>
        <w:trPr>
          <w:trHeight w:val="40"/>
        </w:trPr>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(86,117)</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(86,117)</w:t>
            </w: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222,279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222,279</w:t>
            </w:r>
          </w:p>
        </w:tc>
        <w:tc>
          <w:tcPr>
            <w:tcW w:w="0" w:type="dxa"/>
            <w:vAlign w:val="bottom"/>
          </w:tcPr>
          <w:p>
            <w:pPr>
              <w:spacing w:after="0"/>
              <w:rPr>
                <w:sz w:val="1"/>
                <w:szCs w:val="1"/>
                <w:color w:val="auto"/>
              </w:rPr>
            </w:pPr>
          </w:p>
        </w:tc>
      </w:tr>
      <w:tr>
        <w:trPr>
          <w:trHeight w:val="27"/>
        </w:trPr>
        <w:tc>
          <w:tcPr>
            <w:tcW w:w="1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501,964,286</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5,020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8,426,684</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(6,183,545)</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184,491</w:t>
            </w:r>
          </w:p>
        </w:tc>
        <w:tc>
          <w:tcPr>
            <w:tcW w:w="40" w:type="dxa"/>
            <w:vAlign w:val="bottom"/>
            <w:shd w:val="clear" w:color="auto" w:fill="CCEEFF"/>
          </w:tcPr>
          <w:p>
            <w:pPr>
              <w:spacing w:after="0"/>
              <w:rPr>
                <w:sz w:val="22"/>
                <w:szCs w:val="22"/>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STATEMENTS OF CASH FLOWS (In U.S. dollars, except for share and per share data, or otherwise noted)</w:t>
      </w:r>
    </w:p>
    <w:p>
      <w:pPr>
        <w:spacing w:after="0" w:line="1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  (4,774,087)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(1,129,489)</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16,867</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366,852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101,099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Changes in assets and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71,232</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cost assets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(73,299)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(268,509)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(92,295)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(309,366)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(111,981)</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(15,936)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166,358</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(81,877)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461,128</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(28,108)</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(10,399)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(340,756)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(127,196)</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286,404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249,052</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(4,942,098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(609,946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(73,885)</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(139,757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(73,885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 and subscription fees advance from shareholders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8,242,988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524,560</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(204,638)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(903,132)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distribution</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(229,201)</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bank loans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652,789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(391,520)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(79,067)</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1,047,894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748,533</w:t>
            </w: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(1,814,818)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(239,357)</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5,902,303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1,378,257</w:t>
            </w:r>
          </w:p>
        </w:tc>
      </w:tr>
      <w:tr>
        <w:trPr>
          <w:trHeight w:val="277"/>
        </w:trPr>
        <w:tc>
          <w:tcPr>
            <w:tcW w:w="56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(22,754)</w:t>
            </w:r>
          </w:p>
        </w:tc>
      </w:tr>
      <w:tr>
        <w:trPr>
          <w:trHeight w:val="284"/>
        </w:trPr>
        <w:tc>
          <w:tcPr>
            <w:tcW w:w="5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863,338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671,672</w:t>
            </w: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945,265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94"/>
        </w:trPr>
        <w:tc>
          <w:tcPr>
            <w:tcW w:w="5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w:t>
            </w: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9"/>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48,978</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17,813</w:t>
            </w:r>
          </w:p>
        </w:tc>
      </w:tr>
      <w:tr>
        <w:trPr>
          <w:trHeight w:val="283"/>
        </w:trPr>
        <w:tc>
          <w:tcPr>
            <w:tcW w:w="5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494,642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1,561,203</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 (Note 12)</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(36,266)</w:t>
            </w:r>
          </w:p>
        </w:tc>
      </w:tr>
      <w:tr>
        <w:trPr>
          <w:trHeight w:val="40"/>
        </w:trPr>
        <w:tc>
          <w:tcPr>
            <w:tcW w:w="56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50" w:orient="portrait"/>
          <w:cols w:equalWidth="0" w:num="1">
            <w:col w:w="9019"/>
          </w:cols>
          <w:pgMar w:left="1440" w:top="270" w:right="1440" w:bottom="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0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Company was incorporated under the law of Cayman Islands as an exempted company with limited liability on June 12, 2023.</w:t>
      </w:r>
    </w:p>
    <w:p>
      <w:pPr>
        <w:spacing w:after="0" w:line="9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95"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(“Trident”) was incorporated on May 10, 2022 in Singapore. It is mainly engaged in e-commerce service.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In anticipation of an initial public offering (“IPO”) of its equity securities, the Company undertook a reorganization (the “Reorganization”), which involved in following steps:</w:t>
      </w:r>
    </w:p>
    <w:p>
      <w:pPr>
        <w:spacing w:after="0" w:line="94" w:lineRule="exact"/>
        <w:rPr>
          <w:sz w:val="20"/>
          <w:szCs w:val="20"/>
          <w:color w:val="auto"/>
        </w:rPr>
      </w:pPr>
    </w:p>
    <w:p>
      <w:pPr>
        <w:ind w:left="880" w:right="479"/>
        <w:spacing w:after="0" w:line="439" w:lineRule="auto"/>
        <w:rPr>
          <w:sz w:val="20"/>
          <w:szCs w:val="20"/>
          <w:color w:val="auto"/>
        </w:rPr>
      </w:pPr>
      <w:r>
        <w:rPr>
          <w:rFonts w:ascii="Times New Roman" w:cs="Times New Roman" w:eastAsia="Times New Roman" w:hAnsi="Times New Roman"/>
          <w:sz w:val="17"/>
          <w:szCs w:val="17"/>
          <w:color w:val="auto"/>
        </w:rPr>
        <w:t>On July 3, 2023, the Company acquired 100% of the equity interests in QZT from its original shareholder; On July 4, 2023, QZT acquired 100% of the equity interests in Trident from its original shareholder;</w:t>
      </w: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Effective on July 4, 2023, the Company became the ultimate holding company of QZT and Trident, which were all controlled by the same shareholder before and after the Reorganization.</w:t>
      </w:r>
    </w:p>
    <w:p>
      <w:pPr>
        <w:spacing w:after="0" w:line="94"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9" w:lineRule="exact"/>
        <w:rPr>
          <w:sz w:val="20"/>
          <w:szCs w:val="20"/>
          <w:color w:val="auto"/>
        </w:rPr>
      </w:pPr>
    </w:p>
    <w:p>
      <w:pPr>
        <w:ind w:left="860" w:hanging="406"/>
        <w:spacing w:after="0"/>
        <w:tabs>
          <w:tab w:leader="none" w:pos="8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14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spacing w:after="0" w:line="17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hanging="426"/>
        <w:spacing w:after="0"/>
        <w:tabs>
          <w:tab w:leader="none" w:pos="88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w:t>
      </w:r>
    </w:p>
    <w:p>
      <w:pPr>
        <w:spacing w:after="0" w:line="148"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Cash consist of cash in bank and cash on hand. The Group’s demand deposits are held at financial institutions, which have original maturities of less than three months and are unrestricted as to withdrawal and use.</w:t>
      </w:r>
    </w:p>
    <w:p>
      <w:pPr>
        <w:spacing w:after="0" w:line="10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(d)</w:t>
        <w:tab/>
        <w:t>Credit losses</w:t>
      </w:r>
    </w:p>
    <w:p>
      <w:pPr>
        <w:spacing w:after="0" w:line="162"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On January 1, 2023, the Group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the Group’s financial statements.</w:t>
      </w:r>
    </w:p>
    <w:p>
      <w:pPr>
        <w:spacing w:after="0" w:line="10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Group’s accounts receivable, amounts due from related parties and other receivables which is included prepaid expenses and other current assets line item in the balance sheet are within the scope of ASC Topic 326. The Group uses an aging schedule method in combination with current situation adjustment, to determine the loss rate of receivable balances and evaluate the expected credit losses on an individual basis. When establishing the loss rate, the Group makes the assessment based on various factors, including aging of receivable balances, historical experience, credit-worthiness of debtor, current economic conditions, reasonable and supportable forecasts of future economic, and other factors that may affect the Group’s ability to collect from the debtors. The Group also applies current situation adjustment to provide specific provisions for allowance when facts and circumstances indicate that the receivable is unlikely to be collected.</w:t>
      </w:r>
    </w:p>
    <w:p>
      <w:pPr>
        <w:spacing w:after="0" w:line="12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Expected credit losses are included in general and administrative expenses in the consolidated statements of operations and comprehensive loss. After all attempts to collect a receivable have failed, the receivable is written off against the allowance.</w:t>
      </w:r>
    </w:p>
    <w:p>
      <w:pPr>
        <w:spacing w:after="0" w:line="172" w:lineRule="exact"/>
        <w:rPr>
          <w:sz w:val="20"/>
          <w:szCs w:val="20"/>
          <w:color w:val="auto"/>
        </w:rPr>
      </w:pPr>
    </w:p>
    <w:p>
      <w:pPr>
        <w:ind w:left="880" w:hanging="426"/>
        <w:spacing w:after="0"/>
        <w:tabs>
          <w:tab w:leader="none" w:pos="880" w:val="left"/>
        </w:tabs>
        <w:numPr>
          <w:ilvl w:val="0"/>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Accounts receivable, net is stated at the original amount less an allowance for doubtful receivable. Accounts receivable are recognized in the period when the Group has provided services to its customers and when its right to consideration is unconditional. Allowance for doubtful receivables were $7,299 and nil as of December 31,2023 and 2022.</w:t>
      </w:r>
    </w:p>
    <w:p>
      <w:pPr>
        <w:spacing w:after="0" w:line="176" w:lineRule="exact"/>
        <w:rPr>
          <w:sz w:val="20"/>
          <w:szCs w:val="20"/>
          <w:color w:val="auto"/>
        </w:rPr>
      </w:pPr>
    </w:p>
    <w:p>
      <w:pPr>
        <w:ind w:left="860" w:hanging="406"/>
        <w:spacing w:after="0"/>
        <w:tabs>
          <w:tab w:leader="none" w:pos="860"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48"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0" w:type="dxa"/>
            <w:vAlign w:val="bottom"/>
          </w:tcPr>
          <w:p>
            <w:pPr>
              <w:spacing w:after="0"/>
              <w:rPr>
                <w:sz w:val="1"/>
                <w:szCs w:val="1"/>
                <w:color w:val="auto"/>
              </w:rPr>
            </w:pPr>
          </w:p>
        </w:tc>
      </w:tr>
      <w:tr>
        <w:trPr>
          <w:trHeight w:val="46"/>
        </w:trPr>
        <w:tc>
          <w:tcPr>
            <w:tcW w:w="49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Vehicle</w:t>
            </w:r>
          </w:p>
        </w:tc>
        <w:tc>
          <w:tcPr>
            <w:tcW w:w="100" w:type="dxa"/>
            <w:vAlign w:val="bottom"/>
            <w:vMerge w:val="continue"/>
          </w:tcPr>
          <w:p>
            <w:pPr>
              <w:spacing w:after="0"/>
              <w:rPr>
                <w:sz w:val="19"/>
                <w:szCs w:val="19"/>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5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8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579" w:firstLine="432"/>
        <w:spacing w:after="0" w:line="281" w:lineRule="auto"/>
        <w:rPr>
          <w:sz w:val="20"/>
          <w:szCs w:val="20"/>
          <w:color w:val="auto"/>
        </w:rPr>
      </w:pPr>
      <w:r>
        <w:rPr>
          <w:rFonts w:ascii="Times New Roman" w:cs="Times New Roman" w:eastAsia="Times New Roman" w:hAnsi="Times New Roman"/>
          <w:sz w:val="17"/>
          <w:szCs w:val="17"/>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Deferred offering costs</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Deferred offering costs consist of legal, consulting, underwriting fees and other costs incurred through the balance sheet date that are directly related to the proposed public offering.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 As of December 31, 2023, the Group has recognized $1,046,187 deferred offering costs.</w:t>
      </w:r>
    </w:p>
    <w:p>
      <w:pPr>
        <w:spacing w:after="0" w:line="18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(h)</w:t>
        <w:tab/>
        <w:t>Operating leases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adopted ASC 842 on January 1, 2021.</w:t>
      </w:r>
    </w:p>
    <w:p>
      <w:pPr>
        <w:spacing w:after="0" w:line="15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Right-of-use assets represent the Group’s right to use an underlying asset for the lease term and lease liabilities represent the Group’s obligation to make lease payments arising from the lease. Right-of-use assets is recognized initially at cost, which primarily comprises the initial amount of the lease liability, plus any initial direct costs incurred, consisting mainly of brokerage commissions, less any lease incentives received. All right-of-use assets are reviewed for impairment. There was no impairment for right-of-use lease assets as of December 31, 2022 and 2023.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w:t>
      </w:r>
    </w:p>
    <w:p>
      <w:pPr>
        <w:spacing w:after="0" w:line="121"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16"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spacing w:after="0" w:line="95"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 Group determines whether a contract is or contains a lease at inception of the contract and whether that lease meets the classification criteria of a finance or operating lease.</w:t>
      </w:r>
    </w:p>
    <w:p>
      <w:pPr>
        <w:spacing w:after="0" w:line="9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Group had no long-term leases that were classified as a financing lease, and the Group’s lease contracts only contain fixed lease payments and do not contain any residual value guarantee.</w:t>
      </w:r>
    </w:p>
    <w:p>
      <w:pPr>
        <w:spacing w:after="0" w:line="10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Group’s lease agreements do not contain any material residual value guarantees or material restrictive covenants.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60" w:hanging="406"/>
        <w:spacing w:after="0"/>
        <w:tabs>
          <w:tab w:leader="none" w:pos="86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1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 impairment of long-lived assets was recognized for the years ended December 31, 2023 and 2022.</w:t>
      </w:r>
    </w:p>
    <w:p>
      <w:pPr>
        <w:spacing w:after="0" w:line="221" w:lineRule="exact"/>
        <w:rPr>
          <w:sz w:val="20"/>
          <w:szCs w:val="20"/>
          <w:color w:val="auto"/>
        </w:rPr>
      </w:pPr>
    </w:p>
    <w:p>
      <w:pPr>
        <w:ind w:left="860" w:hanging="406"/>
        <w:spacing w:after="0"/>
        <w:tabs>
          <w:tab w:leader="none" w:pos="860" w:val="left"/>
        </w:tabs>
        <w:numPr>
          <w:ilvl w:val="0"/>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2" w:lineRule="exact"/>
        <w:rPr>
          <w:sz w:val="20"/>
          <w:szCs w:val="20"/>
          <w:color w:val="auto"/>
        </w:rPr>
      </w:pPr>
    </w:p>
    <w:p>
      <w:pPr>
        <w:ind w:left="1320" w:right="499" w:hanging="434"/>
        <w:spacing w:after="0" w:line="282"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94" w:lineRule="exact"/>
        <w:rPr>
          <w:rFonts w:ascii="Times New Roman" w:cs="Times New Roman" w:eastAsia="Times New Roman" w:hAnsi="Times New Roman"/>
          <w:sz w:val="18"/>
          <w:szCs w:val="18"/>
          <w:color w:val="auto"/>
        </w:rPr>
      </w:pPr>
    </w:p>
    <w:p>
      <w:pPr>
        <w:ind w:left="1320" w:right="659" w:hanging="434"/>
        <w:spacing w:after="0" w:line="261"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44"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20" w:lineRule="exact"/>
        <w:rPr>
          <w:sz w:val="20"/>
          <w:szCs w:val="20"/>
          <w:color w:val="auto"/>
        </w:rPr>
      </w:pPr>
    </w:p>
    <w:p>
      <w:pPr>
        <w:ind w:left="460" w:right="679" w:firstLine="432"/>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accounts receivable, amounts due from related parties, other receivables, accounts payable, borrowings, amounts due to related parties, other payables. The carrying amounts of the Group’s financial instruments, including cash, accounts receivable, amounts due from related parties, other receivables, accounts payable, borrowings, amounts due to related parties, other payables, approximate their fair values because of their short-term nature.</w:t>
      </w:r>
    </w:p>
    <w:p>
      <w:pPr>
        <w:spacing w:after="0" w:line="17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(k)</w:t>
        <w:tab/>
        <w:t>Revenue recognition</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0"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consulting</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No variable consideration, significant financing component, or non-cash payment is identified in the arrangements for transaction price with the customers.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 There is no significant returns, refund and other similar obligations during each reporting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IT customization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16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94"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contract payment is made by the customers as agreed in the contract, and no variable consideration, significant financing component, or non-cash payment is identified in the arrangements for transaction price with the customers. The revenue is recognized at a point in time when the customized software solution is successfully completed, delivered and accepted by customers. There is no significant returns, refund and other similar obligations during each reporting period.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spacing w:after="0" w:line="266" w:lineRule="auto"/>
        <w:rPr>
          <w:sz w:val="20"/>
          <w:szCs w:val="20"/>
          <w:color w:val="auto"/>
        </w:rPr>
      </w:pPr>
      <w:r>
        <w:rPr>
          <w:rFonts w:ascii="Times New Roman" w:cs="Times New Roman" w:eastAsia="Times New Roman" w:hAnsi="Times New Roman"/>
          <w:sz w:val="18"/>
          <w:szCs w:val="18"/>
          <w:color w:val="auto"/>
        </w:rPr>
        <w:t>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08"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95"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6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Group also generates revenue from selling event tickets on behalf of merchants in its own platform. The Group identifies one performance obligation in this business, which is to transfer control of an event ticket on behalf of merchants to a ticker buyer once an order has been confirmed. Payment from the ticket buyers is typically due upon order confirmation or delivery of the tickets.</w:t>
      </w:r>
    </w:p>
    <w:p>
      <w:pPr>
        <w:spacing w:after="0" w:line="11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Group acts as an agent and recognizes revenue on a net basis when the delivery of the ticket is in place, as the Group is not responsible for transferring the ticket service to the customer, and the Group does not bear any inventory risk.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categories</w:t>
      </w:r>
    </w:p>
    <w:p>
      <w:pPr>
        <w:spacing w:after="0" w:line="148"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Group’s revenue categories for the years ended December 31, 2023 and 2022:</w:t>
      </w:r>
    </w:p>
    <w:p>
      <w:pPr>
        <w:spacing w:after="0" w:line="1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321,716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1,155,229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571,592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522,013</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583,637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6,164</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1,483,109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10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$341,808 and $268,509 as of December 31, 2023 and 2022, respectively. The cost recognized for the years end December 31, 2023 and 2022 that was included in the contract asset balance at the beginning of the period were $268,509 and nil, respectively.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services in advance of revenue recognition and is recognized as revenue when all the Group’s revenue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recognition criteria are met. Contract assets and contract liabilities are reported in a net position on an individual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contract basis at the end of each reporting period. The Group’s deferred revenue was $572,186 and $654,063 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of December 31, 2023 and 2022, respectively. The revenue recognized for the years end December 31, 2023 and</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that was included in the contract liability balance at the beginning of the period were $547,737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$173,852, respectively. All unsatisfied performance obligation will be performed within the next twelve months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no significant financing component is involved.</w:t>
      </w:r>
    </w:p>
    <w:p>
      <w:pPr>
        <w:spacing w:after="0" w:line="139"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Other than accounts receivable and deferred revenue, the Group had no other material contract assets or contract liabilities recorded on its consolidated balance sheets as of December 31, 2023 and 2022.</w:t>
      </w:r>
    </w:p>
    <w:p>
      <w:pPr>
        <w:spacing w:after="0" w:line="158" w:lineRule="exact"/>
        <w:rPr>
          <w:sz w:val="20"/>
          <w:szCs w:val="20"/>
          <w:color w:val="auto"/>
        </w:rPr>
      </w:pPr>
    </w:p>
    <w:p>
      <w:pPr>
        <w:ind w:left="860" w:hanging="406"/>
        <w:spacing w:after="0"/>
        <w:tabs>
          <w:tab w:leader="none" w:pos="860" w:val="left"/>
        </w:tabs>
        <w:numPr>
          <w:ilvl w:val="0"/>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Costs of revenue</w:t>
      </w:r>
    </w:p>
    <w:p>
      <w:pPr>
        <w:spacing w:after="0" w:line="14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Cost of revenue mainly comprised of direct labor costs, service fee paid to service suppliers, commission cost and generic cost.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Income taxes</w:t>
      </w:r>
    </w:p>
    <w:p>
      <w:pPr>
        <w:spacing w:after="0" w:line="162"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06"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2023 and 2022. Thus, management decided to record all of the valuation allowance. Valuation allowance amounted to $929,574 and $238,081 as of December 31, 2023 and 2022,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24"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16"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Group did not accrue any liability, interest or penalties related to uncertain tax positions in its provision for income taxes line of its consolidated statements of income for the years ended December 31, 2023 and 2022, respectively. The Group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102"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(n)</w:t>
        <w:tab/>
        <w:t>Goods and services taxes</w:t>
      </w:r>
    </w:p>
    <w:p>
      <w:pPr>
        <w:spacing w:after="0" w:line="14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in Singapore is generally 7% and 8% for the years ended December 31, 2022 and 2023, respectively. Entities that are GST general taxpayers are allowed to offset qualified input GST paid to suppliers against their output GST liabilities. Net GST balance between input GST and output GST is recorded in tax payable.</w:t>
      </w:r>
    </w:p>
    <w:p>
      <w:pPr>
        <w:spacing w:after="0" w:line="18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(o)</w:t>
        <w:tab/>
        <w:t>Employee benefits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$134,063 and $78,445 for the years ended December 31, 2023 and 2022, respectively.</w:t>
      </w:r>
    </w:p>
    <w:p>
      <w:pPr>
        <w:spacing w:after="0" w:line="16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Foreign currency transactions and translations</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02" w:lineRule="exact"/>
        <w:rPr>
          <w:sz w:val="20"/>
          <w:szCs w:val="20"/>
          <w:color w:val="auto"/>
        </w:rPr>
      </w:pPr>
    </w:p>
    <w:p>
      <w:pPr>
        <w:jc w:val="both"/>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9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 Translation of foreign currencies into US$1 have been made at the following exchange rates for the respective periods: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r>
      <w:tr>
        <w:trPr>
          <w:trHeight w:val="376"/>
        </w:trPr>
        <w:tc>
          <w:tcPr>
            <w:tcW w:w="56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r>
      <w:tr>
        <w:trPr>
          <w:trHeight w:val="41"/>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(q)</w:t>
        <w:tab/>
        <w:t>Comprehensive loss</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income/(loss). The foreign currency translation gain or loss resulting from translation of the financial statements expressed in SGD to USD is reported in other comprehensive income in the consolidated statements of operations and comprehensive loss.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hanging="426"/>
        <w:spacing w:after="0"/>
        <w:tabs>
          <w:tab w:leader="none" w:pos="880" w:val="left"/>
        </w:tabs>
        <w:numPr>
          <w:ilvl w:val="0"/>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Loss per share</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taking into consideration the deemed dividends to preferred shareholders (if any), by the weighted average number of ordinary shares outstanding during the year using the two-class method. Under the two-class method, net loss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 per share as of the date that all necessary conditions have been satisfied. Net loss are not allocated to other participating securities if based on their contractual terms they are not obligated to share the losses.</w:t>
      </w:r>
    </w:p>
    <w:p>
      <w:pPr>
        <w:spacing w:after="0" w:line="12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2023 and 2022.</w:t>
      </w:r>
    </w:p>
    <w:p>
      <w:pPr>
        <w:spacing w:after="0" w:line="183" w:lineRule="exact"/>
        <w:rPr>
          <w:sz w:val="20"/>
          <w:szCs w:val="20"/>
          <w:color w:val="auto"/>
        </w:rPr>
      </w:pPr>
    </w:p>
    <w:p>
      <w:pPr>
        <w:ind w:left="880" w:hanging="426"/>
        <w:spacing w:after="0"/>
        <w:tabs>
          <w:tab w:leader="none" w:pos="880" w:val="left"/>
        </w:tabs>
        <w:numPr>
          <w:ilvl w:val="0"/>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spacing w:after="0" w:line="185" w:lineRule="exact"/>
        <w:rPr>
          <w:sz w:val="20"/>
          <w:szCs w:val="20"/>
          <w:color w:val="auto"/>
        </w:rPr>
      </w:pPr>
    </w:p>
    <w:p>
      <w:pPr>
        <w:ind w:left="860" w:hanging="406"/>
        <w:spacing w:after="0"/>
        <w:tabs>
          <w:tab w:leader="none" w:pos="860"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48"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8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(u)</w:t>
        <w:tab/>
        <w:t>Recent accounting pronouncements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20"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January 1, 2024. The Group expects that no material effect of the adoption of this ASU.</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Reporting — Overall, 440-10 Commitments — Overall, 470-10 Debt — Overall, 505-10</w:t>
      </w:r>
    </w:p>
    <w:p>
      <w:pPr>
        <w:spacing w:after="0" w:line="9" w:lineRule="exact"/>
        <w:rPr>
          <w:sz w:val="20"/>
          <w:szCs w:val="20"/>
          <w:color w:val="auto"/>
        </w:rPr>
      </w:pPr>
    </w:p>
    <w:p>
      <w:pPr>
        <w:ind w:left="460" w:right="539"/>
        <w:spacing w:after="0" w:line="250" w:lineRule="auto"/>
        <w:rPr>
          <w:sz w:val="20"/>
          <w:szCs w:val="20"/>
          <w:color w:val="auto"/>
        </w:rPr>
      </w:pPr>
      <w:r>
        <w:rPr>
          <w:rFonts w:ascii="Times New Roman" w:cs="Times New Roman" w:eastAsia="Times New Roman" w:hAnsi="Times New Roman"/>
          <w:sz w:val="18"/>
          <w:szCs w:val="18"/>
          <w:color w:val="auto"/>
        </w:rPr>
        <w:t>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w:t>
      </w:r>
    </w:p>
    <w:p>
      <w:pPr>
        <w:spacing w:after="0" w:line="1" w:lineRule="exact"/>
        <w:rPr>
          <w:sz w:val="20"/>
          <w:szCs w:val="20"/>
          <w:color w:val="auto"/>
        </w:rPr>
      </w:pPr>
    </w:p>
    <w:p>
      <w:pPr>
        <w:ind w:left="460" w:right="539"/>
        <w:spacing w:after="0" w:line="251" w:lineRule="auto"/>
        <w:rPr>
          <w:sz w:val="20"/>
          <w:szCs w:val="20"/>
          <w:color w:val="auto"/>
        </w:rPr>
      </w:pPr>
      <w:r>
        <w:rPr>
          <w:rFonts w:ascii="Times New Roman" w:cs="Times New Roman" w:eastAsia="Times New Roman" w:hAnsi="Times New Roman"/>
          <w:sz w:val="18"/>
          <w:szCs w:val="18"/>
          <w:color w:val="auto"/>
        </w:rPr>
        <w:t>Estate — Real Estate Investment 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The Group is in the process of evaluating the effect of the adoption of this ASU.</w:t>
      </w:r>
    </w:p>
    <w:p>
      <w:pPr>
        <w:spacing w:after="0" w:line="126"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expects the adoption of this ASU will not have a material effect on the consolidated financial statements.</w:t>
      </w:r>
    </w:p>
    <w:p>
      <w:pPr>
        <w:spacing w:after="0" w:line="111"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spacing w:after="0" w:line="176" w:lineRule="exact"/>
        <w:rPr>
          <w:sz w:val="20"/>
          <w:szCs w:val="20"/>
          <w:color w:val="auto"/>
        </w:rPr>
      </w:pPr>
    </w:p>
    <w:p>
      <w:pPr>
        <w:ind w:left="860" w:hanging="406"/>
        <w:spacing w:after="0"/>
        <w:tabs>
          <w:tab w:leader="none" w:pos="8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Accounting Standards Update (“ASU”) 2014-15, “Disclosure of Uncertainties about an Entity’s Ability to Continue as a Going Concern (Subtopic 205-40)”, the Group has evaluated whether there are conditions and events, considered in the aggregate, that raise substantial doubt about the Group’s ability to continue as a going concern within one year after the date that the consolidated financial statements are issued. The Group incurred net loss of $4,774,087 and $1,129,489 for the years ended December 31, 2023 and 2022, respectively. Net cash used in operating activities were $4,892,225 and $609,946 for the years ended December 31, 2023 and 2022, respectively. Accumulated deficit were $6,183,545 and $1,323,341 as of December 31, 2023 and 2022, respectively. These conditions raised substantial doubts about the Group’s ability to continue as a going concern.</w:t>
      </w:r>
    </w:p>
    <w:p>
      <w:pPr>
        <w:spacing w:after="0" w:line="12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Group has funded its operations from both operational sources of cash and equity and debt financing. The Group’s liquidity is based on its ability to generate cash from operating activities, obtain capital financing from equity interest investors and borrow funds from financial institutions. The Company’s ability to continue as a going concern is dependent on management’s ability to successfully execute its business plan, which includes generating revenue while controlling operating cost and expenses to generate positive operating cash flows and obtaining funds from outside sources of financing to generate positive financing cash flows. As of December 31, 2023, the Group had cash of $945,265 and positive working capital of $1,975,908. The Group intends to pursue private financing of debt or equity. There can be no assurances, however, that the current operating plan will be achieved or that additional funding will be available on terms acceptable to the Group, or at all. If the Group is unable to obtain sufficient funding, it could be required to delay its development efforts and limit activities, which could adversely affect its business and the consolidated financial statements.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LIQUIDITY AND GOING CONCERN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Considering the current financial factors raise doubt about the Group’s ability to continue as a going concern, management has made mitigation plan to alleviate liquidity pressure, including: (i) a loan agreement signed on March 24, 2024, with an amount of $742,818 (SGD980,000), provided by the ultimate controller, Mr. Soon Huat Lim, of which the Group has received $742,818 (SGD980,000) as of April 16, 2024; ii) Mr. Soon Huat Lim provided a financial support letter to the Company, pursuant to which up to $1,894,944 (SGD 2,500,000) cash can be further provided for future fund shortage and (iii) future efforts to improve operating efficiency and reduce discretionary spending which may have connections with the planned timing schedule of completing its IPO. Taking into consideration all these actions mentioned above, management concluded that the substantial doubt on the Group’s ability to continue as a going concern can be alleviated through the effective implementation of the plans.</w:t>
      </w:r>
    </w:p>
    <w:p>
      <w:pPr>
        <w:spacing w:after="0" w:line="86"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Accordingly, the accompanying consolidated financial statements have been prepared on the basis the Group will be able to continue as a going concern for a period of one year after the issuance of the consolidated financial statements. The consolidated financial statements do not include any adjustments related to the recoverability or classification of asset and the amounts or classification of liabilities that may result from the outcome of this uncertainty.</w:t>
      </w:r>
    </w:p>
    <w:p>
      <w:pPr>
        <w:spacing w:after="0" w:line="139" w:lineRule="exact"/>
        <w:rPr>
          <w:sz w:val="20"/>
          <w:szCs w:val="20"/>
          <w:color w:val="auto"/>
        </w:rPr>
      </w:pPr>
    </w:p>
    <w:p>
      <w:pPr>
        <w:ind w:left="860" w:hanging="406"/>
        <w:spacing w:after="0"/>
        <w:tabs>
          <w:tab w:leader="none" w:pos="8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2,198</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recorded $7,172 and nil bad debt expense for the years ended December 31, 2023 and 2022.</w:t>
      </w:r>
    </w:p>
    <w:p>
      <w:pPr>
        <w:spacing w:after="0" w:line="181" w:lineRule="exact"/>
        <w:rPr>
          <w:sz w:val="20"/>
          <w:szCs w:val="20"/>
          <w:color w:val="auto"/>
        </w:rPr>
      </w:pPr>
    </w:p>
    <w:p>
      <w:pPr>
        <w:ind w:left="880" w:right="3499" w:hanging="426"/>
        <w:spacing w:after="0" w:line="458" w:lineRule="auto"/>
        <w:tabs>
          <w:tab w:leader="none" w:pos="853"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5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prepayment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113,339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0" w:type="dxa"/>
            <w:vAlign w:val="bottom"/>
          </w:tcPr>
          <w:p>
            <w:pPr>
              <w:spacing w:after="0"/>
              <w:rPr>
                <w:sz w:val="1"/>
                <w:szCs w:val="1"/>
                <w:color w:val="auto"/>
              </w:rPr>
            </w:pP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84,423</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86,355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451,217</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141,851</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3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60" w:type="dxa"/>
            <w:vAlign w:val="bottom"/>
            <w:vMerge w:val="continue"/>
          </w:tcPr>
          <w:p>
            <w:pPr>
              <w:spacing w:after="0"/>
              <w:rPr>
                <w:sz w:val="24"/>
                <w:szCs w:val="24"/>
                <w:color w:val="auto"/>
              </w:rPr>
            </w:pPr>
          </w:p>
        </w:tc>
        <w:tc>
          <w:tcPr>
            <w:tcW w:w="5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5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126,399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0" w:type="dxa"/>
            <w:vAlign w:val="bottom"/>
          </w:tcPr>
          <w:p>
            <w:pPr>
              <w:spacing w:after="0"/>
              <w:rPr>
                <w:sz w:val="1"/>
                <w:szCs w:val="1"/>
                <w:color w:val="auto"/>
              </w:rPr>
            </w:pP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124,917</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0" w:type="dxa"/>
            <w:vAlign w:val="bottom"/>
          </w:tcPr>
          <w:p>
            <w:pPr>
              <w:spacing w:after="0"/>
              <w:rPr>
                <w:sz w:val="1"/>
                <w:szCs w:val="1"/>
                <w:color w:val="auto"/>
              </w:rPr>
            </w:pPr>
          </w:p>
        </w:tc>
      </w:tr>
      <w:tr>
        <w:trPr>
          <w:trHeight w:val="2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273,760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129,444</w:t>
            </w:r>
          </w:p>
        </w:tc>
        <w:tc>
          <w:tcPr>
            <w:tcW w:w="0" w:type="dxa"/>
            <w:vAlign w:val="bottom"/>
          </w:tcPr>
          <w:p>
            <w:pPr>
              <w:spacing w:after="0"/>
              <w:rPr>
                <w:sz w:val="1"/>
                <w:szCs w:val="1"/>
                <w:color w:val="auto"/>
              </w:rPr>
            </w:pPr>
          </w:p>
        </w:tc>
      </w:tr>
      <w:tr>
        <w:trPr>
          <w:trHeight w:val="32"/>
        </w:trPr>
        <w:tc>
          <w:tcPr>
            <w:tcW w:w="5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70,983</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202,777</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106,718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were $47,057 and $16,867 for the years ended December 31, 2023 and 2022, respectively.</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Group did not record any impairment charge for the years ended December 31, 2023 and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44"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80" w:right="2879" w:hanging="426"/>
        <w:spacing w:after="0" w:line="483" w:lineRule="auto"/>
        <w:tabs>
          <w:tab w:leader="none" w:pos="853"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465,030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268,159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733,189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303,730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consisted of reimbursement payable to employees and service fees payable to third parties.</w:t>
      </w:r>
    </w:p>
    <w:p>
      <w:pPr>
        <w:spacing w:after="0" w:line="226" w:lineRule="exact"/>
        <w:rPr>
          <w:sz w:val="20"/>
          <w:szCs w:val="20"/>
          <w:color w:val="auto"/>
        </w:rPr>
      </w:pPr>
    </w:p>
    <w:p>
      <w:pPr>
        <w:ind w:left="860" w:hanging="406"/>
        <w:spacing w:after="0"/>
        <w:tabs>
          <w:tab w:leader="none" w:pos="8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and combined statements of operations and comprehensive loss is as follows: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443,186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151,752</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443,634</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2023 and 2022, the weighted average remaining lease term was 3.59 years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4.53 years, respectively, and the weighted average discount rate was 4.6% and 5.0% for the Group’s operating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leases, respectively.</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Lease Payments</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497,628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290,298</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1,783,182</w:t>
            </w:r>
          </w:p>
        </w:tc>
      </w:tr>
      <w:tr>
        <w:trPr>
          <w:trHeight w:val="25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143,949</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1,639,233</w:t>
            </w:r>
          </w:p>
        </w:tc>
      </w:tr>
      <w:tr>
        <w:trPr>
          <w:trHeight w:val="25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430,554</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1,208,679</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9.</w:t>
        <w:tab/>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p>
      <w:pPr>
        <w:spacing w:after="0" w:line="18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60" w:type="dxa"/>
            <w:vAlign w:val="bottom"/>
          </w:tcPr>
          <w:p>
            <w:pPr>
              <w:spacing w:after="0"/>
              <w:rPr>
                <w:sz w:val="22"/>
                <w:szCs w:val="22"/>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(4,774,087)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(1,124,696)</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(811,595)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(191,198)</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201,092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Singapore tax rebate</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4,793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significant components of the deferred tax assets are summarized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6"/>
        </w:trPr>
        <w:tc>
          <w:tcPr>
            <w:tcW w:w="37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r>
      <w:tr>
        <w:trPr>
          <w:trHeight w:val="47"/>
        </w:trPr>
        <w:tc>
          <w:tcPr>
            <w:tcW w:w="370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912,242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164,313</w:t>
            </w:r>
          </w:p>
        </w:tc>
      </w:tr>
      <w:tr>
        <w:trPr>
          <w:trHeight w:val="40"/>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278,670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249,558</w:t>
            </w: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111,191</w:t>
            </w:r>
          </w:p>
        </w:tc>
      </w:tr>
      <w:tr>
        <w:trPr>
          <w:trHeight w:val="40"/>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provision</w:t>
            </w:r>
          </w:p>
        </w:tc>
        <w:tc>
          <w:tcPr>
            <w:tcW w:w="1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1,289,425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525,062</w:t>
            </w:r>
          </w:p>
        </w:tc>
        <w:tc>
          <w:tcPr>
            <w:tcW w:w="160" w:type="dxa"/>
            <w:vAlign w:val="bottom"/>
          </w:tcPr>
          <w:p>
            <w:pPr>
              <w:spacing w:after="0"/>
              <w:rPr>
                <w:sz w:val="20"/>
                <w:szCs w:val="20"/>
                <w:color w:val="auto"/>
              </w:rPr>
            </w:pPr>
          </w:p>
        </w:tc>
      </w:tr>
      <w:tr>
        <w:trPr>
          <w:trHeight w:val="32"/>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8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(929,574)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(238,081)</w:t>
            </w:r>
          </w:p>
        </w:tc>
      </w:tr>
      <w:tr>
        <w:trPr>
          <w:trHeight w:val="23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359,851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60" w:type="dxa"/>
            <w:vAlign w:val="bottom"/>
          </w:tcPr>
          <w:p>
            <w:pPr>
              <w:spacing w:after="0"/>
              <w:rPr>
                <w:sz w:val="20"/>
                <w:szCs w:val="20"/>
                <w:color w:val="auto"/>
              </w:rPr>
            </w:pPr>
          </w:p>
        </w:tc>
      </w:tr>
      <w:tr>
        <w:trPr>
          <w:trHeight w:val="32"/>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83"/>
        </w:trPr>
        <w:tc>
          <w:tcPr>
            <w:tcW w:w="37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1"/>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(278,670)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(253,994)</w:t>
            </w: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(22,686)</w:t>
            </w:r>
          </w:p>
        </w:tc>
      </w:tr>
      <w:tr>
        <w:trPr>
          <w:trHeight w:val="40"/>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(10,301)</w:t>
            </w:r>
          </w:p>
        </w:tc>
      </w:tr>
      <w:tr>
        <w:trPr>
          <w:trHeight w:val="23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(359,851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37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37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64"/>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8"/>
        </w:trPr>
        <w:tc>
          <w:tcPr>
            <w:tcW w:w="37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F-19</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135"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year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675,650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201,092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15,843</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929,574</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238,081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net operating loss carried forward of $5,366,129. This net operating loss can be carried forward indefinitely.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44"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December 31, 2023 and 2022, the Group did not have any significant unrecognized uncertain tax positions. The Group did not incur interest and penalties tax for the years ended December 31, 2023 and 2022. As of December 31, 2023, the tax years ended December 31, 2019 to 2023 for the Group’s Singapore subsidiaries remain open for statutory examination by any applicable tax authorities.</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2023 and 2022, summary of the borrowings is as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w:t>
            </w:r>
          </w:p>
        </w:tc>
        <w:tc>
          <w:tcPr>
            <w:tcW w:w="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8"/>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Bank and other</w:t>
            </w:r>
          </w:p>
        </w:tc>
        <w:tc>
          <w:tcPr>
            <w:tcW w:w="5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2"/>
            <w:vMerge w:val="continue"/>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90"/>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institution</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760" w:type="dxa"/>
            <w:vAlign w:val="bottom"/>
            <w:gridSpan w:val="2"/>
            <w:vMerge w:val="continue"/>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OCBC Bank</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2.50%</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March 2021</w:t>
            </w:r>
          </w:p>
        </w:tc>
        <w:tc>
          <w:tcPr>
            <w:tcW w:w="1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March 2026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22,739</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5,564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r>
        <w:trPr>
          <w:trHeight w:val="237"/>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OCBC Bank</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4.25%</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2021</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September 2026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26,529</w:t>
            </w: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9,987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UOB Corporate</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2022</w:t>
            </w:r>
          </w:p>
        </w:tc>
        <w:tc>
          <w:tcPr>
            <w:tcW w:w="11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May 2027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378,989</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70,622</w:t>
            </w:r>
          </w:p>
        </w:tc>
        <w:tc>
          <w:tcPr>
            <w:tcW w:w="0" w:type="dxa"/>
            <w:vAlign w:val="bottom"/>
          </w:tcPr>
          <w:p>
            <w:pPr>
              <w:spacing w:after="0"/>
              <w:rPr>
                <w:sz w:val="1"/>
                <w:szCs w:val="1"/>
                <w:color w:val="auto"/>
              </w:rPr>
            </w:pPr>
          </w:p>
        </w:tc>
      </w:tr>
      <w:tr>
        <w:trPr>
          <w:trHeight w:val="189"/>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Maybank Singapore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Limited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July 2022</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July 2027</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303,191</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161,038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58,998</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216,573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55,243</w:t>
            </w:r>
          </w:p>
        </w:tc>
        <w:tc>
          <w:tcPr>
            <w:tcW w:w="0" w:type="dxa"/>
            <w:vAlign w:val="bottom"/>
          </w:tcPr>
          <w:p>
            <w:pPr>
              <w:spacing w:after="0"/>
              <w:rPr>
                <w:sz w:val="1"/>
                <w:szCs w:val="1"/>
                <w:color w:val="auto"/>
              </w:rPr>
            </w:pPr>
          </w:p>
        </w:tc>
      </w:tr>
      <w:tr>
        <w:trPr>
          <w:trHeight w:val="33"/>
        </w:trPr>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731,448</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176,589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68,987</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498,572</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135,360</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1299" w:firstLine="432"/>
        <w:spacing w:after="0" w:line="312" w:lineRule="auto"/>
        <w:rPr>
          <w:sz w:val="20"/>
          <w:szCs w:val="20"/>
          <w:color w:val="auto"/>
        </w:rPr>
      </w:pPr>
      <w:r>
        <w:rPr>
          <w:rFonts w:ascii="Times New Roman" w:cs="Times New Roman" w:eastAsia="Times New Roman" w:hAnsi="Times New Roman"/>
          <w:sz w:val="17"/>
          <w:szCs w:val="17"/>
          <w:color w:val="auto"/>
        </w:rPr>
        <w:t>Interest expenses were $23,196 and $17,813 for the years ended December 31, 2023 and 2022, respectively. The borrowings above are guaranteed by the Group’s shareholder, Poh Kiong Tan.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December 31, 2023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6"/>
        </w:trPr>
        <w:tc>
          <w:tcPr>
            <w:tcW w:w="24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24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6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USD</w:t>
            </w:r>
          </w:p>
        </w:tc>
      </w:tr>
      <w:tr>
        <w:trPr>
          <w:trHeight w:val="47"/>
        </w:trPr>
        <w:tc>
          <w:tcPr>
            <w:tcW w:w="24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5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68,987</w:t>
            </w: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72,355</w:t>
            </w:r>
          </w:p>
        </w:tc>
      </w:tr>
      <w:tr>
        <w:trPr>
          <w:trHeight w:val="40"/>
        </w:trPr>
        <w:tc>
          <w:tcPr>
            <w:tcW w:w="24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5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70,400</w:t>
            </w:r>
          </w:p>
        </w:tc>
      </w:tr>
      <w:tr>
        <w:trPr>
          <w:trHeight w:val="25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33,834</w:t>
            </w:r>
          </w:p>
        </w:tc>
      </w:tr>
      <w:tr>
        <w:trPr>
          <w:trHeight w:val="27"/>
        </w:trPr>
        <w:tc>
          <w:tcPr>
            <w:tcW w:w="24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245,576</w:t>
            </w:r>
          </w:p>
        </w:tc>
      </w:tr>
      <w:tr>
        <w:trPr>
          <w:trHeight w:val="20"/>
        </w:trPr>
        <w:tc>
          <w:tcPr>
            <w:tcW w:w="2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78"/>
        </w:trPr>
        <w:tc>
          <w:tcPr>
            <w:tcW w:w="24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
          </w:tcPr>
          <w:p>
            <w:pPr>
              <w:jc w:val="right"/>
              <w:ind w:right="3796"/>
              <w:spacing w:after="0"/>
              <w:rPr>
                <w:sz w:val="20"/>
                <w:szCs w:val="20"/>
                <w:color w:val="auto"/>
              </w:rPr>
            </w:pPr>
            <w:r>
              <w:rPr>
                <w:rFonts w:ascii="Times New Roman" w:cs="Times New Roman" w:eastAsia="Times New Roman" w:hAnsi="Times New Roman"/>
                <w:sz w:val="18"/>
                <w:szCs w:val="18"/>
                <w:color w:val="auto"/>
              </w:rPr>
              <w:t>F-20</w:t>
            </w:r>
          </w:p>
        </w:tc>
      </w:tr>
    </w:tbl>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w:t>
        <w:tab/>
        <w:t>OTHER INCOME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Other income consisted of the following:</w:t>
      </w:r>
    </w:p>
    <w:p>
      <w:pPr>
        <w:spacing w:after="0" w:line="20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75,371</w:t>
            </w: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Non-refundable service fee from terminated consulting projects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50,047</w:t>
            </w: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Referral commission</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1,809</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9,792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36,539</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136,576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619" w:hanging="426"/>
        <w:spacing w:after="0" w:line="267" w:lineRule="auto"/>
        <w:tabs>
          <w:tab w:leader="none" w:pos="8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spacing w:after="0" w:line="1" w:lineRule="exact"/>
        <w:rPr>
          <w:rFonts w:ascii="Times New Roman" w:cs="Times New Roman" w:eastAsia="Times New Roman" w:hAnsi="Times New Roman"/>
          <w:sz w:val="16"/>
          <w:szCs w:val="16"/>
          <w:color w:val="auto"/>
        </w:rPr>
      </w:pPr>
    </w:p>
    <w:p>
      <w:pPr>
        <w:ind w:left="880" w:right="779" w:hanging="426"/>
        <w:spacing w:after="0" w:line="288" w:lineRule="auto"/>
        <w:tabs>
          <w:tab w:leader="none" w:pos="8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record referral fees as other income when other consulting services providers successfully engaged by customer and paid the Group referral fee.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316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80" w:type="dxa"/>
            <w:vAlign w:val="bottom"/>
          </w:tcPr>
          <w:p>
            <w:pPr>
              <w:spacing w:after="0"/>
              <w:rPr>
                <w:sz w:val="24"/>
                <w:szCs w:val="24"/>
                <w:color w:val="auto"/>
              </w:rPr>
            </w:pPr>
          </w:p>
        </w:tc>
        <w:tc>
          <w:tcPr>
            <w:tcW w:w="3600" w:type="dxa"/>
            <w:vAlign w:val="bottom"/>
            <w:gridSpan w:val="5"/>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vMerge w:val="continue"/>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80" w:type="dxa"/>
            <w:vAlign w:val="bottom"/>
            <w:vMerge w:val="continue"/>
          </w:tcPr>
          <w:p>
            <w:pPr>
              <w:spacing w:after="0"/>
              <w:rPr>
                <w:sz w:val="19"/>
                <w:szCs w:val="19"/>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Founder, Chairman, Chief Executive Officer</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Chief Technology Officer and Director Nominee</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Trident Foodtech Pte. Ltd.</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Apollo Entertainment Media Pte. Ltd.</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30% equity interests owned by Soon Huat Lim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from related parties</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gridSpan w:val="3"/>
          </w:tcPr>
          <w:p>
            <w:pPr>
              <w:spacing w:after="0"/>
              <w:rPr>
                <w:sz w:val="4"/>
                <w:szCs w:val="4"/>
                <w:color w:val="auto"/>
              </w:rPr>
            </w:pPr>
          </w:p>
        </w:tc>
        <w:tc>
          <w:tcPr>
            <w:tcW w:w="206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(1)</w:t>
            </w:r>
          </w:p>
        </w:tc>
        <w:tc>
          <w:tcPr>
            <w:tcW w:w="2060" w:type="dxa"/>
            <w:vAlign w:val="bottom"/>
            <w:gridSpan w:val="2"/>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3"/>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Apollo Entertainment Media Pte. Ltd.</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87,920</w:t>
            </w:r>
          </w:p>
        </w:tc>
        <w:tc>
          <w:tcPr>
            <w:tcW w:w="380" w:type="dxa"/>
            <w:vAlign w:val="bottom"/>
          </w:tcPr>
          <w:p>
            <w:pPr>
              <w:spacing w:after="0"/>
              <w:rPr>
                <w:sz w:val="24"/>
                <w:szCs w:val="24"/>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35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gridSpan w:val="2"/>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40" w:type="dxa"/>
            <w:vAlign w:val="bottom"/>
            <w:gridSpan w:val="3"/>
            <w:vMerge w:val="continue"/>
            <w:shd w:val="clear" w:color="auto" w:fill="CCEEFF"/>
          </w:tcPr>
          <w:p>
            <w:pPr>
              <w:spacing w:after="0"/>
              <w:rPr>
                <w:sz w:val="21"/>
                <w:szCs w:val="21"/>
                <w:color w:val="auto"/>
              </w:rPr>
            </w:pPr>
          </w:p>
        </w:tc>
        <w:tc>
          <w:tcPr>
            <w:tcW w:w="20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337,920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739" w:hanging="426"/>
        <w:spacing w:after="0" w:line="269" w:lineRule="auto"/>
        <w:tabs>
          <w:tab w:leader="none" w:pos="8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the investment funds that this related party received on behalf of the Company during the pre-IPO financing.</w:t>
      </w:r>
    </w:p>
    <w:p>
      <w:pPr>
        <w:ind w:left="880" w:hanging="426"/>
        <w:spacing w:after="0"/>
        <w:tabs>
          <w:tab w:leader="none" w:pos="8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service prepayments to this related party, offset by collections on behalf of this related party.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has received $250,000 due from Soon Huat Lim in March, 2024.</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6"/>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r>
              <w:rPr>
                <w:rFonts w:ascii="Times New Roman" w:cs="Times New Roman" w:eastAsia="Times New Roman" w:hAnsi="Times New Roman"/>
                <w:sz w:val="20"/>
                <w:szCs w:val="20"/>
                <w:color w:val="auto"/>
                <w:vertAlign w:val="superscript"/>
              </w:rPr>
              <w:t>(1)</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4,820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(2)</w:t>
            </w:r>
          </w:p>
        </w:tc>
        <w:tc>
          <w:tcPr>
            <w:tcW w:w="7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r>
              <w:rPr>
                <w:rFonts w:ascii="Times New Roman" w:cs="Times New Roman" w:eastAsia="Times New Roman" w:hAnsi="Times New Roman"/>
                <w:sz w:val="20"/>
                <w:szCs w:val="20"/>
                <w:color w:val="auto"/>
                <w:vertAlign w:val="superscript"/>
              </w:rPr>
              <w:t>(3)</w:t>
            </w:r>
          </w:p>
        </w:tc>
        <w:tc>
          <w:tcPr>
            <w:tcW w:w="7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513,280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3"/>
              </w:rPr>
              <w:t>4,820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526,263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559" w:hanging="426"/>
        <w:spacing w:after="0" w:line="269" w:lineRule="auto"/>
        <w:tabs>
          <w:tab w:leader="none" w:pos="8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 for the Group’s daily operation with no fixed term of repayment and interest, and expense paid on behalf of the Group.</w:t>
      </w:r>
    </w:p>
    <w:p>
      <w:pPr>
        <w:ind w:left="880" w:hanging="426"/>
        <w:spacing w:after="0"/>
        <w:tabs>
          <w:tab w:leader="none" w:pos="8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w:t>
      </w:r>
    </w:p>
    <w:p>
      <w:pPr>
        <w:spacing w:after="0" w:line="18" w:lineRule="exact"/>
        <w:rPr>
          <w:rFonts w:ascii="Times New Roman" w:cs="Times New Roman" w:eastAsia="Times New Roman" w:hAnsi="Times New Roman"/>
          <w:sz w:val="16"/>
          <w:szCs w:val="16"/>
          <w:color w:val="auto"/>
        </w:rPr>
      </w:pPr>
    </w:p>
    <w:p>
      <w:pPr>
        <w:ind w:left="880" w:right="899" w:hanging="426"/>
        <w:spacing w:after="0" w:line="288" w:lineRule="auto"/>
        <w:tabs>
          <w:tab w:leader="none" w:pos="8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interest-bearing loan from this related party for the Group’s daily operation at maturity within one to six months.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parties transactions</w:t>
      </w:r>
    </w:p>
    <w:p>
      <w:pPr>
        <w:spacing w:after="0" w:line="19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56,056</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87,039</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56,056</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87,039</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on behalf of the Group</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1,456</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w:t>
            </w: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shareholder</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36,266</w:t>
            </w:r>
          </w:p>
        </w:tc>
      </w:tr>
      <w:tr>
        <w:trPr>
          <w:trHeight w:val="284"/>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693,953</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939,578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74,471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expenses paid on behalf of the Group</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1,489</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Consultancy Pte. Ltd.</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297,885</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660,043</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819,184</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152,318</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loan to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15,639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Apollo Entertainment Media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related party for tickets and hot chocolate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95,296</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Consumption of tickets and hot chocolate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8,914</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Foodtech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Rental expense paid to related party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31,278</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959" w:hanging="426"/>
        <w:spacing w:after="0" w:line="269" w:lineRule="auto"/>
        <w:tabs>
          <w:tab w:leader="none" w:pos="8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QZT received contribution from Poh Kiong Tan. The contribution was implemented to reduce the outstanding balance due to Poh Kiong Tan by $36,266.</w:t>
      </w:r>
    </w:p>
    <w:p>
      <w:pPr>
        <w:ind w:left="880" w:hanging="426"/>
        <w:spacing w:after="0"/>
        <w:tabs>
          <w:tab w:leader="none" w:pos="8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and 2022, QZT declared dividends to Soon Huat Lim.</w:t>
      </w:r>
    </w:p>
    <w:p>
      <w:pPr>
        <w:sectPr>
          <w:pgSz w:w="11900" w:h="16838" w:orient="portrait"/>
          <w:cols w:equalWidth="0" w:num="1">
            <w:col w:w="9019"/>
          </w:cols>
          <w:pgMar w:left="1440" w:top="270" w:right="1440" w:bottom="526"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526" w:gutter="0" w:footer="0" w:header="0"/>
          <w:type w:val="continuous"/>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SUBSCRIPTION FEES ADVANCE FROM A SHAREHOLDER</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permanent equity when the Group complete its reorganization and by issuing 24,795,000 Class B Ordinary Shares on July 4, 2023.</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ORDINARY SHARES</w:t>
      </w:r>
    </w:p>
    <w:p>
      <w:pPr>
        <w:spacing w:after="0" w:line="162"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501,964,286 and 410,205,000 shares to the shareholders at par value $0.00001 per share, among which, 50,000,000 and 50,000,000 Class A ordinary shares, 451,964,286 and 360,205,000 Class B ordinary shares issued and outstanding as of December 31, 2023 and 2022, respectively. For the 410,205,000 shares issued before reorganization, the Company has retroactively restated those shares and per share data for all periods presented.</w:t>
      </w:r>
    </w:p>
    <w:p>
      <w:pPr>
        <w:spacing w:after="0" w:line="12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Company issued 45,000,000 Class B Ordinary Shares of the Company to Soon Tai Lee in exchange of $3,000,000 cash consideration and Soon Huat Lim sold his 30,000,000 Class B Ordinary Shares of the Company to Soon Tai Lee in exchange of $2,000,000 cash consideration. The Group collected the consideration on January 26, 2023.</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May 4 and May 5, 2023, the Group and Soon Huat Lim entered into a series of share sale agreement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supplemental agreements with Yat Hong Lo, a third-party investor. Pursuant to the agreements,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issued 20,000,000 Class B Ordinary Shares of the Company to Yat Hong Lo in exchange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$4,000,000 cash consideration and Soon Huat Lim sold his 5,000,000 Class B Ordinary Shares of the Company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Yat Hong Lo in exchange of $1,000,000 cash consideration. The Group collected all the consideration 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8, 2023.</w:t>
      </w:r>
    </w:p>
    <w:p>
      <w:pPr>
        <w:spacing w:after="0" w:line="139"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On September 29, 2023, the Group entered into a share subscription agreement with Broad Fund Management Limited, a third-party investor. Pursuant to the agreement, the Company issued 892,857 Class B Ordinary Shares of the Company to Broad Fund Management Limited in exchange of $500,000 cash consideration. The Group collected all the consideration on October 6, 2023.</w:t>
      </w:r>
    </w:p>
    <w:p>
      <w:pPr>
        <w:spacing w:after="0" w:line="99"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On September 29, 2023, the Group and Soon Huat Lim entered into a share subscription and purchase agreement with Choon How Liew, Vijai Dharamdas Parwani, and Wong Yee Fune, respectively, who are third-party investors. Pursuant to the agreement, the Company issued 446,429, 357,143 and 267,857 Class B Ordinary Shares to Choon How Liew, Vijai Dharamdas Parwani, and Wong Yee Fune in exchange of $250,000, $200,000 and $150,000 cash consideration, respectively; and Soon Huat Lim sold his 446,429, 357,143 and 267,857 Class B Ordinary Shares to Choon How Liew, Vijai Dharamdas Parwani, and Wong Yee Fune in exchange of $250,000, $200,000 and $150,000 cash consideration. The Group collected all the consideration before December 21, 2023.</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 xml:space="preserve">ORDINARY SHARES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After the above transactions, Soon Tai Lee, Yat Hong Lo, Choon How Liew, Broad Fund Management Limited, Vijai Dharamdas Parwani, and Wong Yee Fune became shareholders of the Group, and Soon Huat Lim still remain as ultimate controller of the Group.</w:t>
      </w:r>
    </w:p>
    <w:p>
      <w:pPr>
        <w:spacing w:after="0" w:line="172"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CONCENTRATION</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06"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1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60" w:type="dxa"/>
            <w:vAlign w:val="bottom"/>
            <w:gridSpan w:val="2"/>
          </w:tcPr>
          <w:p>
            <w:pPr>
              <w:ind w:left="60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58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6"/>
        </w:trPr>
        <w:tc>
          <w:tcPr>
            <w:tcW w:w="55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0"/>
        </w:trPr>
        <w:tc>
          <w:tcPr>
            <w:tcW w:w="5520" w:type="dxa"/>
            <w:vAlign w:val="bottom"/>
          </w:tcPr>
          <w:p>
            <w:pPr>
              <w:spacing w:after="0"/>
              <w:rPr>
                <w:sz w:val="20"/>
                <w:szCs w:val="20"/>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0"/>
        </w:trPr>
        <w:tc>
          <w:tcPr>
            <w:tcW w:w="5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4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163"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suppliers who represented 10% or more of the Group’s total purchase.</w:t>
      </w:r>
    </w:p>
    <w:p>
      <w:pPr>
        <w:spacing w:after="0" w:line="12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41275</wp:posOffset>
            </wp:positionV>
            <wp:extent cx="1637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00" w:type="dxa"/>
            <w:vAlign w:val="bottom"/>
            <w:gridSpan w:val="2"/>
          </w:tcPr>
          <w:p>
            <w:pPr>
              <w:ind w:left="59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57"/>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purchase</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41"/>
        </w:trPr>
        <w:tc>
          <w:tcPr>
            <w:tcW w:w="5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4"/>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B</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ectPr>
          <w:pgSz w:w="11900" w:h="16838" w:orient="portrait"/>
          <w:cols w:equalWidth="0" w:num="1">
            <w:col w:w="9019"/>
          </w:cols>
          <w:pgMar w:left="1440" w:top="270"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 xml:space="preserve">CONCENTRATION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suppliers who represented 10% or more of the Group’s total accounts payable.</w:t>
      </w:r>
    </w:p>
    <w:p>
      <w:pPr>
        <w:spacing w:after="0" w:line="16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47625</wp:posOffset>
            </wp:positionV>
            <wp:extent cx="16370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00" w:type="dxa"/>
            <w:vAlign w:val="bottom"/>
            <w:gridSpan w:val="2"/>
          </w:tcPr>
          <w:p>
            <w:pPr>
              <w:ind w:left="59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57"/>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payable</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0"/>
        </w:trPr>
        <w:tc>
          <w:tcPr>
            <w:tcW w:w="5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B</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C</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5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22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current portion of bank loans outstanding as of December 31, 2023 and 2022 carried a weighted average interest rate of approximately 4.77% and 4.37% per annum,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CONDENSED FINANCIAL INFORMATION OF THE PARENT COMPANY</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Regulation S-X requires the condensed financial information of a registrant shall be filed when the restricted net assets of consolidated subsidiaries exceed 25 percent of consolidated net assets as of the end of the most recently completed fiscal year. For purposes of the above test, restricted net assets of consolidated-subsidiaries shall mean the amount of the registrant’s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 The condensed parent company financial statements have been prepared in accordance with Rule 12-04 Schedule of Regulation S-X as the restricted net assets of the Company’s Singapore subsidiaries exceed 25% of the consolidated net assets of the Company.</w:t>
      </w:r>
    </w:p>
    <w:p>
      <w:pPr>
        <w:spacing w:after="0" w:line="121"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consolidated subsidiary in accordance with U.S. Securities and Exchange Commission Regulation S-X Rule 4-08 (e) (3), “General Notes to Financial Statements” and concluded that it was applicable for the Company to disclose the financial statements for the parent company.</w:t>
      </w:r>
    </w:p>
    <w:p>
      <w:pPr>
        <w:spacing w:after="0" w:line="99"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condensed financial information of the parent company, has been prepared using the same accounting policies as set out in Company’s consolidated financial statements except that the parent company has used the equity method to account for its investment in its subsidiaries.</w:t>
      </w:r>
    </w:p>
    <w:p>
      <w:pPr>
        <w:spacing w:after="0" w:line="10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Company’s share of income and losses from its subsidiaries is reported as incomes from subsidiaries in the accompanying condensed financial information of parent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 xml:space="preserve">CONDENSED FINANCIAL INFORMATION OF THE PARENT COMPANY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Condensed balance sheets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2,432,650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Investment deficit in subsidiaries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1,324,787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 ordinary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 2022,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4,000,000,000 Class B ordinary shares authorized,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451,964,286 and 360,205,000 Class B ordinary shares issued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8,426,684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32,240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(6,183,545)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(1,323,341)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184,491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operations and comprehensive loss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subsidiaries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(4,774,087)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(1,129,489)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loss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(4,774,087)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(1,129,489)</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222,279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cash flows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Parent company, had no cash activities for the years ended December 31, 2023 and 2022,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85"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60" w:right="1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 After this transaction, Mr. Soon Huat Lim still remains as ultimate controller of the Group.</w:t>
      </w:r>
    </w:p>
    <w:p>
      <w:pPr>
        <w:spacing w:after="0" w:line="124"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On February 2, 2024, Trident Group Holdings Ltd, a company limited by shares incorporated in British Virgin Islands and wholly owned by Mr. Soon Huat Lim, the chairman of board of directors and chief executive officer of the Company, transferred 24,094,286 and 24,094,286 Class B Ordinary Shares to Liew Choon How and Wong Yee Fune, respectively, which is deemed as share transfer between the shareholders of the Group. After this transaction, Mr. Soon Huat Lim still remains as ultimate controller of the Group.</w:t>
      </w:r>
    </w:p>
    <w:p>
      <w:pPr>
        <w:spacing w:after="0" w:line="116"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March 24, 2023, the Group entered into a loan agreement with Mr. Soon Huat Lim, in which a loan with an amount up to $742,818 (SGD980,000) with the repayment date of March 23, 2026 is provided to the Group in order to support the Group’s sustainable operations and alleviate its liquidity pressure. As of April 16, 2024, Group has received $742,818 (SGD980,000) from Mr. Soon Huat Lim.</w:t>
      </w:r>
    </w:p>
    <w:p>
      <w:pPr>
        <w:spacing w:after="0" w:line="99"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except for the event mentioned above the Group did not identify any subsequent events with material financial impact on the Group’s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Representing 14,400,000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2024</w:t>
      </w:r>
    </w:p>
    <w:p>
      <w:pPr>
        <w:spacing w:after="0" w:line="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6"/>
          <w:szCs w:val="36"/>
          <w:b w:val="1"/>
          <w:bCs w:val="1"/>
          <w:color w:val="auto"/>
        </w:rPr>
        <w:t>WallachBeth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151130</wp:posOffset>
            </wp:positionV>
            <wp:extent cx="87439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743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right="599" w:firstLine="432"/>
        <w:spacing w:after="0" w:line="251" w:lineRule="auto"/>
        <w:rPr>
          <w:sz w:val="20"/>
          <w:szCs w:val="20"/>
          <w:color w:val="auto"/>
        </w:rPr>
      </w:pPr>
      <w:r>
        <w:rPr>
          <w:rFonts w:ascii="Times New Roman" w:cs="Times New Roman" w:eastAsia="Times New Roman" w:hAnsi="Times New Roman"/>
          <w:sz w:val="18"/>
          <w:szCs w:val="18"/>
          <w:color w:val="auto"/>
        </w:rPr>
        <w:t>Until October 4,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861060</wp:posOffset>
            </wp:positionV>
            <wp:extent cx="514350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903605</wp:posOffset>
            </wp:positionV>
            <wp:extent cx="514350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1177925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[RESALE PROSPECTUS ALTERNATE PAGE]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150495</wp:posOffset>
            </wp:positionV>
            <wp:extent cx="3943350" cy="8401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Trident Digital Tech Holdings Ltd</w:t>
      </w:r>
    </w:p>
    <w:p>
      <w:pPr>
        <w:spacing w:after="0" w:line="10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1440" w:gutter="0" w:footer="0" w:header="0"/>
        </w:sectPr>
      </w:pP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25,000,000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200" w:lineRule="exact"/>
        <w:rPr>
          <w:sz w:val="20"/>
          <w:szCs w:val="20"/>
          <w:color w:val="auto"/>
        </w:rPr>
      </w:pPr>
    </w:p>
    <w:p>
      <w:pPr>
        <w:sectPr>
          <w:pgSz w:w="11900" w:h="16838" w:orient="portrait"/>
          <w:cols w:equalWidth="0" w:num="3">
            <w:col w:w="3260" w:space="720"/>
            <w:col w:w="1360" w:space="720"/>
            <w:col w:w="2959"/>
          </w:cols>
          <w:pgMar w:left="1440" w:top="270" w:right="1440" w:bottom="1440" w:gutter="0" w:footer="0" w:header="0"/>
          <w:type w:val="continuous"/>
        </w:sectPr>
      </w:pP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1440" w:gutter="0" w:footer="0" w:header="0"/>
          <w:type w:val="continuous"/>
        </w:sectPr>
      </w:pPr>
    </w:p>
    <w:p>
      <w:pPr>
        <w:spacing w:after="0" w:line="156"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This prospectus (the “Resale Prospectus”) relates to the resale of 3,125,000 American Depositary Shares (“ADSs”) representing 25,000,000 Class B ordinary shares (the “Shareholder ADSs”) by Infinite Partner International Limited (the “Selling Shareholder”). Of the 3,125,000 ADSs covered by this Resale Prospectus, 1,925,000 ADSs are subject to a lock-up agreement between the Selling Shareholder and the underwriter for the offering of the Public Offering ADSs. Concurrently, we, Trident Digital Tech Holdings Ltd, is offering 1,800,000 ADSs representing 14,400,000 Class B ordinary shares (the “Public Offering ADSs”) on a firm commitment basis pursuant to a separate public offering prospectus (the “Public Offering Prospectus”) which forms a part of the registration statement of which this prospectus also forms a part.</w:t>
      </w:r>
    </w:p>
    <w:p>
      <w:pPr>
        <w:spacing w:after="0" w:line="124"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No sales of the Shareholder ADSs covered by this prospectus shall occur until after the closing of the offering of the Public Offering ADSs. Once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We will not receive any of the proceeds from the sale of the Shareholder ADSs by the Selling Shareholder.</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have been approved to list the ADSs on the Nasdaq Capital Market under the symbol “TDTH.”</w:t>
      </w:r>
    </w:p>
    <w:p>
      <w:pPr>
        <w:spacing w:after="0" w:line="14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Following the completion of this offering of the Shareholder ADSs by the Selling Shareholder and the offering of the Public Offering ADSs, our issued and outstanding share capital will consist of 50,000,000 Class A ordinary shares and 466,364,286 Class B ordinary shares, assuming no exercise of the underwriter’s over-allotment option in the offering of the Public Offering ADSs. Mr. Soon Huat Lim will beneficially own all of our issued Class A ordinary shares and will be able to exercise 92.4% of the total voting power of our issued and outstanding share capital immediately following the completion of this offering, assuming no exercise of the underwriter’s over-allotment option in the offering of the Public Offering ADSs.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of the Public Offering Prospectus. Immediately following the completion of this offering of the Shareholder ADSs by the Selling Shareholder and the offering of the Public Offering ADSs, we will be a “controlled company” within the meaning of the Nasdaq Stock Market Rules. See “Principal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252730</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 of the Public Offering Prospectus.</w:t>
      </w:r>
    </w:p>
    <w:p>
      <w:pPr>
        <w:spacing w:after="0" w:line="112"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90" w:lineRule="exact"/>
        <w:rPr>
          <w:sz w:val="20"/>
          <w:szCs w:val="20"/>
          <w:color w:val="auto"/>
        </w:rPr>
      </w:pPr>
    </w:p>
    <w:p>
      <w:pPr>
        <w:jc w:val="both"/>
        <w:ind w:left="460" w:right="5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dated September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2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123</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Neither we nor the Selling Shareholder have authorized anyone to provide you with any information or to make any representations other than as contained in this prospectus or in any related free writing prospectuses. Neither we nor the Selling Shareholder take any responsibility for, and provide no assurance about the reliability of, any information that others may give you. This prospectus is an offer to sell only the securities offered hereby, but only under circumstances and in jurisdictions where it is lawful to do so. The information contained in this prospectus is accurate only as of the date of this prospectus, regardless of the time of delivery of this prospectus or any sale of the securities. Our business, financial condition, results of operations and prospects may have changed since that date.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No action is being taken in any jurisdiction outside the U.S. to permit a public offering of our securities or possession or distribution of this prospectus in any such jurisdiction. Persons who come into possession of this prospectus in jurisdictions outside the U.S. are required to inform themselves about and to observe any restrictions about this offering and the distribution of this prospectus applicable to those jurisdictions.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4607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7310" cy="460756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98" w:lineRule="exact"/>
        <w:rPr>
          <w:sz w:val="20"/>
          <w:szCs w:val="20"/>
          <w:color w:val="auto"/>
        </w:rPr>
      </w:pPr>
    </w:p>
    <w:p>
      <w:pPr>
        <w:ind w:left="3780" w:right="999" w:hanging="32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ADSs offered by the Selling Shareholder </w:t>
      </w:r>
      <w:r>
        <w:rPr>
          <w:rFonts w:ascii="Times New Roman" w:cs="Times New Roman" w:eastAsia="Times New Roman" w:hAnsi="Times New Roman"/>
          <w:sz w:val="18"/>
          <w:szCs w:val="18"/>
          <w:color w:val="auto"/>
        </w:rPr>
        <w:t>3,125,000 ADSs representing 25,000,000 Class B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1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Ordinary Shares outstanding before the</w:t>
      </w:r>
    </w:p>
    <w:p>
      <w:pPr>
        <w:spacing w:after="0" w:line="31" w:lineRule="exact"/>
        <w:rPr>
          <w:sz w:val="20"/>
          <w:szCs w:val="20"/>
          <w:color w:val="auto"/>
        </w:rPr>
      </w:pPr>
    </w:p>
    <w:p>
      <w:pPr>
        <w:jc w:val="center"/>
        <w:ind w:left="1920" w:right="240"/>
        <w:spacing w:after="0"/>
        <w:rPr>
          <w:sz w:val="20"/>
          <w:szCs w:val="20"/>
          <w:color w:val="auto"/>
        </w:rPr>
      </w:pP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50,000,000 Class A ordinary shares and 451,964,286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w:t>
      </w:r>
    </w:p>
    <w:p>
      <w:pPr>
        <w:spacing w:after="0" w:line="3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Ordinary Shares outstanding after our</w:t>
      </w:r>
    </w:p>
    <w:p>
      <w:pPr>
        <w:spacing w:after="0" w:line="31" w:lineRule="exact"/>
        <w:rPr>
          <w:sz w:val="20"/>
          <w:szCs w:val="20"/>
          <w:color w:val="auto"/>
        </w:rPr>
      </w:pPr>
    </w:p>
    <w:p>
      <w:pPr>
        <w:ind w:left="3780" w:right="599" w:hanging="3059"/>
        <w:spacing w:after="0" w:line="255" w:lineRule="auto"/>
        <w:tabs>
          <w:tab w:leader="none" w:pos="3760" w:val="left"/>
        </w:tabs>
        <w:rPr>
          <w:sz w:val="20"/>
          <w:szCs w:val="20"/>
          <w:color w:val="auto"/>
        </w:rPr>
      </w:pPr>
      <w:r>
        <w:rPr>
          <w:rFonts w:ascii="Times New Roman" w:cs="Times New Roman" w:eastAsia="Times New Roman" w:hAnsi="Times New Roman"/>
          <w:sz w:val="18"/>
          <w:szCs w:val="18"/>
          <w:b w:val="1"/>
          <w:bCs w:val="1"/>
          <w:color w:val="auto"/>
        </w:rPr>
        <w:t>offering of the Public Offering ADSs:</w:t>
      </w:r>
      <w:r>
        <w:rPr>
          <w:sz w:val="20"/>
          <w:szCs w:val="20"/>
          <w:color w:val="auto"/>
        </w:rPr>
        <w:tab/>
      </w:r>
      <w:r>
        <w:rPr>
          <w:rFonts w:ascii="Times New Roman" w:cs="Times New Roman" w:eastAsia="Times New Roman" w:hAnsi="Times New Roman"/>
          <w:sz w:val="18"/>
          <w:szCs w:val="18"/>
          <w:color w:val="auto"/>
        </w:rPr>
        <w:t>50,000,000 Class A ordinary shares and 466,364,286 Class B ordinary shares, assuming no exercise of the underwriter’s over-allotment option in the offering of the Public Offering ADSs.</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ADSs outstanding immediately after this</w:t>
      </w:r>
    </w:p>
    <w:p>
      <w:pPr>
        <w:spacing w:after="0" w:line="31" w:lineRule="exact"/>
        <w:rPr>
          <w:sz w:val="20"/>
          <w:szCs w:val="20"/>
          <w:color w:val="auto"/>
        </w:rPr>
      </w:pPr>
    </w:p>
    <w:p>
      <w:pPr>
        <w:ind w:left="3780" w:right="579" w:hanging="3059"/>
        <w:spacing w:after="0" w:line="255" w:lineRule="auto"/>
        <w:tabs>
          <w:tab w:leader="none" w:pos="3760" w:val="left"/>
        </w:tabs>
        <w:rPr>
          <w:sz w:val="20"/>
          <w:szCs w:val="20"/>
          <w:color w:val="auto"/>
        </w:rPr>
      </w:pP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20"/>
          <w:szCs w:val="20"/>
          <w:b w:val="1"/>
          <w:bCs w:val="1"/>
          <w:color w:val="auto"/>
          <w:vertAlign w:val="superscript"/>
        </w:rPr>
        <w:t>(2)</w:t>
      </w:r>
      <w:r>
        <w:rPr>
          <w:sz w:val="20"/>
          <w:szCs w:val="20"/>
          <w:color w:val="auto"/>
        </w:rPr>
        <w:tab/>
      </w:r>
      <w:r>
        <w:rPr>
          <w:rFonts w:ascii="Times New Roman" w:cs="Times New Roman" w:eastAsia="Times New Roman" w:hAnsi="Times New Roman"/>
          <w:sz w:val="18"/>
          <w:szCs w:val="18"/>
          <w:color w:val="auto"/>
        </w:rPr>
        <w:t>4,925,000 ADSs representing 39,400,000 Class B ordinary shares, assuming no exercise of the underwriter’s over-allotment option in the offering of the Public Offering ADSs.</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Ordinary shares outstanding</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immediately after this offering</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right="599"/>
        <w:spacing w:after="0" w:line="266"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 assuming no exercise of the underwriter’s over-allotment option in the offering of the Public Offering ADSs.</w:t>
      </w:r>
    </w:p>
    <w:p>
      <w:pPr>
        <w:spacing w:after="0" w:line="145"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939"/>
        <w:spacing w:after="0" w:line="312"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ADSs by the Selling Shareholder named in this prospectus.</w:t>
      </w:r>
    </w:p>
    <w:p>
      <w:pPr>
        <w:spacing w:after="0" w:line="36"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type w:val="continuous"/>
        </w:sectPr>
      </w:pPr>
    </w:p>
    <w:p>
      <w:pPr>
        <w:spacing w:after="0" w:line="100" w:lineRule="exact"/>
        <w:rPr>
          <w:sz w:val="20"/>
          <w:szCs w:val="20"/>
          <w:color w:val="auto"/>
        </w:rPr>
      </w:pPr>
    </w:p>
    <w:p>
      <w:pPr>
        <w:ind w:left="980" w:right="1019" w:hanging="436"/>
        <w:spacing w:after="0" w:line="269" w:lineRule="auto"/>
        <w:tabs>
          <w:tab w:leader="none" w:pos="9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ordinary shares to be outstanding immediately prior to this offering does not include up to an aggregate of 14,400,000 Class B ordinary shares to be offered by us under the Public Offering Prospectus.</w:t>
      </w:r>
    </w:p>
    <w:p>
      <w:pPr>
        <w:ind w:left="980" w:right="719" w:hanging="436"/>
        <w:spacing w:after="0" w:line="288" w:lineRule="auto"/>
        <w:tabs>
          <w:tab w:leader="none" w:pos="9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up to an aggregate of 1,800,000 ADSs to be sold by Trident Digital Tech Holdings Ltd, pursuant to the Public Offering Prospectus.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 Shareholder. In addition, the underwriter will not receive any compensation from the sale of the ADSs by the Selling Shareholder. The Selling Shareholder will receive all of the net proceeds from the sales of Shareholder ADSs under this prospectus. However, we will incur expenses in connection with the registration of the ADSs offered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the Selling Shareholder, namely,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the Selling Shareholder.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27"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 of the Selling Shareholder, the number of Class B ordinary shares owned by the Selling Shareholder immediately prior to the date of this prospectus and the number of ADSs to be offered by the Selling Shareholder pursuant to the Resale Prospectus. The table also provides information regarding the beneficial ownership of our Class B ordinary shares by the Selling Shareholder as adjusted to reflect the assumed sale of all of the ADSs offered under the Public Offering Prospectus and the Resale Prospectus.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has not had any position, office or other material relationship within past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three years with the Company. The Selling Shareholder is not a broker-dealer or an affiliate of a broker-dealer.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ADSs to be offered by the Selling Shareholder, they do not have an agreement or understanding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distribute any of the ADSs being registered. The Selling Shareholder may offer for sale from time to time any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ADSs. The table below assumes that the Selling Shareholder will sell all of the ADSs offered for sale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the Resale Prospectus.</w:t>
      </w:r>
    </w:p>
    <w:p>
      <w:pPr>
        <w:spacing w:after="0" w:line="139"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requires that such person have voting or investment power with respect to securities. In computing the number of Class B ordinary shares beneficially owned by a person listed below and the percentage ownership of such person, Class B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spacing w:after="0" w:line="120" w:lineRule="exact"/>
        <w:rPr>
          <w:sz w:val="20"/>
          <w:szCs w:val="20"/>
          <w:color w:val="auto"/>
        </w:rPr>
      </w:pPr>
    </w:p>
    <w:p>
      <w:pPr>
        <w:jc w:val="both"/>
        <w:ind w:left="460" w:right="1119" w:firstLine="432"/>
        <w:spacing w:after="0" w:line="261" w:lineRule="auto"/>
        <w:rPr>
          <w:sz w:val="20"/>
          <w:szCs w:val="20"/>
          <w:color w:val="auto"/>
        </w:rPr>
      </w:pPr>
      <w:r>
        <w:rPr>
          <w:rFonts w:ascii="Times New Roman" w:cs="Times New Roman" w:eastAsia="Times New Roman" w:hAnsi="Times New Roman"/>
          <w:sz w:val="18"/>
          <w:szCs w:val="18"/>
          <w:color w:val="auto"/>
        </w:rPr>
        <w:t>The Company may require the Selling Shareholder to suspend the sales of ADSs offered by this prospectus upon the occurrence of any event that makes any statement in this prospectus or the related registration statement untrue in any material respect or that requires the changing of statements in these documents in order to make statements in those documents not misleading.</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ADSs to</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 After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w:t>
            </w:r>
          </w:p>
        </w:tc>
      </w:tr>
      <w:tr>
        <w:trPr>
          <w:trHeight w:val="255"/>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Selling Shareholder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 Sold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r>
      <w:tr>
        <w:trPr>
          <w:trHeight w:val="195"/>
        </w:trPr>
        <w:tc>
          <w:tcPr>
            <w:tcW w:w="21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INFINITE PARTNER</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75"/>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0"/>
                <w:szCs w:val="20"/>
                <w:color w:val="auto"/>
                <w:vertAlign w:val="superscript"/>
              </w:rPr>
              <w:t>(2)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3,125,000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80" w:right="699" w:hanging="426"/>
        <w:spacing w:after="0" w:line="264" w:lineRule="auto"/>
        <w:tabs>
          <w:tab w:leader="none" w:pos="8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computed with reference to 501,964,286 ordinary shares outstanding as of the date of this prospectus and assumes for the Selling Shareholder the sale of all shares offered by the Selling Shareholder under this prospectus.</w:t>
      </w:r>
    </w:p>
    <w:p>
      <w:pPr>
        <w:jc w:val="both"/>
        <w:ind w:left="880" w:right="559" w:hanging="426"/>
        <w:spacing w:after="0" w:line="276" w:lineRule="auto"/>
        <w:tabs>
          <w:tab w:leader="none" w:pos="8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held by Infinite Partner International Limited, a company limited by shares incorporated in British Virgin Islands and wholly owned by Sai Ho Cheung. The registered address of Infinite Partner International Limited is OMC Chambers, Wickhams Cay 1, Road Town, Tortola, British Virgin Islands.</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The ADSs representing the Class B ordinary shares listed in the table appearing under “Selling Shareholder”, or the Shareholder ADSs, are being registered to permit the resale of Shareholder ADSs by the Selling Shareholder and its pledgees, donees, assignees and successors-in-interest from time to time after the date of this prospectus.</w:t>
      </w:r>
    </w:p>
    <w:p>
      <w:pPr>
        <w:spacing w:after="0" w:line="11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in any manner permitted by the Securities Act, including any one or more of the manners described below. We will not receive any of the proceeds from the sale of the Shareholder ADSs.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may use any one or more of the following methods when disposing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 ADSs:</w:t>
      </w:r>
    </w:p>
    <w:p>
      <w:pPr>
        <w:spacing w:after="0" w:line="126" w:lineRule="exact"/>
        <w:rPr>
          <w:sz w:val="20"/>
          <w:szCs w:val="20"/>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ADSs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resales by the broker-dealer for its account;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short sales made after the date that the registration statement of which this prospectus is a part is declared effective by the SEC;</w:t>
      </w:r>
    </w:p>
    <w:p>
      <w:pPr>
        <w:spacing w:after="0" w:line="80"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 to sell a specified number of such ADSs at a stipulated price per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these methods of sale;</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effecting sales, brokers-dealers engaged by the Selling Shareholder may arrange for other brokers-dealers to participate. If the Selling Shareholder effects such transactions by selling the Shareholder ADSs to or through broker-dealers or agents, such broker-dealers or agents may receive commissions in the form of discounts, concessions or commissions from the Selling Shareholder or commissions from purchasers of the Shareholder ADSs for whom they may act as agent or to whom they may sell as principal. If sales of ADSs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Selling Shareholder and any brokers, dealers or agents that participate in such distribution may be deemed to be “underwriters” within the meaning of the Securities Act, and any discounts, commissions or concessions received by any brokers, dealers or agents might be deemed to be underwriting discounts and commissions under the Securities Act. Any broker-dealers or agents that are deemed to be underwriters may not sell ADSs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 The Selling Shareholder if deemed to be an “underwriter” within the meaning of the Securities Act will be subject to the prospectus delivery requirements of the Securities Act and the provisions of the Exchange Act and the rules thereunder relating to stock manipulation.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the Shareholder ADSs sold in those jurisdictions may only be sold through registered or licensed brokers or dealers. In addition, in some states, the Shareholder ADSs may not be sold unless the Shareholder ADSs have been registered or qualified for sale in that state or an exemption from registration or qualification is available and is complied with.</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any of the ADSs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the Selling Shareholder will sell all or any portion of the shares offered under this prospectus.</w:t>
      </w:r>
    </w:p>
    <w:p>
      <w:pPr>
        <w:spacing w:after="0" w:line="11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have agreed to pay expenses we incur incident to the registration of the ADSs being offered under this prospectus. However, the Selling Shareholder and any purchaser are responsible for paying any discounts, commissions, and similar selling expenses they might incur.</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Selling Shareholder may also sell securities in offshore transactions or in open market transactions under Rule 144 or any other exemption from registration under the Securities Act, if available, rather than under this prospectus, provided that it meets the criteria and conforms to the requirements of those provisions.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162"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Selling Shareholder has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Relevant Resale Shares, our ordinary shares or securities convertible into or exchangeable or exercisable for any Relevant Resale Shares, or enter into any swap or other arrangement that transfers to another, in whole or in part, any of the economic consequences of ownership of any Relevant Resale Shares, our ordinary shares or securities convertible into or exercisable or exchangeable for any Relevant Resale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Relevant Resale Shares, our ordinary shares or securities convertible into or exercisable or exchangeable for any Relevant Resale Shares, or publicly disclose the intention to do any of the foregoing, without the prior written consent of the underwriter for the offering of the Public Offering ADSs for a period of 180 days after the date of the registration statement of which this prospectus forms a part, subject to certain exceptions and applicable notice requirements.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State law. The validity of the ordinary shares represented by the ADSs offered in this offering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other legal matters as to Cayman Islands law will be passed upon for us by Maples and Calder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(Hong Kong) LLP. Resource Law LLC (in alliance with Reed Smith) will pass upon certain legal matters as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law for us. Hogan Lovells may rely upon Maples and Calder (Hong Kong) LLP with respect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matters governed by Cayman Islands law and Resource Law LLC (in alliance with Reed Smith) with respect to</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matters governed by the Singapore law.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Representing 25,000,000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right="599" w:firstLine="432"/>
        <w:spacing w:after="0" w:line="251" w:lineRule="auto"/>
        <w:rPr>
          <w:sz w:val="20"/>
          <w:szCs w:val="20"/>
          <w:color w:val="auto"/>
        </w:rPr>
      </w:pPr>
      <w:r>
        <w:rPr>
          <w:rFonts w:ascii="Times New Roman" w:cs="Times New Roman" w:eastAsia="Times New Roman" w:hAnsi="Times New Roman"/>
          <w:sz w:val="18"/>
          <w:szCs w:val="18"/>
          <w:color w:val="auto"/>
        </w:rPr>
        <w:t>Until October 4,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783590</wp:posOffset>
            </wp:positionV>
            <wp:extent cx="514350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826770</wp:posOffset>
            </wp:positionV>
            <wp:extent cx="514350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1109345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decimal"/>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1)"/>
      <w:numFmt w:val="decimal"/>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1)"/>
      <w:numFmt w:val="lowerRoman"/>
      <w:start w:val="4"/>
    </w:lvl>
  </w:abstractNum>
  <w:abstractNum w:abstractNumId="29">
    <w:nsid w:val="94211F2"/>
    <w:multiLevelType w:val="hybridMultilevel"/>
    <w:lvl w:ilvl="0">
      <w:lvlJc w:val="left"/>
      <w:lvlText w:val="(%1)"/>
      <w:numFmt w:val="lowerRoman"/>
      <w:start w:val="2"/>
    </w:lvl>
  </w:abstractNum>
  <w:abstractNum w:abstractNumId="30">
    <w:nsid w:val="885E1B"/>
    <w:multiLevelType w:val="hybridMultilevel"/>
    <w:lvl w:ilvl="0">
      <w:lvlJc w:val="left"/>
      <w:lvlText w:val="(%1)"/>
      <w:numFmt w:val="lowerRoman"/>
      <w:start w:val="3"/>
    </w:lvl>
  </w:abstractNum>
  <w:abstractNum w:abstractNumId="31">
    <w:nsid w:val="76272110"/>
    <w:multiLevelType w:val="hybridMultilevel"/>
    <w:lvl w:ilvl="0">
      <w:lvlJc w:val="left"/>
      <w:lvlText w:val="(%1)"/>
      <w:numFmt w:val="decimal"/>
      <w:start w:val="1"/>
    </w:lvl>
  </w:abstractNum>
  <w:abstractNum w:abstractNumId="32">
    <w:nsid w:val="4C04A8AF"/>
    <w:multiLevelType w:val="hybridMultilevel"/>
    <w:lvl w:ilvl="0">
      <w:lvlJc w:val="left"/>
      <w:lvlText w:val="(%1)"/>
      <w:numFmt w:val="lowerRoman"/>
      <w:start w:val="2"/>
    </w:lvl>
  </w:abstractNum>
  <w:abstractNum w:abstractNumId="33">
    <w:nsid w:val="1716703B"/>
    <w:multiLevelType w:val="hybridMultilevel"/>
    <w:lvl w:ilvl="0">
      <w:lvlJc w:val="left"/>
      <w:lvlText w:val="(%1)"/>
      <w:numFmt w:val="lowerRoman"/>
      <w:start w:val="2"/>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1)"/>
      <w:numFmt w:val="lowerRoman"/>
      <w:start w:val="1"/>
    </w:lvl>
  </w:abstractNum>
  <w:abstractNum w:abstractNumId="46">
    <w:nsid w:val="26F324BA"/>
    <w:multiLevelType w:val="hybridMultilevel"/>
    <w:lvl w:ilvl="0">
      <w:lvlJc w:val="left"/>
      <w:lvlText w:val="(%1)"/>
      <w:numFmt w:val="lowerRoman"/>
      <w:start w:val="10"/>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1)"/>
      <w:numFmt w:val="lowerRoman"/>
      <w:start w:val="6"/>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1)"/>
      <w:numFmt w:val="decimal"/>
      <w:start w:val="1"/>
    </w:lvl>
  </w:abstractNum>
  <w:abstractNum w:abstractNumId="58">
    <w:nsid w:val="7D5E18F8"/>
    <w:multiLevelType w:val="hybridMultilevel"/>
    <w:lvl w:ilvl="0">
      <w:lvlJc w:val="left"/>
      <w:lvlText w:val="(%1)"/>
      <w:numFmt w:val="lowerRoman"/>
      <w:start w:val="2"/>
    </w:lvl>
  </w:abstractNum>
  <w:abstractNum w:abstractNumId="59">
    <w:nsid w:val="5F3534A4"/>
    <w:multiLevelType w:val="hybridMultilevel"/>
    <w:lvl w:ilvl="0">
      <w:lvlJc w:val="left"/>
      <w:lvlText w:val="(%1)"/>
      <w:numFmt w:val="lowerRoman"/>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1)"/>
      <w:numFmt w:val="decimal"/>
      <w:start w:val="2"/>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
      <w:numFmt w:val="bullet"/>
      <w:start w:val="1"/>
    </w:lvl>
  </w:abstractNum>
  <w:abstractNum w:abstractNumId="73">
    <w:nsid w:val="288F1A34"/>
    <w:multiLevelType w:val="hybridMultilevel"/>
    <w:lvl w:ilvl="0">
      <w:lvlJc w:val="left"/>
      <w:lvlText w:val="•"/>
      <w:numFmt w:val="bullet"/>
      <w:start w:val="1"/>
    </w:lvl>
  </w:abstractNum>
  <w:abstractNum w:abstractNumId="74">
    <w:nsid w:val="2A155DBC"/>
    <w:multiLevelType w:val="hybridMultilevel"/>
    <w:lvl w:ilvl="0">
      <w:lvlJc w:val="left"/>
      <w:lvlText w:val="•"/>
      <w:numFmt w:val="bullet"/>
      <w:start w:val="1"/>
    </w:lvl>
  </w:abstractNum>
  <w:abstractNum w:abstractNumId="75">
    <w:nsid w:val="1D9F6E5F"/>
    <w:multiLevelType w:val="hybridMultilevel"/>
    <w:lvl w:ilvl="0">
      <w:lvlJc w:val="left"/>
      <w:lvlText w:val="(%1)"/>
      <w:numFmt w:val="lowerRoman"/>
      <w:start w:val="2"/>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
      <w:numFmt w:val="bullet"/>
      <w:start w:val="1"/>
    </w:lvl>
  </w:abstractNum>
  <w:abstractNum w:abstractNumId="80">
    <w:nsid w:val="415E286C"/>
    <w:multiLevelType w:val="hybridMultilevel"/>
    <w:lvl w:ilvl="0">
      <w:lvlJc w:val="left"/>
      <w:lvlText w:val="(%1)"/>
      <w:numFmt w:val="lowerLetter"/>
      <w:start w:val="1"/>
    </w:lvl>
  </w:abstractNum>
  <w:abstractNum w:abstractNumId="81">
    <w:nsid w:val="7C58FD05"/>
    <w:multiLevelType w:val="hybridMultilevel"/>
    <w:lvl w:ilvl="0">
      <w:lvlJc w:val="left"/>
      <w:lvlText w:val="(%1)"/>
      <w:numFmt w:val="lowerLetter"/>
      <w:start w:val="1"/>
    </w:lvl>
  </w:abstractNum>
  <w:abstractNum w:abstractNumId="82">
    <w:nsid w:val="23D86AAC"/>
    <w:multiLevelType w:val="hybridMultilevel"/>
    <w:lvl w:ilvl="0">
      <w:lvlJc w:val="left"/>
      <w:lvlText w:val="(%1)"/>
      <w:numFmt w:val="lowerLetter"/>
      <w:start w:val="1"/>
    </w:lvl>
  </w:abstractNum>
  <w:abstractNum w:abstractNumId="83">
    <w:nsid w:val="45E6D486"/>
    <w:multiLevelType w:val="hybridMultilevel"/>
    <w:lvl w:ilvl="0">
      <w:lvlJc w:val="left"/>
      <w:lvlText w:val="(%1)"/>
      <w:numFmt w:val="lowerLetter"/>
      <w:start w:val="2"/>
    </w:lvl>
  </w:abstractNum>
  <w:abstractNum w:abstractNumId="84">
    <w:nsid w:val="5C10FE21"/>
    <w:multiLevelType w:val="hybridMultilevel"/>
    <w:lvl w:ilvl="0">
      <w:lvlJc w:val="left"/>
      <w:lvlText w:val="(%1)"/>
      <w:numFmt w:val="lowerLetter"/>
      <w:start w:val="1"/>
    </w:lvl>
  </w:abstractNum>
  <w:abstractNum w:abstractNumId="85">
    <w:nsid w:val="E7FFA2B"/>
    <w:multiLevelType w:val="hybridMultilevel"/>
    <w:lvl w:ilvl="0">
      <w:lvlJc w:val="left"/>
      <w:lvlText w:val="(%1)"/>
      <w:numFmt w:val="lowerLetter"/>
      <w:start w:val="1"/>
    </w:lvl>
  </w:abstractNum>
  <w:abstractNum w:abstractNumId="86">
    <w:nsid w:val="3C5991AA"/>
    <w:multiLevelType w:val="hybridMultilevel"/>
    <w:lvl w:ilvl="0">
      <w:lvlJc w:val="left"/>
      <w:lvlText w:val="•"/>
      <w:numFmt w:val="bullet"/>
      <w:start w:val="1"/>
    </w:lvl>
  </w:abstractNum>
  <w:abstractNum w:abstractNumId="87">
    <w:nsid w:val="4BD8591A"/>
    <w:multiLevelType w:val="hybridMultilevel"/>
    <w:lvl w:ilvl="0">
      <w:lvlJc w:val="left"/>
      <w:lvlText w:val="\emdash "/>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1)"/>
      <w:numFmt w:val="lowerRoman"/>
      <w:start w:val="3"/>
    </w:lvl>
  </w:abstractNum>
  <w:abstractNum w:abstractNumId="92">
    <w:nsid w:val="379E21B5"/>
    <w:multiLevelType w:val="hybridMultilevel"/>
    <w:lvl w:ilvl="0">
      <w:lvlJc w:val="left"/>
      <w:lvlText w:val="•"/>
      <w:numFmt w:val="bullet"/>
      <w:start w:val="1"/>
    </w:lvl>
  </w:abstractNum>
  <w:abstractNum w:abstractNumId="93">
    <w:nsid w:val="69E373"/>
    <w:multiLevelType w:val="hybridMultilevel"/>
    <w:lvl w:ilvl="0">
      <w:lvlJc w:val="left"/>
      <w:lvlText w:val="(%1)"/>
      <w:numFmt w:val="lowerRoman"/>
      <w:start w:val="1"/>
    </w:lvl>
  </w:abstractNum>
  <w:abstractNum w:abstractNumId="94">
    <w:nsid w:val="2C27173B"/>
    <w:multiLevelType w:val="hybridMultilevel"/>
    <w:lvl w:ilvl="0">
      <w:lvlJc w:val="left"/>
      <w:lvlText w:val="•"/>
      <w:numFmt w:val="bullet"/>
      <w:start w:val="1"/>
    </w:lvl>
  </w:abstractNum>
  <w:abstractNum w:abstractNumId="95">
    <w:nsid w:val="4C9B0904"/>
    <w:multiLevelType w:val="hybridMultilevel"/>
    <w:lvl w:ilvl="0">
      <w:lvlJc w:val="left"/>
      <w:lvlText w:val="•"/>
      <w:numFmt w:val="bullet"/>
      <w:start w:val="1"/>
    </w:lvl>
  </w:abstractNum>
  <w:abstractNum w:abstractNumId="96">
    <w:nsid w:val="6AA7B75C"/>
    <w:multiLevelType w:val="hybridMultilevel"/>
    <w:lvl w:ilvl="0">
      <w:lvlJc w:val="left"/>
      <w:lvlText w:val="•"/>
      <w:numFmt w:val="bullet"/>
      <w:start w:val="1"/>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emdash "/>
      <w:numFmt w:val="bullet"/>
      <w:start w:val="1"/>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
      <w:numFmt w:val="bullet"/>
      <w:start w:val="1"/>
    </w:lvl>
  </w:abstractNum>
  <w:abstractNum w:abstractNumId="101">
    <w:nsid w:val="2708C9AF"/>
    <w:multiLevelType w:val="hybridMultilevel"/>
    <w:lvl w:ilvl="0">
      <w:lvlJc w:val="left"/>
      <w:lvlText w:val="%1."/>
      <w:numFmt w:val="decimal"/>
      <w:start w:val="1"/>
    </w:lvl>
  </w:abstractNum>
  <w:abstractNum w:abstractNumId="102">
    <w:nsid w:val="5B25ACE2"/>
    <w:multiLevelType w:val="hybridMultilevel"/>
    <w:lvl w:ilvl="0">
      <w:lvlJc w:val="left"/>
      <w:lvlText w:val="%1."/>
      <w:numFmt w:val="decimal"/>
      <w:start w:val="2"/>
    </w:lvl>
  </w:abstractNum>
  <w:abstractNum w:abstractNumId="103">
    <w:nsid w:val="175DFCF0"/>
    <w:multiLevelType w:val="hybridMultilevel"/>
    <w:lvl w:ilvl="0">
      <w:lvlJc w:val="left"/>
      <w:lvlText w:val="%1."/>
      <w:numFmt w:val="decimal"/>
      <w:start w:val="2"/>
    </w:lvl>
  </w:abstractNum>
  <w:abstractNum w:abstractNumId="104">
    <w:nsid w:val="4F97E3E4"/>
    <w:multiLevelType w:val="hybridMultilevel"/>
    <w:lvl w:ilvl="0">
      <w:lvlJc w:val="left"/>
      <w:lvlText w:val="(%1)"/>
      <w:numFmt w:val="lowerLetter"/>
      <w:start w:val="3"/>
    </w:lvl>
  </w:abstractNum>
  <w:abstractNum w:abstractNumId="105">
    <w:nsid w:val="53B0A9E"/>
    <w:multiLevelType w:val="hybridMultilevel"/>
    <w:lvl w:ilvl="0">
      <w:lvlJc w:val="left"/>
      <w:lvlText w:val="(%1)"/>
      <w:numFmt w:val="lowerLetter"/>
      <w:start w:val="5"/>
    </w:lvl>
  </w:abstractNum>
  <w:abstractNum w:abstractNumId="106">
    <w:nsid w:val="34FD6B4F"/>
    <w:multiLevelType w:val="hybridMultilevel"/>
    <w:lvl w:ilvl="0">
      <w:lvlJc w:val="left"/>
      <w:lvlText w:val="(%1)"/>
      <w:numFmt w:val="lowerLetter"/>
      <w:start w:val="6"/>
    </w:lvl>
  </w:abstractNum>
  <w:abstractNum w:abstractNumId="107">
    <w:nsid w:val="5915FF32"/>
    <w:multiLevelType w:val="hybridMultilevel"/>
    <w:lvl w:ilvl="0">
      <w:lvlJc w:val="left"/>
      <w:lvlText w:val="%1."/>
      <w:numFmt w:val="decimal"/>
      <w:start w:val="2"/>
    </w:lvl>
  </w:abstractNum>
  <w:abstractNum w:abstractNumId="108">
    <w:nsid w:val="56438D15"/>
    <w:multiLevelType w:val="hybridMultilevel"/>
    <w:lvl w:ilvl="0">
      <w:lvlJc w:val="left"/>
      <w:lvlText w:val="%1."/>
      <w:numFmt w:val="decimal"/>
      <w:start w:val="2"/>
    </w:lvl>
  </w:abstractNum>
  <w:abstractNum w:abstractNumId="109">
    <w:nsid w:val="519E3149"/>
    <w:multiLevelType w:val="hybridMultilevel"/>
    <w:lvl w:ilvl="0">
      <w:lvlJc w:val="left"/>
      <w:lvlText w:val="(%1)"/>
      <w:numFmt w:val="lowerRoman"/>
      <w:start w:val="1"/>
    </w:lvl>
  </w:abstractNum>
  <w:abstractNum w:abstractNumId="110">
    <w:nsid w:val="2C6E4AFD"/>
    <w:multiLevelType w:val="hybridMultilevel"/>
    <w:lvl w:ilvl="0">
      <w:lvlJc w:val="left"/>
      <w:lvlText w:val="(%1)"/>
      <w:numFmt w:val="lowerLetter"/>
      <w:start w:val="10"/>
    </w:lvl>
  </w:abstractNum>
  <w:abstractNum w:abstractNumId="111">
    <w:nsid w:val="17A1B582"/>
    <w:multiLevelType w:val="hybridMultilevel"/>
    <w:lvl w:ilvl="0">
      <w:lvlJc w:val="left"/>
      <w:lvlText w:val="•"/>
      <w:numFmt w:val="bullet"/>
      <w:start w:val="1"/>
    </w:lvl>
  </w:abstractNum>
  <w:abstractNum w:abstractNumId="112">
    <w:nsid w:val="4DF72E4E"/>
    <w:multiLevelType w:val="hybridMultilevel"/>
    <w:lvl w:ilvl="0">
      <w:lvlJc w:val="left"/>
      <w:lvlText w:val="%1."/>
      <w:numFmt w:val="decimal"/>
      <w:start w:val="2"/>
    </w:lvl>
  </w:abstractNum>
  <w:abstractNum w:abstractNumId="113">
    <w:nsid w:val="5046B5A9"/>
    <w:multiLevelType w:val="hybridMultilevel"/>
    <w:lvl w:ilvl="0">
      <w:lvlJc w:val="left"/>
      <w:lvlText w:val="%1."/>
      <w:numFmt w:val="decimal"/>
      <w:start w:val="2"/>
    </w:lvl>
  </w:abstractNum>
  <w:abstractNum w:abstractNumId="114">
    <w:nsid w:val="5D888A08"/>
    <w:multiLevelType w:val="hybridMultilevel"/>
    <w:lvl w:ilvl="0">
      <w:lvlJc w:val="left"/>
      <w:lvlText w:val="%1."/>
      <w:numFmt w:val="decimal"/>
      <w:start w:val="2"/>
    </w:lvl>
  </w:abstractNum>
  <w:abstractNum w:abstractNumId="115">
    <w:nsid w:val="2A082C70"/>
    <w:multiLevelType w:val="hybridMultilevel"/>
    <w:lvl w:ilvl="0">
      <w:lvlJc w:val="left"/>
      <w:lvlText w:val="(%1)"/>
      <w:numFmt w:val="lowerLetter"/>
      <w:start w:val="12"/>
    </w:lvl>
  </w:abstractNum>
  <w:abstractNum w:abstractNumId="116">
    <w:nsid w:val="5EC6AFD4"/>
    <w:multiLevelType w:val="hybridMultilevel"/>
    <w:lvl w:ilvl="0">
      <w:lvlJc w:val="left"/>
      <w:lvlText w:val="%1."/>
      <w:numFmt w:val="decimal"/>
      <w:start w:val="2"/>
    </w:lvl>
  </w:abstractNum>
  <w:abstractNum w:abstractNumId="117">
    <w:nsid w:val="19E21BB2"/>
    <w:multiLevelType w:val="hybridMultilevel"/>
    <w:lvl w:ilvl="0">
      <w:lvlJc w:val="left"/>
      <w:lvlText w:val="%1."/>
      <w:numFmt w:val="decimal"/>
      <w:start w:val="2"/>
    </w:lvl>
  </w:abstractNum>
  <w:abstractNum w:abstractNumId="118">
    <w:nsid w:val="75E0858A"/>
    <w:multiLevelType w:val="hybridMultilevel"/>
    <w:lvl w:ilvl="0">
      <w:lvlJc w:val="left"/>
      <w:lvlText w:val="(%1)"/>
      <w:numFmt w:val="lowerLetter"/>
      <w:start w:val="18"/>
    </w:lvl>
  </w:abstractNum>
  <w:abstractNum w:abstractNumId="119">
    <w:nsid w:val="57A61A29"/>
    <w:multiLevelType w:val="hybridMultilevel"/>
    <w:lvl w:ilvl="0">
      <w:lvlJc w:val="left"/>
      <w:lvlText w:val="(%1)"/>
      <w:numFmt w:val="lowerLetter"/>
      <w:start w:val="19"/>
    </w:lvl>
  </w:abstractNum>
  <w:abstractNum w:abstractNumId="120">
    <w:nsid w:val="5399C654"/>
    <w:multiLevelType w:val="hybridMultilevel"/>
    <w:lvl w:ilvl="0">
      <w:lvlJc w:val="left"/>
      <w:lvlText w:val="(%1)"/>
      <w:numFmt w:val="lowerLetter"/>
      <w:start w:val="20"/>
    </w:lvl>
  </w:abstractNum>
  <w:abstractNum w:abstractNumId="121">
    <w:nsid w:val="20EE1348"/>
    <w:multiLevelType w:val="hybridMultilevel"/>
    <w:lvl w:ilvl="0">
      <w:lvlJc w:val="left"/>
      <w:lvlText w:val="%1."/>
      <w:numFmt w:val="decimal"/>
      <w:start w:val="2"/>
    </w:lvl>
  </w:abstractNum>
  <w:abstractNum w:abstractNumId="122">
    <w:nsid w:val="4427069A"/>
    <w:multiLevelType w:val="hybridMultilevel"/>
    <w:lvl w:ilvl="0">
      <w:lvlJc w:val="left"/>
      <w:lvlText w:val="%1."/>
      <w:numFmt w:val="decimal"/>
      <w:start w:val="3"/>
    </w:lvl>
  </w:abstractNum>
  <w:abstractNum w:abstractNumId="123">
    <w:nsid w:val="B37E80A"/>
    <w:multiLevelType w:val="hybridMultilevel"/>
    <w:lvl w:ilvl="0">
      <w:lvlJc w:val="left"/>
      <w:lvlText w:val="%1."/>
      <w:numFmt w:val="decimal"/>
      <w:start w:val="3"/>
    </w:lvl>
  </w:abstractNum>
  <w:abstractNum w:abstractNumId="124">
    <w:nsid w:val="2157F6BC"/>
    <w:multiLevelType w:val="hybridMultilevel"/>
    <w:lvl w:ilvl="0">
      <w:lvlJc w:val="left"/>
      <w:lvlText w:val="%1."/>
      <w:numFmt w:val="decimal"/>
      <w:start w:val="4"/>
    </w:lvl>
  </w:abstractNum>
  <w:abstractNum w:abstractNumId="125">
    <w:nsid w:val="704E1DD5"/>
    <w:multiLevelType w:val="hybridMultilevel"/>
    <w:lvl w:ilvl="0">
      <w:lvlJc w:val="left"/>
      <w:lvlText w:val="%1."/>
      <w:numFmt w:val="decimal"/>
      <w:start w:val="5"/>
    </w:lvl>
  </w:abstractNum>
  <w:abstractNum w:abstractNumId="126">
    <w:nsid w:val="57D2F10E"/>
    <w:multiLevelType w:val="hybridMultilevel"/>
    <w:lvl w:ilvl="0">
      <w:lvlJc w:val="left"/>
      <w:lvlText w:val="%1."/>
      <w:numFmt w:val="decimal"/>
      <w:start w:val="7"/>
    </w:lvl>
  </w:abstractNum>
  <w:abstractNum w:abstractNumId="127">
    <w:nsid w:val="BFFAE18"/>
    <w:multiLevelType w:val="hybridMultilevel"/>
    <w:lvl w:ilvl="0">
      <w:lvlJc w:val="left"/>
      <w:lvlText w:val="(%1)"/>
      <w:numFmt w:val="decimal"/>
      <w:start w:val="1"/>
    </w:lvl>
  </w:abstractNum>
  <w:abstractNum w:abstractNumId="128">
    <w:nsid w:val="E3E47A8"/>
    <w:multiLevelType w:val="hybridMultilevel"/>
    <w:lvl w:ilvl="0">
      <w:lvlJc w:val="left"/>
      <w:lvlText w:val="%1."/>
      <w:numFmt w:val="decimal"/>
      <w:start w:val="8"/>
    </w:lvl>
  </w:abstractNum>
  <w:abstractNum w:abstractNumId="129">
    <w:nsid w:val="2E48F044"/>
    <w:multiLevelType w:val="hybridMultilevel"/>
    <w:lvl w:ilvl="0">
      <w:lvlJc w:val="left"/>
      <w:lvlText w:val="%1."/>
      <w:numFmt w:val="decimal"/>
      <w:start w:val="9"/>
    </w:lvl>
  </w:abstractNum>
  <w:abstractNum w:abstractNumId="130">
    <w:nsid w:val="49D0FEAC"/>
    <w:multiLevelType w:val="hybridMultilevel"/>
    <w:lvl w:ilvl="0">
      <w:lvlJc w:val="left"/>
      <w:lvlText w:val="%1."/>
      <w:numFmt w:val="decimal"/>
      <w:start w:val="9"/>
    </w:lvl>
  </w:abstractNum>
  <w:abstractNum w:abstractNumId="131">
    <w:nsid w:val="4BEE5A5B"/>
    <w:multiLevelType w:val="hybridMultilevel"/>
    <w:lvl w:ilvl="0">
      <w:lvlJc w:val="left"/>
      <w:lvlText w:val="(%1)"/>
      <w:numFmt w:val="decimal"/>
      <w:start w:val="1"/>
    </w:lvl>
  </w:abstractNum>
  <w:abstractNum w:abstractNumId="132">
    <w:nsid w:val="5551B9F3"/>
    <w:multiLevelType w:val="hybridMultilevel"/>
    <w:lvl w:ilvl="0">
      <w:lvlJc w:val="left"/>
      <w:lvlText w:val="(%1)"/>
      <w:numFmt w:val="decimal"/>
      <w:start w:val="1"/>
    </w:lvl>
  </w:abstractNum>
  <w:abstractNum w:abstractNumId="133">
    <w:nsid w:val="24F6AB8E"/>
    <w:multiLevelType w:val="hybridMultilevel"/>
    <w:lvl w:ilvl="0">
      <w:lvlJc w:val="left"/>
      <w:lvlText w:val="(%1)"/>
      <w:numFmt w:val="decimal"/>
      <w:start w:val="1"/>
    </w:lvl>
  </w:abstractNum>
  <w:abstractNum w:abstractNumId="134">
    <w:nsid w:val="634C574C"/>
    <w:multiLevelType w:val="hybridMultilevel"/>
    <w:lvl w:ilvl="0">
      <w:lvlJc w:val="left"/>
      <w:lvlText w:val="(%1)"/>
      <w:numFmt w:val="decimal"/>
      <w:start w:val="1"/>
    </w:lvl>
  </w:abstractNum>
  <w:abstractNum w:abstractNumId="135">
    <w:nsid w:val="24E99DD7"/>
    <w:multiLevelType w:val="hybridMultilevel"/>
    <w:lvl w:ilvl="0">
      <w:lvlJc w:val="left"/>
      <w:lvlText w:val="*"/>
      <w:numFmt w:val="bullet"/>
      <w:start w:val="1"/>
    </w:lvl>
  </w:abstractNum>
  <w:abstractNum w:abstractNumId="136">
    <w:nsid w:val="2A31B62D"/>
    <w:multiLevelType w:val="hybridMultilevel"/>
    <w:lvl w:ilvl="0">
      <w:lvlJc w:val="left"/>
      <w:lvlText w:val="*"/>
      <w:numFmt w:val="bullet"/>
      <w:start w:val="1"/>
    </w:lvl>
  </w:abstractNum>
  <w:abstractNum w:abstractNumId="137">
    <w:nsid w:val="1849C29B"/>
    <w:multiLevelType w:val="hybridMultilevel"/>
    <w:lvl w:ilvl="0">
      <w:lvlJc w:val="left"/>
      <w:lvlText w:val="*"/>
      <w:numFmt w:val="bullet"/>
      <w:start w:val="1"/>
    </w:lvl>
  </w:abstractNum>
  <w:abstractNum w:abstractNumId="138">
    <w:nsid w:val="7DFF9D09"/>
    <w:multiLevelType w:val="hybridMultilevel"/>
    <w:lvl w:ilvl="0">
      <w:lvlJc w:val="left"/>
      <w:lvlText w:val="*"/>
      <w:numFmt w:val="bullet"/>
      <w:start w:val="1"/>
    </w:lvl>
  </w:abstractNum>
  <w:abstractNum w:abstractNumId="139">
    <w:nsid w:val="754342"/>
    <w:multiLevelType w:val="hybridMultilevel"/>
    <w:lvl w:ilvl="0">
      <w:lvlJc w:val="left"/>
      <w:lvlText w:val="(%1)"/>
      <w:numFmt w:val="decimal"/>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2024-09-10T05:24:42Z</dcterms:created>
  <dcterms:modified xsi:type="dcterms:W3CDTF">2024-09-10T05:24:42Z</dcterms:modified>
</cp:coreProperties>
</file>