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40"/>
        <w:spacing w:after="0"/>
        <w:rPr>
          <w:sz w:val="20"/>
          <w:szCs w:val="20"/>
          <w:color w:val="auto"/>
        </w:rPr>
      </w:pPr>
      <w:r>
        <w:rPr>
          <w:rFonts w:ascii="Arial" w:cs="Arial" w:eastAsia="Arial" w:hAnsi="Arial"/>
          <w:sz w:val="18"/>
          <w:szCs w:val="18"/>
          <w:b w:val="1"/>
          <w:bCs w:val="1"/>
          <w:color w:val="auto"/>
        </w:rPr>
        <w:t>As filed with the Securities and Exchange Commission on October 4, 2023.</w:t>
      </w:r>
    </w:p>
    <w:p>
      <w:pPr>
        <w:spacing w:after="0" w:line="50" w:lineRule="exact"/>
        <w:rPr>
          <w:sz w:val="24"/>
          <w:szCs w:val="24"/>
          <w:color w:val="auto"/>
        </w:rPr>
      </w:pPr>
    </w:p>
    <w:p>
      <w:pPr>
        <w:ind w:left="5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640"/>
              <w:spacing w:after="0"/>
              <w:rPr>
                <w:sz w:val="20"/>
                <w:szCs w:val="20"/>
                <w:color w:val="auto"/>
              </w:rPr>
            </w:pPr>
            <w:r>
              <w:rPr>
                <w:rFonts w:ascii="Arial" w:cs="Arial" w:eastAsia="Arial" w:hAnsi="Arial"/>
                <w:sz w:val="18"/>
                <w:szCs w:val="18"/>
                <w:b w:val="1"/>
                <w:bCs w:val="1"/>
                <w:color w:val="auto"/>
              </w:rPr>
              <w:t>Cayman Islands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7371</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Suntec Tower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w:t>
      </w:r>
      <w:r>
        <w:rPr>
          <w:rFonts w:ascii="Arial" w:cs="Arial" w:eastAsia="Arial" w:hAnsi="Arial"/>
          <w:sz w:val="20"/>
          <w:szCs w:val="20"/>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3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3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Stephanie Tang, Esq.</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Ross David Carmel,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Hogan Lovells</w:t>
            </w:r>
          </w:p>
        </w:tc>
        <w:tc>
          <w:tcPr>
            <w:tcW w:w="438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Barry P. Biggar, Esq.</w:t>
            </w:r>
          </w:p>
        </w:tc>
      </w:tr>
      <w:tr>
        <w:trPr>
          <w:trHeight w:val="216"/>
        </w:trPr>
        <w:tc>
          <w:tcPr>
            <w:tcW w:w="220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11</w:t>
            </w:r>
            <w:r>
              <w:rPr>
                <w:rFonts w:ascii="Arial" w:cs="Arial" w:eastAsia="Arial" w:hAnsi="Arial"/>
                <w:sz w:val="20"/>
                <w:szCs w:val="20"/>
                <w:b w:val="1"/>
                <w:bCs w:val="1"/>
                <w:color w:val="auto"/>
                <w:w w:val="88"/>
                <w:vertAlign w:val="superscript"/>
              </w:rPr>
              <w:t>th</w:t>
            </w:r>
            <w:r>
              <w:rPr>
                <w:rFonts w:ascii="Arial" w:cs="Arial" w:eastAsia="Arial" w:hAnsi="Arial"/>
                <w:sz w:val="18"/>
                <w:szCs w:val="18"/>
                <w:b w:val="1"/>
                <w:bCs w:val="1"/>
                <w:color w:val="auto"/>
                <w:w w:val="88"/>
              </w:rPr>
              <w:t xml:space="preserve"> Floor, One Pacific Place</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Sichenzia Ross Ference Carmel LLP</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88 Queensway Road</w:t>
            </w:r>
          </w:p>
        </w:tc>
        <w:tc>
          <w:tcPr>
            <w:tcW w:w="4380" w:type="dxa"/>
            <w:vAlign w:val="bottom"/>
          </w:tcPr>
          <w:p>
            <w:pPr>
              <w:jc w:val="center"/>
              <w:ind w:left="1470"/>
              <w:spacing w:after="0" w:line="216" w:lineRule="exact"/>
              <w:rPr>
                <w:sz w:val="20"/>
                <w:szCs w:val="20"/>
                <w:color w:val="auto"/>
              </w:rPr>
            </w:pPr>
            <w:r>
              <w:rPr>
                <w:rFonts w:ascii="Arial" w:cs="Arial" w:eastAsia="Arial" w:hAnsi="Arial"/>
                <w:sz w:val="18"/>
                <w:szCs w:val="18"/>
                <w:b w:val="1"/>
                <w:bCs w:val="1"/>
                <w:color w:val="auto"/>
                <w:w w:val="88"/>
              </w:rPr>
              <w:t>Avenue of the Americas 31</w:t>
            </w:r>
            <w:r>
              <w:rPr>
                <w:rFonts w:ascii="Arial" w:cs="Arial" w:eastAsia="Arial" w:hAnsi="Arial"/>
                <w:sz w:val="20"/>
                <w:szCs w:val="20"/>
                <w:b w:val="1"/>
                <w:bCs w:val="1"/>
                <w:color w:val="auto"/>
                <w:w w:val="88"/>
                <w:vertAlign w:val="superscript"/>
              </w:rPr>
              <w:t>st</w:t>
            </w:r>
            <w:r>
              <w:rPr>
                <w:rFonts w:ascii="Arial" w:cs="Arial" w:eastAsia="Arial" w:hAnsi="Arial"/>
                <w:sz w:val="18"/>
                <w:szCs w:val="18"/>
                <w:b w:val="1"/>
                <w:bCs w:val="1"/>
                <w:color w:val="auto"/>
                <w:w w:val="88"/>
              </w:rPr>
              <w:t xml:space="preserve"> Floor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Hong Kong</w:t>
            </w:r>
          </w:p>
        </w:tc>
        <w:tc>
          <w:tcPr>
            <w:tcW w:w="43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New York, NY 10036</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+852 2219 0888</w:t>
            </w:r>
          </w:p>
        </w:tc>
        <w:tc>
          <w:tcPr>
            <w:tcW w:w="438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+1 212 930 9700</w:t>
            </w:r>
          </w:p>
        </w:tc>
      </w:tr>
      <w:tr>
        <w:trPr>
          <w:trHeight w:val="324"/>
        </w:trPr>
        <w:tc>
          <w:tcPr>
            <w:tcW w:w="2200" w:type="dxa"/>
            <w:vAlign w:val="bottom"/>
          </w:tcPr>
          <w:p>
            <w:pPr>
              <w:spacing w:after="0"/>
              <w:rPr>
                <w:sz w:val="24"/>
                <w:szCs w:val="24"/>
                <w:color w:val="auto"/>
              </w:rPr>
            </w:pPr>
          </w:p>
        </w:tc>
        <w:tc>
          <w:tcPr>
            <w:tcW w:w="4380" w:type="dxa"/>
            <w:vAlign w:val="bottom"/>
          </w:tcPr>
          <w:p>
            <w:pPr>
              <w:jc w:val="right"/>
              <w:ind w:right="2370"/>
              <w:spacing w:after="0"/>
              <w:rPr>
                <w:sz w:val="20"/>
                <w:szCs w:val="20"/>
                <w:color w:val="auto"/>
              </w:rPr>
            </w:pPr>
            <w:r>
              <w:rPr>
                <w:rFonts w:ascii="Arial" w:cs="Arial" w:eastAsia="Arial" w:hAnsi="Arial"/>
                <w:sz w:val="18"/>
                <w:szCs w:val="18"/>
                <w:color w:val="auto"/>
                <w:w w:val="90"/>
              </w:rPr>
              <w:t>_____________________</w:t>
            </w:r>
          </w:p>
        </w:tc>
      </w:tr>
    </w:tbl>
    <w:p>
      <w:pPr>
        <w:spacing w:after="0" w:line="94" w:lineRule="exact"/>
        <w:rPr>
          <w:sz w:val="24"/>
          <w:szCs w:val="24"/>
          <w:color w:val="auto"/>
        </w:rPr>
      </w:pPr>
    </w:p>
    <w:p>
      <w:pPr>
        <w:ind w:left="460" w:right="679" w:firstLine="432"/>
        <w:spacing w:after="0" w:line="298" w:lineRule="auto"/>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the effective date of this registration statement.</w:t>
      </w:r>
    </w:p>
    <w:p>
      <w:pPr>
        <w:spacing w:after="0" w:line="20" w:lineRule="exact"/>
        <w:rPr>
          <w:sz w:val="24"/>
          <w:szCs w:val="24"/>
          <w:color w:val="auto"/>
        </w:rPr>
      </w:pPr>
    </w:p>
    <w:p>
      <w:pPr>
        <w:ind w:left="460" w:right="719" w:firstLine="432"/>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639" w:firstLine="432"/>
        <w:spacing w:after="0" w:line="213"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1" w:lineRule="exact"/>
        <w:rPr>
          <w:sz w:val="24"/>
          <w:szCs w:val="24"/>
          <w:color w:val="auto"/>
        </w:rPr>
      </w:pPr>
    </w:p>
    <w:p>
      <w:pPr>
        <w:ind w:left="460" w:right="49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8" w:lineRule="exact"/>
        <w:rPr>
          <w:sz w:val="24"/>
          <w:szCs w:val="24"/>
          <w:color w:val="auto"/>
        </w:rPr>
      </w:pPr>
    </w:p>
    <w:p>
      <w:pPr>
        <w:ind w:left="460" w:right="47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8" w:lineRule="exact"/>
        <w:rPr>
          <w:sz w:val="24"/>
          <w:szCs w:val="24"/>
          <w:color w:val="auto"/>
        </w:rPr>
      </w:pPr>
    </w:p>
    <w:p>
      <w:pPr>
        <w:ind w:left="460" w:right="1119" w:firstLine="432"/>
        <w:spacing w:after="0" w:line="29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6" w:lineRule="exact"/>
        <w:rPr>
          <w:sz w:val="24"/>
          <w:szCs w:val="24"/>
          <w:color w:val="auto"/>
        </w:rPr>
      </w:pPr>
    </w:p>
    <w:p>
      <w:pPr>
        <w:jc w:val="both"/>
        <w:ind w:left="460" w:right="799" w:firstLine="432"/>
        <w:spacing w:after="0" w:line="207"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59" w:lineRule="exact"/>
        <w:rPr>
          <w:sz w:val="24"/>
          <w:szCs w:val="24"/>
          <w:color w:val="auto"/>
        </w:rPr>
      </w:pPr>
    </w:p>
    <w:p>
      <w:pPr>
        <w:ind w:left="880" w:right="839" w:hanging="426"/>
        <w:spacing w:after="0" w:line="293" w:lineRule="auto"/>
        <w:tabs>
          <w:tab w:leader="none" w:pos="85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9" w:lineRule="exact"/>
        <w:rPr>
          <w:sz w:val="24"/>
          <w:szCs w:val="24"/>
          <w:color w:val="auto"/>
        </w:rPr>
      </w:pPr>
    </w:p>
    <w:p>
      <w:pPr>
        <w:ind w:left="460" w:right="479" w:firstLine="432"/>
        <w:spacing w:after="0" w:line="294"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838" w:orient="portrait"/>
          <w:cols w:equalWidth="0" w:num="1">
            <w:col w:w="9019"/>
          </w:cols>
          <w:pgMar w:left="1440" w:top="337" w:right="1440" w:bottom="0" w:gutter="0" w:footer="0" w:header="0"/>
        </w:sectPr>
      </w:pPr>
    </w:p>
    <w:bookmarkStart w:id="1" w:name="page2"/>
    <w:bookmarkEnd w:id="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PRELIMINARY PROSPECTUS (Subject to Completion)</w:t>
      </w:r>
    </w:p>
    <w:p>
      <w:pPr>
        <w:spacing w:after="0" w:line="27" w:lineRule="exact"/>
        <w:rPr>
          <w:sz w:val="20"/>
          <w:szCs w:val="20"/>
          <w:color w:val="auto"/>
        </w:rPr>
      </w:pPr>
    </w:p>
    <w:p>
      <w:pPr>
        <w:ind w:left="3780"/>
        <w:spacing w:after="0"/>
        <w:tabs>
          <w:tab w:leader="none" w:pos="4720" w:val="left"/>
        </w:tabs>
        <w:rPr>
          <w:sz w:val="20"/>
          <w:szCs w:val="20"/>
          <w:color w:val="auto"/>
        </w:rPr>
      </w:pPr>
      <w:r>
        <w:rPr>
          <w:rFonts w:ascii="Arial" w:cs="Arial" w:eastAsia="Arial" w:hAnsi="Arial"/>
          <w:sz w:val="18"/>
          <w:szCs w:val="18"/>
          <w:color w:val="D2232A"/>
        </w:rPr>
        <w:t>Dated</w:t>
      </w:r>
      <w:r>
        <w:rPr>
          <w:sz w:val="20"/>
          <w:szCs w:val="20"/>
          <w:color w:val="auto"/>
        </w:rPr>
        <w:tab/>
      </w:r>
      <w:r>
        <w:rPr>
          <w:rFonts w:ascii="Arial" w:cs="Arial" w:eastAsia="Arial" w:hAnsi="Arial"/>
          <w:sz w:val="18"/>
          <w:szCs w:val="18"/>
          <w:color w:val="D2232A"/>
        </w:rPr>
        <w:t>, 2023.</w:t>
      </w:r>
    </w:p>
    <w:p>
      <w:pPr>
        <w:spacing w:after="0" w:line="198" w:lineRule="exact"/>
        <w:rPr>
          <w:sz w:val="20"/>
          <w:szCs w:val="20"/>
          <w:color w:val="auto"/>
        </w:rPr>
      </w:pPr>
    </w:p>
    <w:p>
      <w:pPr>
        <w:ind w:left="3420" w:hanging="609"/>
        <w:spacing w:after="0"/>
        <w:tabs>
          <w:tab w:leader="none" w:pos="34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American Depositary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[Company Logo]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9019"/>
          </w:cols>
          <w:pgMar w:left="1440" w:top="274" w:right="1440" w:bottom="163" w:gutter="0" w:footer="0" w:header="0"/>
        </w:sectPr>
      </w:pPr>
    </w:p>
    <w:p>
      <w:pPr>
        <w:spacing w:after="0" w:line="169"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auto"/>
        </w:rPr>
        <w:t>Representing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Ordinary Shares</w:t>
      </w:r>
    </w:p>
    <w:p>
      <w:pPr>
        <w:spacing w:after="0" w:line="146" w:lineRule="exact"/>
        <w:rPr>
          <w:sz w:val="20"/>
          <w:szCs w:val="20"/>
          <w:color w:val="auto"/>
        </w:rPr>
      </w:pPr>
    </w:p>
    <w:p>
      <w:pPr>
        <w:sectPr>
          <w:pgSz w:w="11900" w:h="16838" w:orient="portrait"/>
          <w:cols w:equalWidth="0" w:num="2">
            <w:col w:w="4660" w:space="720"/>
            <w:col w:w="3639"/>
          </w:cols>
          <w:pgMar w:left="1440" w:top="274" w:right="1440" w:bottom="163" w:gutter="0" w:footer="0" w:header="0"/>
          <w:type w:val="continuous"/>
        </w:sectPr>
      </w:pPr>
    </w:p>
    <w:p>
      <w:pPr>
        <w:ind w:left="3560"/>
        <w:spacing w:after="0"/>
        <w:rPr>
          <w:sz w:val="20"/>
          <w:szCs w:val="20"/>
          <w:color w:val="auto"/>
        </w:rPr>
      </w:pPr>
      <w:r>
        <w:rPr>
          <w:rFonts w:ascii="Arial" w:cs="Arial" w:eastAsia="Arial" w:hAnsi="Arial"/>
          <w:sz w:val="18"/>
          <w:szCs w:val="18"/>
          <w:color w:val="auto"/>
        </w:rPr>
        <w:t>_____________________</w:t>
      </w:r>
    </w:p>
    <w:p>
      <w:pPr>
        <w:spacing w:after="0" w:line="162" w:lineRule="exact"/>
        <w:rPr>
          <w:sz w:val="20"/>
          <w:szCs w:val="20"/>
          <w:color w:val="auto"/>
        </w:rPr>
      </w:pPr>
    </w:p>
    <w:p>
      <w:pPr>
        <w:ind w:left="460" w:right="619" w:firstLine="432"/>
        <w:spacing w:after="0" w:line="278" w:lineRule="auto"/>
        <w:rPr>
          <w:sz w:val="20"/>
          <w:szCs w:val="20"/>
          <w:color w:val="auto"/>
        </w:rPr>
      </w:pPr>
      <w:r>
        <w:rPr>
          <w:rFonts w:ascii="Arial" w:cs="Arial" w:eastAsia="Arial" w:hAnsi="Arial"/>
          <w:sz w:val="16"/>
          <w:szCs w:val="16"/>
          <w:color w:val="auto"/>
        </w:rPr>
        <w:t>This is the initial public offering of American depositary shares, or ADSs, of Trident Digital Tech Holdings Ltd. We are offering ADSs. Each ADS represents Class B ordinary shares, par value US$0.00001 per share. We anticipate that the initial public offering price per ADS will be between US$ and US$ .</w:t>
      </w:r>
    </w:p>
    <w:p>
      <w:pPr>
        <w:sectPr>
          <w:pgSz w:w="11900" w:h="16838" w:orient="portrait"/>
          <w:cols w:equalWidth="0" w:num="1">
            <w:col w:w="9019"/>
          </w:cols>
          <w:pgMar w:left="1440" w:top="274" w:right="1440" w:bottom="163" w:gutter="0" w:footer="0" w:header="0"/>
          <w:type w:val="continuous"/>
        </w:sectPr>
      </w:pPr>
    </w:p>
    <w:p>
      <w:pPr>
        <w:spacing w:after="0" w:line="103"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6"/>
          <w:szCs w:val="16"/>
          <w:color w:val="auto"/>
        </w:rPr>
        <w:t>Prior to this offering, there has been no public market for our ADSs or our Class B ordinary shares. We intend to apply to list the ADSs on the Nasdaq Capital Market under the symbol “TDTH.” We cannot guarantee that we will be successful in listing our ADSs on the Nasdaq Capital Market; however, we will not complete this offering unless we are so listed.</w:t>
      </w:r>
    </w:p>
    <w:p>
      <w:pPr>
        <w:spacing w:after="0" w:line="121"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5"/>
          <w:szCs w:val="15"/>
          <w:color w:val="auto"/>
        </w:rPr>
        <w:t>Following the completion of this offering, our issued and outstanding share capital will consist of [ ] Class A ordinary shares and [ ] Class B ordinary shares. Mr. Soon Huat Lim will beneficially own all of our issued Class A ordinary shares and will be able to exercise [ ]%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w:t>
      </w:r>
    </w:p>
    <w:p>
      <w:pPr>
        <w:spacing w:after="0" w:line="112"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We are an “emerging growth company” under applicable U.S. federal securities laws and are eligible for reduced public company reporting requirements.</w:t>
      </w:r>
    </w:p>
    <w:p>
      <w:pPr>
        <w:spacing w:after="0" w:line="1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Investing in our ADSs involves risks. See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11.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120" w:type="dxa"/>
            <w:vAlign w:val="bottom"/>
          </w:tcPr>
          <w:p>
            <w:pPr>
              <w:ind w:left="2960"/>
              <w:spacing w:after="0"/>
              <w:rPr>
                <w:sz w:val="20"/>
                <w:szCs w:val="20"/>
                <w:color w:val="auto"/>
              </w:rPr>
            </w:pPr>
            <w:r>
              <w:rPr>
                <w:rFonts w:ascii="Arial" w:cs="Arial" w:eastAsia="Arial" w:hAnsi="Arial"/>
                <w:sz w:val="18"/>
                <w:szCs w:val="18"/>
                <w:color w:val="auto"/>
              </w:rPr>
              <w:t>PRICE US$</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PER ADS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3"/>
        </w:trPr>
        <w:tc>
          <w:tcPr>
            <w:tcW w:w="5640" w:type="dxa"/>
            <w:vAlign w:val="bottom"/>
            <w:gridSpan w:val="2"/>
          </w:tcPr>
          <w:p>
            <w:pPr>
              <w:ind w:left="3100"/>
              <w:spacing w:after="0"/>
              <w:rPr>
                <w:sz w:val="20"/>
                <w:szCs w:val="20"/>
                <w:color w:val="auto"/>
              </w:rPr>
            </w:pPr>
            <w:r>
              <w:rPr>
                <w:rFonts w:ascii="Arial" w:cs="Arial" w:eastAsia="Arial" w:hAnsi="Arial"/>
                <w:sz w:val="18"/>
                <w:szCs w:val="18"/>
                <w:color w:val="auto"/>
              </w:rPr>
              <w:t>_____________________</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3"/>
        </w:trPr>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Per ADS</w:t>
            </w:r>
          </w:p>
        </w:tc>
        <w:tc>
          <w:tcPr>
            <w:tcW w:w="80" w:type="dxa"/>
            <w:vAlign w:val="bottom"/>
          </w:tcPr>
          <w:p>
            <w:pPr>
              <w:spacing w:after="0"/>
              <w:rPr>
                <w:sz w:val="24"/>
                <w:szCs w:val="24"/>
                <w:color w:val="auto"/>
              </w:rPr>
            </w:pP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25"/>
        </w:trPr>
        <w:tc>
          <w:tcPr>
            <w:tcW w:w="4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83"/>
        </w:trPr>
        <w:tc>
          <w:tcPr>
            <w:tcW w:w="41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5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gridSpan w:val="2"/>
          </w:tcPr>
          <w:p>
            <w:pPr>
              <w:ind w:left="80"/>
              <w:spacing w:after="0"/>
              <w:rPr>
                <w:sz w:val="20"/>
                <w:szCs w:val="20"/>
                <w:color w:val="auto"/>
              </w:rPr>
            </w:pPr>
            <w:r>
              <w:rPr>
                <w:rFonts w:ascii="Arial" w:cs="Arial" w:eastAsia="Arial" w:hAnsi="Arial"/>
                <w:sz w:val="16"/>
                <w:szCs w:val="16"/>
                <w:color w:val="auto"/>
              </w:rPr>
              <w:t>US$</w:t>
            </w:r>
          </w:p>
        </w:tc>
      </w:tr>
      <w:tr>
        <w:trPr>
          <w:trHeight w:val="264"/>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5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50"/>
        </w:trPr>
        <w:tc>
          <w:tcPr>
            <w:tcW w:w="4120" w:type="dxa"/>
            <w:vAlign w:val="bottom"/>
          </w:tcPr>
          <w:p>
            <w:pPr>
              <w:spacing w:after="0"/>
              <w:rPr>
                <w:sz w:val="20"/>
                <w:szCs w:val="20"/>
                <w:color w:val="auto"/>
              </w:rPr>
            </w:pPr>
            <w:r>
              <w:rPr>
                <w:rFonts w:ascii="Arial" w:cs="Arial" w:eastAsia="Arial" w:hAnsi="Arial"/>
                <w:sz w:val="16"/>
                <w:szCs w:val="16"/>
                <w:color w:val="auto"/>
              </w:rPr>
              <w:t>____________</w:t>
            </w: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82" w:lineRule="exact"/>
        <w:rPr>
          <w:sz w:val="20"/>
          <w:szCs w:val="20"/>
          <w:color w:val="auto"/>
        </w:rPr>
      </w:pPr>
    </w:p>
    <w:p>
      <w:pPr>
        <w:ind w:left="880" w:hanging="426"/>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compensation payable by us.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expect our total cash expenses for this offering (including cash expenses payable to our underwriters for their out-</w:t>
      </w:r>
    </w:p>
    <w:p>
      <w:pPr>
        <w:spacing w:after="0" w:line="45" w:lineRule="exact"/>
        <w:rPr>
          <w:sz w:val="20"/>
          <w:szCs w:val="20"/>
          <w:color w:val="auto"/>
        </w:rPr>
      </w:pPr>
    </w:p>
    <w:p>
      <w:pPr>
        <w:ind w:left="460" w:right="719"/>
        <w:spacing w:after="0" w:line="272" w:lineRule="auto"/>
        <w:rPr>
          <w:sz w:val="20"/>
          <w:szCs w:val="20"/>
          <w:color w:val="auto"/>
        </w:rPr>
      </w:pPr>
      <w:r>
        <w:rPr>
          <w:rFonts w:ascii="Arial" w:cs="Arial" w:eastAsia="Arial" w:hAnsi="Arial"/>
          <w:sz w:val="16"/>
          <w:szCs w:val="16"/>
          <w:color w:val="auto"/>
        </w:rPr>
        <w:t>of-pocket 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spacing w:after="0" w:line="107" w:lineRule="exact"/>
        <w:rPr>
          <w:sz w:val="20"/>
          <w:szCs w:val="20"/>
          <w:color w:val="auto"/>
        </w:rPr>
      </w:pPr>
    </w:p>
    <w:p>
      <w:pPr>
        <w:ind w:left="880"/>
        <w:spacing w:after="0"/>
        <w:tabs>
          <w:tab w:leader="none" w:pos="6220" w:val="left"/>
        </w:tabs>
        <w:rPr>
          <w:sz w:val="20"/>
          <w:szCs w:val="20"/>
          <w:color w:val="auto"/>
        </w:rPr>
      </w:pPr>
      <w:r>
        <w:rPr>
          <w:rFonts w:ascii="Arial" w:cs="Arial" w:eastAsia="Arial" w:hAnsi="Arial"/>
          <w:sz w:val="16"/>
          <w:szCs w:val="16"/>
          <w:color w:val="auto"/>
        </w:rPr>
        <w:t>We have granted the underwriters an option to purchase up to an additional</w:t>
      </w:r>
      <w:r>
        <w:rPr>
          <w:sz w:val="20"/>
          <w:szCs w:val="20"/>
          <w:color w:val="auto"/>
        </w:rPr>
        <w:tab/>
      </w:r>
      <w:r>
        <w:rPr>
          <w:rFonts w:ascii="Arial" w:cs="Arial" w:eastAsia="Arial" w:hAnsi="Arial"/>
          <w:sz w:val="14"/>
          <w:szCs w:val="14"/>
          <w:color w:val="auto"/>
        </w:rPr>
        <w:t>ADSs to cover over-allotments.</w:t>
      </w:r>
    </w:p>
    <w:p>
      <w:pPr>
        <w:spacing w:after="0" w:line="163"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6900" w:type="dxa"/>
            <w:vAlign w:val="bottom"/>
          </w:tcPr>
          <w:p>
            <w:pPr>
              <w:spacing w:after="0"/>
              <w:rPr>
                <w:sz w:val="20"/>
                <w:szCs w:val="20"/>
                <w:color w:val="auto"/>
              </w:rPr>
            </w:pPr>
            <w:r>
              <w:rPr>
                <w:rFonts w:ascii="Arial" w:cs="Arial" w:eastAsia="Arial" w:hAnsi="Arial"/>
                <w:sz w:val="16"/>
                <w:szCs w:val="16"/>
                <w:color w:val="auto"/>
                <w:w w:val="94"/>
              </w:rPr>
              <w:t>The underwriters expect to deliver the ADSs against payment in U.S. dollars to purchasers on or about</w:t>
            </w:r>
          </w:p>
        </w:tc>
        <w:tc>
          <w:tcPr>
            <w:tcW w:w="68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US Tiger Securities, Inc.</w:t>
      </w:r>
    </w:p>
    <w:p>
      <w:pPr>
        <w:spacing w:after="0" w:line="157"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Prospectus dated</w:t>
            </w:r>
          </w:p>
        </w:tc>
        <w:tc>
          <w:tcPr>
            <w:tcW w:w="72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63"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286385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Arial" w:cs="Arial" w:eastAsia="Arial" w:hAnsi="Arial"/>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RISK FACTORS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Arial" w:cs="Arial" w:eastAsia="Arial" w:hAnsi="Arial"/>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USE OF PROCEEDS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CAPITALIZATION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Arial" w:cs="Arial" w:eastAsia="Arial" w:hAnsi="Arial"/>
                <w:sz w:val="18"/>
                <w:szCs w:val="18"/>
                <w:color w:val="0000EE"/>
                <w:w w:val="98"/>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Arial" w:cs="Arial" w:eastAsia="Arial" w:hAnsi="Arial"/>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46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INDUSTRY</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REGULATION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76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108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UNDERWRITING</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118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LEGAL MATTERS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5"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121" w:lineRule="exact"/>
        <w:rPr>
          <w:sz w:val="20"/>
          <w:szCs w:val="20"/>
          <w:color w:val="auto"/>
        </w:rPr>
      </w:pPr>
    </w:p>
    <w:p>
      <w:pPr>
        <w:ind w:left="460" w:right="519" w:firstLine="432"/>
        <w:spacing w:after="0" w:line="251" w:lineRule="auto"/>
        <w:rPr>
          <w:sz w:val="20"/>
          <w:szCs w:val="20"/>
          <w:color w:val="auto"/>
        </w:rPr>
      </w:pPr>
      <w:r>
        <w:rPr>
          <w:rFonts w:ascii="Arial" w:cs="Arial" w:eastAsia="Arial" w:hAnsi="Arial"/>
          <w:sz w:val="18"/>
          <w:szCs w:val="18"/>
          <w:b w:val="1"/>
          <w:bCs w:val="1"/>
          <w:color w:val="auto"/>
        </w:rPr>
        <w:t>Until , 2023 (the 25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07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599" w:firstLine="432"/>
        <w:spacing w:after="0" w:line="291"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40" w:right="1119" w:firstLine="432"/>
        <w:spacing w:after="0" w:line="259" w:lineRule="auto"/>
        <w:rPr>
          <w:sz w:val="20"/>
          <w:szCs w:val="20"/>
          <w:color w:val="auto"/>
        </w:rPr>
      </w:pPr>
      <w:r>
        <w:rPr>
          <w:rFonts w:ascii="Arial" w:cs="Arial" w:eastAsia="Arial" w:hAnsi="Arial"/>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9"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73" w:lineRule="exact"/>
        <w:rPr>
          <w:sz w:val="20"/>
          <w:szCs w:val="20"/>
          <w:color w:val="auto"/>
        </w:rPr>
      </w:pPr>
    </w:p>
    <w:p>
      <w:pPr>
        <w:ind w:left="540" w:right="699" w:firstLine="432"/>
        <w:spacing w:after="0" w:line="311" w:lineRule="auto"/>
        <w:rPr>
          <w:sz w:val="20"/>
          <w:szCs w:val="20"/>
          <w:color w:val="auto"/>
        </w:rPr>
      </w:pPr>
      <w:r>
        <w:rPr>
          <w:rFonts w:ascii="Arial" w:cs="Arial" w:eastAsia="Arial" w:hAnsi="Arial"/>
          <w:sz w:val="16"/>
          <w:szCs w:val="16"/>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41"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400" w:right="659" w:hanging="424"/>
        <w:spacing w:after="0" w:line="275" w:lineRule="auto"/>
        <w:tabs>
          <w:tab w:leader="none" w:pos="139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Business consulting: </w:t>
      </w:r>
      <w:r>
        <w:rPr>
          <w:rFonts w:ascii="Arial" w:cs="Arial" w:eastAsia="Arial" w:hAnsi="Arial"/>
          <w:sz w:val="17"/>
          <w:szCs w:val="17"/>
          <w:color w:val="auto"/>
        </w:rPr>
        <w:t>We support clients to define and deliver technology-enabled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8" w:lineRule="exact"/>
        <w:rPr>
          <w:rFonts w:ascii="Arial" w:cs="Arial" w:eastAsia="Arial" w:hAnsi="Arial"/>
          <w:sz w:val="17"/>
          <w:szCs w:val="17"/>
          <w:color w:val="auto"/>
        </w:rPr>
      </w:pPr>
    </w:p>
    <w:p>
      <w:pPr>
        <w:ind w:left="1400" w:right="639" w:hanging="424"/>
        <w:spacing w:after="0" w:line="279" w:lineRule="auto"/>
        <w:tabs>
          <w:tab w:leader="none" w:pos="139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customization: </w:t>
      </w:r>
      <w:r>
        <w:rPr>
          <w:rFonts w:ascii="Arial" w:cs="Arial" w:eastAsia="Arial" w:hAnsi="Arial"/>
          <w:sz w:val="17"/>
          <w:szCs w:val="17"/>
          <w:color w:val="auto"/>
        </w:rPr>
        <w:t>We offer solutions and services to plan, design, operate, optimize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0"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540" w:right="599" w:firstLine="432"/>
        <w:spacing w:after="0" w:line="255" w:lineRule="auto"/>
        <w:rPr>
          <w:sz w:val="20"/>
          <w:szCs w:val="20"/>
          <w:color w:val="auto"/>
        </w:rPr>
      </w:pPr>
      <w:r>
        <w:rPr>
          <w:rFonts w:ascii="Arial" w:cs="Arial" w:eastAsia="Arial" w:hAnsi="Arial"/>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79"/>
        <w:spacing w:after="0" w:line="263" w:lineRule="auto"/>
        <w:rPr>
          <w:sz w:val="20"/>
          <w:szCs w:val="20"/>
          <w:color w:val="auto"/>
        </w:rPr>
      </w:pPr>
      <w:r>
        <w:rPr>
          <w:rFonts w:ascii="Arial" w:cs="Arial" w:eastAsia="Arial" w:hAnsi="Arial"/>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16" w:lineRule="exact"/>
        <w:rPr>
          <w:sz w:val="20"/>
          <w:szCs w:val="20"/>
          <w:color w:val="auto"/>
        </w:rPr>
      </w:pPr>
    </w:p>
    <w:p>
      <w:pPr>
        <w:ind w:left="540" w:right="559" w:firstLine="432"/>
        <w:spacing w:after="0" w:line="268" w:lineRule="auto"/>
        <w:rPr>
          <w:sz w:val="20"/>
          <w:szCs w:val="20"/>
          <w:color w:val="auto"/>
        </w:rPr>
      </w:pPr>
      <w:r>
        <w:rPr>
          <w:rFonts w:ascii="Arial" w:cs="Arial" w:eastAsia="Arial" w:hAnsi="Arial"/>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77"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leading digital transformation enabler in the SME segment of the e-commerce enablement and digital optimizing services market in Singapore;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technology architecture;</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unique perspective and efficient operational capabilities; and</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a generational shift to Web 3.0;</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and grow our client base;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 our geographical reach;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58" w:lineRule="exact"/>
        <w:rPr>
          <w:sz w:val="20"/>
          <w:szCs w:val="20"/>
          <w:color w:val="auto"/>
        </w:rPr>
      </w:pPr>
    </w:p>
    <w:p>
      <w:pPr>
        <w:ind w:left="1400" w:right="759" w:hanging="424"/>
        <w:spacing w:after="0" w:line="308" w:lineRule="auto"/>
        <w:tabs>
          <w:tab w:leader="none" w:pos="139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rapid growth may not be sustainable or indicative of our future growth. Our business could be harmed if we fail to manage our infrastructure to support future growth.</w:t>
      </w:r>
    </w:p>
    <w:p>
      <w:pPr>
        <w:spacing w:after="0" w:line="65" w:lineRule="exact"/>
        <w:rPr>
          <w:rFonts w:ascii="Arial" w:cs="Arial" w:eastAsia="Arial" w:hAnsi="Arial"/>
          <w:sz w:val="17"/>
          <w:szCs w:val="17"/>
          <w:color w:val="auto"/>
        </w:rPr>
      </w:pPr>
    </w:p>
    <w:p>
      <w:pPr>
        <w:ind w:left="1400" w:right="57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16" w:lineRule="exact"/>
        <w:rPr>
          <w:rFonts w:ascii="Arial" w:cs="Arial" w:eastAsia="Arial" w:hAnsi="Arial"/>
          <w:sz w:val="18"/>
          <w:szCs w:val="18"/>
          <w:color w:val="auto"/>
        </w:rPr>
      </w:pPr>
    </w:p>
    <w:p>
      <w:pPr>
        <w:ind w:left="1400" w:right="579" w:hanging="424"/>
        <w:spacing w:after="0" w:line="342" w:lineRule="auto"/>
        <w:tabs>
          <w:tab w:leader="none" w:pos="13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4" w:right="1440" w:bottom="1440" w:gutter="0" w:footer="0" w:header="0"/>
          <w:type w:val="continuous"/>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83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16" w:lineRule="exact"/>
        <w:rPr>
          <w:rFonts w:ascii="Arial" w:cs="Arial" w:eastAsia="Arial" w:hAnsi="Arial"/>
          <w:sz w:val="18"/>
          <w:szCs w:val="18"/>
          <w:color w:val="auto"/>
        </w:rPr>
      </w:pPr>
    </w:p>
    <w:p>
      <w:pPr>
        <w:ind w:left="1400" w:right="63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2" w:lineRule="exact"/>
        <w:rPr>
          <w:rFonts w:ascii="Arial" w:cs="Arial" w:eastAsia="Arial" w:hAnsi="Arial"/>
          <w:sz w:val="18"/>
          <w:szCs w:val="18"/>
          <w:color w:val="auto"/>
        </w:rPr>
      </w:pPr>
    </w:p>
    <w:p>
      <w:pPr>
        <w:ind w:left="1400" w:right="73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might not implement our growth strategies successfully which would limit our growth and cause the market price of our ADS to decline.</w:t>
      </w:r>
    </w:p>
    <w:p>
      <w:pPr>
        <w:spacing w:after="0" w:line="102" w:lineRule="exact"/>
        <w:rPr>
          <w:rFonts w:ascii="Arial" w:cs="Arial" w:eastAsia="Arial" w:hAnsi="Arial"/>
          <w:sz w:val="18"/>
          <w:szCs w:val="18"/>
          <w:color w:val="auto"/>
        </w:rPr>
      </w:pPr>
    </w:p>
    <w:p>
      <w:pPr>
        <w:ind w:left="1400" w:right="83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infrastructure may adversely affect our business, results of operations and financial condition.</w:t>
      </w:r>
    </w:p>
    <w:p>
      <w:pPr>
        <w:spacing w:after="0" w:line="89" w:lineRule="exact"/>
        <w:rPr>
          <w:rFonts w:ascii="Arial" w:cs="Arial" w:eastAsia="Arial" w:hAnsi="Arial"/>
          <w:sz w:val="18"/>
          <w:szCs w:val="18"/>
          <w:color w:val="auto"/>
        </w:rPr>
      </w:pPr>
    </w:p>
    <w:p>
      <w:pPr>
        <w:ind w:left="1400" w:right="1019" w:hanging="424"/>
        <w:spacing w:after="0" w:line="308" w:lineRule="auto"/>
        <w:tabs>
          <w:tab w:leader="none" w:pos="13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depend on the reliable performance of Internet infrastructure, bandwidth providers, data center providers, cloud providers, mobile infrastructure, and other third parties.</w:t>
      </w:r>
    </w:p>
    <w:p>
      <w:pPr>
        <w:spacing w:after="0" w:line="78" w:lineRule="exact"/>
        <w:rPr>
          <w:rFonts w:ascii="Arial" w:cs="Arial" w:eastAsia="Arial" w:hAnsi="Arial"/>
          <w:sz w:val="17"/>
          <w:szCs w:val="17"/>
          <w:color w:val="auto"/>
        </w:rPr>
      </w:pPr>
    </w:p>
    <w:p>
      <w:pPr>
        <w:ind w:left="1400" w:right="75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16" w:lineRule="exact"/>
        <w:rPr>
          <w:rFonts w:ascii="Arial" w:cs="Arial" w:eastAsia="Arial" w:hAnsi="Arial"/>
          <w:sz w:val="18"/>
          <w:szCs w:val="18"/>
          <w:color w:val="auto"/>
        </w:rPr>
      </w:pPr>
    </w:p>
    <w:p>
      <w:pPr>
        <w:ind w:left="1400" w:right="99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intellectual property or proprietary rights could substantially harm our business and results of operations.</w:t>
      </w:r>
    </w:p>
    <w:p>
      <w:pPr>
        <w:spacing w:after="0" w:line="89" w:lineRule="exact"/>
        <w:rPr>
          <w:rFonts w:ascii="Arial" w:cs="Arial" w:eastAsia="Arial" w:hAnsi="Arial"/>
          <w:sz w:val="18"/>
          <w:szCs w:val="18"/>
          <w:color w:val="auto"/>
        </w:rPr>
      </w:pPr>
    </w:p>
    <w:p>
      <w:pPr>
        <w:ind w:left="1400" w:right="639" w:hanging="424"/>
        <w:spacing w:after="0" w:line="259"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rFonts w:ascii="Arial" w:cs="Arial" w:eastAsia="Arial" w:hAnsi="Arial"/>
          <w:sz w:val="18"/>
          <w:szCs w:val="18"/>
          <w:color w:val="auto"/>
        </w:rPr>
      </w:pPr>
    </w:p>
    <w:p>
      <w:pPr>
        <w:jc w:val="both"/>
        <w:ind w:left="1400" w:right="77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rFonts w:ascii="Arial" w:cs="Arial" w:eastAsia="Arial" w:hAnsi="Arial"/>
          <w:sz w:val="18"/>
          <w:szCs w:val="18"/>
          <w:color w:val="auto"/>
        </w:rPr>
      </w:pPr>
    </w:p>
    <w:p>
      <w:pPr>
        <w:ind w:left="1400" w:right="67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2" w:lineRule="exact"/>
        <w:rPr>
          <w:rFonts w:ascii="Arial" w:cs="Arial" w:eastAsia="Arial" w:hAnsi="Arial"/>
          <w:sz w:val="18"/>
          <w:szCs w:val="18"/>
          <w:color w:val="auto"/>
        </w:rPr>
      </w:pPr>
    </w:p>
    <w:p>
      <w:pPr>
        <w:ind w:left="1400" w:right="59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the Jurisdictions Where We Operate</w:t>
      </w:r>
    </w:p>
    <w:p>
      <w:pPr>
        <w:spacing w:after="0" w:line="158" w:lineRule="exact"/>
        <w:rPr>
          <w:sz w:val="20"/>
          <w:szCs w:val="20"/>
          <w:color w:val="auto"/>
        </w:rPr>
      </w:pPr>
    </w:p>
    <w:p>
      <w:pPr>
        <w:jc w:val="both"/>
        <w:ind w:left="1400" w:right="659" w:hanging="424"/>
        <w:spacing w:after="0" w:line="286" w:lineRule="auto"/>
        <w:tabs>
          <w:tab w:leader="none" w:pos="139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7" w:lineRule="exact"/>
        <w:rPr>
          <w:rFonts w:ascii="Arial" w:cs="Arial" w:eastAsia="Arial" w:hAnsi="Arial"/>
          <w:sz w:val="17"/>
          <w:szCs w:val="17"/>
          <w:color w:val="auto"/>
        </w:rPr>
      </w:pPr>
    </w:p>
    <w:p>
      <w:pPr>
        <w:ind w:left="1400" w:right="91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in respect of acts of war, terrorist attacks, epidemics, political unrest, natural disasters, adverse weather and other uncontrollable events.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ADSs and This Offering</w:t>
      </w:r>
    </w:p>
    <w:p>
      <w:pPr>
        <w:spacing w:after="0" w:line="144" w:lineRule="exact"/>
        <w:rPr>
          <w:sz w:val="20"/>
          <w:szCs w:val="20"/>
          <w:color w:val="auto"/>
        </w:rPr>
      </w:pPr>
    </w:p>
    <w:p>
      <w:pPr>
        <w:ind w:left="1400" w:right="81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active trading market for our ordinary shares or our ADSs may not develop and the trading price for our ADSs may fluctuate significantly.</w:t>
      </w:r>
    </w:p>
    <w:p>
      <w:pPr>
        <w:spacing w:after="0" w:line="102" w:lineRule="exact"/>
        <w:rPr>
          <w:rFonts w:ascii="Arial" w:cs="Arial" w:eastAsia="Arial" w:hAnsi="Arial"/>
          <w:sz w:val="18"/>
          <w:szCs w:val="18"/>
          <w:color w:val="auto"/>
        </w:rPr>
      </w:pPr>
    </w:p>
    <w:p>
      <w:pPr>
        <w:ind w:left="1400" w:right="95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10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pacing w:after="0" w:line="327" w:lineRule="exact"/>
        <w:rPr>
          <w:sz w:val="20"/>
          <w:szCs w:val="20"/>
          <w:color w:val="auto"/>
        </w:rPr>
      </w:pPr>
    </w:p>
    <w:p>
      <w:pPr>
        <w:ind w:left="1400" w:right="719" w:hanging="424"/>
        <w:spacing w:after="0" w:line="286" w:lineRule="auto"/>
        <w:tabs>
          <w:tab w:leader="none" w:pos="13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7" w:lineRule="exact"/>
        <w:rPr>
          <w:rFonts w:ascii="Arial" w:cs="Arial" w:eastAsia="Arial" w:hAnsi="Arial"/>
          <w:sz w:val="17"/>
          <w:szCs w:val="17"/>
          <w:color w:val="auto"/>
        </w:rPr>
      </w:pPr>
    </w:p>
    <w:p>
      <w:pPr>
        <w:ind w:left="1400" w:right="579" w:hanging="424"/>
        <w:spacing w:after="0" w:line="286" w:lineRule="auto"/>
        <w:tabs>
          <w:tab w:leader="none" w:pos="13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History and Structure</w:t>
      </w:r>
    </w:p>
    <w:p>
      <w:pPr>
        <w:spacing w:after="0" w:line="148"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9" w:lineRule="exact"/>
        <w:rPr>
          <w:sz w:val="20"/>
          <w:szCs w:val="20"/>
          <w:color w:val="auto"/>
        </w:rPr>
      </w:pPr>
    </w:p>
    <w:p>
      <w:pPr>
        <w:ind w:left="540" w:right="659" w:firstLine="432"/>
        <w:spacing w:after="0" w:line="275" w:lineRule="auto"/>
        <w:rPr>
          <w:sz w:val="20"/>
          <w:szCs w:val="20"/>
          <w:color w:val="auto"/>
        </w:rPr>
      </w:pPr>
      <w:r>
        <w:rPr>
          <w:rFonts w:ascii="Arial" w:cs="Arial" w:eastAsia="Arial" w:hAnsi="Arial"/>
          <w:sz w:val="17"/>
          <w:szCs w:val="17"/>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09" w:lineRule="exact"/>
        <w:rPr>
          <w:sz w:val="20"/>
          <w:szCs w:val="20"/>
          <w:color w:val="auto"/>
        </w:rPr>
      </w:pPr>
    </w:p>
    <w:p>
      <w:pPr>
        <w:ind w:left="540" w:right="719" w:firstLine="432"/>
        <w:spacing w:after="0" w:line="263" w:lineRule="auto"/>
        <w:rPr>
          <w:sz w:val="20"/>
          <w:szCs w:val="20"/>
          <w:color w:val="auto"/>
        </w:rPr>
      </w:pPr>
      <w:r>
        <w:rPr>
          <w:rFonts w:ascii="Arial" w:cs="Arial" w:eastAsia="Arial" w:hAnsi="Arial"/>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68" w:lineRule="auto"/>
        <w:rPr>
          <w:sz w:val="20"/>
          <w:szCs w:val="20"/>
          <w:color w:val="auto"/>
        </w:rPr>
      </w:pPr>
      <w:r>
        <w:rPr>
          <w:rFonts w:ascii="Arial" w:cs="Arial" w:eastAsia="Arial" w:hAnsi="Arial"/>
          <w:sz w:val="17"/>
          <w:szCs w:val="17"/>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8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the completion of this offering, Mr. Soon Huat Lim, our founder, chairman of board of directors</w:t>
      </w:r>
    </w:p>
    <w:p>
      <w:pPr>
        <w:spacing w:after="0" w:line="46" w:lineRule="exact"/>
        <w:rPr>
          <w:sz w:val="20"/>
          <w:szCs w:val="20"/>
          <w:color w:val="auto"/>
        </w:rPr>
      </w:pPr>
    </w:p>
    <w:p>
      <w:pPr>
        <w:ind w:left="540"/>
        <w:spacing w:after="0"/>
        <w:tabs>
          <w:tab w:leader="none" w:pos="4660" w:val="left"/>
        </w:tabs>
        <w:rPr>
          <w:sz w:val="20"/>
          <w:szCs w:val="20"/>
          <w:color w:val="auto"/>
        </w:rPr>
      </w:pPr>
      <w:r>
        <w:rPr>
          <w:rFonts w:ascii="Arial" w:cs="Arial" w:eastAsia="Arial" w:hAnsi="Arial"/>
          <w:sz w:val="18"/>
          <w:szCs w:val="18"/>
          <w:color w:val="auto"/>
        </w:rPr>
        <w:t>and chief executive officer will beneficially own [</w:t>
      </w:r>
      <w:r>
        <w:rPr>
          <w:sz w:val="20"/>
          <w:szCs w:val="20"/>
          <w:color w:val="auto"/>
        </w:rPr>
        <w:tab/>
      </w:r>
      <w:r>
        <w:rPr>
          <w:rFonts w:ascii="Arial" w:cs="Arial" w:eastAsia="Arial" w:hAnsi="Arial"/>
          <w:sz w:val="16"/>
          <w:szCs w:val="16"/>
          <w:color w:val="auto"/>
        </w:rPr>
        <w:t>]% of our total issued and outstanding ordinary</w:t>
      </w:r>
    </w:p>
    <w:p>
      <w:pPr>
        <w:spacing w:after="0" w:line="9" w:lineRule="exact"/>
        <w:rPr>
          <w:sz w:val="20"/>
          <w:szCs w:val="20"/>
          <w:color w:val="auto"/>
        </w:rPr>
      </w:pPr>
    </w:p>
    <w:p>
      <w:pPr>
        <w:ind w:left="540"/>
        <w:spacing w:after="0"/>
        <w:tabs>
          <w:tab w:leader="none" w:pos="2600" w:val="left"/>
        </w:tabs>
        <w:rPr>
          <w:sz w:val="20"/>
          <w:szCs w:val="20"/>
          <w:color w:val="auto"/>
        </w:rPr>
      </w:pPr>
      <w:r>
        <w:rPr>
          <w:rFonts w:ascii="Arial" w:cs="Arial" w:eastAsia="Arial" w:hAnsi="Arial"/>
          <w:sz w:val="18"/>
          <w:szCs w:val="18"/>
          <w:color w:val="auto"/>
        </w:rPr>
        <w:t>shares, representing [</w:t>
      </w:r>
      <w:r>
        <w:rPr>
          <w:sz w:val="20"/>
          <w:szCs w:val="20"/>
          <w:color w:val="auto"/>
        </w:rPr>
        <w:tab/>
      </w:r>
      <w:r>
        <w:rPr>
          <w:rFonts w:ascii="Arial" w:cs="Arial" w:eastAsia="Arial" w:hAnsi="Arial"/>
          <w:sz w:val="16"/>
          <w:szCs w:val="16"/>
          <w:color w:val="auto"/>
        </w:rPr>
        <w:t>]% of the total voting power, assuming that the underwriters do not exercise their</w:t>
      </w:r>
    </w:p>
    <w:p>
      <w:pPr>
        <w:spacing w:after="0" w:line="9" w:lineRule="exact"/>
        <w:rPr>
          <w:sz w:val="20"/>
          <w:szCs w:val="20"/>
          <w:color w:val="auto"/>
        </w:rPr>
      </w:pPr>
    </w:p>
    <w:p>
      <w:pPr>
        <w:ind w:left="540"/>
        <w:spacing w:after="0"/>
        <w:tabs>
          <w:tab w:leader="none" w:pos="2980" w:val="left"/>
        </w:tabs>
        <w:rPr>
          <w:sz w:val="20"/>
          <w:szCs w:val="20"/>
          <w:color w:val="auto"/>
        </w:rPr>
      </w:pPr>
      <w:r>
        <w:rPr>
          <w:rFonts w:ascii="Arial" w:cs="Arial" w:eastAsia="Arial" w:hAnsi="Arial"/>
          <w:sz w:val="18"/>
          <w:szCs w:val="18"/>
          <w:color w:val="auto"/>
        </w:rPr>
        <w:t>over-allotment option, or [</w:t>
      </w:r>
      <w:r>
        <w:rPr>
          <w:sz w:val="20"/>
          <w:szCs w:val="20"/>
          <w:color w:val="auto"/>
        </w:rPr>
        <w:tab/>
      </w:r>
      <w:r>
        <w:rPr>
          <w:rFonts w:ascii="Arial" w:cs="Arial" w:eastAsia="Arial" w:hAnsi="Arial"/>
          <w:sz w:val="16"/>
          <w:szCs w:val="16"/>
          <w:color w:val="auto"/>
        </w:rPr>
        <w:t>]% of our total issued and outstanding ordinary shares, representing</w:t>
      </w:r>
    </w:p>
    <w:p>
      <w:pPr>
        <w:spacing w:after="0" w:line="9" w:lineRule="exact"/>
        <w:rPr>
          <w:sz w:val="20"/>
          <w:szCs w:val="20"/>
          <w:color w:val="auto"/>
        </w:rPr>
      </w:pPr>
    </w:p>
    <w:p>
      <w:pPr>
        <w:ind w:left="540" w:right="619" w:firstLine="4"/>
        <w:spacing w:after="0" w:line="268"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of the total voting power, assuming that the over-allotment option is exercised in full.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48"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1" w:lineRule="exact"/>
        <w:rPr>
          <w:sz w:val="20"/>
          <w:szCs w:val="20"/>
          <w:color w:val="auto"/>
        </w:rPr>
      </w:pPr>
    </w:p>
    <w:p>
      <w:pPr>
        <w:ind w:left="540" w:right="579"/>
        <w:spacing w:after="0" w:line="252" w:lineRule="auto"/>
        <w:rPr>
          <w:sz w:val="20"/>
          <w:szCs w:val="20"/>
          <w:color w:val="auto"/>
        </w:rPr>
      </w:pPr>
      <w:r>
        <w:rPr>
          <w:rFonts w:ascii="Arial" w:cs="Arial" w:eastAsia="Arial" w:hAnsi="Arial"/>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540" w:right="659" w:firstLine="432"/>
        <w:spacing w:after="0" w:line="278" w:lineRule="auto"/>
        <w:rPr>
          <w:sz w:val="20"/>
          <w:szCs w:val="20"/>
          <w:color w:val="auto"/>
        </w:rPr>
      </w:pPr>
      <w:r>
        <w:rPr>
          <w:rFonts w:ascii="Arial" w:cs="Arial" w:eastAsia="Arial" w:hAnsi="Arial"/>
          <w:sz w:val="17"/>
          <w:szCs w:val="17"/>
          <w:color w:val="auto"/>
        </w:rPr>
        <w:t>Our principal executive office is located at Suntec Tower 3, 8 Temasek Boulevard Road, #24-03, Singapore, 038988. Our telephone number at this address is +65 8813 1312. Our registered office in the Cayman Islands is located at the Office of Sertus Incorporations (Cayman) Limited, Sertus Chambers, Governors Square, Suite # 5-204, 23 Lime Tree Bay Avenue, P.O. Box 2547, Grand Cayman, KY1-1104, Cayman Islands. Our agent for service of process in the United States is Cogency Global Inc., located at 122 East 42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Street, 18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New York, NY 10168.</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Investors should contact us for any inquiries through the address and telephone number of our principal</w:t>
      </w:r>
    </w:p>
    <w:p>
      <w:pPr>
        <w:spacing w:after="0" w:line="46" w:lineRule="exact"/>
        <w:rPr>
          <w:sz w:val="20"/>
          <w:szCs w:val="20"/>
          <w:color w:val="auto"/>
        </w:rPr>
      </w:pPr>
    </w:p>
    <w:p>
      <w:pPr>
        <w:ind w:left="540" w:right="919"/>
        <w:spacing w:after="0" w:line="260" w:lineRule="auto"/>
        <w:rPr>
          <w:sz w:val="20"/>
          <w:szCs w:val="20"/>
          <w:color w:val="auto"/>
        </w:rPr>
      </w:pPr>
      <w:r>
        <w:rPr>
          <w:rFonts w:ascii="Arial" w:cs="Arial" w:eastAsia="Arial" w:hAnsi="Arial"/>
          <w:sz w:val="18"/>
          <w:szCs w:val="18"/>
          <w:color w:val="auto"/>
        </w:rPr>
        <w:t>executive offices. Our website is [ ]. The information contained on our website is not a part of this prospectus.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“ADRs” refers to the American depositary receipts that evidence our ADSs;</w:t>
      </w:r>
    </w:p>
    <w:p>
      <w:pPr>
        <w:spacing w:after="0" w:line="158" w:lineRule="exact"/>
        <w:rPr>
          <w:sz w:val="20"/>
          <w:szCs w:val="20"/>
          <w:color w:val="auto"/>
        </w:rPr>
      </w:pPr>
    </w:p>
    <w:p>
      <w:pPr>
        <w:ind w:left="980"/>
        <w:spacing w:after="0"/>
        <w:tabs>
          <w:tab w:leader="none" w:pos="1380" w:val="left"/>
          <w:tab w:leader="none" w:pos="7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“ADSs” refers to our American depositary shares, each of which represents</w:t>
      </w:r>
      <w:r>
        <w:rPr>
          <w:sz w:val="20"/>
          <w:szCs w:val="20"/>
          <w:color w:val="auto"/>
        </w:rPr>
        <w:tab/>
      </w:r>
      <w:r>
        <w:rPr>
          <w:rFonts w:ascii="Arial" w:cs="Arial" w:eastAsia="Arial" w:hAnsi="Arial"/>
          <w:sz w:val="15"/>
          <w:szCs w:val="15"/>
          <w:color w:val="auto"/>
        </w:rPr>
        <w:t>Class B</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ordinary shares;</w:t>
      </w:r>
    </w:p>
    <w:p>
      <w:pPr>
        <w:spacing w:after="0" w:line="130" w:lineRule="exact"/>
        <w:rPr>
          <w:sz w:val="20"/>
          <w:szCs w:val="20"/>
          <w:color w:val="auto"/>
        </w:rPr>
      </w:pPr>
    </w:p>
    <w:p>
      <w:pPr>
        <w:ind w:left="1400" w:hanging="42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ectPr>
          <w:pgSz w:w="11900" w:h="16838" w:orient="portrait"/>
          <w:cols w:equalWidth="0" w:num="1">
            <w:col w:w="9019"/>
          </w:cols>
          <w:pgMar w:left="1440" w:top="274"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824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5824855"/>
                    </a:xfrm>
                    <a:prstGeom prst="rect">
                      <a:avLst/>
                    </a:prstGeom>
                    <a:noFill/>
                  </pic:spPr>
                </pic:pic>
              </a:graphicData>
            </a:graphic>
          </wp:anchor>
        </w:drawing>
      </w:r>
    </w:p>
    <w:p>
      <w:pPr>
        <w:spacing w:after="0" w:line="327" w:lineRule="exact"/>
        <w:rPr>
          <w:sz w:val="20"/>
          <w:szCs w:val="20"/>
          <w:color w:val="auto"/>
        </w:rPr>
      </w:pPr>
    </w:p>
    <w:p>
      <w:pPr>
        <w:ind w:left="1400" w:hanging="424"/>
        <w:spacing w:after="0"/>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“Class A ordinary shares” refers to our Class A ordinary shares, par value US$0.00001 per share;</w:t>
      </w:r>
    </w:p>
    <w:p>
      <w:pPr>
        <w:spacing w:after="0" w:line="180" w:lineRule="exact"/>
        <w:rPr>
          <w:rFonts w:ascii="Arial" w:cs="Arial" w:eastAsia="Arial" w:hAnsi="Arial"/>
          <w:sz w:val="16"/>
          <w:szCs w:val="16"/>
          <w:color w:val="auto"/>
        </w:rPr>
      </w:pPr>
    </w:p>
    <w:p>
      <w:pPr>
        <w:ind w:left="1400" w:hanging="424"/>
        <w:spacing w:after="0"/>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“Class B ordinary shares” refers to our Class B ordinary shares, par value US$0.00001 per share;</w:t>
      </w:r>
    </w:p>
    <w:p>
      <w:pPr>
        <w:spacing w:after="0" w:line="167" w:lineRule="exact"/>
        <w:rPr>
          <w:rFonts w:ascii="Arial" w:cs="Arial" w:eastAsia="Arial" w:hAnsi="Arial"/>
          <w:sz w:val="16"/>
          <w:szCs w:val="16"/>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“GDP” refers to gross domestic product;</w:t>
      </w:r>
    </w:p>
    <w:p>
      <w:pPr>
        <w:spacing w:after="0" w:line="157" w:lineRule="exact"/>
        <w:rPr>
          <w:rFonts w:ascii="Arial" w:cs="Arial" w:eastAsia="Arial" w:hAnsi="Arial"/>
          <w:sz w:val="18"/>
          <w:szCs w:val="18"/>
          <w:color w:val="auto"/>
        </w:rPr>
      </w:pPr>
    </w:p>
    <w:p>
      <w:pPr>
        <w:ind w:left="1400" w:right="1279" w:hanging="424"/>
        <w:spacing w:after="0" w:line="342" w:lineRule="auto"/>
        <w:tabs>
          <w:tab w:leader="none" w:pos="13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“IMDA” refers to Infocomm Media Development Authority, a statutory board under the Singapore Ministry of Communications and Information of the Republic of Singapore;</w:t>
      </w:r>
    </w:p>
    <w:p>
      <w:pPr>
        <w:spacing w:after="0" w:line="56" w:lineRule="exact"/>
        <w:rPr>
          <w:rFonts w:ascii="Arial" w:cs="Arial" w:eastAsia="Arial" w:hAnsi="Arial"/>
          <w:sz w:val="16"/>
          <w:szCs w:val="16"/>
          <w:color w:val="auto"/>
        </w:rPr>
      </w:pPr>
    </w:p>
    <w:p>
      <w:pPr>
        <w:ind w:left="1400" w:right="779" w:hanging="424"/>
        <w:spacing w:after="0" w:line="277" w:lineRule="auto"/>
        <w:tabs>
          <w:tab w:leader="none" w:pos="1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shares” refers to our Class A and Class B ordinary shares, par value US$0.00001 per share;</w:t>
      </w:r>
    </w:p>
    <w:p>
      <w:pPr>
        <w:spacing w:after="0" w:line="89" w:lineRule="exact"/>
        <w:rPr>
          <w:rFonts w:ascii="Arial" w:cs="Arial" w:eastAsia="Arial" w:hAnsi="Arial"/>
          <w:sz w:val="18"/>
          <w:szCs w:val="18"/>
          <w:color w:val="auto"/>
        </w:rPr>
      </w:pPr>
    </w:p>
    <w:p>
      <w:pPr>
        <w:ind w:left="1400" w:right="659" w:hanging="424"/>
        <w:spacing w:after="0" w:line="277" w:lineRule="auto"/>
        <w:tabs>
          <w:tab w:leader="none" w:pos="1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“QZT” refers to Quality Zone Technologies Pte. Ltd., a company incorporated in Singapore, and a direct wholly-owned subsidiary of our Company;</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 or “SGD” refers to the Singapore dollar, the legal currency of Singapore;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refers to the United States Securities and Exchange Commission;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“Singapore” refers to the Republic of Singapore;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“SME” refers to small and medium enterprises;</w:t>
      </w:r>
    </w:p>
    <w:p>
      <w:pPr>
        <w:spacing w:after="0" w:line="157" w:lineRule="exact"/>
        <w:rPr>
          <w:rFonts w:ascii="Arial" w:cs="Arial" w:eastAsia="Arial" w:hAnsi="Arial"/>
          <w:sz w:val="18"/>
          <w:szCs w:val="18"/>
          <w:color w:val="auto"/>
        </w:rPr>
      </w:pPr>
    </w:p>
    <w:p>
      <w:pPr>
        <w:ind w:left="1400" w:right="559" w:hanging="424"/>
        <w:spacing w:after="0" w:line="301" w:lineRule="auto"/>
        <w:tabs>
          <w:tab w:leader="none" w:pos="13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76" w:lineRule="exact"/>
        <w:rPr>
          <w:rFonts w:ascii="Arial" w:cs="Arial" w:eastAsia="Arial" w:hAnsi="Arial"/>
          <w:sz w:val="16"/>
          <w:szCs w:val="16"/>
          <w:color w:val="auto"/>
        </w:rPr>
      </w:pPr>
    </w:p>
    <w:p>
      <w:pPr>
        <w:ind w:left="1400" w:right="1339" w:hanging="424"/>
        <w:spacing w:after="0" w:line="308" w:lineRule="auto"/>
        <w:tabs>
          <w:tab w:leader="none" w:pos="13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“Trident Singapore” refers to Trident Digital Tech Pte. Ltd., a company incorporated in Singapore, and an indirect wholly-owned subsidiary of our Company;</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 “dollars,” or “U.S. dollars” refers to the legal currency of the United States;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GAAP” refers to generally accepted accounting principles in the United States; and</w:t>
      </w:r>
    </w:p>
    <w:p>
      <w:pPr>
        <w:spacing w:after="0" w:line="144" w:lineRule="exact"/>
        <w:rPr>
          <w:rFonts w:ascii="Arial" w:cs="Arial" w:eastAsia="Arial" w:hAnsi="Arial"/>
          <w:sz w:val="18"/>
          <w:szCs w:val="18"/>
          <w:color w:val="auto"/>
        </w:rPr>
      </w:pPr>
    </w:p>
    <w:p>
      <w:pPr>
        <w:ind w:left="1400" w:right="599" w:hanging="424"/>
        <w:spacing w:after="0" w:line="277" w:lineRule="auto"/>
        <w:tabs>
          <w:tab w:leader="none" w:pos="1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 “our company,” the “Company,” “Trident Cayman” and “our” refer to Trident Digital Tech Holdings Ltd, a Cayman Islands company and its subsidiaries.</w:t>
      </w:r>
    </w:p>
    <w:p>
      <w:pPr>
        <w:spacing w:after="0" w:line="103"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9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540" w:right="619" w:firstLine="432"/>
        <w:spacing w:after="0" w:line="277" w:lineRule="auto"/>
        <w:rPr>
          <w:sz w:val="20"/>
          <w:szCs w:val="20"/>
          <w:color w:val="auto"/>
        </w:rPr>
      </w:pPr>
      <w:r>
        <w:rPr>
          <w:rFonts w:ascii="Arial" w:cs="Arial" w:eastAsia="Arial" w:hAnsi="Arial"/>
          <w:sz w:val="18"/>
          <w:szCs w:val="18"/>
          <w:color w:val="auto"/>
        </w:rPr>
        <w:t>The following assumes that the underwriters will not exercise their option to purchase additional ADSs in the offering, unless otherwise indicated.</w:t>
      </w:r>
    </w:p>
    <w:p>
      <w:pPr>
        <w:sectPr>
          <w:pgSz w:w="11900" w:h="16838" w:orient="portrait"/>
          <w:cols w:equalWidth="0" w:num="1">
            <w:col w:w="9019"/>
          </w:cols>
          <w:pgMar w:left="1440" w:top="274" w:right="1440" w:bottom="1440" w:gutter="0" w:footer="0" w:header="0"/>
          <w:type w:val="continuous"/>
        </w:sectPr>
      </w:pP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ADSs offered by us</w:t>
      </w:r>
    </w:p>
    <w:p>
      <w:pPr>
        <w:spacing w:after="0" w:line="200" w:lineRule="exact"/>
        <w:rPr>
          <w:sz w:val="20"/>
          <w:szCs w:val="20"/>
          <w:color w:val="auto"/>
        </w:rPr>
      </w:pPr>
    </w:p>
    <w:p>
      <w:pPr>
        <w:spacing w:after="0" w:line="21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ADSs Outstanding immediately after this offering</w:t>
      </w:r>
    </w:p>
    <w:p>
      <w:pPr>
        <w:spacing w:after="0" w:line="359"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initial public offering price will be between</w:t>
      </w:r>
    </w:p>
    <w:p>
      <w:pPr>
        <w:spacing w:after="0" w:line="46" w:lineRule="exact"/>
        <w:rPr>
          <w:sz w:val="20"/>
          <w:szCs w:val="20"/>
          <w:color w:val="auto"/>
        </w:rPr>
      </w:pPr>
    </w:p>
    <w:p>
      <w:pPr>
        <w:spacing w:after="0"/>
        <w:tabs>
          <w:tab w:leader="none" w:pos="840" w:val="left"/>
          <w:tab w:leader="none" w:pos="20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and US$</w:t>
      </w:r>
      <w:r>
        <w:rPr>
          <w:sz w:val="20"/>
          <w:szCs w:val="20"/>
          <w:color w:val="auto"/>
        </w:rPr>
        <w:tab/>
      </w:r>
      <w:r>
        <w:rPr>
          <w:rFonts w:ascii="Arial" w:cs="Arial" w:eastAsia="Arial" w:hAnsi="Arial"/>
          <w:sz w:val="16"/>
          <w:szCs w:val="16"/>
          <w:color w:val="auto"/>
        </w:rPr>
        <w:t>per ADS.</w:t>
      </w:r>
    </w:p>
    <w:p>
      <w:pPr>
        <w:spacing w:after="0" w:line="184" w:lineRule="exact"/>
        <w:rPr>
          <w:sz w:val="20"/>
          <w:szCs w:val="20"/>
          <w:color w:val="auto"/>
        </w:rPr>
      </w:pPr>
    </w:p>
    <w:p>
      <w:pPr>
        <w:jc w:val="right"/>
        <w:ind w:right="659"/>
        <w:spacing w:after="0"/>
        <w:tabs>
          <w:tab w:leader="none" w:pos="278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ADSs in full).</w:t>
      </w:r>
    </w:p>
    <w:p>
      <w:pPr>
        <w:spacing w:after="0" w:line="400" w:lineRule="exact"/>
        <w:rPr>
          <w:sz w:val="20"/>
          <w:szCs w:val="20"/>
          <w:color w:val="auto"/>
        </w:rPr>
      </w:pPr>
    </w:p>
    <w:p>
      <w:pPr>
        <w:jc w:val="right"/>
        <w:ind w:right="659"/>
        <w:spacing w:after="0"/>
        <w:tabs>
          <w:tab w:leader="none" w:pos="278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ADS in full).</w:t>
      </w:r>
    </w:p>
    <w:p>
      <w:pPr>
        <w:spacing w:after="0" w:line="400" w:lineRule="exact"/>
        <w:rPr>
          <w:sz w:val="20"/>
          <w:szCs w:val="20"/>
          <w:color w:val="auto"/>
        </w:rPr>
      </w:pPr>
    </w:p>
    <w:p>
      <w:pPr>
        <w:ind w:left="540"/>
        <w:spacing w:after="0"/>
        <w:tabs>
          <w:tab w:leader="none" w:pos="3080" w:val="left"/>
        </w:tabs>
        <w:rPr>
          <w:sz w:val="20"/>
          <w:szCs w:val="20"/>
          <w:color w:val="auto"/>
        </w:rPr>
      </w:pPr>
      <w:r>
        <w:rPr>
          <w:rFonts w:ascii="Arial" w:cs="Arial" w:eastAsia="Arial" w:hAnsi="Arial"/>
          <w:sz w:val="18"/>
          <w:szCs w:val="18"/>
          <w:color w:val="auto"/>
        </w:rPr>
        <w:t>Class A ordinary shares and</w:t>
      </w:r>
      <w:r>
        <w:rPr>
          <w:sz w:val="20"/>
          <w:szCs w:val="20"/>
          <w:color w:val="auto"/>
        </w:rPr>
        <w:tab/>
      </w:r>
      <w:r>
        <w:rPr>
          <w:rFonts w:ascii="Arial" w:cs="Arial" w:eastAsia="Arial" w:hAnsi="Arial"/>
          <w:sz w:val="16"/>
          <w:szCs w:val="16"/>
          <w:color w:val="auto"/>
        </w:rPr>
        <w:t>Class B ordinary</w:t>
      </w:r>
    </w:p>
    <w:p>
      <w:pPr>
        <w:spacing w:after="0" w:line="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Class B ordinary shares if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their option to purchase additional ADS in full).</w:t>
      </w:r>
    </w:p>
    <w:p>
      <w:pPr>
        <w:spacing w:after="0" w:line="184" w:lineRule="exact"/>
        <w:rPr>
          <w:sz w:val="20"/>
          <w:szCs w:val="20"/>
          <w:color w:val="auto"/>
        </w:rPr>
      </w:pPr>
    </w:p>
    <w:p>
      <w:pPr>
        <w:sectPr>
          <w:pgSz w:w="11900" w:h="16838" w:orient="portrait"/>
          <w:cols w:equalWidth="0" w:num="2">
            <w:col w:w="3520" w:space="260"/>
            <w:col w:w="5239"/>
          </w:cols>
          <w:pgMar w:left="1440" w:top="274" w:right="1440"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The ADSs</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w w:val="94"/>
              </w:rPr>
              <w:t>Each ADS represents</w:t>
            </w:r>
          </w:p>
        </w:tc>
        <w:tc>
          <w:tcPr>
            <w:tcW w:w="3000" w:type="dxa"/>
            <w:vAlign w:val="bottom"/>
            <w:gridSpan w:val="2"/>
          </w:tcPr>
          <w:p>
            <w:pPr>
              <w:jc w:val="right"/>
              <w:ind w:right="30"/>
              <w:spacing w:after="0"/>
              <w:rPr>
                <w:sz w:val="20"/>
                <w:szCs w:val="20"/>
                <w:color w:val="auto"/>
              </w:rPr>
            </w:pPr>
            <w:r>
              <w:rPr>
                <w:rFonts w:ascii="Arial" w:cs="Arial" w:eastAsia="Arial" w:hAnsi="Arial"/>
                <w:sz w:val="18"/>
                <w:szCs w:val="18"/>
                <w:color w:val="auto"/>
              </w:rPr>
              <w:t>Class B ordinary shares, par value</w:t>
            </w:r>
          </w:p>
        </w:tc>
      </w:tr>
      <w:tr>
        <w:trPr>
          <w:trHeight w:val="230"/>
        </w:trPr>
        <w:tc>
          <w:tcPr>
            <w:tcW w:w="2920" w:type="dxa"/>
            <w:vAlign w:val="bottom"/>
          </w:tcPr>
          <w:p>
            <w:pPr>
              <w:spacing w:after="0"/>
              <w:rPr>
                <w:sz w:val="20"/>
                <w:szCs w:val="20"/>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2"/>
              </w:rPr>
              <w:t>US$0.00001 per share. The ADSs generally are uncertificated.</w:t>
            </w:r>
          </w:p>
        </w:tc>
      </w:tr>
      <w:tr>
        <w:trPr>
          <w:trHeight w:val="350"/>
        </w:trPr>
        <w:tc>
          <w:tcPr>
            <w:tcW w:w="2920" w:type="dxa"/>
            <w:vAlign w:val="bottom"/>
          </w:tcPr>
          <w:p>
            <w:pPr>
              <w:spacing w:after="0"/>
              <w:rPr>
                <w:sz w:val="24"/>
                <w:szCs w:val="24"/>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2"/>
              </w:rPr>
              <w:t>The depositary will hold the Class B ordinary shares underlying</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5"/>
              </w:rPr>
              <w:t>your ADSs and you will have rights as provided in the deposit</w:t>
            </w:r>
          </w:p>
        </w:tc>
      </w:tr>
      <w:tr>
        <w:trPr>
          <w:trHeight w:val="230"/>
        </w:trPr>
        <w:tc>
          <w:tcPr>
            <w:tcW w:w="292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90"/>
              </w:rPr>
              <w:t>agreement.</w:t>
            </w: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7"/>
        </w:trPr>
        <w:tc>
          <w:tcPr>
            <w:tcW w:w="2920" w:type="dxa"/>
            <w:vAlign w:val="bottom"/>
          </w:tcPr>
          <w:p>
            <w:pPr>
              <w:spacing w:after="0"/>
              <w:rPr>
                <w:sz w:val="24"/>
                <w:szCs w:val="24"/>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8"/>
              </w:rPr>
              <w:t>If we declare dividends on our Class B ordinary shares, the</w:t>
            </w:r>
          </w:p>
        </w:tc>
      </w:tr>
      <w:tr>
        <w:trPr>
          <w:trHeight w:val="216"/>
        </w:trPr>
        <w:tc>
          <w:tcPr>
            <w:tcW w:w="2920" w:type="dxa"/>
            <w:vAlign w:val="bottom"/>
          </w:tcPr>
          <w:p>
            <w:pPr>
              <w:spacing w:after="0"/>
              <w:rPr>
                <w:sz w:val="18"/>
                <w:szCs w:val="18"/>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w w:val="91"/>
              </w:rPr>
              <w:t>depositary will pay you the cash dividends and other</w:t>
            </w:r>
          </w:p>
        </w:tc>
        <w:tc>
          <w:tcPr>
            <w:tcW w:w="8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6"/>
              </w:rPr>
              <w:t>distributions it receives on our Class B ordinary shares, after</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89"/>
              </w:rPr>
              <w:t>deducting its fees and expenses in accordance with the terms set</w:t>
            </w:r>
          </w:p>
        </w:tc>
      </w:tr>
      <w:tr>
        <w:trPr>
          <w:trHeight w:val="230"/>
        </w:trPr>
        <w:tc>
          <w:tcPr>
            <w:tcW w:w="2920" w:type="dxa"/>
            <w:vAlign w:val="bottom"/>
          </w:tcPr>
          <w:p>
            <w:pPr>
              <w:spacing w:after="0"/>
              <w:rPr>
                <w:sz w:val="20"/>
                <w:szCs w:val="20"/>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forth in the deposit agreement.</w:t>
            </w:r>
          </w:p>
        </w:tc>
        <w:tc>
          <w:tcPr>
            <w:tcW w:w="820" w:type="dxa"/>
            <w:vAlign w:val="bottom"/>
          </w:tcPr>
          <w:p>
            <w:pPr>
              <w:spacing w:after="0"/>
              <w:rPr>
                <w:sz w:val="20"/>
                <w:szCs w:val="20"/>
                <w:color w:val="auto"/>
              </w:rPr>
            </w:pPr>
          </w:p>
        </w:tc>
      </w:tr>
      <w:tr>
        <w:trPr>
          <w:trHeight w:val="350"/>
        </w:trPr>
        <w:tc>
          <w:tcPr>
            <w:tcW w:w="2920" w:type="dxa"/>
            <w:vAlign w:val="bottom"/>
          </w:tcPr>
          <w:p>
            <w:pPr>
              <w:spacing w:after="0"/>
              <w:rPr>
                <w:sz w:val="24"/>
                <w:szCs w:val="24"/>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0"/>
              </w:rPr>
              <w:t>You may surrender your ADSs to the depositary in exchange for</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0"/>
              </w:rPr>
              <w:t>our Class B ordinary shares. The depositary will charge you fees</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9"/>
              </w:rPr>
              <w:t>for any exchange. We may amend or terminate the deposit</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6"/>
              </w:rPr>
              <w:t>agreement without your consent. If you continue to hold your</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9"/>
              </w:rPr>
              <w:t>ADSs, you agree to be bound by the deposit agreement as</w:t>
            </w:r>
          </w:p>
        </w:tc>
      </w:tr>
      <w:tr>
        <w:trPr>
          <w:trHeight w:val="230"/>
        </w:trPr>
        <w:tc>
          <w:tcPr>
            <w:tcW w:w="292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rPr>
              <w:t>amended.</w:t>
            </w: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0"/>
        </w:trPr>
        <w:tc>
          <w:tcPr>
            <w:tcW w:w="2920" w:type="dxa"/>
            <w:vAlign w:val="bottom"/>
          </w:tcPr>
          <w:p>
            <w:pPr>
              <w:spacing w:after="0"/>
              <w:rPr>
                <w:sz w:val="24"/>
                <w:szCs w:val="24"/>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rPr>
              <w:t>To better understand the terms of the ADSs, you should</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2"/>
              </w:rPr>
              <w:t>carefully read the “Description of American Depositary Shares”</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7"/>
              </w:rPr>
              <w:t>section of this prospectus. You should also read the deposit</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rPr>
              <w:t>agreement, which is filed as an exhibit to the registration</w:t>
            </w:r>
          </w:p>
        </w:tc>
      </w:tr>
      <w:tr>
        <w:trPr>
          <w:trHeight w:val="230"/>
        </w:trPr>
        <w:tc>
          <w:tcPr>
            <w:tcW w:w="2920" w:type="dxa"/>
            <w:vAlign w:val="bottom"/>
          </w:tcPr>
          <w:p>
            <w:pPr>
              <w:spacing w:after="0"/>
              <w:rPr>
                <w:sz w:val="20"/>
                <w:szCs w:val="20"/>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statement that includes this prospectus.</w:t>
            </w:r>
          </w:p>
        </w:tc>
        <w:tc>
          <w:tcPr>
            <w:tcW w:w="820" w:type="dxa"/>
            <w:vAlign w:val="bottom"/>
          </w:tcPr>
          <w:p>
            <w:pPr>
              <w:spacing w:after="0"/>
              <w:rPr>
                <w:sz w:val="20"/>
                <w:szCs w:val="20"/>
                <w:color w:val="auto"/>
              </w:rPr>
            </w:pPr>
          </w:p>
        </w:tc>
      </w:tr>
      <w:tr>
        <w:trPr>
          <w:trHeight w:val="377"/>
        </w:trPr>
        <w:tc>
          <w:tcPr>
            <w:tcW w:w="292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rPr>
              <w:t>We have granted to the underwriters an option, which is</w:t>
            </w:r>
          </w:p>
        </w:tc>
      </w:tr>
      <w:tr>
        <w:trPr>
          <w:trHeight w:val="216"/>
        </w:trPr>
        <w:tc>
          <w:tcPr>
            <w:tcW w:w="2920" w:type="dxa"/>
            <w:vAlign w:val="bottom"/>
          </w:tcPr>
          <w:p>
            <w:pPr>
              <w:spacing w:after="0"/>
              <w:rPr>
                <w:sz w:val="18"/>
                <w:szCs w:val="18"/>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exercisable within</w:t>
            </w:r>
          </w:p>
        </w:tc>
        <w:tc>
          <w:tcPr>
            <w:tcW w:w="300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days from the date of this prospectus,</w:t>
            </w:r>
          </w:p>
        </w:tc>
      </w:tr>
      <w:tr>
        <w:trPr>
          <w:trHeight w:val="230"/>
        </w:trPr>
        <w:tc>
          <w:tcPr>
            <w:tcW w:w="2920" w:type="dxa"/>
            <w:vAlign w:val="bottom"/>
          </w:tcPr>
          <w:p>
            <w:pPr>
              <w:spacing w:after="0"/>
              <w:rPr>
                <w:sz w:val="20"/>
                <w:szCs w:val="20"/>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to purchase up to</w:t>
            </w:r>
          </w:p>
        </w:tc>
        <w:tc>
          <w:tcPr>
            <w:tcW w:w="2180" w:type="dxa"/>
            <w:vAlign w:val="bottom"/>
          </w:tcPr>
          <w:p>
            <w:pPr>
              <w:ind w:left="120"/>
              <w:spacing w:after="0"/>
              <w:rPr>
                <w:sz w:val="20"/>
                <w:szCs w:val="20"/>
                <w:color w:val="auto"/>
              </w:rPr>
            </w:pPr>
            <w:r>
              <w:rPr>
                <w:rFonts w:ascii="Arial" w:cs="Arial" w:eastAsia="Arial" w:hAnsi="Arial"/>
                <w:sz w:val="18"/>
                <w:szCs w:val="18"/>
                <w:color w:val="auto"/>
              </w:rPr>
              <w:t>additional ADSs.</w:t>
            </w:r>
          </w:p>
        </w:tc>
        <w:tc>
          <w:tcPr>
            <w:tcW w:w="820" w:type="dxa"/>
            <w:vAlign w:val="bottom"/>
          </w:tcPr>
          <w:p>
            <w:pPr>
              <w:spacing w:after="0"/>
              <w:rPr>
                <w:sz w:val="20"/>
                <w:szCs w:val="20"/>
                <w:color w:val="auto"/>
              </w:rPr>
            </w:pPr>
          </w:p>
        </w:tc>
      </w:tr>
      <w:tr>
        <w:trPr>
          <w:trHeight w:val="391"/>
        </w:trPr>
        <w:tc>
          <w:tcPr>
            <w:tcW w:w="2920" w:type="dxa"/>
            <w:vAlign w:val="bottom"/>
          </w:tcPr>
          <w:p>
            <w:pPr>
              <w:spacing w:after="0"/>
              <w:rPr>
                <w:sz w:val="20"/>
                <w:szCs w:val="20"/>
                <w:color w:val="auto"/>
              </w:rPr>
            </w:pPr>
            <w:r>
              <w:rPr>
                <w:rFonts w:ascii="Arial" w:cs="Arial" w:eastAsia="Arial" w:hAnsi="Arial"/>
                <w:sz w:val="18"/>
                <w:szCs w:val="18"/>
                <w:color w:val="auto"/>
              </w:rPr>
              <w:t>Use of Proceeds</w:t>
            </w: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2"/>
              </w:rPr>
              <w:t>We estimate that we will receive net proceeds of approximately</w:t>
            </w:r>
          </w:p>
        </w:tc>
      </w:tr>
      <w:tr>
        <w:trPr>
          <w:trHeight w:val="216"/>
        </w:trPr>
        <w:tc>
          <w:tcPr>
            <w:tcW w:w="29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rPr>
              <w:t>US$</w:t>
            </w: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million from this offering (or US$</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million if</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7"/>
              </w:rPr>
              <w:t>the underwriters exercise their option to purchase additional</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rPr>
              <w:t>ADSs in full), after deducting the underwriting discounts,</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4"/>
              </w:rPr>
              <w:t>commissions, and estimated offering expenses payable by us</w:t>
            </w:r>
          </w:p>
        </w:tc>
      </w:tr>
      <w:tr>
        <w:trPr>
          <w:trHeight w:val="216"/>
        </w:trPr>
        <w:tc>
          <w:tcPr>
            <w:tcW w:w="2920" w:type="dxa"/>
            <w:vAlign w:val="bottom"/>
          </w:tcPr>
          <w:p>
            <w:pPr>
              <w:spacing w:after="0"/>
              <w:rPr>
                <w:sz w:val="18"/>
                <w:szCs w:val="18"/>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w w:val="94"/>
              </w:rPr>
              <w:t>and assuming an initial public offering price of US$</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per</w:t>
            </w:r>
          </w:p>
        </w:tc>
      </w:tr>
      <w:tr>
        <w:trPr>
          <w:trHeight w:val="216"/>
        </w:trPr>
        <w:tc>
          <w:tcPr>
            <w:tcW w:w="2920" w:type="dxa"/>
            <w:vAlign w:val="bottom"/>
          </w:tcPr>
          <w:p>
            <w:pPr>
              <w:spacing w:after="0"/>
              <w:rPr>
                <w:sz w:val="18"/>
                <w:szCs w:val="18"/>
                <w:color w:val="auto"/>
              </w:rPr>
            </w:pPr>
          </w:p>
        </w:tc>
        <w:tc>
          <w:tcPr>
            <w:tcW w:w="4980" w:type="dxa"/>
            <w:vAlign w:val="bottom"/>
            <w:gridSpan w:val="4"/>
          </w:tcPr>
          <w:p>
            <w:pPr>
              <w:ind w:left="320"/>
              <w:spacing w:after="0"/>
              <w:rPr>
                <w:sz w:val="20"/>
                <w:szCs w:val="20"/>
                <w:color w:val="auto"/>
              </w:rPr>
            </w:pPr>
            <w:r>
              <w:rPr>
                <w:rFonts w:ascii="Arial" w:cs="Arial" w:eastAsia="Arial" w:hAnsi="Arial"/>
                <w:sz w:val="18"/>
                <w:szCs w:val="18"/>
                <w:color w:val="auto"/>
                <w:w w:val="96"/>
              </w:rPr>
              <w:t>ADS, being the mid-point of the estimated range of the initial</w:t>
            </w:r>
          </w:p>
        </w:tc>
      </w:tr>
      <w:tr>
        <w:trPr>
          <w:trHeight w:val="216"/>
        </w:trPr>
        <w:tc>
          <w:tcPr>
            <w:tcW w:w="2920" w:type="dxa"/>
            <w:vAlign w:val="bottom"/>
          </w:tcPr>
          <w:p>
            <w:pPr>
              <w:spacing w:after="0"/>
              <w:rPr>
                <w:sz w:val="18"/>
                <w:szCs w:val="18"/>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w w:val="92"/>
              </w:rPr>
              <w:t>public offering price shown on the front cover of this</w:t>
            </w:r>
          </w:p>
        </w:tc>
        <w:tc>
          <w:tcPr>
            <w:tcW w:w="8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8"/>
              </w:rPr>
              <w:t>prospectus.</w:t>
            </w:r>
          </w:p>
        </w:tc>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34" w:lineRule="exact"/>
        <w:rPr>
          <w:sz w:val="20"/>
          <w:szCs w:val="20"/>
          <w:color w:val="auto"/>
        </w:rPr>
      </w:pPr>
    </w:p>
    <w:p>
      <w:pPr>
        <w:ind w:left="3780" w:right="639"/>
        <w:spacing w:after="0" w:line="259" w:lineRule="auto"/>
        <w:rPr>
          <w:sz w:val="20"/>
          <w:szCs w:val="20"/>
          <w:color w:val="auto"/>
        </w:rPr>
      </w:pPr>
      <w:r>
        <w:rPr>
          <w:rFonts w:ascii="Arial" w:cs="Arial" w:eastAsia="Arial" w:hAnsi="Arial"/>
          <w:sz w:val="18"/>
          <w:szCs w:val="18"/>
          <w:color w:val="auto"/>
        </w:rPr>
        <w:t>We plan to use the net proceeds we receive from this offering to invest in research and development, the Singapore market, and for general corporate purposes. See “Use of Proceeds” for additional information.</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36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5361940"/>
                    </a:xfrm>
                    <a:prstGeom prst="rect">
                      <a:avLst/>
                    </a:prstGeom>
                    <a:noFill/>
                  </pic:spPr>
                </pic:pic>
              </a:graphicData>
            </a:graphic>
          </wp:anchor>
        </w:drawing>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Lock-up</w:t>
            </w:r>
          </w:p>
        </w:tc>
        <w:tc>
          <w:tcPr>
            <w:tcW w:w="4760" w:type="dxa"/>
            <w:vAlign w:val="bottom"/>
          </w:tcPr>
          <w:p>
            <w:pPr>
              <w:ind w:left="680"/>
              <w:spacing w:after="0"/>
              <w:rPr>
                <w:sz w:val="20"/>
                <w:szCs w:val="20"/>
                <w:color w:val="auto"/>
              </w:rPr>
            </w:pPr>
            <w:r>
              <w:rPr>
                <w:rFonts w:ascii="Arial" w:cs="Arial" w:eastAsia="Arial" w:hAnsi="Arial"/>
                <w:sz w:val="18"/>
                <w:szCs w:val="18"/>
                <w:color w:val="auto"/>
                <w:w w:val="93"/>
              </w:rPr>
              <w:t>[We, our directors and executive officers, and principal</w:t>
            </w:r>
          </w:p>
        </w:tc>
        <w:tc>
          <w:tcPr>
            <w:tcW w:w="5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89"/>
              </w:rPr>
              <w:t>shareholders are expected to enter into lock-up agreements with</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3"/>
              </w:rPr>
              <w:t>the Underwriter not to sell, transfer, or dispose of any Class B</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rPr>
              <w:t>ordinary shares for a period of up to six months after this</w:t>
            </w:r>
          </w:p>
        </w:tc>
      </w:tr>
      <w:tr>
        <w:trPr>
          <w:trHeight w:val="216"/>
        </w:trPr>
        <w:tc>
          <w:tcPr>
            <w:tcW w:w="2560" w:type="dxa"/>
            <w:vAlign w:val="bottom"/>
          </w:tcPr>
          <w:p>
            <w:pPr>
              <w:spacing w:after="0"/>
              <w:rPr>
                <w:sz w:val="18"/>
                <w:szCs w:val="18"/>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offering is completed.] See “Underwriting” for more</w:t>
            </w:r>
          </w:p>
        </w:tc>
        <w:tc>
          <w:tcPr>
            <w:tcW w:w="5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information.</w:t>
            </w:r>
          </w:p>
        </w:tc>
        <w:tc>
          <w:tcPr>
            <w:tcW w:w="520" w:type="dxa"/>
            <w:vAlign w:val="bottom"/>
          </w:tcPr>
          <w:p>
            <w:pPr>
              <w:spacing w:after="0"/>
              <w:rPr>
                <w:sz w:val="20"/>
                <w:szCs w:val="20"/>
                <w:color w:val="auto"/>
              </w:rPr>
            </w:pPr>
          </w:p>
        </w:tc>
      </w:tr>
      <w:tr>
        <w:trPr>
          <w:trHeight w:val="377"/>
        </w:trPr>
        <w:tc>
          <w:tcPr>
            <w:tcW w:w="2560" w:type="dxa"/>
            <w:vAlign w:val="bottom"/>
          </w:tcPr>
          <w:p>
            <w:pPr>
              <w:spacing w:after="0"/>
              <w:rPr>
                <w:sz w:val="20"/>
                <w:szCs w:val="20"/>
                <w:color w:val="auto"/>
              </w:rPr>
            </w:pPr>
            <w:r>
              <w:rPr>
                <w:rFonts w:ascii="Arial" w:cs="Arial" w:eastAsia="Arial" w:hAnsi="Arial"/>
                <w:sz w:val="18"/>
                <w:szCs w:val="18"/>
                <w:color w:val="auto"/>
              </w:rPr>
              <w:t>[Directed Share Program]</w:t>
            </w: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2"/>
              </w:rPr>
              <w:t>[At our request, the underwriters have reserved for sale, at the</w:t>
            </w:r>
          </w:p>
        </w:tc>
      </w:tr>
      <w:tr>
        <w:trPr>
          <w:trHeight w:val="216"/>
        </w:trPr>
        <w:tc>
          <w:tcPr>
            <w:tcW w:w="2560" w:type="dxa"/>
            <w:vAlign w:val="bottom"/>
          </w:tcPr>
          <w:p>
            <w:pPr>
              <w:spacing w:after="0"/>
              <w:rPr>
                <w:sz w:val="18"/>
                <w:szCs w:val="18"/>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initial public offering price, up to an aggregate of</w:t>
            </w:r>
          </w:p>
        </w:tc>
        <w:tc>
          <w:tcPr>
            <w:tcW w:w="520" w:type="dxa"/>
            <w:vAlign w:val="bottom"/>
          </w:tcPr>
          <w:p>
            <w:pPr>
              <w:ind w:left="20"/>
              <w:spacing w:after="0"/>
              <w:rPr>
                <w:sz w:val="20"/>
                <w:szCs w:val="20"/>
                <w:color w:val="auto"/>
              </w:rPr>
            </w:pPr>
            <w:r>
              <w:rPr>
                <w:rFonts w:ascii="Arial" w:cs="Arial" w:eastAsia="Arial" w:hAnsi="Arial"/>
                <w:sz w:val="18"/>
                <w:szCs w:val="18"/>
                <w:color w:val="auto"/>
              </w:rPr>
              <w:t>ADSs</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7"/>
              </w:rPr>
              <w:t>offered in this offering to our directors, officers, employees,</w:t>
            </w:r>
          </w:p>
        </w:tc>
      </w:tr>
      <w:tr>
        <w:trPr>
          <w:trHeight w:val="230"/>
        </w:trPr>
        <w:tc>
          <w:tcPr>
            <w:tcW w:w="2560" w:type="dxa"/>
            <w:vAlign w:val="bottom"/>
          </w:tcPr>
          <w:p>
            <w:pPr>
              <w:spacing w:after="0"/>
              <w:rPr>
                <w:sz w:val="20"/>
                <w:szCs w:val="20"/>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business associates and related persons.]</w:t>
            </w:r>
          </w:p>
        </w:tc>
        <w:tc>
          <w:tcPr>
            <w:tcW w:w="520" w:type="dxa"/>
            <w:vAlign w:val="bottom"/>
          </w:tcPr>
          <w:p>
            <w:pPr>
              <w:spacing w:after="0"/>
              <w:rPr>
                <w:sz w:val="20"/>
                <w:szCs w:val="20"/>
                <w:color w:val="auto"/>
              </w:rPr>
            </w:pPr>
          </w:p>
        </w:tc>
      </w:tr>
      <w:tr>
        <w:trPr>
          <w:trHeight w:val="391"/>
        </w:trPr>
        <w:tc>
          <w:tcPr>
            <w:tcW w:w="2560" w:type="dxa"/>
            <w:vAlign w:val="bottom"/>
          </w:tcPr>
          <w:p>
            <w:pPr>
              <w:spacing w:after="0"/>
              <w:rPr>
                <w:sz w:val="20"/>
                <w:szCs w:val="20"/>
                <w:color w:val="auto"/>
              </w:rPr>
            </w:pPr>
            <w:r>
              <w:rPr>
                <w:rFonts w:ascii="Arial" w:cs="Arial" w:eastAsia="Arial" w:hAnsi="Arial"/>
                <w:sz w:val="18"/>
                <w:szCs w:val="18"/>
                <w:color w:val="auto"/>
              </w:rPr>
              <w:t>Risk Factors</w:t>
            </w: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rPr>
              <w:t>See “Risk Factors” and other information included in this</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6"/>
              </w:rPr>
              <w:t>prospectus for a discussion of the risks you should carefully</w:t>
            </w:r>
          </w:p>
        </w:tc>
      </w:tr>
      <w:tr>
        <w:trPr>
          <w:trHeight w:val="230"/>
        </w:trPr>
        <w:tc>
          <w:tcPr>
            <w:tcW w:w="2560" w:type="dxa"/>
            <w:vAlign w:val="bottom"/>
          </w:tcPr>
          <w:p>
            <w:pPr>
              <w:spacing w:after="0"/>
              <w:rPr>
                <w:sz w:val="20"/>
                <w:szCs w:val="20"/>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consider before investing in the ADSs.</w:t>
            </w:r>
          </w:p>
        </w:tc>
        <w:tc>
          <w:tcPr>
            <w:tcW w:w="520" w:type="dxa"/>
            <w:vAlign w:val="bottom"/>
          </w:tcPr>
          <w:p>
            <w:pPr>
              <w:spacing w:after="0"/>
              <w:rPr>
                <w:sz w:val="20"/>
                <w:szCs w:val="20"/>
                <w:color w:val="auto"/>
              </w:rPr>
            </w:pPr>
          </w:p>
        </w:tc>
      </w:tr>
      <w:tr>
        <w:trPr>
          <w:trHeight w:val="391"/>
        </w:trPr>
        <w:tc>
          <w:tcPr>
            <w:tcW w:w="2560" w:type="dxa"/>
            <w:vAlign w:val="bottom"/>
          </w:tcPr>
          <w:p>
            <w:pPr>
              <w:spacing w:after="0"/>
              <w:rPr>
                <w:sz w:val="20"/>
                <w:szCs w:val="20"/>
                <w:color w:val="auto"/>
              </w:rPr>
            </w:pPr>
            <w:r>
              <w:rPr>
                <w:rFonts w:ascii="Arial" w:cs="Arial" w:eastAsia="Arial" w:hAnsi="Arial"/>
                <w:sz w:val="18"/>
                <w:szCs w:val="18"/>
                <w:color w:val="auto"/>
              </w:rPr>
              <w:t>Listing</w:t>
            </w: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8"/>
              </w:rPr>
              <w:t>We intend to apply to have the ADSs listed on the Nasdaq</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rPr>
              <w:t>Capital Market under the symbol “TDTH.” Our ADSs and</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6"/>
              </w:rPr>
              <w:t>Class B ordinary shares will not be listed on any other stock</w:t>
            </w:r>
          </w:p>
        </w:tc>
      </w:tr>
      <w:tr>
        <w:trPr>
          <w:trHeight w:val="230"/>
        </w:trPr>
        <w:tc>
          <w:tcPr>
            <w:tcW w:w="2560" w:type="dxa"/>
            <w:vAlign w:val="bottom"/>
          </w:tcPr>
          <w:p>
            <w:pPr>
              <w:spacing w:after="0"/>
              <w:rPr>
                <w:sz w:val="20"/>
                <w:szCs w:val="20"/>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w w:val="88"/>
              </w:rPr>
              <w:t>exchanges or traded on any automated quotation system.</w:t>
            </w:r>
          </w:p>
        </w:tc>
        <w:tc>
          <w:tcPr>
            <w:tcW w:w="520" w:type="dxa"/>
            <w:vAlign w:val="bottom"/>
          </w:tcPr>
          <w:p>
            <w:pPr>
              <w:spacing w:after="0"/>
              <w:rPr>
                <w:sz w:val="20"/>
                <w:szCs w:val="20"/>
                <w:color w:val="auto"/>
              </w:rPr>
            </w:pPr>
          </w:p>
        </w:tc>
      </w:tr>
      <w:tr>
        <w:trPr>
          <w:trHeight w:val="391"/>
        </w:trPr>
        <w:tc>
          <w:tcPr>
            <w:tcW w:w="2560" w:type="dxa"/>
            <w:vAlign w:val="bottom"/>
          </w:tcPr>
          <w:p>
            <w:pPr>
              <w:spacing w:after="0"/>
              <w:rPr>
                <w:sz w:val="20"/>
                <w:szCs w:val="20"/>
                <w:color w:val="auto"/>
              </w:rPr>
            </w:pPr>
            <w:r>
              <w:rPr>
                <w:rFonts w:ascii="Arial" w:cs="Arial" w:eastAsia="Arial" w:hAnsi="Arial"/>
                <w:sz w:val="18"/>
                <w:szCs w:val="18"/>
                <w:color w:val="auto"/>
              </w:rPr>
              <w:t>Payment and Settlement</w:t>
            </w:r>
          </w:p>
        </w:tc>
        <w:tc>
          <w:tcPr>
            <w:tcW w:w="5280" w:type="dxa"/>
            <w:vAlign w:val="bottom"/>
            <w:gridSpan w:val="2"/>
          </w:tcPr>
          <w:p>
            <w:pPr>
              <w:ind w:left="680"/>
              <w:spacing w:after="0"/>
              <w:rPr>
                <w:sz w:val="20"/>
                <w:szCs w:val="20"/>
                <w:color w:val="auto"/>
              </w:rPr>
            </w:pPr>
            <w:r>
              <w:rPr>
                <w:rFonts w:ascii="Arial" w:cs="Arial" w:eastAsia="Arial" w:hAnsi="Arial"/>
                <w:sz w:val="18"/>
                <w:szCs w:val="18"/>
                <w:color w:val="auto"/>
                <w:w w:val="96"/>
              </w:rPr>
              <w:t>The ADSs are expected to be delivered against payment on</w:t>
            </w:r>
          </w:p>
        </w:tc>
      </w:tr>
      <w:tr>
        <w:trPr>
          <w:trHeight w:val="216"/>
        </w:trPr>
        <w:tc>
          <w:tcPr>
            <w:tcW w:w="2560" w:type="dxa"/>
            <w:vAlign w:val="bottom"/>
          </w:tcPr>
          <w:p>
            <w:pPr>
              <w:spacing w:after="0"/>
              <w:rPr>
                <w:sz w:val="18"/>
                <w:szCs w:val="18"/>
                <w:color w:val="auto"/>
              </w:rPr>
            </w:pPr>
          </w:p>
        </w:tc>
        <w:tc>
          <w:tcPr>
            <w:tcW w:w="5280" w:type="dxa"/>
            <w:vAlign w:val="bottom"/>
            <w:gridSpan w:val="2"/>
          </w:tcPr>
          <w:p>
            <w:pPr>
              <w:ind w:left="1080"/>
              <w:spacing w:after="0"/>
              <w:rPr>
                <w:sz w:val="20"/>
                <w:szCs w:val="20"/>
                <w:color w:val="auto"/>
              </w:rPr>
            </w:pPr>
            <w:r>
              <w:rPr>
                <w:rFonts w:ascii="Arial" w:cs="Arial" w:eastAsia="Arial" w:hAnsi="Arial"/>
                <w:sz w:val="18"/>
                <w:szCs w:val="18"/>
                <w:color w:val="auto"/>
                <w:w w:val="93"/>
              </w:rPr>
              <w:t>, 2023. They will be registered in the name of a nominee</w:t>
            </w:r>
          </w:p>
        </w:tc>
      </w:tr>
      <w:tr>
        <w:trPr>
          <w:trHeight w:val="230"/>
        </w:trPr>
        <w:tc>
          <w:tcPr>
            <w:tcW w:w="2560" w:type="dxa"/>
            <w:vAlign w:val="bottom"/>
          </w:tcPr>
          <w:p>
            <w:pPr>
              <w:spacing w:after="0"/>
              <w:rPr>
                <w:sz w:val="20"/>
                <w:szCs w:val="20"/>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of The Depository Trust Company, or DTC.</w:t>
            </w:r>
          </w:p>
        </w:tc>
        <w:tc>
          <w:tcPr>
            <w:tcW w:w="520" w:type="dxa"/>
            <w:vAlign w:val="bottom"/>
          </w:tcPr>
          <w:p>
            <w:pPr>
              <w:spacing w:after="0"/>
              <w:rPr>
                <w:sz w:val="20"/>
                <w:szCs w:val="20"/>
                <w:color w:val="auto"/>
              </w:rPr>
            </w:pPr>
          </w:p>
        </w:tc>
      </w:tr>
      <w:tr>
        <w:trPr>
          <w:trHeight w:val="405"/>
        </w:trPr>
        <w:tc>
          <w:tcPr>
            <w:tcW w:w="2560" w:type="dxa"/>
            <w:vAlign w:val="bottom"/>
          </w:tcPr>
          <w:p>
            <w:pPr>
              <w:spacing w:after="0"/>
              <w:rPr>
                <w:sz w:val="20"/>
                <w:szCs w:val="20"/>
                <w:color w:val="auto"/>
              </w:rPr>
            </w:pPr>
            <w:r>
              <w:rPr>
                <w:rFonts w:ascii="Arial" w:cs="Arial" w:eastAsia="Arial" w:hAnsi="Arial"/>
                <w:sz w:val="18"/>
                <w:szCs w:val="18"/>
                <w:color w:val="auto"/>
              </w:rPr>
              <w:t>Depositary</w:t>
            </w:r>
          </w:p>
        </w:tc>
        <w:tc>
          <w:tcPr>
            <w:tcW w:w="4760" w:type="dxa"/>
            <w:vAlign w:val="bottom"/>
          </w:tcPr>
          <w:p>
            <w:pPr>
              <w:ind w:left="680"/>
              <w:spacing w:after="0"/>
              <w:rPr>
                <w:sz w:val="20"/>
                <w:szCs w:val="20"/>
                <w:color w:val="auto"/>
              </w:rPr>
            </w:pPr>
            <w:r>
              <w:rPr>
                <w:rFonts w:ascii="Arial" w:cs="Arial" w:eastAsia="Arial" w:hAnsi="Arial"/>
                <w:sz w:val="18"/>
                <w:szCs w:val="18"/>
                <w:color w:val="auto"/>
              </w:rPr>
              <w:t>Citibank, N.A.</w:t>
            </w:r>
          </w:p>
        </w:tc>
        <w:tc>
          <w:tcPr>
            <w:tcW w:w="520" w:type="dxa"/>
            <w:vAlign w:val="bottom"/>
          </w:tcPr>
          <w:p>
            <w:pPr>
              <w:spacing w:after="0"/>
              <w:rPr>
                <w:sz w:val="24"/>
                <w:szCs w:val="24"/>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number of ordinary shares that will be issued and outstanding immediately after this offering:</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is based 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ordinary shares as of the date of this prospectus;</w:t>
      </w:r>
    </w:p>
    <w:p>
      <w:pPr>
        <w:spacing w:after="0" w:line="167" w:lineRule="exact"/>
        <w:rPr>
          <w:sz w:val="20"/>
          <w:szCs w:val="20"/>
          <w:color w:val="auto"/>
        </w:rPr>
      </w:pPr>
    </w:p>
    <w:p>
      <w:pPr>
        <w:sectPr>
          <w:pgSz w:w="11900" w:h="16838" w:orient="portrait"/>
          <w:cols w:equalWidth="0" w:num="3">
            <w:col w:w="1040" w:space="360"/>
            <w:col w:w="800" w:space="540"/>
            <w:col w:w="6279"/>
          </w:cols>
          <w:pgMar w:left="1440" w:top="274" w:right="1440"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Arial" w:cs="Arial" w:eastAsia="Arial" w:hAnsi="Arial"/>
          <w:sz w:val="16"/>
          <w:szCs w:val="16"/>
          <w:color w:val="auto"/>
        </w:rPr>
        <w:t>includes</w:t>
      </w:r>
      <w:r>
        <w:rPr>
          <w:sz w:val="20"/>
          <w:szCs w:val="20"/>
          <w:color w:val="auto"/>
        </w:rPr>
        <w:tab/>
      </w:r>
      <w:r>
        <w:rPr>
          <w:rFonts w:ascii="Arial" w:cs="Arial" w:eastAsia="Arial" w:hAnsi="Arial"/>
          <w:sz w:val="16"/>
          <w:szCs w:val="16"/>
          <w:color w:val="auto"/>
        </w:rPr>
        <w:t>Class B ordinary shares in the form of ADSs that we will issue and sell in this</w:t>
      </w:r>
    </w:p>
    <w:p>
      <w:pPr>
        <w:spacing w:after="0" w:line="46" w:lineRule="exact"/>
        <w:rPr>
          <w:sz w:val="20"/>
          <w:szCs w:val="20"/>
          <w:color w:val="auto"/>
        </w:rPr>
      </w:pPr>
    </w:p>
    <w:p>
      <w:pPr>
        <w:sectPr>
          <w:pgSz w:w="11900" w:h="16838" w:orient="portrait"/>
          <w:cols w:equalWidth="0" w:num="2">
            <w:col w:w="1040" w:space="360"/>
            <w:col w:w="7619"/>
          </w:cols>
          <w:pgMar w:left="1440" w:top="274" w:right="1440"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offering, assuming the underwriters do not exercise their option to purchase additional ADSs; and</w:t>
      </w:r>
    </w:p>
    <w:p>
      <w:pPr>
        <w:spacing w:after="0" w:line="166" w:lineRule="exact"/>
        <w:rPr>
          <w:sz w:val="20"/>
          <w:szCs w:val="20"/>
          <w:color w:val="auto"/>
        </w:rPr>
      </w:pPr>
    </w:p>
    <w:p>
      <w:pPr>
        <w:ind w:left="1400" w:right="559" w:hanging="424"/>
        <w:spacing w:after="0" w:line="259" w:lineRule="auto"/>
        <w:tabs>
          <w:tab w:leader="none" w:pos="13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76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540" w:right="79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11" w:lineRule="exact"/>
        <w:rPr>
          <w:sz w:val="20"/>
          <w:szCs w:val="20"/>
          <w:color w:val="auto"/>
        </w:rPr>
      </w:pPr>
    </w:p>
    <w:p>
      <w:pPr>
        <w:ind w:left="540" w:right="7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w w:val="90"/>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(156,703)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 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w w:val="91"/>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747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574738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presents our summary consolidated balance sheet data as of the dates indicated.</w:t>
      </w:r>
    </w:p>
    <w:p>
      <w:pPr>
        <w:spacing w:after="0" w:line="249"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47"/>
        </w:trPr>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2,639,900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4,328,759</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9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(used in) provided by operating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provided by (used in) financing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2140" w:type="dxa"/>
            <w:vAlign w:val="bottom"/>
            <w:gridSpan w:val="4"/>
          </w:tcPr>
          <w:p>
            <w:pPr>
              <w:ind w:left="54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June 30,</w:t>
            </w:r>
          </w:p>
        </w:tc>
      </w:tr>
      <w:tr>
        <w:trPr>
          <w:trHeight w:val="46"/>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220" w:hanging="218"/>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(609,946)  $  244,100   $ (2,380,926)  $   (27,514)</w:t>
      </w:r>
    </w:p>
    <w:p>
      <w:pPr>
        <w:spacing w:after="0" w:line="7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1,378,257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66,030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60" w:type="dxa"/>
            <w:vAlign w:val="bottom"/>
          </w:tcPr>
          <w:p>
            <w:pPr>
              <w:spacing w:after="0"/>
              <w:rPr>
                <w:sz w:val="19"/>
                <w:szCs w:val="19"/>
                <w:color w:val="auto"/>
              </w:rPr>
            </w:pPr>
          </w:p>
        </w:tc>
      </w:tr>
      <w:tr>
        <w:trPr>
          <w:trHeight w:val="283"/>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671,672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255,956</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945,265</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could be harmed if we fail to manage our infrastructure to support future growth.</w:t>
      </w:r>
    </w:p>
    <w:p>
      <w:pPr>
        <w:spacing w:after="0" w:line="16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74" w:lineRule="exact"/>
        <w:rPr>
          <w:sz w:val="20"/>
          <w:szCs w:val="20"/>
          <w:color w:val="auto"/>
        </w:rPr>
      </w:pPr>
    </w:p>
    <w:p>
      <w:pPr>
        <w:ind w:left="460" w:right="979"/>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Currently, substantially all of our sales are to clients in the e-commerce, food and beverage, fintech, healthcare and service, wholesale and retail industries</w:t>
      </w:r>
      <w:r>
        <w:rPr>
          <w:rFonts w:ascii="Arial" w:cs="Arial" w:eastAsia="Arial" w:hAnsi="Arial"/>
          <w:sz w:val="17"/>
          <w:szCs w:val="17"/>
          <w:i w:val="1"/>
          <w:iCs w:val="1"/>
          <w:color w:val="auto"/>
        </w:rPr>
        <w:t>.</w:t>
      </w:r>
      <w:r>
        <w:rPr>
          <w:rFonts w:ascii="Arial" w:cs="Arial" w:eastAsia="Arial" w:hAnsi="Arial"/>
          <w:sz w:val="17"/>
          <w:szCs w:val="17"/>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96" w:lineRule="exact"/>
        <w:rPr>
          <w:sz w:val="20"/>
          <w:szCs w:val="20"/>
          <w:color w:val="auto"/>
        </w:rPr>
      </w:pPr>
    </w:p>
    <w:p>
      <w:pPr>
        <w:ind w:left="460" w:right="1019"/>
        <w:spacing w:after="0" w:line="342" w:lineRule="auto"/>
        <w:rPr>
          <w:sz w:val="20"/>
          <w:szCs w:val="20"/>
          <w:color w:val="auto"/>
        </w:rPr>
      </w:pPr>
      <w:r>
        <w:rPr>
          <w:rFonts w:ascii="Arial" w:cs="Arial" w:eastAsia="Arial" w:hAnsi="Arial"/>
          <w:sz w:val="16"/>
          <w:szCs w:val="16"/>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56"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01" w:lineRule="exact"/>
        <w:rPr>
          <w:sz w:val="20"/>
          <w:szCs w:val="20"/>
          <w:color w:val="auto"/>
        </w:rPr>
      </w:pPr>
    </w:p>
    <w:p>
      <w:pPr>
        <w:jc w:val="both"/>
        <w:ind w:left="460" w:right="759" w:firstLine="432"/>
        <w:spacing w:after="0" w:line="287" w:lineRule="auto"/>
        <w:rPr>
          <w:sz w:val="20"/>
          <w:szCs w:val="20"/>
          <w:color w:val="auto"/>
        </w:rPr>
      </w:pPr>
      <w:r>
        <w:rPr>
          <w:rFonts w:ascii="Arial" w:cs="Arial" w:eastAsia="Arial" w:hAnsi="Arial"/>
          <w:sz w:val="16"/>
          <w:szCs w:val="16"/>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83"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89"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68"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9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72" w:lineRule="auto"/>
        <w:rPr>
          <w:sz w:val="20"/>
          <w:szCs w:val="20"/>
          <w:color w:val="auto"/>
        </w:rPr>
      </w:pPr>
      <w:r>
        <w:rPr>
          <w:rFonts w:ascii="Arial" w:cs="Arial" w:eastAsia="Arial" w:hAnsi="Arial"/>
          <w:sz w:val="17"/>
          <w:szCs w:val="17"/>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77" w:lineRule="exact"/>
        <w:rPr>
          <w:sz w:val="20"/>
          <w:szCs w:val="20"/>
          <w:color w:val="auto"/>
        </w:rPr>
      </w:pPr>
    </w:p>
    <w:p>
      <w:pPr>
        <w:ind w:left="460" w:right="659"/>
        <w:spacing w:after="0" w:line="342" w:lineRule="auto"/>
        <w:rPr>
          <w:sz w:val="20"/>
          <w:szCs w:val="20"/>
          <w:color w:val="auto"/>
        </w:rPr>
      </w:pPr>
      <w:r>
        <w:rPr>
          <w:rFonts w:ascii="Arial" w:cs="Arial" w:eastAsia="Arial" w:hAnsi="Arial"/>
          <w:sz w:val="16"/>
          <w:szCs w:val="16"/>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5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74"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84" w:lineRule="exact"/>
        <w:rPr>
          <w:sz w:val="20"/>
          <w:szCs w:val="20"/>
          <w:color w:val="auto"/>
        </w:rPr>
      </w:pPr>
    </w:p>
    <w:p>
      <w:pPr>
        <w:jc w:val="both"/>
        <w:ind w:left="460" w:right="639"/>
        <w:spacing w:after="0" w:line="263" w:lineRule="auto"/>
        <w:rPr>
          <w:sz w:val="20"/>
          <w:szCs w:val="20"/>
          <w:color w:val="auto"/>
        </w:rPr>
      </w:pPr>
      <w:r>
        <w:rPr>
          <w:rFonts w:ascii="Arial" w:cs="Arial" w:eastAsia="Arial" w:hAnsi="Arial"/>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3"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0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7"/>
          <w:szCs w:val="17"/>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98" w:lineRule="exact"/>
        <w:rPr>
          <w:sz w:val="20"/>
          <w:szCs w:val="20"/>
          <w:color w:val="auto"/>
        </w:rPr>
      </w:pPr>
    </w:p>
    <w:p>
      <w:pPr>
        <w:ind w:left="460" w:right="959" w:firstLine="432"/>
        <w:spacing w:after="0" w:line="263" w:lineRule="auto"/>
        <w:rPr>
          <w:sz w:val="20"/>
          <w:szCs w:val="20"/>
          <w:color w:val="auto"/>
        </w:rPr>
      </w:pPr>
      <w:r>
        <w:rPr>
          <w:rFonts w:ascii="Arial" w:cs="Arial" w:eastAsia="Arial" w:hAnsi="Arial"/>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1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78"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103"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Arial" w:cs="Arial" w:eastAsia="Arial" w:hAnsi="Arial"/>
          <w:sz w:val="18"/>
          <w:szCs w:val="18"/>
          <w:color w:val="auto"/>
        </w:rPr>
        <w:t>We expect to continue to incur losses for the foreseeable future as we expend substantial financial and other resources on, among other things:</w:t>
      </w:r>
    </w:p>
    <w:p>
      <w:pPr>
        <w:spacing w:after="0" w:line="118" w:lineRule="exact"/>
        <w:rPr>
          <w:sz w:val="20"/>
          <w:szCs w:val="20"/>
          <w:color w:val="auto"/>
        </w:rPr>
      </w:pPr>
    </w:p>
    <w:p>
      <w:pPr>
        <w:ind w:left="1320" w:hanging="434"/>
        <w:spacing w:after="0"/>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and marketing, including expanding our direct sales team and online marketing programs;</w:t>
      </w:r>
    </w:p>
    <w:p>
      <w:pPr>
        <w:spacing w:after="0" w:line="15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the development of new solutions and new features for, and enhancements of, our existing services;</w:t>
      </w:r>
    </w:p>
    <w:p>
      <w:pPr>
        <w:spacing w:after="0" w:line="102"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our operations and infrastructure organically and through acquisitions and strategic partnerships; and</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legal, risk management, accounting, and other expenses related to being a public company.</w:t>
      </w:r>
    </w:p>
    <w:p>
      <w:pPr>
        <w:spacing w:after="0" w:line="8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8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1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3"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81"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3"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our digital solutions and e-commerce offerings;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clients and retain and increase adoption by our existing clients;</w:t>
      </w:r>
    </w:p>
    <w:p>
      <w:pPr>
        <w:spacing w:after="0" w:line="157" w:lineRule="exact"/>
        <w:rPr>
          <w:rFonts w:ascii="Arial" w:cs="Arial" w:eastAsia="Arial" w:hAnsi="Arial"/>
          <w:sz w:val="18"/>
          <w:szCs w:val="18"/>
          <w:color w:val="auto"/>
        </w:rPr>
      </w:pPr>
    </w:p>
    <w:p>
      <w:pPr>
        <w:ind w:left="1320" w:right="559" w:hanging="434"/>
        <w:spacing w:after="0" w:line="308" w:lineRule="auto"/>
        <w:tabs>
          <w:tab w:leader="none" w:pos="1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client preference for cloud-based services as a result of security breaches in the industry or privacy concerns, or other security or reliability concerns regarding our solutions;</w:t>
      </w:r>
    </w:p>
    <w:p>
      <w:pPr>
        <w:spacing w:after="0" w:line="78" w:lineRule="exact"/>
        <w:rPr>
          <w:rFonts w:ascii="Arial" w:cs="Arial" w:eastAsia="Arial" w:hAnsi="Arial"/>
          <w:sz w:val="17"/>
          <w:szCs w:val="17"/>
          <w:color w:val="auto"/>
        </w:rPr>
      </w:pPr>
    </w:p>
    <w:p>
      <w:pPr>
        <w:ind w:left="1320" w:right="105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client budgets and in the timing of their budget and billing cycles and purchasing decisions;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implementation timeline of our solutions with new clients;</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and existing clients choosing our competitors’ solutions or developing their own solutions in-house;</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or introduction of new solutions that are easier to use or more advanced than our current solutions;</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markets where we compete or plan to compete;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57"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w:t>
      </w:r>
    </w:p>
    <w:p>
      <w:pPr>
        <w:spacing w:after="0" w:line="89" w:lineRule="exact"/>
        <w:rPr>
          <w:rFonts w:ascii="Arial" w:cs="Arial" w:eastAsia="Arial" w:hAnsi="Arial"/>
          <w:sz w:val="18"/>
          <w:szCs w:val="18"/>
          <w:color w:val="auto"/>
        </w:rPr>
      </w:pPr>
    </w:p>
    <w:p>
      <w:pPr>
        <w:ind w:left="1320" w:right="105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share-based compensation, goodwill impairments and other non-cash charges;</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44"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inflation), as well as economic conditions specifically affecting industries in which our clients operate;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57" w:lineRule="exact"/>
        <w:rPr>
          <w:rFonts w:ascii="Arial" w:cs="Arial" w:eastAsia="Arial" w:hAnsi="Arial"/>
          <w:sz w:val="18"/>
          <w:szCs w:val="18"/>
          <w:color w:val="auto"/>
        </w:rPr>
      </w:pPr>
    </w:p>
    <w:p>
      <w:pPr>
        <w:ind w:left="1320" w:right="939" w:hanging="434"/>
        <w:spacing w:after="0" w:line="308" w:lineRule="auto"/>
        <w:tabs>
          <w:tab w:leader="none" w:pos="1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security breaches of, technical difficulties with, or interruptions to, the delivery and use of our solutions from our technology vendors, and/or our own developed technology; and</w:t>
      </w:r>
    </w:p>
    <w:p>
      <w:pPr>
        <w:spacing w:after="0" w:line="78" w:lineRule="exact"/>
        <w:rPr>
          <w:rFonts w:ascii="Arial" w:cs="Arial" w:eastAsia="Arial" w:hAnsi="Arial"/>
          <w:sz w:val="17"/>
          <w:szCs w:val="17"/>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639"/>
        <w:spacing w:after="0" w:line="381" w:lineRule="auto"/>
        <w:rPr>
          <w:sz w:val="20"/>
          <w:szCs w:val="20"/>
          <w:color w:val="auto"/>
        </w:rPr>
      </w:pPr>
      <w:r>
        <w:rPr>
          <w:rFonts w:ascii="Arial" w:cs="Arial" w:eastAsia="Arial" w:hAnsi="Arial"/>
          <w:sz w:val="15"/>
          <w:szCs w:val="15"/>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9" w:lineRule="exact"/>
        <w:rPr>
          <w:sz w:val="20"/>
          <w:szCs w:val="20"/>
          <w:color w:val="auto"/>
        </w:rPr>
      </w:pPr>
    </w:p>
    <w:p>
      <w:pPr>
        <w:ind w:left="1320" w:right="779" w:hanging="434"/>
        <w:spacing w:after="0" w:line="308" w:lineRule="auto"/>
        <w:tabs>
          <w:tab w:leader="none" w:pos="13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capital expenditures, acquisitions, debt service requirements, execution of our growth strategy and other purposes;</w:t>
      </w:r>
    </w:p>
    <w:p>
      <w:pPr>
        <w:spacing w:after="0" w:line="78"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w:t>
      </w:r>
    </w:p>
    <w:p>
      <w:pPr>
        <w:spacing w:after="0" w:line="89" w:lineRule="exact"/>
        <w:rPr>
          <w:rFonts w:ascii="Arial" w:cs="Arial" w:eastAsia="Arial" w:hAnsi="Arial"/>
          <w:sz w:val="18"/>
          <w:szCs w:val="18"/>
          <w:color w:val="auto"/>
        </w:rPr>
      </w:pPr>
    </w:p>
    <w:p>
      <w:pPr>
        <w:ind w:left="1320" w:right="619" w:hanging="434"/>
        <w:spacing w:after="0" w:line="259"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with our competitors that have less debt; and</w:t>
      </w:r>
    </w:p>
    <w:p>
      <w:pPr>
        <w:spacing w:after="0" w:line="180" w:lineRule="exact"/>
        <w:rPr>
          <w:rFonts w:ascii="Arial" w:cs="Arial" w:eastAsia="Arial" w:hAnsi="Arial"/>
          <w:sz w:val="16"/>
          <w:szCs w:val="16"/>
          <w:color w:val="auto"/>
        </w:rPr>
      </w:pPr>
    </w:p>
    <w:p>
      <w:pPr>
        <w:ind w:left="1320" w:right="739" w:hanging="434"/>
        <w:spacing w:after="0" w:line="263"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103"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65"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68"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might not implement our growth strategies successfully which would limit our growth and cause the market price of our ADS to decline.</w:t>
      </w:r>
    </w:p>
    <w:p>
      <w:pPr>
        <w:spacing w:after="0" w:line="103"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Our future profitability will depend, in part, on our ability to implement successfully our growth strategies. We expect to invest substantial amounts to:</w:t>
      </w:r>
    </w:p>
    <w:p>
      <w:pPr>
        <w:spacing w:after="0" w:line="89" w:lineRule="exact"/>
        <w:rPr>
          <w:sz w:val="20"/>
          <w:szCs w:val="20"/>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Tridentity offerings;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 new solutions and add features and functionality to existing solutions;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 our salesforce and marketing to win new clients;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relationships with our existing clients;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into new verticals and markets;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strategic acquisitions or strategic investments;</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 our technology infrastructure, including systems architecture, scalability, availability, performance and network security;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Our investment in these programs will affect adversely our short-term profitability. This would impact revenues adversely and cause our business to suffer.</w:t>
      </w:r>
    </w:p>
    <w:p>
      <w:pPr>
        <w:spacing w:after="0" w:line="17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103"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9"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57" w:lineRule="exact"/>
        <w:rPr>
          <w:sz w:val="20"/>
          <w:szCs w:val="20"/>
          <w:color w:val="auto"/>
        </w:rPr>
      </w:pPr>
    </w:p>
    <w:p>
      <w:pPr>
        <w:jc w:val="both"/>
        <w:ind w:left="460" w:right="859"/>
        <w:spacing w:after="0" w:line="311" w:lineRule="auto"/>
        <w:rPr>
          <w:sz w:val="20"/>
          <w:szCs w:val="20"/>
          <w:color w:val="auto"/>
        </w:rPr>
      </w:pPr>
      <w:r>
        <w:rPr>
          <w:rFonts w:ascii="Arial" w:cs="Arial" w:eastAsia="Arial" w:hAnsi="Arial"/>
          <w:sz w:val="16"/>
          <w:szCs w:val="16"/>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8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80" w:lineRule="exact"/>
        <w:rPr>
          <w:sz w:val="20"/>
          <w:szCs w:val="20"/>
          <w:color w:val="auto"/>
        </w:rPr>
      </w:pPr>
    </w:p>
    <w:p>
      <w:pPr>
        <w:ind w:left="1320" w:right="579" w:hanging="434"/>
        <w:spacing w:after="0" w:line="296" w:lineRule="auto"/>
        <w:tabs>
          <w:tab w:leader="none" w:pos="1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6"/>
          <w:szCs w:val="16"/>
          <w:color w:val="auto"/>
        </w:rPr>
      </w:pPr>
    </w:p>
    <w:p>
      <w:pPr>
        <w:jc w:val="both"/>
        <w:ind w:left="1320" w:right="599" w:hanging="434"/>
        <w:spacing w:after="0" w:line="263"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44"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encounter difficulties in, or may be unable to, successfully sell any acquired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57"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shareholders may be diluted and earnings per share may decrease.</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392"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infrastructure may adversely affect our business, results of operations and financial condition.</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79" w:lineRule="exact"/>
        <w:rPr>
          <w:sz w:val="20"/>
          <w:szCs w:val="20"/>
          <w:color w:val="auto"/>
        </w:rPr>
      </w:pPr>
    </w:p>
    <w:p>
      <w:pPr>
        <w:ind w:left="460" w:right="1219"/>
        <w:spacing w:after="0" w:line="308" w:lineRule="auto"/>
        <w:rPr>
          <w:sz w:val="20"/>
          <w:szCs w:val="20"/>
          <w:color w:val="auto"/>
        </w:rPr>
      </w:pPr>
      <w:r>
        <w:rPr>
          <w:rFonts w:ascii="Arial" w:cs="Arial" w:eastAsia="Arial" w:hAnsi="Arial"/>
          <w:sz w:val="17"/>
          <w:szCs w:val="17"/>
          <w:b w:val="1"/>
          <w:bCs w:val="1"/>
          <w:i w:val="1"/>
          <w:iCs w:val="1"/>
          <w:color w:val="auto"/>
        </w:rPr>
        <w:t>We depend on the reliable performance of Internet infrastructure, bandwidth providers, data center providers, cloud providers, mobile infrastructure, and other third parties.</w:t>
      </w:r>
    </w:p>
    <w:p>
      <w:pPr>
        <w:spacing w:after="0" w:line="6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01"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77"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or proprietary rights could substantially harm our business and results of operations.</w:t>
      </w:r>
    </w:p>
    <w:p>
      <w:pPr>
        <w:spacing w:after="0" w:line="10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Our success and ability to compete depends in part on our intellectual property. As of June 30, 2023, we have one registered trademark in Singapore. See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0"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9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certain technology and software licensed from third parties.</w:t>
      </w:r>
    </w:p>
    <w:p>
      <w:pPr>
        <w:spacing w:after="0" w:line="158" w:lineRule="exact"/>
        <w:rPr>
          <w:sz w:val="20"/>
          <w:szCs w:val="20"/>
          <w:color w:val="auto"/>
        </w:rPr>
      </w:pPr>
    </w:p>
    <w:p>
      <w:pPr>
        <w:jc w:val="both"/>
        <w:ind w:left="460" w:right="679" w:firstLine="432"/>
        <w:spacing w:after="0" w:line="287" w:lineRule="auto"/>
        <w:rPr>
          <w:sz w:val="20"/>
          <w:szCs w:val="20"/>
          <w:color w:val="auto"/>
        </w:rPr>
      </w:pPr>
      <w:r>
        <w:rPr>
          <w:rFonts w:ascii="Arial" w:cs="Arial" w:eastAsia="Arial" w:hAnsi="Arial"/>
          <w:sz w:val="16"/>
          <w:szCs w:val="16"/>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2" w:lineRule="exact"/>
        <w:rPr>
          <w:sz w:val="20"/>
          <w:szCs w:val="20"/>
          <w:color w:val="auto"/>
        </w:rPr>
      </w:pPr>
    </w:p>
    <w:p>
      <w:pPr>
        <w:ind w:left="460" w:right="699"/>
        <w:spacing w:after="0" w:line="270" w:lineRule="auto"/>
        <w:rPr>
          <w:sz w:val="20"/>
          <w:szCs w:val="20"/>
          <w:color w:val="auto"/>
        </w:rPr>
      </w:pPr>
      <w:r>
        <w:rPr>
          <w:rFonts w:ascii="Arial" w:cs="Arial" w:eastAsia="Arial" w:hAnsi="Arial"/>
          <w:sz w:val="17"/>
          <w:szCs w:val="17"/>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88"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1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74"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1"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84" w:lineRule="exact"/>
        <w:rPr>
          <w:sz w:val="20"/>
          <w:szCs w:val="20"/>
          <w:color w:val="auto"/>
        </w:rPr>
      </w:pPr>
    </w:p>
    <w:p>
      <w:pPr>
        <w:ind w:left="460" w:right="779"/>
        <w:spacing w:after="0" w:line="263" w:lineRule="auto"/>
        <w:rPr>
          <w:sz w:val="20"/>
          <w:szCs w:val="20"/>
          <w:color w:val="auto"/>
        </w:rPr>
      </w:pPr>
      <w:r>
        <w:rPr>
          <w:rFonts w:ascii="Arial" w:cs="Arial" w:eastAsia="Arial" w:hAnsi="Arial"/>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9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49"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76"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1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9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limited insurance coverage, which could expose us to significant costs and business disruption.</w:t>
      </w:r>
    </w:p>
    <w:p>
      <w:pPr>
        <w:spacing w:after="0" w:line="181"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Jurisdictions Where We Operate</w:t>
      </w:r>
    </w:p>
    <w:p>
      <w:pPr>
        <w:spacing w:after="0" w:line="229"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0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1"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103"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1" w:lineRule="exact"/>
        <w:rPr>
          <w:sz w:val="20"/>
          <w:szCs w:val="20"/>
          <w:color w:val="auto"/>
        </w:rPr>
      </w:pPr>
    </w:p>
    <w:p>
      <w:pPr>
        <w:ind w:left="460" w:right="719"/>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29"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w:t>
      </w:r>
    </w:p>
    <w:p>
      <w:pPr>
        <w:spacing w:after="0" w:line="89"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92"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103"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10"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77"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3"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99" w:lineRule="exact"/>
        <w:rPr>
          <w:sz w:val="20"/>
          <w:szCs w:val="20"/>
          <w:color w:val="auto"/>
        </w:rPr>
      </w:pPr>
    </w:p>
    <w:p>
      <w:pPr>
        <w:ind w:left="460" w:right="839" w:firstLine="432"/>
        <w:spacing w:after="0" w:line="291" w:lineRule="auto"/>
        <w:rPr>
          <w:sz w:val="20"/>
          <w:szCs w:val="20"/>
          <w:color w:val="auto"/>
        </w:rPr>
      </w:pPr>
      <w:r>
        <w:rPr>
          <w:rFonts w:ascii="Arial" w:cs="Arial" w:eastAsia="Arial" w:hAnsi="Arial"/>
          <w:sz w:val="16"/>
          <w:szCs w:val="16"/>
          <w:color w:val="auto"/>
        </w:rPr>
        <w:t>Upon the completion of this offering, our founder, chairman of board of directors and chief executive officer, Mr. Soon Huat Lim, will together beneficially own all of our issued Class A ordinary shares. These</w:t>
      </w:r>
    </w:p>
    <w:p>
      <w:pPr>
        <w:ind w:left="460" w:right="779"/>
        <w:spacing w:after="0" w:line="265" w:lineRule="auto"/>
        <w:rPr>
          <w:sz w:val="20"/>
          <w:szCs w:val="20"/>
          <w:color w:val="auto"/>
        </w:rPr>
      </w:pPr>
      <w:r>
        <w:rPr>
          <w:rFonts w:ascii="Arial" w:cs="Arial" w:eastAsia="Arial" w:hAnsi="Arial"/>
          <w:sz w:val="17"/>
          <w:szCs w:val="17"/>
          <w:color w:val="auto"/>
        </w:rPr>
        <w:t>Class A ordinary shares will constitute approximately [ ]% of our total issued and outstanding share capital immediately after the completion of this offering and [ ]% of the aggregate voting power of our</w:t>
      </w:r>
    </w:p>
    <w:p>
      <w:pPr>
        <w:ind w:left="460" w:right="479"/>
        <w:spacing w:after="0" w:line="285" w:lineRule="auto"/>
        <w:rPr>
          <w:sz w:val="20"/>
          <w:szCs w:val="20"/>
          <w:color w:val="auto"/>
        </w:rPr>
      </w:pPr>
      <w:r>
        <w:rPr>
          <w:rFonts w:ascii="Arial" w:cs="Arial" w:eastAsia="Arial" w:hAnsi="Arial"/>
          <w:sz w:val="16"/>
          <w:szCs w:val="16"/>
          <w:color w:val="auto"/>
        </w:rPr>
        <w:t>total issued and outstanding share capital due to the disparate voting powers associated with our dual-class share structure, assuming the underwriters do not exercise their over-allotment option.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68"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88"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06"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7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70"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7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6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76"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67"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5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8" w:lineRule="exact"/>
        <w:rPr>
          <w:sz w:val="20"/>
          <w:szCs w:val="20"/>
          <w:color w:val="auto"/>
        </w:rPr>
      </w:pPr>
    </w:p>
    <w:p>
      <w:pPr>
        <w:ind w:left="460" w:right="479"/>
        <w:spacing w:after="0" w:line="310" w:lineRule="auto"/>
        <w:rPr>
          <w:sz w:val="20"/>
          <w:szCs w:val="20"/>
          <w:color w:val="auto"/>
        </w:rPr>
      </w:pPr>
      <w:r>
        <w:rPr>
          <w:rFonts w:ascii="Arial" w:cs="Arial" w:eastAsia="Arial" w:hAnsi="Arial"/>
          <w:sz w:val="15"/>
          <w:szCs w:val="15"/>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6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Arial" w:cs="Arial" w:eastAsia="Arial" w:hAnsi="Arial"/>
          <w:sz w:val="17"/>
          <w:szCs w:val="17"/>
          <w:color w:val="auto"/>
        </w:rPr>
        <w:t>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us and the depositary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185" w:lineRule="exact"/>
        <w:rPr>
          <w:sz w:val="20"/>
          <w:szCs w:val="20"/>
          <w:color w:val="auto"/>
        </w:rPr>
      </w:pPr>
    </w:p>
    <w:p>
      <w:pPr>
        <w:jc w:val="both"/>
        <w:ind w:left="460" w:right="659"/>
        <w:spacing w:after="0" w:line="381"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3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14" w:lineRule="exact"/>
        <w:rPr>
          <w:sz w:val="20"/>
          <w:szCs w:val="20"/>
          <w:color w:val="auto"/>
        </w:rPr>
      </w:pPr>
    </w:p>
    <w:p>
      <w:pPr>
        <w:ind w:left="1320" w:right="779" w:hanging="434"/>
        <w:spacing w:after="0" w:line="311" w:lineRule="auto"/>
        <w:tabs>
          <w:tab w:leader="none" w:pos="1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99" w:hanging="434"/>
        <w:spacing w:after="0" w:line="263"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16"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8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8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46" w:lineRule="exact"/>
        <w:rPr>
          <w:sz w:val="20"/>
          <w:szCs w:val="20"/>
          <w:color w:val="auto"/>
        </w:rPr>
      </w:pPr>
    </w:p>
    <w:p>
      <w:pPr>
        <w:ind w:left="460" w:right="1259"/>
        <w:spacing w:after="0" w:line="277" w:lineRule="auto"/>
        <w:rPr>
          <w:sz w:val="20"/>
          <w:szCs w:val="20"/>
          <w:color w:val="auto"/>
        </w:rPr>
      </w:pPr>
      <w:r>
        <w:rPr>
          <w:rFonts w:ascii="Arial" w:cs="Arial" w:eastAsia="Arial" w:hAnsi="Arial"/>
          <w:sz w:val="18"/>
          <w:szCs w:val="18"/>
          <w:b w:val="1"/>
          <w:bCs w:val="1"/>
          <w:i w:val="1"/>
          <w:iCs w:val="1"/>
          <w:color w:val="auto"/>
        </w:rPr>
        <w:t>An ADS holder’s right to pursue claims against the depositary is limited by the terms of the deposit agreement.</w:t>
      </w:r>
    </w:p>
    <w:p>
      <w:pPr>
        <w:spacing w:after="0" w:line="8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1" w:lineRule="exact"/>
        <w:rPr>
          <w:sz w:val="20"/>
          <w:szCs w:val="20"/>
          <w:color w:val="auto"/>
        </w:rPr>
      </w:pPr>
    </w:p>
    <w:p>
      <w:pPr>
        <w:ind w:left="460" w:right="619"/>
        <w:spacing w:after="0" w:line="381" w:lineRule="auto"/>
        <w:rPr>
          <w:sz w:val="20"/>
          <w:szCs w:val="20"/>
          <w:color w:val="auto"/>
        </w:rPr>
      </w:pPr>
      <w:r>
        <w:rPr>
          <w:rFonts w:ascii="Arial" w:cs="Arial" w:eastAsia="Arial" w:hAnsi="Arial"/>
          <w:sz w:val="15"/>
          <w:szCs w:val="15"/>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 w:lineRule="exact"/>
        <w:rPr>
          <w:sz w:val="20"/>
          <w:szCs w:val="20"/>
          <w:color w:val="auto"/>
        </w:rPr>
      </w:pPr>
    </w:p>
    <w:p>
      <w:pPr>
        <w:ind w:left="460" w:right="559" w:firstLine="432"/>
        <w:spacing w:after="0" w:line="267" w:lineRule="auto"/>
        <w:rPr>
          <w:sz w:val="20"/>
          <w:szCs w:val="20"/>
          <w:color w:val="auto"/>
        </w:rPr>
      </w:pPr>
      <w:r>
        <w:rPr>
          <w:rFonts w:ascii="Arial" w:cs="Arial" w:eastAsia="Arial" w:hAnsi="Arial"/>
          <w:sz w:val="17"/>
          <w:szCs w:val="17"/>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3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5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6" w:lineRule="exact"/>
        <w:rPr>
          <w:sz w:val="20"/>
          <w:szCs w:val="20"/>
          <w:color w:val="auto"/>
        </w:rPr>
      </w:pPr>
    </w:p>
    <w:p>
      <w:pPr>
        <w:ind w:left="460" w:right="1199"/>
        <w:spacing w:after="0" w:line="342"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0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4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79"/>
        <w:spacing w:after="0" w:line="293" w:lineRule="auto"/>
        <w:rPr>
          <w:sz w:val="20"/>
          <w:szCs w:val="20"/>
          <w:color w:val="auto"/>
        </w:rPr>
      </w:pPr>
      <w:r>
        <w:rPr>
          <w:rFonts w:ascii="Arial" w:cs="Arial" w:eastAsia="Arial" w:hAnsi="Arial"/>
          <w:sz w:val="16"/>
          <w:szCs w:val="16"/>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64" w:lineRule="exact"/>
        <w:rPr>
          <w:sz w:val="20"/>
          <w:szCs w:val="20"/>
          <w:color w:val="auto"/>
        </w:rPr>
      </w:pPr>
    </w:p>
    <w:p>
      <w:pPr>
        <w:ind w:left="460" w:right="759"/>
        <w:spacing w:after="0" w:line="308"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9"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The deposit agreement governing the ADSs representing our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94" w:lineRule="exact"/>
        <w:rPr>
          <w:sz w:val="20"/>
          <w:szCs w:val="20"/>
          <w:color w:val="auto"/>
        </w:rPr>
      </w:pPr>
    </w:p>
    <w:p>
      <w:pPr>
        <w:ind w:left="460" w:right="719" w:firstLine="432"/>
        <w:spacing w:after="0" w:line="284"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95"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87" w:lineRule="exact"/>
        <w:rPr>
          <w:sz w:val="20"/>
          <w:szCs w:val="20"/>
          <w:color w:val="auto"/>
        </w:rPr>
      </w:pPr>
    </w:p>
    <w:p>
      <w:pPr>
        <w:ind w:left="460" w:right="519"/>
        <w:spacing w:after="0" w:line="381" w:lineRule="auto"/>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3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Arial" w:cs="Arial" w:eastAsia="Arial" w:hAnsi="Arial"/>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9"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2"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16" w:lineRule="exact"/>
        <w:rPr>
          <w:sz w:val="20"/>
          <w:szCs w:val="20"/>
          <w:color w:val="auto"/>
        </w:rPr>
      </w:pPr>
    </w:p>
    <w:p>
      <w:pPr>
        <w:ind w:left="1320" w:right="659" w:hanging="434"/>
        <w:spacing w:after="0" w:line="277"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62" w:lineRule="exact"/>
        <w:rPr>
          <w:rFonts w:ascii="Arial" w:cs="Arial" w:eastAsia="Arial" w:hAnsi="Arial"/>
          <w:sz w:val="18"/>
          <w:szCs w:val="18"/>
          <w:color w:val="auto"/>
        </w:rPr>
      </w:pPr>
    </w:p>
    <w:p>
      <w:pPr>
        <w:ind w:left="1320" w:right="499" w:hanging="434"/>
        <w:spacing w:after="0" w:line="277"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320" w:right="499" w:hanging="434"/>
        <w:spacing w:after="0" w:line="342" w:lineRule="auto"/>
        <w:tabs>
          <w:tab w:leader="none" w:pos="1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w:t>
      </w:r>
    </w:p>
    <w:p>
      <w:pPr>
        <w:spacing w:after="0" w:line="15"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 and</w:t>
      </w:r>
    </w:p>
    <w:p>
      <w:pPr>
        <w:spacing w:after="0" w:line="140"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8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16"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will be a “controlled company” as defined under the Nasdaq Stock Market Rules upon the completion of this offering. Upon the completion of this offering, Mr. Soon Huat Lim, our founder, chairman of board of</w:t>
      </w:r>
    </w:p>
    <w:p>
      <w:pPr>
        <w:ind w:left="460"/>
        <w:spacing w:after="0"/>
        <w:tabs>
          <w:tab w:leader="none" w:pos="5240" w:val="left"/>
        </w:tabs>
        <w:rPr>
          <w:sz w:val="20"/>
          <w:szCs w:val="20"/>
          <w:color w:val="auto"/>
        </w:rPr>
      </w:pPr>
      <w:r>
        <w:rPr>
          <w:rFonts w:ascii="Arial" w:cs="Arial" w:eastAsia="Arial" w:hAnsi="Arial"/>
          <w:sz w:val="18"/>
          <w:szCs w:val="18"/>
          <w:color w:val="auto"/>
        </w:rPr>
        <w:t>directors and chief executive officer will beneficially own [</w:t>
      </w:r>
      <w:r>
        <w:rPr>
          <w:sz w:val="20"/>
          <w:szCs w:val="20"/>
          <w:color w:val="auto"/>
        </w:rPr>
        <w:tab/>
      </w:r>
      <w:r>
        <w:rPr>
          <w:rFonts w:ascii="Arial" w:cs="Arial" w:eastAsia="Arial" w:hAnsi="Arial"/>
          <w:sz w:val="16"/>
          <w:szCs w:val="16"/>
          <w:color w:val="auto"/>
        </w:rPr>
        <w:t>]% of our total issued and outstanding</w:t>
      </w:r>
    </w:p>
    <w:p>
      <w:pPr>
        <w:spacing w:after="0" w:line="9" w:lineRule="exact"/>
        <w:rPr>
          <w:sz w:val="20"/>
          <w:szCs w:val="20"/>
          <w:color w:val="auto"/>
        </w:rPr>
      </w:pPr>
    </w:p>
    <w:p>
      <w:pPr>
        <w:ind w:left="460"/>
        <w:spacing w:after="0"/>
        <w:tabs>
          <w:tab w:leader="none" w:pos="3160" w:val="left"/>
        </w:tabs>
        <w:rPr>
          <w:sz w:val="20"/>
          <w:szCs w:val="20"/>
          <w:color w:val="auto"/>
        </w:rPr>
      </w:pPr>
      <w:r>
        <w:rPr>
          <w:rFonts w:ascii="Arial" w:cs="Arial" w:eastAsia="Arial" w:hAnsi="Arial"/>
          <w:sz w:val="18"/>
          <w:szCs w:val="18"/>
          <w:color w:val="auto"/>
        </w:rPr>
        <w:t>ordinary shares, representing [</w:t>
      </w:r>
      <w:r>
        <w:rPr>
          <w:sz w:val="20"/>
          <w:szCs w:val="20"/>
          <w:color w:val="auto"/>
        </w:rPr>
        <w:tab/>
      </w:r>
      <w:r>
        <w:rPr>
          <w:rFonts w:ascii="Arial" w:cs="Arial" w:eastAsia="Arial" w:hAnsi="Arial"/>
          <w:sz w:val="16"/>
          <w:szCs w:val="16"/>
          <w:color w:val="auto"/>
        </w:rPr>
        <w:t>]% of the total voting power, assuming that the underwriters do not</w:t>
      </w:r>
    </w:p>
    <w:p>
      <w:pPr>
        <w:spacing w:after="0" w:line="9" w:lineRule="exact"/>
        <w:rPr>
          <w:sz w:val="20"/>
          <w:szCs w:val="20"/>
          <w:color w:val="auto"/>
        </w:rPr>
      </w:pPr>
    </w:p>
    <w:p>
      <w:pPr>
        <w:ind w:left="460"/>
        <w:spacing w:after="0"/>
        <w:tabs>
          <w:tab w:leader="none" w:pos="3900" w:val="left"/>
        </w:tabs>
        <w:rPr>
          <w:sz w:val="20"/>
          <w:szCs w:val="20"/>
          <w:color w:val="auto"/>
        </w:rPr>
      </w:pPr>
      <w:r>
        <w:rPr>
          <w:rFonts w:ascii="Arial" w:cs="Arial" w:eastAsia="Arial" w:hAnsi="Arial"/>
          <w:sz w:val="18"/>
          <w:szCs w:val="18"/>
          <w:color w:val="auto"/>
        </w:rPr>
        <w:t>exercise their over-allotment option, or [</w:t>
      </w:r>
      <w:r>
        <w:rPr>
          <w:sz w:val="20"/>
          <w:szCs w:val="20"/>
          <w:color w:val="auto"/>
        </w:rPr>
        <w:tab/>
      </w:r>
      <w:r>
        <w:rPr>
          <w:rFonts w:ascii="Arial" w:cs="Arial" w:eastAsia="Arial" w:hAnsi="Arial"/>
          <w:sz w:val="16"/>
          <w:szCs w:val="16"/>
          <w:color w:val="auto"/>
        </w:rPr>
        <w:t>]% of our total issued and outstanding ordinary shares,</w:t>
      </w:r>
    </w:p>
    <w:p>
      <w:pPr>
        <w:spacing w:after="0" w:line="9" w:lineRule="exact"/>
        <w:rPr>
          <w:sz w:val="20"/>
          <w:szCs w:val="20"/>
          <w:color w:val="auto"/>
        </w:rPr>
      </w:pPr>
    </w:p>
    <w:p>
      <w:pPr>
        <w:ind w:left="460" w:right="519"/>
        <w:spacing w:after="0" w:line="285" w:lineRule="auto"/>
        <w:rPr>
          <w:sz w:val="20"/>
          <w:szCs w:val="20"/>
          <w:color w:val="auto"/>
        </w:rPr>
      </w:pPr>
      <w:r>
        <w:rPr>
          <w:rFonts w:ascii="Arial" w:cs="Arial" w:eastAsia="Arial" w:hAnsi="Arial"/>
          <w:sz w:val="16"/>
          <w:szCs w:val="16"/>
          <w:color w:val="auto"/>
        </w:rPr>
        <w:t>representing [ ]% of the total voting power, assuming that the over-allotment option is exercised in full.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72" w:lineRule="exact"/>
        <w:rPr>
          <w:sz w:val="20"/>
          <w:szCs w:val="20"/>
          <w:color w:val="auto"/>
        </w:rPr>
      </w:pPr>
    </w:p>
    <w:p>
      <w:pPr>
        <w:ind w:left="460" w:right="8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116"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5"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44"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color w:val="auto"/>
        </w:rPr>
        <w:t>Upon the completion of this offering, we will become a public company and expect to incur significant legal, accounting and other expenses that we did not incur as a private company. The Sarbanes-Oxley</w:t>
      </w:r>
    </w:p>
    <w:p>
      <w:pPr>
        <w:ind w:left="460" w:right="479"/>
        <w:spacing w:after="0" w:line="253" w:lineRule="auto"/>
        <w:rPr>
          <w:sz w:val="20"/>
          <w:szCs w:val="20"/>
          <w:color w:val="auto"/>
        </w:rPr>
      </w:pPr>
      <w:r>
        <w:rPr>
          <w:rFonts w:ascii="Arial" w:cs="Arial" w:eastAsia="Arial" w:hAnsi="Arial"/>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5"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1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979" w:firstLine="432"/>
        <w:spacing w:after="0" w:line="311" w:lineRule="auto"/>
        <w:rPr>
          <w:sz w:val="20"/>
          <w:szCs w:val="20"/>
          <w:color w:val="auto"/>
        </w:rPr>
      </w:pPr>
      <w:r>
        <w:rPr>
          <w:rFonts w:ascii="Arial" w:cs="Arial" w:eastAsia="Arial" w:hAnsi="Arial"/>
          <w:sz w:val="16"/>
          <w:szCs w:val="16"/>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4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9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97"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In response to the material weaknesses identified prior to this offering, we are in the process of implementing a number of measures to address the material weaknesses identified, including but not limited to:</w:t>
      </w:r>
    </w:p>
    <w:p>
      <w:pPr>
        <w:spacing w:after="0" w:line="56" w:lineRule="exact"/>
        <w:rPr>
          <w:sz w:val="20"/>
          <w:szCs w:val="20"/>
          <w:color w:val="auto"/>
        </w:rPr>
      </w:pPr>
    </w:p>
    <w:p>
      <w:pPr>
        <w:ind w:left="1320" w:right="1059" w:hanging="434"/>
        <w:spacing w:after="0" w:line="27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implement a comprehensive set of processes and internal controls to timely and appropriately;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transactions that may be subject to complex U.S. GAAP accounting treatment;</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analyze the transactions in accordance with the relevant U.S. GAAP;</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the accounting technical analysis;</w:t>
      </w:r>
    </w:p>
    <w:p>
      <w:pPr>
        <w:spacing w:after="0" w:line="157" w:lineRule="exact"/>
        <w:rPr>
          <w:rFonts w:ascii="Arial" w:cs="Arial" w:eastAsia="Arial" w:hAnsi="Arial"/>
          <w:sz w:val="18"/>
          <w:szCs w:val="18"/>
          <w:color w:val="auto"/>
        </w:rPr>
      </w:pPr>
    </w:p>
    <w:p>
      <w:pPr>
        <w:ind w:left="1320" w:right="739" w:hanging="434"/>
        <w:spacing w:after="0" w:line="279" w:lineRule="auto"/>
        <w:tabs>
          <w:tab w:leader="none" w:pos="1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90" w:lineRule="exact"/>
        <w:rPr>
          <w:rFonts w:ascii="Arial" w:cs="Arial" w:eastAsia="Arial" w:hAnsi="Arial"/>
          <w:sz w:val="17"/>
          <w:szCs w:val="17"/>
          <w:color w:val="auto"/>
        </w:rPr>
      </w:pPr>
    </w:p>
    <w:p>
      <w:pPr>
        <w:ind w:left="1320" w:right="539" w:hanging="434"/>
        <w:spacing w:after="0" w:line="263"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1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1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spacing w:after="0" w:line="270" w:lineRule="auto"/>
        <w:rPr>
          <w:sz w:val="20"/>
          <w:szCs w:val="20"/>
          <w:color w:val="auto"/>
        </w:rPr>
      </w:pPr>
      <w:r>
        <w:rPr>
          <w:rFonts w:ascii="Arial" w:cs="Arial" w:eastAsia="Arial" w:hAnsi="Arial"/>
          <w:sz w:val="17"/>
          <w:szCs w:val="17"/>
          <w:color w:val="auto"/>
        </w:rPr>
        <w:t>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6"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03" w:lineRule="exact"/>
        <w:rPr>
          <w:sz w:val="20"/>
          <w:szCs w:val="20"/>
          <w:color w:val="auto"/>
        </w:rPr>
      </w:pPr>
    </w:p>
    <w:p>
      <w:pPr>
        <w:ind w:left="460" w:right="639" w:firstLine="432"/>
        <w:spacing w:after="0" w:line="288" w:lineRule="auto"/>
        <w:rPr>
          <w:sz w:val="20"/>
          <w:szCs w:val="20"/>
          <w:color w:val="auto"/>
        </w:rPr>
      </w:pPr>
      <w:r>
        <w:rPr>
          <w:rFonts w:ascii="Arial" w:cs="Arial" w:eastAsia="Arial" w:hAnsi="Arial"/>
          <w:sz w:val="16"/>
          <w:szCs w:val="16"/>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68"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8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could be subject to rapid and substantial volatility.</w:t>
      </w:r>
    </w:p>
    <w:p>
      <w:pPr>
        <w:spacing w:after="0" w:line="15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19"/>
        <w:spacing w:after="0" w:line="259" w:lineRule="auto"/>
        <w:rPr>
          <w:sz w:val="20"/>
          <w:szCs w:val="20"/>
          <w:color w:val="auto"/>
        </w:rPr>
      </w:pPr>
      <w:r>
        <w:rPr>
          <w:rFonts w:ascii="Arial" w:cs="Arial" w:eastAsia="Arial" w:hAnsi="Arial"/>
          <w:sz w:val="18"/>
          <w:szCs w:val="18"/>
          <w:color w:val="auto"/>
        </w:rPr>
        <w:t>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1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5" w:lineRule="exact"/>
        <w:rPr>
          <w:sz w:val="20"/>
          <w:szCs w:val="20"/>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outlook of the digital solutions and e-commerce market in Singapore, Southeast Asia and globally;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9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96"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tbl>
      <w:tblPr>
        <w:tblLayout w:type="fixed"/>
        <w:tblInd w:w="46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920" w:type="dxa"/>
            <w:vAlign w:val="bottom"/>
          </w:tcPr>
          <w:p>
            <w:pPr>
              <w:ind w:left="1920"/>
              <w:spacing w:after="0"/>
              <w:rPr>
                <w:sz w:val="20"/>
                <w:szCs w:val="20"/>
                <w:color w:val="auto"/>
              </w:rPr>
            </w:pPr>
            <w:r>
              <w:rPr>
                <w:rFonts w:ascii="Arial" w:cs="Arial" w:eastAsia="Arial" w:hAnsi="Arial"/>
                <w:sz w:val="18"/>
                <w:szCs w:val="18"/>
                <w:b w:val="1"/>
                <w:bCs w:val="1"/>
                <w:color w:val="auto"/>
              </w:rPr>
              <w:t>USE OF PROCEEDS</w:t>
            </w:r>
          </w:p>
        </w:tc>
        <w:tc>
          <w:tcPr>
            <w:tcW w:w="840" w:type="dxa"/>
            <w:vAlign w:val="bottom"/>
          </w:tcPr>
          <w:p>
            <w:pPr>
              <w:spacing w:after="0"/>
              <w:rPr>
                <w:sz w:val="24"/>
                <w:szCs w:val="24"/>
                <w:color w:val="auto"/>
              </w:rPr>
            </w:pPr>
          </w:p>
        </w:tc>
      </w:tr>
      <w:tr>
        <w:trPr>
          <w:trHeight w:val="351"/>
        </w:trPr>
        <w:tc>
          <w:tcPr>
            <w:tcW w:w="7200" w:type="dxa"/>
            <w:vAlign w:val="bottom"/>
            <w:gridSpan w:val="2"/>
          </w:tcPr>
          <w:p>
            <w:pPr>
              <w:ind w:left="420"/>
              <w:spacing w:after="0"/>
              <w:rPr>
                <w:sz w:val="20"/>
                <w:szCs w:val="20"/>
                <w:color w:val="auto"/>
              </w:rPr>
            </w:pPr>
            <w:r>
              <w:rPr>
                <w:rFonts w:ascii="Arial" w:cs="Arial" w:eastAsia="Arial" w:hAnsi="Arial"/>
                <w:sz w:val="18"/>
                <w:szCs w:val="18"/>
                <w:color w:val="auto"/>
                <w:w w:val="93"/>
              </w:rPr>
              <w:t>We estimate that the aggregate net proceeds to us from this offering of approximately US$</w:t>
            </w:r>
          </w:p>
        </w:tc>
        <w:tc>
          <w:tcPr>
            <w:tcW w:w="840" w:type="dxa"/>
            <w:vAlign w:val="bottom"/>
          </w:tcPr>
          <w:p>
            <w:pPr>
              <w:ind w:left="280"/>
              <w:spacing w:after="0"/>
              <w:rPr>
                <w:sz w:val="20"/>
                <w:szCs w:val="20"/>
                <w:color w:val="auto"/>
              </w:rPr>
            </w:pPr>
            <w:r>
              <w:rPr>
                <w:rFonts w:ascii="Arial" w:cs="Arial" w:eastAsia="Arial" w:hAnsi="Arial"/>
                <w:sz w:val="18"/>
                <w:szCs w:val="18"/>
                <w:color w:val="auto"/>
                <w:w w:val="96"/>
              </w:rPr>
              <w:t>million,</w:t>
            </w:r>
          </w:p>
        </w:tc>
      </w:tr>
    </w:tbl>
    <w:p>
      <w:pPr>
        <w:ind w:left="460"/>
        <w:spacing w:after="0"/>
        <w:rPr>
          <w:sz w:val="20"/>
          <w:szCs w:val="20"/>
          <w:color w:val="auto"/>
        </w:rPr>
      </w:pPr>
      <w:r>
        <w:rPr>
          <w:rFonts w:ascii="Arial" w:cs="Arial" w:eastAsia="Arial" w:hAnsi="Arial"/>
          <w:sz w:val="16"/>
          <w:szCs w:val="16"/>
          <w:color w:val="auto"/>
        </w:rPr>
        <w:t>after deducting underwriting discounts and estimated expenses payable by us in connection with this offering,</w:t>
      </w:r>
    </w:p>
    <w:p>
      <w:pPr>
        <w:spacing w:after="0" w:line="32" w:lineRule="exact"/>
        <w:rPr>
          <w:sz w:val="20"/>
          <w:szCs w:val="20"/>
          <w:color w:val="auto"/>
        </w:rPr>
      </w:pPr>
    </w:p>
    <w:p>
      <w:pPr>
        <w:ind w:left="460" w:right="539"/>
        <w:spacing w:after="0"/>
        <w:rPr>
          <w:sz w:val="20"/>
          <w:szCs w:val="20"/>
          <w:color w:val="auto"/>
        </w:rPr>
      </w:pPr>
      <w:r>
        <w:rPr>
          <w:rFonts w:ascii="Arial" w:cs="Arial" w:eastAsia="Arial" w:hAnsi="Arial"/>
          <w:sz w:val="12"/>
          <w:szCs w:val="12"/>
          <w:color w:val="auto"/>
        </w:rPr>
        <w:t>and assuming an initial offering price of US$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color w:val="auto"/>
        </w:rPr>
        <w:t>in the assumed initial public offering price of US$ per ADS would increase (decrease) the net proceeds of this offering by approximately US$ million.</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spacing w:after="0" w:line="119" w:lineRule="exact"/>
        <w:rPr>
          <w:sz w:val="20"/>
          <w:szCs w:val="20"/>
          <w:color w:val="auto"/>
        </w:rPr>
      </w:pPr>
    </w:p>
    <w:p>
      <w:pPr>
        <w:ind w:left="1320" w:right="759" w:hanging="434"/>
        <w:spacing w:after="0" w:line="342" w:lineRule="auto"/>
        <w:tabs>
          <w:tab w:leader="none" w:pos="1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approximately 35% of the net proceeds for research and development, including development of infrastructure for our Web 3.0 e-commerce platform and further investment in our solutions;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25% of the net proceeds for investment in the Singapore market; and</w:t>
      </w:r>
    </w:p>
    <w:p>
      <w:pPr>
        <w:spacing w:after="0" w:line="157" w:lineRule="exact"/>
        <w:rPr>
          <w:rFonts w:ascii="Arial" w:cs="Arial" w:eastAsia="Arial" w:hAnsi="Arial"/>
          <w:sz w:val="18"/>
          <w:szCs w:val="18"/>
          <w:color w:val="auto"/>
        </w:rPr>
      </w:pPr>
    </w:p>
    <w:p>
      <w:pPr>
        <w:jc w:val="both"/>
        <w:ind w:left="1320" w:right="499" w:hanging="434"/>
        <w:spacing w:after="0" w:line="286" w:lineRule="auto"/>
        <w:tabs>
          <w:tab w:leader="none" w:pos="1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spacing w:after="0" w:line="11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8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0"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June 30, 2023:</w:t>
      </w:r>
    </w:p>
    <w:p>
      <w:pPr>
        <w:spacing w:after="0" w:line="158" w:lineRule="exact"/>
        <w:rPr>
          <w:sz w:val="20"/>
          <w:szCs w:val="20"/>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57" w:lineRule="exact"/>
        <w:rPr>
          <w:rFonts w:ascii="Arial" w:cs="Arial" w:eastAsia="Arial" w:hAnsi="Arial"/>
          <w:sz w:val="18"/>
          <w:szCs w:val="18"/>
          <w:color w:val="auto"/>
        </w:rPr>
      </w:pPr>
    </w:p>
    <w:p>
      <w:pPr>
        <w:ind w:left="1320" w:right="559" w:hanging="434"/>
        <w:spacing w:after="0" w:line="257" w:lineRule="auto"/>
        <w:tabs>
          <w:tab w:leader="none" w:pos="1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107" w:lineRule="exact"/>
        <w:rPr>
          <w:sz w:val="20"/>
          <w:szCs w:val="20"/>
          <w:color w:val="auto"/>
        </w:rPr>
      </w:pPr>
    </w:p>
    <w:p>
      <w:pPr>
        <w:ind w:left="880"/>
        <w:spacing w:after="0"/>
        <w:tabs>
          <w:tab w:leader="none" w:pos="1300" w:val="left"/>
          <w:tab w:leader="none" w:pos="6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 pro forma as adjusted basis to reflect the issuance and sale of [</w:t>
      </w:r>
      <w:r>
        <w:rPr>
          <w:sz w:val="20"/>
          <w:szCs w:val="20"/>
          <w:color w:val="auto"/>
        </w:rPr>
        <w:tab/>
      </w:r>
      <w:r>
        <w:rPr>
          <w:rFonts w:ascii="Arial" w:cs="Arial" w:eastAsia="Arial" w:hAnsi="Arial"/>
          <w:sz w:val="16"/>
          <w:szCs w:val="16"/>
          <w:color w:val="auto"/>
        </w:rPr>
        <w:t>] Class B ordinary shares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in the form of ADSs by us in this offering (without full exercise of the underwriter’s over-allotment</w:t>
      </w:r>
    </w:p>
    <w:p>
      <w:pPr>
        <w:spacing w:after="0" w:line="21" w:lineRule="exact"/>
        <w:rPr>
          <w:sz w:val="20"/>
          <w:szCs w:val="20"/>
          <w:color w:val="auto"/>
        </w:rPr>
      </w:pPr>
    </w:p>
    <w:p>
      <w:pPr>
        <w:ind w:left="1320"/>
        <w:spacing w:after="0"/>
        <w:tabs>
          <w:tab w:leader="none" w:pos="6060" w:val="left"/>
        </w:tabs>
        <w:rPr>
          <w:sz w:val="20"/>
          <w:szCs w:val="20"/>
          <w:color w:val="auto"/>
        </w:rPr>
      </w:pPr>
      <w:r>
        <w:rPr>
          <w:rFonts w:ascii="Arial" w:cs="Arial" w:eastAsia="Arial" w:hAnsi="Arial"/>
          <w:sz w:val="18"/>
          <w:szCs w:val="18"/>
          <w:color w:val="auto"/>
        </w:rPr>
        <w:t>option), at an assumed initial public offering price of US$[</w:t>
      </w:r>
      <w:r>
        <w:rPr>
          <w:sz w:val="20"/>
          <w:szCs w:val="20"/>
          <w:color w:val="auto"/>
        </w:rPr>
        <w:tab/>
      </w:r>
      <w:r>
        <w:rPr>
          <w:rFonts w:ascii="Arial" w:cs="Arial" w:eastAsia="Arial" w:hAnsi="Arial"/>
          <w:sz w:val="16"/>
          <w:szCs w:val="16"/>
          <w:color w:val="auto"/>
        </w:rPr>
        <w:t>] per ADS, the midpoint of the</w:t>
      </w:r>
    </w:p>
    <w:p>
      <w:pPr>
        <w:spacing w:after="0" w:line="9" w:lineRule="exact"/>
        <w:rPr>
          <w:sz w:val="20"/>
          <w:szCs w:val="20"/>
          <w:color w:val="auto"/>
        </w:rPr>
      </w:pPr>
    </w:p>
    <w:p>
      <w:pPr>
        <w:ind w:left="1320" w:right="559"/>
        <w:spacing w:after="0" w:line="255" w:lineRule="auto"/>
        <w:rPr>
          <w:sz w:val="20"/>
          <w:szCs w:val="20"/>
          <w:color w:val="auto"/>
        </w:rPr>
      </w:pPr>
      <w:r>
        <w:rPr>
          <w:rFonts w:ascii="Arial" w:cs="Arial" w:eastAsia="Arial" w:hAnsi="Arial"/>
          <w:sz w:val="18"/>
          <w:szCs w:val="18"/>
          <w:color w:val="auto"/>
        </w:rPr>
        <w:t>estimated range of the initial public offering price shown on the front cover this prospectus, after deducting the underwriting discounts and commissions and estimated offering expenses payable by us.</w:t>
      </w:r>
    </w:p>
    <w:p>
      <w:pPr>
        <w:spacing w:after="0" w:line="122"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rPr>
              <w:t>As of June 30, 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Pro Forma</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As Adjusted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Full Exercise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Actual</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Over-Allotment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1"/>
                <w:szCs w:val="21"/>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21"/>
                <w:szCs w:val="21"/>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18"/>
                <w:szCs w:val="18"/>
                <w:b w:val="1"/>
                <w:bCs w:val="1"/>
                <w:color w:val="auto"/>
                <w:w w:val="88"/>
                <w:vertAlign w:val="superscript"/>
              </w:rPr>
              <w:t>(1)</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(2)</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US$</w:t>
            </w:r>
          </w:p>
        </w:tc>
        <w:tc>
          <w:tcPr>
            <w:tcW w:w="80" w:type="dxa"/>
            <w:vAlign w:val="bottom"/>
          </w:tcPr>
          <w:p>
            <w:pPr>
              <w:spacing w:after="0"/>
              <w:rPr>
                <w:sz w:val="19"/>
                <w:szCs w:val="19"/>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US$</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US$</w:t>
            </w: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Amounts due to related party</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40,197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fees advance from shareholders</w:t>
            </w: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7,590,421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loans</w:t>
            </w: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561,998</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(par value US$0.00001 per</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share; 1,000,000,000 Class A ordinary shares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authorized, 50,000,000 and 50,000,000 Class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 ordinary shares issued and outstanding as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June 30, 2023 and December 31, 2022,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respectively; 4,000,000,000 Class B ordinary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360,205,000 and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360,205,000 Class B ordinary shares issued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June 30, 2023 and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2022, respectively.)</w:t>
            </w: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4,102</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32,240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8,631,312</w:t>
            </w:r>
          </w:p>
        </w:tc>
        <w:tc>
          <w:tcPr>
            <w:tcW w:w="10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(3,259,598)</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rPr>
              <w:t>Accumulated other comprehensive (loss)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360"/>
              <w:spacing w:after="0"/>
              <w:rPr>
                <w:sz w:val="20"/>
                <w:szCs w:val="20"/>
                <w:color w:val="auto"/>
              </w:rPr>
            </w:pPr>
            <w:r>
              <w:rPr>
                <w:rFonts w:ascii="Arial" w:cs="Arial" w:eastAsia="Arial" w:hAnsi="Arial"/>
                <w:sz w:val="18"/>
                <w:szCs w:val="18"/>
                <w:color w:val="auto"/>
              </w:rPr>
              <w:t>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87,496</w:t>
            </w:r>
          </w:p>
        </w:tc>
        <w:tc>
          <w:tcPr>
            <w:tcW w:w="10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(3,226,191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6,214,230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7,866,857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8,966,857</w:t>
            </w:r>
          </w:p>
        </w:tc>
        <w:tc>
          <w:tcPr>
            <w:tcW w:w="10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39" w:hanging="426"/>
        <w:spacing w:after="0" w:line="265"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the issuance of 89,795,000 shares of Class B Ordinary Shares on July 4, 2023 for the consideration of US$7,499,990 (received in cash and recorded as subscription fees advance from shareholders as of June 30, 2023) and the issuance of 1,964,286 shares of Class B Ordinary Shares on October 3, 2023 for the consideration of US$1,100,000.</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the issuance and sale of [</w:t>
      </w:r>
      <w:r>
        <w:rPr>
          <w:rFonts w:ascii="Arial" w:cs="Arial" w:eastAsia="Arial" w:hAnsi="Arial"/>
          <w:sz w:val="15"/>
          <w:szCs w:val="15"/>
          <w:color w:val="auto"/>
        </w:rPr>
        <w:t>] Class B ordinary shares in the form of ADSs by us in this offering (without</w:t>
      </w:r>
    </w:p>
    <w:p>
      <w:pPr>
        <w:spacing w:after="0" w:line="19" w:lineRule="exact"/>
        <w:rPr>
          <w:sz w:val="20"/>
          <w:szCs w:val="20"/>
          <w:color w:val="auto"/>
        </w:rPr>
      </w:pPr>
    </w:p>
    <w:p>
      <w:pPr>
        <w:ind w:left="880"/>
        <w:spacing w:after="0"/>
        <w:tabs>
          <w:tab w:leader="none" w:pos="8300" w:val="left"/>
        </w:tabs>
        <w:rPr>
          <w:sz w:val="20"/>
          <w:szCs w:val="20"/>
          <w:color w:val="auto"/>
        </w:rPr>
      </w:pPr>
      <w:r>
        <w:rPr>
          <w:rFonts w:ascii="Arial" w:cs="Arial" w:eastAsia="Arial" w:hAnsi="Arial"/>
          <w:sz w:val="16"/>
          <w:szCs w:val="16"/>
          <w:color w:val="auto"/>
        </w:rPr>
        <w:t>full exercise of the underwriter’s over-allotment option), at an assumed initial public offering price of US$[</w:t>
      </w:r>
      <w:r>
        <w:rPr>
          <w:sz w:val="20"/>
          <w:szCs w:val="20"/>
          <w:color w:val="auto"/>
        </w:rPr>
        <w:tab/>
      </w:r>
      <w:r>
        <w:rPr>
          <w:rFonts w:ascii="Arial" w:cs="Arial" w:eastAsia="Arial" w:hAnsi="Arial"/>
          <w:sz w:val="16"/>
          <w:szCs w:val="16"/>
          <w:color w:val="auto"/>
        </w:rPr>
        <w:t>]</w:t>
      </w:r>
    </w:p>
    <w:p>
      <w:pPr>
        <w:spacing w:after="0" w:line="19" w:lineRule="exact"/>
        <w:rPr>
          <w:sz w:val="20"/>
          <w:szCs w:val="20"/>
          <w:color w:val="auto"/>
        </w:rPr>
      </w:pPr>
    </w:p>
    <w:p>
      <w:pPr>
        <w:ind w:left="880" w:right="579"/>
        <w:spacing w:after="0" w:line="295" w:lineRule="auto"/>
        <w:rPr>
          <w:sz w:val="20"/>
          <w:szCs w:val="20"/>
          <w:color w:val="auto"/>
        </w:rPr>
      </w:pPr>
      <w:r>
        <w:rPr>
          <w:rFonts w:ascii="Arial" w:cs="Arial" w:eastAsia="Arial" w:hAnsi="Arial"/>
          <w:sz w:val="15"/>
          <w:szCs w:val="15"/>
          <w:color w:val="auto"/>
        </w:rPr>
        <w:t>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4" w:right="1440" w:bottom="25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50" w:gutter="0" w:footer="0" w:header="0"/>
          <w:type w:val="continuous"/>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90" w:lineRule="exact"/>
        <w:rPr>
          <w:sz w:val="20"/>
          <w:szCs w:val="20"/>
          <w:color w:val="auto"/>
        </w:rPr>
      </w:pPr>
    </w:p>
    <w:p>
      <w:pPr>
        <w:ind w:left="880"/>
        <w:spacing w:after="0"/>
        <w:tabs>
          <w:tab w:leader="none" w:pos="6620" w:val="left"/>
          <w:tab w:leader="none" w:pos="8200" w:val="left"/>
        </w:tabs>
        <w:rPr>
          <w:sz w:val="20"/>
          <w:szCs w:val="20"/>
          <w:color w:val="auto"/>
        </w:rPr>
      </w:pPr>
      <w:r>
        <w:rPr>
          <w:rFonts w:ascii="Arial" w:cs="Arial" w:eastAsia="Arial" w:hAnsi="Arial"/>
          <w:sz w:val="18"/>
          <w:szCs w:val="18"/>
          <w:color w:val="auto"/>
        </w:rPr>
        <w:t>Our net tangible book value as of June 30, 2023 was approximately US$</w:t>
      </w:r>
      <w:r>
        <w:rPr>
          <w:sz w:val="20"/>
          <w:szCs w:val="20"/>
          <w:color w:val="auto"/>
        </w:rPr>
        <w:tab/>
      </w:r>
      <w:r>
        <w:rPr>
          <w:rFonts w:ascii="Arial" w:cs="Arial" w:eastAsia="Arial" w:hAnsi="Arial"/>
          <w:sz w:val="18"/>
          <w:szCs w:val="18"/>
          <w:color w:val="auto"/>
        </w:rPr>
        <w:t>million, or US$</w:t>
      </w:r>
      <w:r>
        <w:rPr>
          <w:sz w:val="20"/>
          <w:szCs w:val="20"/>
          <w:color w:val="auto"/>
        </w:rPr>
        <w:tab/>
      </w:r>
      <w:r>
        <w:rPr>
          <w:rFonts w:ascii="Arial" w:cs="Arial" w:eastAsia="Arial" w:hAnsi="Arial"/>
          <w:sz w:val="16"/>
          <w:szCs w:val="16"/>
          <w:color w:val="auto"/>
        </w:rPr>
        <w:t>per</w:t>
      </w:r>
    </w:p>
    <w:p>
      <w:pPr>
        <w:spacing w:after="0" w:line="23"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ordinary share as of that date and US$</w:t>
      </w:r>
      <w:r>
        <w:rPr>
          <w:sz w:val="20"/>
          <w:szCs w:val="20"/>
          <w:color w:val="auto"/>
        </w:rPr>
        <w:tab/>
      </w:r>
      <w:r>
        <w:rPr>
          <w:rFonts w:ascii="Arial" w:cs="Arial" w:eastAsia="Arial" w:hAnsi="Arial"/>
          <w:sz w:val="16"/>
          <w:szCs w:val="16"/>
          <w:color w:val="auto"/>
        </w:rPr>
        <w:t>per ADS. Net tangible book value represents the amount of our</w:t>
      </w:r>
    </w:p>
    <w:p>
      <w:pPr>
        <w:spacing w:after="0" w:line="9" w:lineRule="exact"/>
        <w:rPr>
          <w:sz w:val="20"/>
          <w:szCs w:val="20"/>
          <w:color w:val="auto"/>
        </w:rPr>
      </w:pPr>
    </w:p>
    <w:p>
      <w:pPr>
        <w:ind w:left="460" w:right="539"/>
        <w:spacing w:after="0" w:line="281" w:lineRule="auto"/>
        <w:rPr>
          <w:sz w:val="20"/>
          <w:szCs w:val="20"/>
          <w:color w:val="auto"/>
        </w:rPr>
      </w:pPr>
      <w:r>
        <w:rPr>
          <w:rFonts w:ascii="Arial" w:cs="Arial" w:eastAsia="Arial" w:hAnsi="Arial"/>
          <w:sz w:val="16"/>
          <w:szCs w:val="16"/>
          <w:color w:val="auto"/>
        </w:rPr>
        <w:t>total consolidated tangible assets, less the amount of our total consolidated liabilities. Dilution is determined by subtracting net tangible book value per ordinary share, after giving effect to the additional proceeds we will</w:t>
      </w:r>
    </w:p>
    <w:p>
      <w:pPr>
        <w:spacing w:after="0" w:line="1" w:lineRule="exact"/>
        <w:rPr>
          <w:sz w:val="20"/>
          <w:szCs w:val="20"/>
          <w:color w:val="auto"/>
        </w:rPr>
      </w:pPr>
    </w:p>
    <w:p>
      <w:pPr>
        <w:ind w:left="460" w:right="639"/>
        <w:spacing w:after="0" w:line="253" w:lineRule="auto"/>
        <w:rPr>
          <w:sz w:val="20"/>
          <w:szCs w:val="20"/>
          <w:color w:val="auto"/>
        </w:rPr>
      </w:pPr>
      <w:r>
        <w:rPr>
          <w:rFonts w:ascii="Arial" w:cs="Arial" w:eastAsia="Arial" w:hAnsi="Arial"/>
          <w:sz w:val="18"/>
          <w:szCs w:val="18"/>
          <w:color w:val="auto"/>
        </w:rPr>
        <w:t>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7740" w:type="dxa"/>
            <w:vAlign w:val="bottom"/>
            <w:gridSpan w:val="10"/>
          </w:tcPr>
          <w:p>
            <w:pPr>
              <w:ind w:left="60"/>
              <w:spacing w:after="0"/>
              <w:rPr>
                <w:sz w:val="20"/>
                <w:szCs w:val="20"/>
                <w:color w:val="auto"/>
              </w:rPr>
            </w:pPr>
            <w:r>
              <w:rPr>
                <w:rFonts w:ascii="Arial" w:cs="Arial" w:eastAsia="Arial" w:hAnsi="Arial"/>
                <w:sz w:val="18"/>
                <w:szCs w:val="18"/>
                <w:color w:val="auto"/>
                <w:w w:val="92"/>
              </w:rPr>
              <w:t>Without taking into account any other changes in net tangible book value after June 30, 2023, other than</w:t>
            </w:r>
          </w:p>
        </w:tc>
      </w:tr>
      <w:tr>
        <w:trPr>
          <w:trHeight w:val="216"/>
        </w:trPr>
        <w:tc>
          <w:tcPr>
            <w:tcW w:w="7780" w:type="dxa"/>
            <w:vAlign w:val="bottom"/>
            <w:gridSpan w:val="10"/>
          </w:tcPr>
          <w:p>
            <w:pPr>
              <w:spacing w:after="0"/>
              <w:rPr>
                <w:sz w:val="20"/>
                <w:szCs w:val="20"/>
                <w:color w:val="auto"/>
              </w:rPr>
            </w:pPr>
            <w:r>
              <w:rPr>
                <w:rFonts w:ascii="Arial" w:cs="Arial" w:eastAsia="Arial" w:hAnsi="Arial"/>
                <w:sz w:val="18"/>
                <w:szCs w:val="18"/>
                <w:color w:val="auto"/>
                <w:w w:val="94"/>
              </w:rPr>
              <w:t>to give effect to our sale of the ADSs offered in this offering at the assumed initial public offering price of</w:t>
            </w:r>
          </w:p>
        </w:tc>
        <w:tc>
          <w:tcPr>
            <w:tcW w:w="32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7420" w:type="dxa"/>
            <w:vAlign w:val="bottom"/>
            <w:gridSpan w:val="9"/>
          </w:tcPr>
          <w:p>
            <w:pPr>
              <w:ind w:left="500"/>
              <w:spacing w:after="0"/>
              <w:rPr>
                <w:sz w:val="20"/>
                <w:szCs w:val="20"/>
                <w:color w:val="auto"/>
              </w:rPr>
            </w:pPr>
            <w:r>
              <w:rPr>
                <w:rFonts w:ascii="Arial" w:cs="Arial" w:eastAsia="Arial" w:hAnsi="Arial"/>
                <w:sz w:val="18"/>
                <w:szCs w:val="18"/>
                <w:color w:val="auto"/>
                <w:w w:val="92"/>
              </w:rPr>
              <w:t>per ADS, which is the midpoint of the estimated initial public offering price range shown on the</w:t>
            </w:r>
          </w:p>
        </w:tc>
        <w:tc>
          <w:tcPr>
            <w:tcW w:w="320" w:type="dxa"/>
            <w:vAlign w:val="bottom"/>
          </w:tcPr>
          <w:p>
            <w:pPr>
              <w:spacing w:after="0"/>
              <w:rPr>
                <w:sz w:val="18"/>
                <w:szCs w:val="18"/>
                <w:color w:val="auto"/>
              </w:rPr>
            </w:pPr>
          </w:p>
        </w:tc>
      </w:tr>
      <w:tr>
        <w:trPr>
          <w:trHeight w:val="216"/>
        </w:trPr>
        <w:tc>
          <w:tcPr>
            <w:tcW w:w="7780" w:type="dxa"/>
            <w:vAlign w:val="bottom"/>
            <w:gridSpan w:val="10"/>
          </w:tcPr>
          <w:p>
            <w:pPr>
              <w:spacing w:after="0"/>
              <w:rPr>
                <w:sz w:val="20"/>
                <w:szCs w:val="20"/>
                <w:color w:val="auto"/>
              </w:rPr>
            </w:pPr>
            <w:r>
              <w:rPr>
                <w:rFonts w:ascii="Arial" w:cs="Arial" w:eastAsia="Arial" w:hAnsi="Arial"/>
                <w:sz w:val="18"/>
                <w:szCs w:val="18"/>
                <w:color w:val="auto"/>
                <w:w w:val="90"/>
              </w:rPr>
              <w:t>front cover of this prospectus, after deduction of the underwriting discounts and commissions and estimated</w:t>
            </w:r>
          </w:p>
        </w:tc>
        <w:tc>
          <w:tcPr>
            <w:tcW w:w="320" w:type="dxa"/>
            <w:vAlign w:val="bottom"/>
          </w:tcPr>
          <w:p>
            <w:pPr>
              <w:spacing w:after="0"/>
              <w:rPr>
                <w:sz w:val="18"/>
                <w:szCs w:val="18"/>
                <w:color w:val="auto"/>
              </w:rPr>
            </w:pPr>
          </w:p>
        </w:tc>
      </w:tr>
      <w:tr>
        <w:trPr>
          <w:trHeight w:val="216"/>
        </w:trPr>
        <w:tc>
          <w:tcPr>
            <w:tcW w:w="5740" w:type="dxa"/>
            <w:vAlign w:val="bottom"/>
            <w:gridSpan w:val="6"/>
          </w:tcPr>
          <w:p>
            <w:pPr>
              <w:spacing w:after="0"/>
              <w:rPr>
                <w:sz w:val="20"/>
                <w:szCs w:val="20"/>
                <w:color w:val="auto"/>
              </w:rPr>
            </w:pPr>
            <w:r>
              <w:rPr>
                <w:rFonts w:ascii="Arial" w:cs="Arial" w:eastAsia="Arial" w:hAnsi="Arial"/>
                <w:sz w:val="18"/>
                <w:szCs w:val="18"/>
                <w:color w:val="auto"/>
                <w:w w:val="91"/>
              </w:rPr>
              <w:t>offering expenses payable by us, our as adjusted net tangible book value as of</w:t>
            </w:r>
          </w:p>
        </w:tc>
        <w:tc>
          <w:tcPr>
            <w:tcW w:w="780" w:type="dxa"/>
            <w:vAlign w:val="bottom"/>
          </w:tcPr>
          <w:p>
            <w:pPr>
              <w:spacing w:after="0"/>
              <w:rPr>
                <w:sz w:val="18"/>
                <w:szCs w:val="18"/>
                <w:color w:val="auto"/>
              </w:rPr>
            </w:pPr>
          </w:p>
        </w:tc>
        <w:tc>
          <w:tcPr>
            <w:tcW w:w="158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would have been</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360" w:type="dxa"/>
            <w:vAlign w:val="bottom"/>
          </w:tcPr>
          <w:p>
            <w:pPr>
              <w:ind w:left="500"/>
              <w:spacing w:after="0"/>
              <w:rPr>
                <w:sz w:val="20"/>
                <w:szCs w:val="20"/>
                <w:color w:val="auto"/>
              </w:rPr>
            </w:pPr>
            <w:r>
              <w:rPr>
                <w:rFonts w:ascii="Arial" w:cs="Arial" w:eastAsia="Arial" w:hAnsi="Arial"/>
                <w:sz w:val="18"/>
                <w:szCs w:val="18"/>
                <w:color w:val="auto"/>
              </w:rPr>
              <w:t>, or US$</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per ordinary share and US$</w:t>
            </w:r>
          </w:p>
        </w:tc>
        <w:tc>
          <w:tcPr>
            <w:tcW w:w="3860" w:type="dxa"/>
            <w:vAlign w:val="bottom"/>
            <w:gridSpan w:val="7"/>
          </w:tcPr>
          <w:p>
            <w:pPr>
              <w:jc w:val="right"/>
              <w:ind w:right="30"/>
              <w:spacing w:after="0"/>
              <w:rPr>
                <w:sz w:val="20"/>
                <w:szCs w:val="20"/>
                <w:color w:val="auto"/>
              </w:rPr>
            </w:pPr>
            <w:r>
              <w:rPr>
                <w:rFonts w:ascii="Arial" w:cs="Arial" w:eastAsia="Arial" w:hAnsi="Arial"/>
                <w:sz w:val="18"/>
                <w:szCs w:val="18"/>
                <w:color w:val="auto"/>
                <w:w w:val="95"/>
              </w:rPr>
              <w:t>per ADS. This represents an immediate increase</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in net tangible book value of US$</w:t>
            </w:r>
          </w:p>
        </w:tc>
        <w:tc>
          <w:tcPr>
            <w:tcW w:w="2500" w:type="dxa"/>
            <w:vAlign w:val="bottom"/>
            <w:gridSpan w:val="2"/>
          </w:tcPr>
          <w:p>
            <w:pPr>
              <w:ind w:left="60"/>
              <w:spacing w:after="0"/>
              <w:rPr>
                <w:sz w:val="20"/>
                <w:szCs w:val="20"/>
                <w:color w:val="auto"/>
              </w:rPr>
            </w:pPr>
            <w:r>
              <w:rPr>
                <w:rFonts w:ascii="Arial" w:cs="Arial" w:eastAsia="Arial" w:hAnsi="Arial"/>
                <w:sz w:val="18"/>
                <w:szCs w:val="18"/>
                <w:color w:val="auto"/>
              </w:rPr>
              <w:t>per ordinary share and US$</w:t>
            </w:r>
          </w:p>
        </w:tc>
        <w:tc>
          <w:tcPr>
            <w:tcW w:w="2380" w:type="dxa"/>
            <w:vAlign w:val="bottom"/>
            <w:gridSpan w:val="5"/>
          </w:tcPr>
          <w:p>
            <w:pPr>
              <w:ind w:left="80"/>
              <w:spacing w:after="0"/>
              <w:rPr>
                <w:sz w:val="20"/>
                <w:szCs w:val="20"/>
                <w:color w:val="auto"/>
              </w:rPr>
            </w:pPr>
            <w:r>
              <w:rPr>
                <w:rFonts w:ascii="Arial" w:cs="Arial" w:eastAsia="Arial" w:hAnsi="Arial"/>
                <w:sz w:val="18"/>
                <w:szCs w:val="18"/>
                <w:color w:val="auto"/>
              </w:rPr>
              <w:t>per ADS to the existing</w:t>
            </w:r>
          </w:p>
        </w:tc>
        <w:tc>
          <w:tcPr>
            <w:tcW w:w="320" w:type="dxa"/>
            <w:vAlign w:val="bottom"/>
          </w:tcPr>
          <w:p>
            <w:pPr>
              <w:spacing w:after="0"/>
              <w:rPr>
                <w:sz w:val="18"/>
                <w:szCs w:val="18"/>
                <w:color w:val="auto"/>
              </w:rPr>
            </w:pPr>
          </w:p>
        </w:tc>
      </w:tr>
      <w:tr>
        <w:trPr>
          <w:trHeight w:val="216"/>
        </w:trPr>
        <w:tc>
          <w:tcPr>
            <w:tcW w:w="5400" w:type="dxa"/>
            <w:vAlign w:val="bottom"/>
            <w:gridSpan w:val="5"/>
          </w:tcPr>
          <w:p>
            <w:pPr>
              <w:spacing w:after="0"/>
              <w:rPr>
                <w:sz w:val="20"/>
                <w:szCs w:val="20"/>
                <w:color w:val="auto"/>
              </w:rPr>
            </w:pPr>
            <w:r>
              <w:rPr>
                <w:rFonts w:ascii="Arial" w:cs="Arial" w:eastAsia="Arial" w:hAnsi="Arial"/>
                <w:sz w:val="18"/>
                <w:szCs w:val="18"/>
                <w:color w:val="auto"/>
                <w:w w:val="92"/>
              </w:rPr>
              <w:t>shareholders and an immediate dilution in net tangible book value of US$</w:t>
            </w:r>
          </w:p>
        </w:tc>
        <w:tc>
          <w:tcPr>
            <w:tcW w:w="340" w:type="dxa"/>
            <w:vAlign w:val="bottom"/>
          </w:tcPr>
          <w:p>
            <w:pPr>
              <w:spacing w:after="0"/>
              <w:rPr>
                <w:sz w:val="18"/>
                <w:szCs w:val="18"/>
                <w:color w:val="auto"/>
              </w:rPr>
            </w:pPr>
          </w:p>
        </w:tc>
        <w:tc>
          <w:tcPr>
            <w:tcW w:w="2040" w:type="dxa"/>
            <w:vAlign w:val="bottom"/>
            <w:gridSpan w:val="4"/>
          </w:tcPr>
          <w:p>
            <w:pPr>
              <w:ind w:left="100"/>
              <w:spacing w:after="0"/>
              <w:rPr>
                <w:sz w:val="20"/>
                <w:szCs w:val="20"/>
                <w:color w:val="auto"/>
              </w:rPr>
            </w:pPr>
            <w:r>
              <w:rPr>
                <w:rFonts w:ascii="Arial" w:cs="Arial" w:eastAsia="Arial" w:hAnsi="Arial"/>
                <w:sz w:val="18"/>
                <w:szCs w:val="18"/>
                <w:color w:val="auto"/>
              </w:rPr>
              <w:t>per ordinary share and</w:t>
            </w:r>
          </w:p>
        </w:tc>
        <w:tc>
          <w:tcPr>
            <w:tcW w:w="32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7740" w:type="dxa"/>
            <w:vAlign w:val="bottom"/>
            <w:gridSpan w:val="10"/>
          </w:tcPr>
          <w:p>
            <w:pPr>
              <w:ind w:left="500"/>
              <w:spacing w:after="0"/>
              <w:rPr>
                <w:sz w:val="20"/>
                <w:szCs w:val="20"/>
                <w:color w:val="auto"/>
              </w:rPr>
            </w:pPr>
            <w:r>
              <w:rPr>
                <w:rFonts w:ascii="Arial" w:cs="Arial" w:eastAsia="Arial" w:hAnsi="Arial"/>
                <w:sz w:val="18"/>
                <w:szCs w:val="18"/>
                <w:color w:val="auto"/>
                <w:w w:val="92"/>
              </w:rPr>
              <w:t>per ADS to investors purchasing ADSs in this offering. The following table illustrates such dilution:</w:t>
            </w:r>
          </w:p>
        </w:tc>
      </w:tr>
      <w:tr>
        <w:trPr>
          <w:trHeight w:val="364"/>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ind w:left="100"/>
              <w:spacing w:after="0"/>
              <w:rPr>
                <w:sz w:val="20"/>
                <w:szCs w:val="20"/>
                <w:color w:val="auto"/>
              </w:rPr>
            </w:pPr>
            <w:r>
              <w:rPr>
                <w:rFonts w:ascii="Arial" w:cs="Arial" w:eastAsia="Arial" w:hAnsi="Arial"/>
                <w:sz w:val="16"/>
                <w:szCs w:val="16"/>
                <w:b w:val="1"/>
                <w:bCs w:val="1"/>
                <w:color w:val="auto"/>
              </w:rPr>
              <w:t>Per ordinary</w:t>
            </w:r>
          </w:p>
        </w:tc>
        <w:tc>
          <w:tcPr>
            <w:tcW w:w="32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6"/>
                <w:szCs w:val="16"/>
                <w:b w:val="1"/>
                <w:bCs w:val="1"/>
                <w:color w:val="auto"/>
                <w:w w:val="93"/>
              </w:rPr>
              <w:t>share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Per ADS</w:t>
            </w:r>
          </w:p>
        </w:tc>
      </w:tr>
      <w:tr>
        <w:trPr>
          <w:trHeight w:val="47"/>
        </w:trPr>
        <w:tc>
          <w:tcPr>
            <w:tcW w:w="2900" w:type="dxa"/>
            <w:vAlign w:val="bottom"/>
            <w:tcBorders>
              <w:bottom w:val="single" w:sz="8" w:color="CCEEFF"/>
            </w:tcBorders>
            <w:gridSpan w:val="3"/>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4"/>
          </w:tcPr>
          <w:p>
            <w:pPr>
              <w:spacing w:after="0"/>
              <w:rPr>
                <w:sz w:val="20"/>
                <w:szCs w:val="20"/>
                <w:color w:val="auto"/>
              </w:rPr>
            </w:pPr>
            <w:r>
              <w:rPr>
                <w:rFonts w:ascii="Arial" w:cs="Arial" w:eastAsia="Arial" w:hAnsi="Arial"/>
                <w:sz w:val="18"/>
                <w:szCs w:val="18"/>
                <w:color w:val="auto"/>
              </w:rPr>
              <w:t>Net tangible book value as of June 30, 2023</w:t>
            </w: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1"/>
                <w:szCs w:val="21"/>
                <w:color w:val="auto"/>
              </w:rPr>
            </w:pPr>
          </w:p>
        </w:tc>
      </w:tr>
      <w:tr>
        <w:trPr>
          <w:trHeight w:val="40"/>
        </w:trPr>
        <w:tc>
          <w:tcPr>
            <w:tcW w:w="5400" w:type="dxa"/>
            <w:vAlign w:val="bottom"/>
            <w:gridSpan w:val="5"/>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63"/>
        </w:trPr>
        <w:tc>
          <w:tcPr>
            <w:tcW w:w="5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8"/>
              </w:rPr>
              <w:t>As adjusted net tangible book value after giving effect to this offering</w:t>
            </w: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02"/>
        </w:trPr>
        <w:tc>
          <w:tcPr>
            <w:tcW w:w="5400" w:type="dxa"/>
            <w:vAlign w:val="bottom"/>
            <w:gridSpan w:val="5"/>
          </w:tcPr>
          <w:p>
            <w:pPr>
              <w:spacing w:after="0" w:line="201" w:lineRule="exact"/>
              <w:rPr>
                <w:sz w:val="20"/>
                <w:szCs w:val="20"/>
                <w:color w:val="auto"/>
              </w:rPr>
            </w:pPr>
            <w:r>
              <w:rPr>
                <w:rFonts w:ascii="Arial" w:cs="Arial" w:eastAsia="Arial" w:hAnsi="Arial"/>
                <w:sz w:val="18"/>
                <w:szCs w:val="18"/>
                <w:color w:val="auto"/>
                <w:w w:val="99"/>
              </w:rPr>
              <w:t>Amount of dilution in net tangible book value to new investors in this</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172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6160" w:type="dxa"/>
            <w:vAlign w:val="bottom"/>
            <w:gridSpan w:val="6"/>
          </w:tcPr>
          <w:p>
            <w:pPr>
              <w:ind w:left="60"/>
              <w:spacing w:after="0"/>
              <w:rPr>
                <w:sz w:val="20"/>
                <w:szCs w:val="20"/>
                <w:color w:val="auto"/>
              </w:rPr>
            </w:pPr>
            <w:r>
              <w:rPr>
                <w:rFonts w:ascii="Arial" w:cs="Arial" w:eastAsia="Arial" w:hAnsi="Arial"/>
                <w:sz w:val="18"/>
                <w:szCs w:val="18"/>
                <w:color w:val="auto"/>
                <w:w w:val="94"/>
              </w:rPr>
              <w:t>A US$1.00 increase (decrease) in the assumed initial public offering price of US$</w:t>
            </w:r>
          </w:p>
        </w:tc>
        <w:tc>
          <w:tcPr>
            <w:tcW w:w="300" w:type="dxa"/>
            <w:vAlign w:val="bottom"/>
          </w:tcPr>
          <w:p>
            <w:pPr>
              <w:spacing w:after="0"/>
              <w:rPr>
                <w:sz w:val="24"/>
                <w:szCs w:val="24"/>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per ADS would</w:t>
            </w:r>
          </w:p>
        </w:tc>
      </w:tr>
      <w:tr>
        <w:trPr>
          <w:trHeight w:val="216"/>
        </w:trPr>
        <w:tc>
          <w:tcPr>
            <w:tcW w:w="7780" w:type="dxa"/>
            <w:vAlign w:val="bottom"/>
            <w:gridSpan w:val="10"/>
          </w:tcPr>
          <w:p>
            <w:pPr>
              <w:spacing w:after="0"/>
              <w:rPr>
                <w:sz w:val="20"/>
                <w:szCs w:val="20"/>
                <w:color w:val="auto"/>
              </w:rPr>
            </w:pPr>
            <w:r>
              <w:rPr>
                <w:rFonts w:ascii="Arial" w:cs="Arial" w:eastAsia="Arial" w:hAnsi="Arial"/>
                <w:sz w:val="18"/>
                <w:szCs w:val="18"/>
                <w:color w:val="auto"/>
                <w:w w:val="96"/>
              </w:rPr>
              <w:t>increase (decrease) our as adjusted net tangible book value after giving effect to this offering by US$</w:t>
            </w:r>
          </w:p>
        </w:tc>
        <w:tc>
          <w:tcPr>
            <w:tcW w:w="320" w:type="dxa"/>
            <w:vAlign w:val="bottom"/>
          </w:tcPr>
          <w:p>
            <w:pPr>
              <w:jc w:val="right"/>
              <w:ind w:right="170"/>
              <w:spacing w:after="0"/>
              <w:rPr>
                <w:sz w:val="20"/>
                <w:szCs w:val="20"/>
                <w:color w:val="auto"/>
              </w:rPr>
            </w:pPr>
            <w:r>
              <w:rPr>
                <w:rFonts w:ascii="Arial" w:cs="Arial" w:eastAsia="Arial" w:hAnsi="Arial"/>
                <w:sz w:val="18"/>
                <w:szCs w:val="18"/>
                <w:color w:val="auto"/>
                <w:w w:val="78"/>
              </w:rPr>
              <w:t>,</w:t>
            </w:r>
          </w:p>
        </w:tc>
      </w:tr>
      <w:tr>
        <w:trPr>
          <w:trHeight w:val="216"/>
        </w:trPr>
        <w:tc>
          <w:tcPr>
            <w:tcW w:w="7780" w:type="dxa"/>
            <w:vAlign w:val="bottom"/>
            <w:gridSpan w:val="10"/>
          </w:tcPr>
          <w:p>
            <w:pPr>
              <w:spacing w:after="0"/>
              <w:rPr>
                <w:sz w:val="20"/>
                <w:szCs w:val="20"/>
                <w:color w:val="auto"/>
              </w:rPr>
            </w:pPr>
            <w:r>
              <w:rPr>
                <w:rFonts w:ascii="Arial" w:cs="Arial" w:eastAsia="Arial" w:hAnsi="Arial"/>
                <w:sz w:val="18"/>
                <w:szCs w:val="18"/>
                <w:color w:val="auto"/>
                <w:w w:val="90"/>
              </w:rPr>
              <w:t>the as adjusted net tangible book value per ordinary share and per ADS after giving effect to this offering by</w:t>
            </w:r>
          </w:p>
        </w:tc>
        <w:tc>
          <w:tcPr>
            <w:tcW w:w="32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2540" w:type="dxa"/>
            <w:vAlign w:val="bottom"/>
            <w:gridSpan w:val="2"/>
          </w:tcPr>
          <w:p>
            <w:pPr>
              <w:ind w:left="500"/>
              <w:spacing w:after="0"/>
              <w:rPr>
                <w:sz w:val="20"/>
                <w:szCs w:val="20"/>
                <w:color w:val="auto"/>
              </w:rPr>
            </w:pPr>
            <w:r>
              <w:rPr>
                <w:rFonts w:ascii="Arial" w:cs="Arial" w:eastAsia="Arial" w:hAnsi="Arial"/>
                <w:sz w:val="18"/>
                <w:szCs w:val="18"/>
                <w:color w:val="auto"/>
                <w:w w:val="91"/>
              </w:rPr>
              <w:t>per ordinary share and US$</w:t>
            </w:r>
          </w:p>
        </w:tc>
        <w:tc>
          <w:tcPr>
            <w:tcW w:w="5200" w:type="dxa"/>
            <w:vAlign w:val="bottom"/>
            <w:gridSpan w:val="8"/>
          </w:tcPr>
          <w:p>
            <w:pPr>
              <w:jc w:val="right"/>
              <w:ind w:right="30"/>
              <w:spacing w:after="0"/>
              <w:rPr>
                <w:sz w:val="20"/>
                <w:szCs w:val="20"/>
                <w:color w:val="auto"/>
              </w:rPr>
            </w:pPr>
            <w:r>
              <w:rPr>
                <w:rFonts w:ascii="Arial" w:cs="Arial" w:eastAsia="Arial" w:hAnsi="Arial"/>
                <w:sz w:val="18"/>
                <w:szCs w:val="18"/>
                <w:color w:val="auto"/>
                <w:w w:val="99"/>
              </w:rPr>
              <w:t>per ADS, and the dilution in as adjusted net tangible book value</w:t>
            </w:r>
          </w:p>
        </w:tc>
      </w:tr>
      <w:tr>
        <w:trPr>
          <w:trHeight w:val="216"/>
        </w:trPr>
        <w:tc>
          <w:tcPr>
            <w:tcW w:w="5400" w:type="dxa"/>
            <w:vAlign w:val="bottom"/>
            <w:gridSpan w:val="5"/>
          </w:tcPr>
          <w:p>
            <w:pPr>
              <w:spacing w:after="0"/>
              <w:rPr>
                <w:sz w:val="20"/>
                <w:szCs w:val="20"/>
                <w:color w:val="auto"/>
              </w:rPr>
            </w:pPr>
            <w:r>
              <w:rPr>
                <w:rFonts w:ascii="Arial" w:cs="Arial" w:eastAsia="Arial" w:hAnsi="Arial"/>
                <w:sz w:val="18"/>
                <w:szCs w:val="18"/>
                <w:color w:val="auto"/>
                <w:w w:val="94"/>
              </w:rPr>
              <w:t>per ordinary share and per ADS to new investors in this offering by US$</w:t>
            </w:r>
          </w:p>
        </w:tc>
        <w:tc>
          <w:tcPr>
            <w:tcW w:w="340" w:type="dxa"/>
            <w:vAlign w:val="bottom"/>
          </w:tcPr>
          <w:p>
            <w:pPr>
              <w:spacing w:after="0"/>
              <w:rPr>
                <w:sz w:val="18"/>
                <w:szCs w:val="18"/>
                <w:color w:val="auto"/>
              </w:rPr>
            </w:pPr>
          </w:p>
        </w:tc>
        <w:tc>
          <w:tcPr>
            <w:tcW w:w="2040" w:type="dxa"/>
            <w:vAlign w:val="bottom"/>
            <w:gridSpan w:val="4"/>
          </w:tcPr>
          <w:p>
            <w:pPr>
              <w:ind w:left="20"/>
              <w:spacing w:after="0"/>
              <w:rPr>
                <w:sz w:val="20"/>
                <w:szCs w:val="20"/>
                <w:color w:val="auto"/>
              </w:rPr>
            </w:pPr>
            <w:r>
              <w:rPr>
                <w:rFonts w:ascii="Arial" w:cs="Arial" w:eastAsia="Arial" w:hAnsi="Arial"/>
                <w:sz w:val="18"/>
                <w:szCs w:val="18"/>
                <w:color w:val="auto"/>
                <w:w w:val="90"/>
              </w:rPr>
              <w:t>per ordinary share and US$</w:t>
            </w:r>
          </w:p>
        </w:tc>
        <w:tc>
          <w:tcPr>
            <w:tcW w:w="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740" w:type="dxa"/>
            <w:vAlign w:val="bottom"/>
            <w:gridSpan w:val="10"/>
          </w:tcPr>
          <w:p>
            <w:pPr>
              <w:ind w:left="40"/>
              <w:spacing w:after="0"/>
              <w:rPr>
                <w:sz w:val="20"/>
                <w:szCs w:val="20"/>
                <w:color w:val="auto"/>
              </w:rPr>
            </w:pPr>
            <w:r>
              <w:rPr>
                <w:rFonts w:ascii="Arial" w:cs="Arial" w:eastAsia="Arial" w:hAnsi="Arial"/>
                <w:sz w:val="18"/>
                <w:szCs w:val="18"/>
                <w:color w:val="auto"/>
                <w:w w:val="92"/>
              </w:rPr>
              <w:t>per ADS, assuming no change to the number of ADSs offered by us as set forth on the front cover of this</w:t>
            </w:r>
          </w:p>
        </w:tc>
      </w:tr>
      <w:tr>
        <w:trPr>
          <w:trHeight w:val="216"/>
        </w:trPr>
        <w:tc>
          <w:tcPr>
            <w:tcW w:w="7780" w:type="dxa"/>
            <w:vAlign w:val="bottom"/>
            <w:gridSpan w:val="10"/>
          </w:tcPr>
          <w:p>
            <w:pPr>
              <w:spacing w:after="0"/>
              <w:rPr>
                <w:sz w:val="20"/>
                <w:szCs w:val="20"/>
                <w:color w:val="auto"/>
              </w:rPr>
            </w:pPr>
            <w:r>
              <w:rPr>
                <w:rFonts w:ascii="Arial" w:cs="Arial" w:eastAsia="Arial" w:hAnsi="Arial"/>
                <w:sz w:val="18"/>
                <w:szCs w:val="18"/>
                <w:color w:val="auto"/>
                <w:w w:val="91"/>
              </w:rPr>
              <w:t>prospectus, and after deducting underwriting discounts and commissions and estimated offering expenses</w:t>
            </w:r>
          </w:p>
        </w:tc>
        <w:tc>
          <w:tcPr>
            <w:tcW w:w="320" w:type="dxa"/>
            <w:vAlign w:val="bottom"/>
          </w:tcPr>
          <w:p>
            <w:pPr>
              <w:spacing w:after="0"/>
              <w:rPr>
                <w:sz w:val="18"/>
                <w:szCs w:val="18"/>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payable by us.</w:t>
            </w: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134"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The following table summarizes, on an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00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3"/>
              </w:rPr>
              <w:t>Ordinary Shares Purchased</w:t>
            </w:r>
          </w:p>
        </w:tc>
        <w:tc>
          <w:tcPr>
            <w:tcW w:w="190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Total Consideration</w:t>
            </w:r>
          </w:p>
        </w:tc>
        <w:tc>
          <w:tcPr>
            <w:tcW w:w="8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Price Per</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95"/>
              </w:rPr>
              <w:t>Ordinary</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Percent</w:t>
            </w: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Share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ADS</w:t>
            </w:r>
          </w:p>
        </w:tc>
        <w:tc>
          <w:tcPr>
            <w:tcW w:w="0" w:type="dxa"/>
            <w:vAlign w:val="bottom"/>
          </w:tcPr>
          <w:p>
            <w:pPr>
              <w:spacing w:after="0"/>
              <w:rPr>
                <w:sz w:val="1"/>
                <w:szCs w:val="1"/>
                <w:color w:val="auto"/>
              </w:rPr>
            </w:pPr>
          </w:p>
        </w:tc>
      </w:tr>
      <w:tr>
        <w:trPr>
          <w:trHeight w:val="46"/>
        </w:trPr>
        <w:tc>
          <w:tcPr>
            <w:tcW w:w="20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56"/>
        </w:trPr>
        <w:tc>
          <w:tcPr>
            <w:tcW w:w="308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US$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US$</w:t>
            </w:r>
          </w:p>
        </w:tc>
        <w:tc>
          <w:tcPr>
            <w:tcW w:w="104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16" w:lineRule="exact"/>
        <w:rPr>
          <w:sz w:val="20"/>
          <w:szCs w:val="20"/>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03" w:lineRule="exact"/>
        <w:rPr>
          <w:sz w:val="20"/>
          <w:szCs w:val="20"/>
          <w:color w:val="auto"/>
        </w:rPr>
      </w:pPr>
    </w:p>
    <w:p>
      <w:pPr>
        <w:ind w:left="1320" w:right="679" w:hanging="434"/>
        <w:spacing w:after="0" w:line="263" w:lineRule="auto"/>
        <w:tabs>
          <w:tab w:leader="none" w:pos="1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16" w:lineRule="exact"/>
        <w:rPr>
          <w:rFonts w:ascii="Arial" w:cs="Arial" w:eastAsia="Arial" w:hAnsi="Arial"/>
          <w:sz w:val="18"/>
          <w:szCs w:val="18"/>
          <w:color w:val="auto"/>
        </w:rPr>
      </w:pPr>
    </w:p>
    <w:p>
      <w:pPr>
        <w:ind w:left="1320" w:right="1339" w:hanging="434"/>
        <w:spacing w:after="0" w:line="277" w:lineRule="auto"/>
        <w:tabs>
          <w:tab w:leader="none" w:pos="1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89"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1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0"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We have appointed Cogency Global Inc., located at 122 East 42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Street,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NY 10168, as our agent upon whom process may be served in any action brought against us under the securities laws of the United States.</w:t>
      </w:r>
    </w:p>
    <w:p>
      <w:pPr>
        <w:spacing w:after="0" w:line="11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311" w:lineRule="auto"/>
        <w:rPr>
          <w:sz w:val="20"/>
          <w:szCs w:val="20"/>
          <w:color w:val="auto"/>
        </w:rPr>
      </w:pPr>
      <w:r>
        <w:rPr>
          <w:rFonts w:ascii="Arial" w:cs="Arial" w:eastAsia="Arial" w:hAnsi="Arial"/>
          <w:sz w:val="16"/>
          <w:szCs w:val="16"/>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81"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16"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 Cayman Islands court may stay enforcement proceedings if concurrent proceedings are being brought elsewhere.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Singapore</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8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8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100330</wp:posOffset>
            </wp:positionV>
            <wp:extent cx="3034665" cy="1791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5"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General and administrative expenses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Research and development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other income, net</w:t>
      </w:r>
    </w:p>
    <w:p>
      <w:pPr>
        <w:spacing w:after="0" w:line="54" w:lineRule="exact"/>
        <w:rPr>
          <w:sz w:val="20"/>
          <w:szCs w:val="20"/>
          <w:color w:val="auto"/>
        </w:rPr>
      </w:pPr>
    </w:p>
    <w:p>
      <w:pPr>
        <w:ind w:left="640" w:right="440" w:hanging="179"/>
        <w:spacing w:after="0" w:line="277" w:lineRule="auto"/>
        <w:rPr>
          <w:sz w:val="20"/>
          <w:szCs w:val="20"/>
          <w:color w:val="auto"/>
        </w:rPr>
      </w:pPr>
      <w:r>
        <w:rPr>
          <w:rFonts w:ascii="Arial" w:cs="Arial" w:eastAsia="Arial" w:hAnsi="Arial"/>
          <w:sz w:val="18"/>
          <w:szCs w:val="18"/>
          <w:color w:val="auto"/>
        </w:rPr>
        <w:t>(Loss)/Income before income tax expense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comprehensive loss:</w:t>
      </w:r>
    </w:p>
    <w:p>
      <w:pPr>
        <w:spacing w:after="0" w:line="54" w:lineRule="exact"/>
        <w:rPr>
          <w:sz w:val="20"/>
          <w:szCs w:val="20"/>
          <w:color w:val="auto"/>
        </w:rPr>
      </w:pPr>
    </w:p>
    <w:p>
      <w:pPr>
        <w:ind w:left="820" w:right="600" w:hanging="179"/>
        <w:spacing w:after="0" w:line="277" w:lineRule="auto"/>
        <w:rPr>
          <w:sz w:val="20"/>
          <w:szCs w:val="20"/>
          <w:color w:val="auto"/>
        </w:rPr>
      </w:pPr>
      <w:r>
        <w:rPr>
          <w:rFonts w:ascii="Arial" w:cs="Arial" w:eastAsia="Arial" w:hAnsi="Arial"/>
          <w:sz w:val="18"/>
          <w:szCs w:val="18"/>
          <w:color w:val="auto"/>
        </w:rPr>
        <w:t>Foreign currency translation adjustment</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comprehensive (loss)/income</w:t>
      </w:r>
    </w:p>
    <w:p>
      <w:pPr>
        <w:spacing w:after="0" w:line="77" w:lineRule="exact"/>
        <w:rPr>
          <w:sz w:val="20"/>
          <w:szCs w:val="20"/>
          <w:color w:val="auto"/>
        </w:rPr>
      </w:pPr>
    </w:p>
    <w:p>
      <w:pPr>
        <w:ind w:left="640" w:right="60" w:hanging="179"/>
        <w:spacing w:after="0" w:line="308" w:lineRule="auto"/>
        <w:rPr>
          <w:sz w:val="20"/>
          <w:szCs w:val="20"/>
          <w:color w:val="auto"/>
        </w:rPr>
      </w:pPr>
      <w:r>
        <w:rPr>
          <w:rFonts w:ascii="Arial" w:cs="Arial" w:eastAsia="Arial" w:hAnsi="Arial"/>
          <w:sz w:val="16"/>
          <w:szCs w:val="16"/>
          <w:color w:val="auto"/>
        </w:rPr>
        <w:t>Weighted average number of Ordinary Shares – basic and diluted</w:t>
      </w:r>
    </w:p>
    <w:p>
      <w:pPr>
        <w:ind w:left="640" w:hanging="179"/>
        <w:spacing w:after="0" w:line="277" w:lineRule="auto"/>
        <w:rPr>
          <w:sz w:val="20"/>
          <w:szCs w:val="20"/>
          <w:color w:val="auto"/>
        </w:rPr>
      </w:pPr>
      <w:r>
        <w:rPr>
          <w:rFonts w:ascii="Arial" w:cs="Arial" w:eastAsia="Arial" w:hAnsi="Arial"/>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June 30,</w:t>
            </w:r>
          </w:p>
        </w:tc>
      </w:tr>
      <w:tr>
        <w:trPr>
          <w:trHeight w:val="47"/>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(71,530)</w:t>
            </w: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29,967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2"/>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280" w:space="240"/>
            <w:col w:w="5499"/>
          </w:cols>
          <w:pgMar w:left="1440" w:top="274" w:right="1440" w:bottom="1440" w:gutter="0" w:footer="0" w:header="0"/>
          <w:type w:val="continuous"/>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our summary consolidated balance sheet data as of the dates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471,332</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line="196" w:lineRule="exact"/>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2"/>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(27,514)</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140" w:type="dxa"/>
            <w:vAlign w:val="bottom"/>
          </w:tcPr>
          <w:p>
            <w:pPr>
              <w:spacing w:after="0"/>
              <w:rPr>
                <w:sz w:val="19"/>
                <w:szCs w:val="19"/>
                <w:color w:val="auto"/>
              </w:rPr>
            </w:pPr>
          </w:p>
        </w:tc>
      </w:tr>
      <w:tr>
        <w:trPr>
          <w:trHeight w:val="40"/>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(113,439)</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3,965,607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89"/>
              </w:rPr>
              <w:t>45</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81" w:lineRule="exact"/>
        <w:rPr>
          <w:sz w:val="20"/>
          <w:szCs w:val="20"/>
          <w:color w:val="auto"/>
        </w:rPr>
      </w:pPr>
    </w:p>
    <w:p>
      <w:pPr>
        <w:ind w:left="1320" w:right="479" w:hanging="434"/>
        <w:spacing w:after="0" w:line="257"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20"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0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1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9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Factors Affecting Our Results of Operations</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our solutions and services</w:t>
      </w:r>
    </w:p>
    <w:p>
      <w:pPr>
        <w:spacing w:after="0" w:line="15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We plan to launch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clients</w:t>
      </w:r>
    </w:p>
    <w:p>
      <w:pPr>
        <w:spacing w:after="0" w:line="131"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into new verticals and new markets</w:t>
      </w:r>
    </w:p>
    <w:p>
      <w:pPr>
        <w:spacing w:after="0" w:line="13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Continued investment in innovation and growth</w:t>
      </w:r>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We derive revenues principally from providing business consulting services and IT customization services.</w:t>
      </w:r>
    </w:p>
    <w:p>
      <w:pPr>
        <w:spacing w:after="0" w:line="76"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 xml:space="preserve">Business consulting. </w:t>
      </w:r>
      <w:r>
        <w:rPr>
          <w:rFonts w:ascii="Arial" w:cs="Arial" w:eastAsia="Arial" w:hAnsi="Arial"/>
          <w:sz w:val="18"/>
          <w:szCs w:val="18"/>
          <w:color w:val="auto"/>
        </w:rPr>
        <w:t>We provide a wide range of business consulting services to customers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106"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We offer IT customization services, including tailor-made IT solutions or packaged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9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 from terminated consulting projects, (iii) referral commission, and (iv) interest expenses.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six months ended June 30, 2023 and 2022, respectively.</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Arial" w:cs="Arial" w:eastAsia="Arial" w:hAnsi="Arial"/>
                <w:sz w:val="16"/>
                <w:szCs w:val="16"/>
                <w:b w:val="1"/>
                <w:bCs w:val="1"/>
                <w:color w:val="auto"/>
                <w:w w:val="89"/>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0"/>
              </w:rPr>
              <w:t>Change in</w:t>
            </w: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w w:val="93"/>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739.77%</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1,087.86%</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(156,703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(1,704,709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Arial" w:cs="Arial" w:eastAsia="Arial" w:hAnsi="Arial"/>
                <w:sz w:val="16"/>
                <w:szCs w:val="16"/>
                <w:b w:val="1"/>
                <w:bCs w:val="1"/>
                <w:color w:val="auto"/>
                <w:w w:val="92"/>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5"/>
              </w:rPr>
              <w:t>Amount</w:t>
            </w: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w:t>
            </w:r>
            <w:r>
              <w:rPr>
                <w:rFonts w:ascii="Arial" w:cs="Arial" w:eastAsia="Arial" w:hAnsi="Arial"/>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(40.91)</w:t>
            </w:r>
            <w:r>
              <w:rPr>
                <w:rFonts w:ascii="Arial" w:cs="Arial" w:eastAsia="Arial" w:hAnsi="Arial"/>
                <w:sz w:val="18"/>
                <w:szCs w:val="18"/>
                <w:color w:val="auto"/>
              </w:rPr>
              <w:t>%</w:t>
            </w:r>
          </w:p>
        </w:tc>
      </w:tr>
      <w:tr>
        <w:trPr>
          <w:trHeight w:val="243"/>
        </w:trPr>
        <w:tc>
          <w:tcPr>
            <w:tcW w:w="308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56"/>
        </w:trPr>
        <w:tc>
          <w:tcPr>
            <w:tcW w:w="3080" w:type="dxa"/>
            <w:vAlign w:val="bottom"/>
          </w:tcPr>
          <w:p>
            <w:pPr>
              <w:spacing w:after="0"/>
              <w:rPr>
                <w:sz w:val="20"/>
                <w:szCs w:val="20"/>
                <w:color w:val="auto"/>
              </w:rPr>
            </w:pPr>
            <w:r>
              <w:rPr>
                <w:rFonts w:ascii="Arial" w:cs="Arial" w:eastAsia="Arial" w:hAnsi="Arial"/>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9,736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decreased from US$192,513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US$282,610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Arial" w:cs="Arial" w:eastAsia="Arial" w:hAnsi="Arial"/>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5"/>
              </w:rPr>
              <w:t>Amount</w:t>
            </w:r>
          </w:p>
        </w:tc>
        <w:tc>
          <w:tcPr>
            <w:tcW w:w="62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116,761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44"/>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Our cost of revenues slightly increased by 2.82%, from US$378,896 for the six months ended June 30, 2022 to US$389,569 for the six months ended June 30, 2023.</w:t>
      </w:r>
    </w:p>
    <w:p>
      <w:pPr>
        <w:spacing w:after="0" w:line="103"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i w:val="1"/>
          <w:iCs w:val="1"/>
          <w:color w:val="auto"/>
        </w:rPr>
        <w:t>Service fees.</w:t>
      </w:r>
      <w:r>
        <w:rPr>
          <w:sz w:val="20"/>
          <w:szCs w:val="20"/>
          <w:color w:val="auto"/>
        </w:rPr>
        <w:tab/>
      </w:r>
      <w:r>
        <w:rPr>
          <w:rFonts w:ascii="Arial" w:cs="Arial" w:eastAsia="Arial" w:hAnsi="Arial"/>
          <w:sz w:val="16"/>
          <w:szCs w:val="16"/>
          <w:color w:val="auto"/>
        </w:rPr>
        <w:t>Service fees increased from US$235,583 for the six months ended June 30, 2022 to</w:t>
      </w:r>
    </w:p>
    <w:p>
      <w:pPr>
        <w:spacing w:after="0" w:line="23" w:lineRule="exact"/>
        <w:rPr>
          <w:sz w:val="20"/>
          <w:szCs w:val="20"/>
          <w:color w:val="auto"/>
        </w:rPr>
      </w:pPr>
    </w:p>
    <w:p>
      <w:pPr>
        <w:ind w:left="460" w:right="639"/>
        <w:spacing w:after="0" w:line="253" w:lineRule="auto"/>
        <w:rPr>
          <w:sz w:val="20"/>
          <w:szCs w:val="20"/>
          <w:color w:val="auto"/>
        </w:rPr>
      </w:pPr>
      <w:r>
        <w:rPr>
          <w:rFonts w:ascii="Arial" w:cs="Arial" w:eastAsia="Arial" w:hAnsi="Arial"/>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25"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US$116,761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US$122,142 for the six months ended June 30, 2023, primarily related to increases in base salaries and bonuses to our staff since second half of 2022.</w:t>
      </w:r>
    </w:p>
    <w:p>
      <w:pPr>
        <w:spacing w:after="0" w:line="103"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8"/>
          <w:szCs w:val="18"/>
          <w:i w:val="1"/>
          <w:iCs w:val="1"/>
          <w:color w:val="auto"/>
        </w:rPr>
        <w:t>Miscellaneous costs.</w:t>
      </w:r>
      <w:r>
        <w:rPr>
          <w:sz w:val="20"/>
          <w:szCs w:val="20"/>
          <w:color w:val="auto"/>
        </w:rPr>
        <w:tab/>
      </w:r>
      <w:r>
        <w:rPr>
          <w:rFonts w:ascii="Arial" w:cs="Arial" w:eastAsia="Arial" w:hAnsi="Arial"/>
          <w:sz w:val="16"/>
          <w:szCs w:val="16"/>
          <w:color w:val="auto"/>
        </w:rPr>
        <w:t>Miscellaneous cost decreased from US$26,552 for the six months ended June 30,</w:t>
      </w:r>
    </w:p>
    <w:p>
      <w:pPr>
        <w:spacing w:after="0" w:line="23" w:lineRule="exact"/>
        <w:rPr>
          <w:sz w:val="20"/>
          <w:szCs w:val="20"/>
          <w:color w:val="auto"/>
        </w:rPr>
      </w:pPr>
    </w:p>
    <w:p>
      <w:pPr>
        <w:jc w:val="both"/>
        <w:ind w:left="460" w:right="739"/>
        <w:spacing w:after="0" w:line="255" w:lineRule="auto"/>
        <w:rPr>
          <w:sz w:val="20"/>
          <w:szCs w:val="20"/>
          <w:color w:val="auto"/>
        </w:rPr>
      </w:pPr>
      <w:r>
        <w:rPr>
          <w:rFonts w:ascii="Arial" w:cs="Arial" w:eastAsia="Arial" w:hAnsi="Arial"/>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659" w:firstLine="432"/>
        <w:spacing w:after="0" w:line="269" w:lineRule="auto"/>
        <w:rPr>
          <w:sz w:val="20"/>
          <w:szCs w:val="20"/>
          <w:color w:val="auto"/>
        </w:rPr>
      </w:pPr>
      <w:r>
        <w:rPr>
          <w:rFonts w:ascii="Arial" w:cs="Arial" w:eastAsia="Arial" w:hAnsi="Arial"/>
          <w:sz w:val="17"/>
          <w:szCs w:val="17"/>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referral commission, and (iii) interest expenses.</w:t>
      </w:r>
    </w:p>
    <w:p>
      <w:pPr>
        <w:spacing w:after="0" w:line="103"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Our other income decreased from US$70,300 for the six months ended June 30, 2022 to US$44,900 for the six months ended June 30, 2023, primarily due to the decrease of government subsidies.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years ended December 31, 2022 and 2021, respectively.</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Change in</w:t>
            </w:r>
          </w:p>
        </w:tc>
        <w:tc>
          <w:tcPr>
            <w:tcW w:w="8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amount</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Selling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1189.19%</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Arial" w:cs="Arial" w:eastAsia="Arial" w:hAnsi="Arial"/>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(1,159,456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years ended December 31, 2022 and 2021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141.67%</w:t>
            </w:r>
          </w:p>
        </w:tc>
      </w:tr>
      <w:tr>
        <w:trPr>
          <w:trHeight w:val="243"/>
        </w:trPr>
        <w:tc>
          <w:tcPr>
            <w:tcW w:w="392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111,452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increased from US$260,455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US$396,637 in 2021 to</w:t>
      </w:r>
      <w:r>
        <w:rPr>
          <w:rFonts w:ascii="Arial" w:cs="Arial" w:eastAsia="Arial" w:hAnsi="Arial"/>
          <w:sz w:val="18"/>
          <w:szCs w:val="18"/>
          <w:i w:val="1"/>
          <w:iCs w:val="1"/>
          <w:color w:val="auto"/>
        </w:rPr>
        <w:t xml:space="preserve"> </w:t>
      </w:r>
      <w:r>
        <w:rPr>
          <w:rFonts w:ascii="Arial" w:cs="Arial" w:eastAsia="Arial" w:hAnsi="Arial"/>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years ended December 31, 2022 and 2021 is summarized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205.99%</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239,296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199,749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77.09%</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40,518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119.14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Our cost of revenues increased from US$456,645 in 2021 to US$1,000,689 in 2022, representing a year-on-year increase of 119.14%.</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Service fees increased from US$232,290 in 2021 to US$710,793 in 2022,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service fees paid to suppliers or outsourcers, as a result of the fulfillment of increased project demands in 2022.</w:t>
      </w:r>
    </w:p>
    <w:p>
      <w:pPr>
        <w:spacing w:after="0" w:line="103"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US$199,749 in 2021 to US$239,296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increases in base salaries and bonuses to our staff in 2022.</w:t>
      </w:r>
    </w:p>
    <w:p>
      <w:pPr>
        <w:spacing w:after="0" w:line="10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i w:val="1"/>
          <w:iCs w:val="1"/>
          <w:color w:val="auto"/>
        </w:rPr>
        <w:t xml:space="preserve">Commission costs. </w:t>
      </w:r>
      <w:r>
        <w:rPr>
          <w:rFonts w:ascii="Arial" w:cs="Arial" w:eastAsia="Arial" w:hAnsi="Arial"/>
          <w:sz w:val="17"/>
          <w:szCs w:val="17"/>
          <w:color w:val="auto"/>
        </w:rPr>
        <w:t>Commission costs increased from US$5,693 in 2021 to US$10,082 in 2022,</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attributed to the incremental commission costs needed to obtain new sales contracts related to our newly engaged business line in providing management software solutions in 2022.</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i w:val="1"/>
          <w:iCs w:val="1"/>
          <w:color w:val="auto"/>
        </w:rPr>
        <w:t xml:space="preserve">Miscellaneous costs. </w:t>
      </w:r>
      <w:r>
        <w:rPr>
          <w:rFonts w:ascii="Arial" w:cs="Arial" w:eastAsia="Arial" w:hAnsi="Arial"/>
          <w:sz w:val="18"/>
          <w:szCs w:val="18"/>
          <w:color w:val="auto"/>
        </w:rPr>
        <w:t>Miscellaneous cost increased from US$18,913 in 2021 to US$40,518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increase of our outsourcing contractor fee for general project’s support, which is in line with the increase of our revenues in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4"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fees from terminated consulting projects, (iii) referral commission, and (iv) interest expenses.</w:t>
      </w:r>
    </w:p>
    <w:p>
      <w:pPr>
        <w:spacing w:after="0" w:line="103"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other income decreased from US$155,475 in 2021 to US$131,790 in 2022, primarily due to the decrease of referral commissions received for client referrals.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(loss)/income</w:t>
      </w:r>
    </w:p>
    <w:p>
      <w:pPr>
        <w:spacing w:after="0" w:line="158"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7"/>
          <w:szCs w:val="17"/>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10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Cash Flows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1"/>
              </w:rPr>
              <w:t>For the six months ended</w:t>
            </w:r>
          </w:p>
        </w:tc>
      </w:t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0"/>
                <w:szCs w:val="20"/>
                <w:color w:val="auto"/>
              </w:rPr>
            </w:pPr>
          </w:p>
        </w:tc>
      </w:tr>
      <w:tr>
        <w:trPr>
          <w:trHeight w:val="47"/>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(73,885)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1"/>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(118,326)</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(22,754)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273,593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3,965,607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11" w:lineRule="exact"/>
        <w:rPr>
          <w:sz w:val="20"/>
          <w:szCs w:val="20"/>
          <w:color w:val="auto"/>
        </w:rPr>
      </w:pPr>
    </w:p>
    <w:p>
      <w:pPr>
        <w:ind w:left="460" w:right="719" w:firstLine="432"/>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used in operating activities in 2022 was US$609,946, primarily attributable to (i) our net loss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US$1,129,489, as adjusted by the reconciliation of net loss to net cash used in operating activities,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primarily comprised depreciation of right-of-use assets of US$101,099 and depreciation and amortization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US$16,867, and (ii) changes in operating assets and liabilities, which was primarily the result of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prepaid expenses and other current assets of US$111,981, (b) an increase in contract cost assets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US$268,509, and (c) a decrease in operating lease liabilities of US$127,196, partially offset by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deferred revenue of US$461,128; (b) an increase in accrued expenses and other current liabilities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US$249,052; and (c) an increase in accounts payable of US$166,358.</w:t>
      </w:r>
    </w:p>
    <w:p>
      <w:pPr>
        <w:spacing w:after="0" w:line="130"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1" w:lineRule="exact"/>
        <w:rPr>
          <w:sz w:val="20"/>
          <w:szCs w:val="20"/>
          <w:color w:val="auto"/>
        </w:rPr>
      </w:pPr>
    </w:p>
    <w:p>
      <w:pPr>
        <w:jc w:val="both"/>
        <w:ind w:left="460" w:right="1019" w:hanging="6"/>
        <w:spacing w:after="0" w:line="255"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2023 was US$79,043, which was primarily attributable to purchase of property and equipment in the amount of US$79,043.</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Net cash used in investing activities in 2022 was US$73,885, which was primarily attributable to purchase of property and equipment in the amount of US$73,885 for our newly established subsidiary.</w:t>
      </w:r>
    </w:p>
    <w:p>
      <w:pPr>
        <w:spacing w:after="0" w:line="7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Net cash used in investing activities in 2021 was US$53,313, which was primarily attributable to purchase of property and equipment in the amount of US$53,313 for business expansion.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7" w:lineRule="exact"/>
        <w:rPr>
          <w:sz w:val="20"/>
          <w:szCs w:val="20"/>
          <w:color w:val="auto"/>
        </w:rPr>
      </w:pPr>
    </w:p>
    <w:p>
      <w:pPr>
        <w:jc w:val="both"/>
        <w:ind w:left="460" w:right="859" w:firstLine="432"/>
        <w:spacing w:after="0" w:line="286" w:lineRule="auto"/>
        <w:rPr>
          <w:sz w:val="20"/>
          <w:szCs w:val="20"/>
          <w:color w:val="auto"/>
        </w:rPr>
      </w:pPr>
      <w:r>
        <w:rPr>
          <w:rFonts w:ascii="Arial" w:cs="Arial" w:eastAsia="Arial" w:hAnsi="Arial"/>
          <w:sz w:val="17"/>
          <w:szCs w:val="17"/>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4" w:lineRule="auto"/>
        <w:rPr>
          <w:sz w:val="20"/>
          <w:szCs w:val="20"/>
          <w:color w:val="auto"/>
        </w:rPr>
      </w:pPr>
      <w:r>
        <w:rPr>
          <w:rFonts w:ascii="Arial" w:cs="Arial" w:eastAsia="Arial" w:hAnsi="Arial"/>
          <w:sz w:val="17"/>
          <w:szCs w:val="17"/>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90" w:lineRule="auto"/>
        <w:tabs>
          <w:tab w:leader="none" w:pos="7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subscription fees advance from a shareholder of US$ 524,560, partially offset by (i) repayment of loans from related parties of US$239,357, and (iii) dividend distribution of US$229,201.</w:t>
      </w:r>
    </w:p>
    <w:p>
      <w:pPr>
        <w:spacing w:after="0" w:line="94"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total future minimum lease payments under the non-cancellable operating lease with respect to the office and the warehouse as of June 30, 2023 are payable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Lease</w:t>
            </w:r>
          </w:p>
        </w:tc>
      </w:tr>
      <w:tr>
        <w:trPr>
          <w:trHeight w:val="210"/>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445,552</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1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0" w:lineRule="exact"/>
        <w:rPr>
          <w:sz w:val="20"/>
          <w:szCs w:val="20"/>
          <w:color w:val="auto"/>
        </w:rPr>
      </w:pPr>
    </w:p>
    <w:p>
      <w:pPr>
        <w:ind w:left="1280" w:hanging="394"/>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selection of critical accounting policies;</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judgments and other uncertainties affecting the application of such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critical accounting policies and practices include the following: (i) accounts receivable, net;</w:t>
      </w:r>
    </w:p>
    <w:p>
      <w:pPr>
        <w:spacing w:after="0" w:line="23" w:lineRule="exact"/>
        <w:rPr>
          <w:sz w:val="20"/>
          <w:szCs w:val="20"/>
          <w:color w:val="auto"/>
        </w:rPr>
      </w:pPr>
    </w:p>
    <w:p>
      <w:pPr>
        <w:jc w:val="both"/>
        <w:ind w:left="460" w:right="519" w:hanging="6"/>
        <w:spacing w:after="0" w:line="302" w:lineRule="auto"/>
        <w:tabs>
          <w:tab w:leader="none" w:pos="7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88" w:lineRule="exact"/>
        <w:rPr>
          <w:sz w:val="20"/>
          <w:szCs w:val="20"/>
          <w:color w:val="auto"/>
        </w:rPr>
      </w:pPr>
    </w:p>
    <w:p>
      <w:pPr>
        <w:ind w:left="460" w:right="999" w:firstLine="432"/>
        <w:spacing w:after="0" w:line="291" w:lineRule="auto"/>
        <w:rPr>
          <w:sz w:val="20"/>
          <w:szCs w:val="20"/>
          <w:color w:val="auto"/>
        </w:rPr>
      </w:pPr>
      <w:r>
        <w:rPr>
          <w:rFonts w:ascii="Arial" w:cs="Arial" w:eastAsia="Arial" w:hAnsi="Arial"/>
          <w:sz w:val="16"/>
          <w:szCs w:val="16"/>
          <w:color w:val="auto"/>
        </w:rPr>
        <w:t>We consider an accounting estimate to be critical if: (i) the accounting estimate requires us to make assumptions about matters that were highly uncertain at the time the accounting estimate was made, and</w:t>
      </w:r>
    </w:p>
    <w:p>
      <w:pPr>
        <w:ind w:left="460" w:right="499" w:hanging="6"/>
        <w:spacing w:after="0" w:line="273" w:lineRule="auto"/>
        <w:tabs>
          <w:tab w:leader="none" w:pos="72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 for 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0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was no provision of allowance for doubtful accounts as of June 30, 2023, December 31, 2022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deferred tax assets</w:t>
      </w:r>
    </w:p>
    <w:p>
      <w:pPr>
        <w:spacing w:after="0" w:line="144"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9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We do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301" w:lineRule="auto"/>
        <w:rPr>
          <w:sz w:val="20"/>
          <w:szCs w:val="20"/>
          <w:color w:val="auto"/>
        </w:rPr>
      </w:pPr>
      <w:r>
        <w:rPr>
          <w:rFonts w:ascii="Arial" w:cs="Arial" w:eastAsia="Arial" w:hAnsi="Arial"/>
          <w:sz w:val="16"/>
          <w:szCs w:val="16"/>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 risk</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We are exposed to interest rate risk while we have bank loans. Although interest rates for our loans are about fixed for the terms of the loans, the interest rates are subject to change upon renewal.</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translation and transaction</w:t>
      </w:r>
    </w:p>
    <w:p>
      <w:pPr>
        <w:spacing w:after="0" w:line="15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2" w:lineRule="exact"/>
        <w:rPr>
          <w:sz w:val="20"/>
          <w:szCs w:val="20"/>
          <w:color w:val="auto"/>
        </w:rPr>
      </w:pPr>
    </w:p>
    <w:p>
      <w:pPr>
        <w:ind w:left="460" w:right="639" w:hanging="6"/>
        <w:spacing w:after="0" w:line="260" w:lineRule="auto"/>
        <w:tabs>
          <w:tab w:leader="none" w:pos="7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branding, design and marketing consulting services; (iii) application development and user experience and user interface interfacing; and (iv) IT consulting solution.</w:t>
      </w:r>
    </w:p>
    <w:p>
      <w:pPr>
        <w:spacing w:after="0" w:line="11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6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9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9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Digital Solutions in Singapore</w:t>
      </w:r>
    </w:p>
    <w:p>
      <w:pPr>
        <w:spacing w:after="0" w:line="144" w:lineRule="exact"/>
        <w:rPr>
          <w:sz w:val="20"/>
          <w:szCs w:val="20"/>
          <w:color w:val="auto"/>
        </w:rPr>
      </w:pPr>
    </w:p>
    <w:p>
      <w:pPr>
        <w:ind w:left="1320" w:right="499" w:hanging="434"/>
        <w:spacing w:after="0" w:line="287" w:lineRule="auto"/>
        <w:tabs>
          <w:tab w:leader="none" w:pos="1315"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Demand for operational efficiency. </w:t>
      </w:r>
      <w:r>
        <w:rPr>
          <w:rFonts w:ascii="Arial" w:cs="Arial" w:eastAsia="Arial" w:hAnsi="Arial"/>
          <w:sz w:val="16"/>
          <w:szCs w:val="16"/>
          <w:color w:val="auto"/>
        </w:rPr>
        <w:t>Particularly for market entrants of e-commerce platforms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4" w:lineRule="exact"/>
        <w:rPr>
          <w:rFonts w:ascii="Arial" w:cs="Arial" w:eastAsia="Arial" w:hAnsi="Arial"/>
          <w:sz w:val="16"/>
          <w:szCs w:val="16"/>
          <w:color w:val="auto"/>
        </w:rPr>
      </w:pPr>
    </w:p>
    <w:p>
      <w:pPr>
        <w:ind w:left="1320" w:right="499" w:hanging="434"/>
        <w:spacing w:after="0" w:line="254" w:lineRule="auto"/>
        <w:tabs>
          <w:tab w:leader="none" w:pos="1315"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Robust demand for omnichannel customer experience. </w:t>
      </w:r>
      <w:r>
        <w:rPr>
          <w:rFonts w:ascii="Arial" w:cs="Arial" w:eastAsia="Arial" w:hAnsi="Arial"/>
          <w:sz w:val="18"/>
          <w:szCs w:val="18"/>
          <w:color w:val="auto"/>
        </w:rPr>
        <w:t>With thriving numbers of Internet users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spacing w:after="0" w:line="289" w:lineRule="auto"/>
        <w:rPr>
          <w:sz w:val="20"/>
          <w:szCs w:val="20"/>
          <w:color w:val="auto"/>
        </w:rPr>
      </w:pPr>
      <w:r>
        <w:rPr>
          <w:rFonts w:ascii="Arial" w:cs="Arial" w:eastAsia="Arial" w:hAnsi="Arial"/>
          <w:sz w:val="16"/>
          <w:szCs w:val="16"/>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99" w:lineRule="exact"/>
        <w:rPr>
          <w:sz w:val="20"/>
          <w:szCs w:val="20"/>
          <w:color w:val="auto"/>
        </w:rPr>
      </w:pPr>
    </w:p>
    <w:p>
      <w:pPr>
        <w:ind w:left="1320" w:right="679" w:hanging="434"/>
        <w:spacing w:after="0" w:line="288" w:lineRule="auto"/>
        <w:tabs>
          <w:tab w:leader="none" w:pos="131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Government effort in promoting digital economy and society. </w:t>
      </w:r>
      <w:r>
        <w:rPr>
          <w:rFonts w:ascii="Arial" w:cs="Arial" w:eastAsia="Arial" w:hAnsi="Arial"/>
          <w:sz w:val="16"/>
          <w:szCs w:val="16"/>
          <w:color w:val="auto"/>
        </w:rPr>
        <w:t>Singapore government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00" w:lineRule="exact"/>
        <w:rPr>
          <w:rFonts w:ascii="Arial" w:cs="Arial" w:eastAsia="Arial" w:hAnsi="Arial"/>
          <w:sz w:val="16"/>
          <w:szCs w:val="16"/>
          <w:color w:val="auto"/>
        </w:rPr>
      </w:pPr>
    </w:p>
    <w:p>
      <w:pPr>
        <w:ind w:left="1320" w:right="479" w:hanging="434"/>
        <w:spacing w:after="0" w:line="288" w:lineRule="auto"/>
        <w:tabs>
          <w:tab w:leader="none" w:pos="131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Significant impetus from SMEs. </w:t>
      </w:r>
      <w:r>
        <w:rPr>
          <w:rFonts w:ascii="Arial" w:cs="Arial" w:eastAsia="Arial" w:hAnsi="Arial"/>
          <w:sz w:val="16"/>
          <w:szCs w:val="16"/>
          <w:color w:val="auto"/>
        </w:rPr>
        <w:t>Government support for SME digitalization and skills upgrading</w:t>
      </w:r>
      <w:r>
        <w:rPr>
          <w:rFonts w:ascii="Arial" w:cs="Arial" w:eastAsia="Arial" w:hAnsi="Arial"/>
          <w:sz w:val="16"/>
          <w:szCs w:val="16"/>
          <w:i w:val="1"/>
          <w:iCs w:val="1"/>
          <w:color w:val="auto"/>
        </w:rPr>
        <w:t xml:space="preserve"> </w:t>
      </w:r>
      <w:r>
        <w:rPr>
          <w:rFonts w:ascii="Arial" w:cs="Arial" w:eastAsia="Arial" w:hAnsi="Arial"/>
          <w:sz w:val="16"/>
          <w:szCs w:val="16"/>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87" w:lineRule="exact"/>
        <w:rPr>
          <w:rFonts w:ascii="Arial" w:cs="Arial" w:eastAsia="Arial" w:hAnsi="Arial"/>
          <w:sz w:val="16"/>
          <w:szCs w:val="16"/>
          <w:color w:val="auto"/>
        </w:rPr>
      </w:pPr>
    </w:p>
    <w:p>
      <w:pPr>
        <w:ind w:left="1320" w:right="479" w:hanging="434"/>
        <w:spacing w:after="0" w:line="286" w:lineRule="auto"/>
        <w:tabs>
          <w:tab w:leader="none" w:pos="131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Rise of Web 3.0 propelling e-commerce enablement</w:t>
      </w:r>
      <w:r>
        <w:rPr>
          <w:rFonts w:ascii="Arial" w:cs="Arial" w:eastAsia="Arial" w:hAnsi="Arial"/>
          <w:sz w:val="16"/>
          <w:szCs w:val="16"/>
          <w:color w:val="auto"/>
        </w:rPr>
        <w:t>. Web 3.0 primarily focuses on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03" w:lineRule="exact"/>
        <w:rPr>
          <w:rFonts w:ascii="Arial" w:cs="Arial" w:eastAsia="Arial" w:hAnsi="Arial"/>
          <w:sz w:val="16"/>
          <w:szCs w:val="16"/>
          <w:color w:val="auto"/>
        </w:rPr>
      </w:pPr>
    </w:p>
    <w:p>
      <w:pPr>
        <w:ind w:left="1320" w:right="559" w:hanging="434"/>
        <w:spacing w:after="0" w:line="269" w:lineRule="auto"/>
        <w:tabs>
          <w:tab w:leader="none" w:pos="1315"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Demand for advancement in IT infrastructure and analytical tools. </w:t>
      </w:r>
      <w:r>
        <w:rPr>
          <w:rFonts w:ascii="Arial" w:cs="Arial" w:eastAsia="Arial" w:hAnsi="Arial"/>
          <w:sz w:val="17"/>
          <w:szCs w:val="17"/>
          <w:color w:val="auto"/>
        </w:rPr>
        <w:t>Advancements in IT are</w:t>
      </w:r>
      <w:r>
        <w:rPr>
          <w:rFonts w:ascii="Arial" w:cs="Arial" w:eastAsia="Arial" w:hAnsi="Arial"/>
          <w:sz w:val="17"/>
          <w:szCs w:val="17"/>
          <w:i w:val="1"/>
          <w:iCs w:val="1"/>
          <w:color w:val="auto"/>
        </w:rPr>
        <w:t xml:space="preserve"> </w:t>
      </w:r>
      <w:r>
        <w:rPr>
          <w:rFonts w:ascii="Arial" w:cs="Arial" w:eastAsia="Arial" w:hAnsi="Arial"/>
          <w:sz w:val="17"/>
          <w:szCs w:val="17"/>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839"/>
        <w:spacing w:after="0" w:line="311" w:lineRule="auto"/>
        <w:rPr>
          <w:sz w:val="20"/>
          <w:szCs w:val="20"/>
          <w:color w:val="auto"/>
        </w:rPr>
      </w:pPr>
      <w:r>
        <w:rPr>
          <w:rFonts w:ascii="Arial" w:cs="Arial" w:eastAsia="Arial" w:hAnsi="Arial"/>
          <w:sz w:val="16"/>
          <w:szCs w:val="16"/>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Singapore</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10"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SMEs Go Digital Program in Singapore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20"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16" w:lineRule="exact"/>
        <w:rPr>
          <w:sz w:val="20"/>
          <w:szCs w:val="20"/>
          <w:color w:val="auto"/>
        </w:rPr>
      </w:pPr>
    </w:p>
    <w:p>
      <w:pPr>
        <w:jc w:val="both"/>
        <w:ind w:left="460" w:right="1059" w:firstLine="432"/>
        <w:spacing w:after="0" w:line="286" w:lineRule="auto"/>
        <w:rPr>
          <w:sz w:val="20"/>
          <w:szCs w:val="20"/>
          <w:color w:val="auto"/>
        </w:rPr>
      </w:pPr>
      <w:r>
        <w:rPr>
          <w:rFonts w:ascii="Arial" w:cs="Arial" w:eastAsia="Arial" w:hAnsi="Arial"/>
          <w:sz w:val="17"/>
          <w:szCs w:val="17"/>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8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1800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Web 3.0 is the next generation of the World Wide Web which aims to establish an Internet that is smarter, more secure, and decentralized.</w:t>
      </w:r>
    </w:p>
    <w:p>
      <w:pPr>
        <w:spacing w:after="0" w:line="103"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1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 of Web 3.0 E-Commerce</w:t>
      </w:r>
    </w:p>
    <w:p>
      <w:pPr>
        <w:spacing w:after="0" w:line="144" w:lineRule="exact"/>
        <w:rPr>
          <w:sz w:val="20"/>
          <w:szCs w:val="20"/>
          <w:color w:val="auto"/>
        </w:rPr>
      </w:pPr>
    </w:p>
    <w:p>
      <w:pPr>
        <w:ind w:left="460" w:right="1359" w:firstLine="432"/>
        <w:spacing w:after="0" w:line="342" w:lineRule="auto"/>
        <w:rPr>
          <w:sz w:val="20"/>
          <w:szCs w:val="20"/>
          <w:color w:val="auto"/>
        </w:rPr>
      </w:pPr>
      <w:r>
        <w:rPr>
          <w:rFonts w:ascii="Arial" w:cs="Arial" w:eastAsia="Arial" w:hAnsi="Arial"/>
          <w:sz w:val="16"/>
          <w:szCs w:val="16"/>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44450</wp:posOffset>
            </wp:positionV>
            <wp:extent cx="4989195" cy="2434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Web 3.0 E-Commerce in Southeast Asia</w:t>
      </w:r>
    </w:p>
    <w:p>
      <w:pPr>
        <w:spacing w:after="0" w:line="158" w:lineRule="exact"/>
        <w:rPr>
          <w:sz w:val="20"/>
          <w:szCs w:val="20"/>
          <w:color w:val="auto"/>
        </w:rPr>
      </w:pPr>
    </w:p>
    <w:p>
      <w:pPr>
        <w:ind w:left="1320" w:right="479" w:hanging="434"/>
        <w:spacing w:after="0" w:line="268" w:lineRule="auto"/>
        <w:tabs>
          <w:tab w:leader="none" w:pos="1315"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Improved security, transparency and trust. </w:t>
      </w:r>
      <w:r>
        <w:rPr>
          <w:rFonts w:ascii="Arial" w:cs="Arial" w:eastAsia="Arial" w:hAnsi="Arial"/>
          <w:sz w:val="17"/>
          <w:szCs w:val="17"/>
          <w:color w:val="auto"/>
        </w:rPr>
        <w:t>The key technological advances in Web 3.0,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69" w:lineRule="auto"/>
        <w:tabs>
          <w:tab w:leader="none" w:pos="1315"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Enhanced personalized digital experience. </w:t>
      </w:r>
      <w:r>
        <w:rPr>
          <w:rFonts w:ascii="Arial" w:cs="Arial" w:eastAsia="Arial" w:hAnsi="Arial"/>
          <w:sz w:val="17"/>
          <w:szCs w:val="17"/>
          <w:color w:val="auto"/>
        </w:rPr>
        <w:t>Consumers nowadays expect personalized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Arial" w:cs="Arial" w:eastAsia="Arial" w:hAnsi="Arial"/>
          <w:sz w:val="17"/>
          <w:szCs w:val="17"/>
          <w:i w:val="1"/>
          <w:iCs w:val="1"/>
          <w:color w:val="auto"/>
        </w:rPr>
      </w:pPr>
    </w:p>
    <w:p>
      <w:pPr>
        <w:ind w:left="1320" w:right="479" w:hanging="434"/>
        <w:spacing w:after="0" w:line="255"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Variety of user experience. </w:t>
      </w:r>
      <w:r>
        <w:rPr>
          <w:rFonts w:ascii="Arial" w:cs="Arial" w:eastAsia="Arial" w:hAnsi="Arial"/>
          <w:sz w:val="18"/>
          <w:szCs w:val="18"/>
          <w:color w:val="auto"/>
        </w:rPr>
        <w:t>Web 3.0 features advanced technology such as virtual/augmented</w:t>
      </w:r>
      <w:r>
        <w:rPr>
          <w:rFonts w:ascii="Arial" w:cs="Arial" w:eastAsia="Arial" w:hAnsi="Arial"/>
          <w:sz w:val="18"/>
          <w:szCs w:val="18"/>
          <w:i w:val="1"/>
          <w:iCs w:val="1"/>
          <w:color w:val="auto"/>
        </w:rPr>
        <w:t xml:space="preserve"> </w:t>
      </w:r>
      <w:r>
        <w:rPr>
          <w:rFonts w:ascii="Arial" w:cs="Arial" w:eastAsia="Arial" w:hAnsi="Arial"/>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24" w:lineRule="exact"/>
        <w:rPr>
          <w:rFonts w:ascii="Arial" w:cs="Arial" w:eastAsia="Arial" w:hAnsi="Arial"/>
          <w:sz w:val="18"/>
          <w:szCs w:val="18"/>
          <w:color w:val="auto"/>
        </w:rPr>
      </w:pPr>
    </w:p>
    <w:p>
      <w:pPr>
        <w:ind w:left="1320" w:right="519" w:hanging="434"/>
        <w:spacing w:after="0" w:line="272" w:lineRule="auto"/>
        <w:tabs>
          <w:tab w:leader="none" w:pos="131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A growing consumer base that embraces technology. </w:t>
      </w:r>
      <w:r>
        <w:rPr>
          <w:rFonts w:ascii="Arial" w:cs="Arial" w:eastAsia="Arial" w:hAnsi="Arial"/>
          <w:sz w:val="17"/>
          <w:szCs w:val="17"/>
          <w:color w:val="auto"/>
        </w:rPr>
        <w:t>With a high Internet penetration rate, a large</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96" w:lineRule="exact"/>
        <w:rPr>
          <w:rFonts w:ascii="Arial" w:cs="Arial" w:eastAsia="Arial" w:hAnsi="Arial"/>
          <w:sz w:val="17"/>
          <w:szCs w:val="17"/>
          <w:color w:val="auto"/>
        </w:rPr>
      </w:pPr>
    </w:p>
    <w:p>
      <w:pPr>
        <w:ind w:left="1320" w:right="579" w:hanging="434"/>
        <w:spacing w:after="0" w:line="271" w:lineRule="auto"/>
        <w:tabs>
          <w:tab w:leader="none" w:pos="131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Government endeavor. </w:t>
      </w:r>
      <w:r>
        <w:rPr>
          <w:rFonts w:ascii="Arial" w:cs="Arial" w:eastAsia="Arial" w:hAnsi="Arial"/>
          <w:sz w:val="17"/>
          <w:szCs w:val="17"/>
          <w:color w:val="auto"/>
        </w:rPr>
        <w:t>Governments in Southeast Asia have generally taken a progressive stance</w:t>
      </w:r>
      <w:r>
        <w:rPr>
          <w:rFonts w:ascii="Arial" w:cs="Arial" w:eastAsia="Arial" w:hAnsi="Arial"/>
          <w:sz w:val="17"/>
          <w:szCs w:val="17"/>
          <w:i w:val="1"/>
          <w:iCs w:val="1"/>
          <w:color w:val="auto"/>
        </w:rPr>
        <w:t xml:space="preserve"> </w:t>
      </w:r>
      <w:r>
        <w:rPr>
          <w:rFonts w:ascii="Arial" w:cs="Arial" w:eastAsia="Arial" w:hAnsi="Arial"/>
          <w:sz w:val="17"/>
          <w:szCs w:val="17"/>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0" w:lineRule="exact"/>
        <w:rPr>
          <w:rFonts w:ascii="Arial" w:cs="Arial" w:eastAsia="Arial" w:hAnsi="Arial"/>
          <w:sz w:val="17"/>
          <w:szCs w:val="17"/>
          <w:color w:val="auto"/>
        </w:rPr>
      </w:pPr>
    </w:p>
    <w:p>
      <w:pPr>
        <w:ind w:left="1320" w:right="519" w:hanging="434"/>
        <w:spacing w:after="0" w:line="290" w:lineRule="auto"/>
        <w:tabs>
          <w:tab w:leader="none" w:pos="131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Cross-border trade. </w:t>
      </w:r>
      <w:r>
        <w:rPr>
          <w:rFonts w:ascii="Arial" w:cs="Arial" w:eastAsia="Arial" w:hAnsi="Arial"/>
          <w:sz w:val="16"/>
          <w:szCs w:val="16"/>
          <w:color w:val="auto"/>
        </w:rPr>
        <w:t>In 2021, the Southeast Asia countries signed the ASEAN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Opportunities of Web 3.0 E-Commerce in Southeast Asia and Globally</w:t>
      </w:r>
    </w:p>
    <w:p>
      <w:pPr>
        <w:spacing w:after="0" w:line="158" w:lineRule="exact"/>
        <w:rPr>
          <w:sz w:val="20"/>
          <w:szCs w:val="20"/>
          <w:color w:val="auto"/>
        </w:rPr>
      </w:pPr>
    </w:p>
    <w:p>
      <w:pPr>
        <w:jc w:val="both"/>
        <w:ind w:left="460" w:right="639" w:firstLine="432"/>
        <w:spacing w:after="0" w:line="257" w:lineRule="auto"/>
        <w:rPr>
          <w:sz w:val="20"/>
          <w:szCs w:val="20"/>
          <w:color w:val="auto"/>
        </w:rPr>
      </w:pPr>
      <w:r>
        <w:rPr>
          <w:rFonts w:ascii="Arial" w:cs="Arial" w:eastAsia="Arial" w:hAnsi="Arial"/>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7" w:lineRule="exact"/>
        <w:rPr>
          <w:sz w:val="20"/>
          <w:szCs w:val="20"/>
          <w:color w:val="auto"/>
        </w:rPr>
      </w:pPr>
    </w:p>
    <w:p>
      <w:pPr>
        <w:ind w:left="1320" w:right="579" w:hanging="434"/>
        <w:spacing w:after="0" w:line="275" w:lineRule="auto"/>
        <w:tabs>
          <w:tab w:leader="none" w:pos="1315"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Nominal GDP in Southeast Asia. </w:t>
      </w:r>
      <w:r>
        <w:rPr>
          <w:rFonts w:ascii="Arial" w:cs="Arial" w:eastAsia="Arial" w:hAnsi="Arial"/>
          <w:sz w:val="17"/>
          <w:szCs w:val="17"/>
          <w:color w:val="auto"/>
        </w:rPr>
        <w:t>According to The International Monetary Fund, the nominal</w:t>
      </w:r>
      <w:r>
        <w:rPr>
          <w:rFonts w:ascii="Arial" w:cs="Arial" w:eastAsia="Arial" w:hAnsi="Arial"/>
          <w:sz w:val="17"/>
          <w:szCs w:val="17"/>
          <w:i w:val="1"/>
          <w:iCs w:val="1"/>
          <w:color w:val="auto"/>
        </w:rPr>
        <w:t xml:space="preserve"> </w:t>
      </w:r>
      <w:r>
        <w:rPr>
          <w:rFonts w:ascii="Arial" w:cs="Arial" w:eastAsia="Arial" w:hAnsi="Arial"/>
          <w:sz w:val="17"/>
          <w:szCs w:val="17"/>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59" w:hanging="434"/>
        <w:spacing w:after="0" w:line="272" w:lineRule="auto"/>
        <w:tabs>
          <w:tab w:leader="none" w:pos="1315"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Internet users in Southeast Asia. </w:t>
      </w:r>
      <w:r>
        <w:rPr>
          <w:rFonts w:ascii="Arial" w:cs="Arial" w:eastAsia="Arial" w:hAnsi="Arial"/>
          <w:sz w:val="17"/>
          <w:szCs w:val="17"/>
          <w:color w:val="auto"/>
        </w:rPr>
        <w:t>In 2022, the number of Internet users in Southeast</w:t>
      </w:r>
      <w:r>
        <w:rPr>
          <w:rFonts w:ascii="Arial" w:cs="Arial" w:eastAsia="Arial" w:hAnsi="Arial"/>
          <w:sz w:val="17"/>
          <w:szCs w:val="17"/>
          <w:i w:val="1"/>
          <w:iCs w:val="1"/>
          <w:color w:val="auto"/>
        </w:rPr>
        <w:t xml:space="preserve"> </w:t>
      </w:r>
      <w:r>
        <w:rPr>
          <w:rFonts w:ascii="Arial" w:cs="Arial" w:eastAsia="Arial" w:hAnsi="Arial"/>
          <w:sz w:val="17"/>
          <w:szCs w:val="17"/>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09" w:lineRule="exact"/>
        <w:rPr>
          <w:rFonts w:ascii="Arial" w:cs="Arial" w:eastAsia="Arial" w:hAnsi="Arial"/>
          <w:sz w:val="17"/>
          <w:szCs w:val="17"/>
          <w:i w:val="1"/>
          <w:iCs w:val="1"/>
          <w:color w:val="auto"/>
        </w:rPr>
      </w:pPr>
    </w:p>
    <w:p>
      <w:pPr>
        <w:ind w:left="1320" w:right="459" w:hanging="434"/>
        <w:spacing w:after="0" w:line="287" w:lineRule="auto"/>
        <w:tabs>
          <w:tab w:leader="none" w:pos="131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Market size of e-commerce in Southeast Asia. </w:t>
      </w:r>
      <w:r>
        <w:rPr>
          <w:rFonts w:ascii="Arial" w:cs="Arial" w:eastAsia="Arial" w:hAnsi="Arial"/>
          <w:sz w:val="16"/>
          <w:szCs w:val="16"/>
          <w:color w:val="auto"/>
        </w:rPr>
        <w:t>The e-commerce industry in the region has grown</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75565</wp:posOffset>
            </wp:positionV>
            <wp:extent cx="4594860" cy="1774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74295</wp:posOffset>
            </wp:positionV>
            <wp:extent cx="4011930" cy="213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88" w:lineRule="auto"/>
        <w:tabs>
          <w:tab w:leader="none" w:pos="1315"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size of global e-commerce. </w:t>
      </w:r>
      <w:r>
        <w:rPr>
          <w:rFonts w:ascii="Arial" w:cs="Arial" w:eastAsia="Arial" w:hAnsi="Arial"/>
          <w:sz w:val="16"/>
          <w:szCs w:val="16"/>
          <w:color w:val="auto"/>
        </w:rPr>
        <w:t>Rapid urbanization across the globe is one of the key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73025</wp:posOffset>
            </wp:positionV>
            <wp:extent cx="4509135" cy="1654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85725</wp:posOffset>
            </wp:positionV>
            <wp:extent cx="3789045" cy="19888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4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Our mission is to be the leader in Web 3.0 enablement, bridging business to a trusted and secure e-commerce platform with curated customer experience.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8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9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320" w:right="479" w:hanging="434"/>
        <w:spacing w:after="0" w:line="257"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9"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85"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Leading digital transformation enabler in the SME segment of the e-commerce enablement and digital optimizing services market in Singapore</w:t>
      </w:r>
    </w:p>
    <w:p>
      <w:pPr>
        <w:spacing w:after="0" w:line="8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93"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7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Proprietary Technology Architecture</w:t>
      </w:r>
    </w:p>
    <w:p>
      <w:pPr>
        <w:spacing w:after="0" w:line="13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Unique Perspective and Efficient Operational Capabilities</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Seasoned and Visionary Management Team with International Perspective</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1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 on a Generational Shift to Web 3.0</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11" w:lineRule="exact"/>
        <w:rPr>
          <w:sz w:val="20"/>
          <w:szCs w:val="20"/>
          <w:color w:val="auto"/>
        </w:rPr>
      </w:pPr>
    </w:p>
    <w:p>
      <w:pPr>
        <w:ind w:left="460" w:right="699" w:firstLine="432"/>
        <w:spacing w:after="0" w:line="288" w:lineRule="auto"/>
        <w:rPr>
          <w:sz w:val="20"/>
          <w:szCs w:val="20"/>
          <w:color w:val="auto"/>
        </w:rPr>
      </w:pPr>
      <w:r>
        <w:rPr>
          <w:rFonts w:ascii="Arial" w:cs="Arial" w:eastAsia="Arial" w:hAnsi="Arial"/>
          <w:sz w:val="16"/>
          <w:szCs w:val="16"/>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and Grow our Client Base</w:t>
      </w:r>
    </w:p>
    <w:p>
      <w:pPr>
        <w:spacing w:after="0" w:line="144"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We plan to grow our existing clients by adding product features and additional functionality to our solutions and continuing to drive digital adoption of our existing solutions.</w:t>
      </w:r>
    </w:p>
    <w:p>
      <w:pPr>
        <w:spacing w:after="0" w:line="103"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Broaden our Geographical Reach</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Selectively Pursue Strategic Acquisitions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Our approach, with an eye on execution, combines creative thinking and industry expertise to enable companies to achieve market-leading performance.</w:t>
      </w:r>
    </w:p>
    <w:p>
      <w:pPr>
        <w:spacing w:after="0" w:line="89" w:lineRule="exact"/>
        <w:rPr>
          <w:sz w:val="20"/>
          <w:szCs w:val="20"/>
          <w:color w:val="auto"/>
        </w:rPr>
      </w:pPr>
    </w:p>
    <w:p>
      <w:pPr>
        <w:jc w:val="both"/>
        <w:ind w:left="460" w:right="619" w:firstLine="432"/>
        <w:spacing w:after="0" w:line="301" w:lineRule="auto"/>
        <w:rPr>
          <w:sz w:val="20"/>
          <w:szCs w:val="20"/>
          <w:color w:val="auto"/>
        </w:rPr>
      </w:pPr>
      <w:r>
        <w:rPr>
          <w:rFonts w:ascii="Arial" w:cs="Arial" w:eastAsia="Arial" w:hAnsi="Arial"/>
          <w:sz w:val="16"/>
          <w:szCs w:val="16"/>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9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103"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data analysis</w:t>
      </w:r>
    </w:p>
    <w:p>
      <w:pPr>
        <w:spacing w:after="0" w:line="15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Visual identity elements design</w:t>
      </w:r>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planning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7"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Digital marketing</w:t>
      </w:r>
    </w:p>
    <w:p>
      <w:pPr>
        <w:spacing w:after="0" w:line="144" w:lineRule="exact"/>
        <w:rPr>
          <w:sz w:val="20"/>
          <w:szCs w:val="20"/>
          <w:color w:val="auto"/>
        </w:rPr>
      </w:pPr>
    </w:p>
    <w:p>
      <w:pPr>
        <w:ind w:left="460" w:right="739" w:firstLine="432"/>
        <w:spacing w:after="0" w:line="293" w:lineRule="auto"/>
        <w:rPr>
          <w:sz w:val="20"/>
          <w:szCs w:val="20"/>
          <w:color w:val="auto"/>
        </w:rPr>
      </w:pPr>
      <w:r>
        <w:rPr>
          <w:rFonts w:ascii="Arial" w:cs="Arial" w:eastAsia="Arial" w:hAnsi="Arial"/>
          <w:sz w:val="16"/>
          <w:szCs w:val="16"/>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97"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 Consulting Services</w:t>
      </w:r>
    </w:p>
    <w:p>
      <w:pPr>
        <w:spacing w:after="0" w:line="144"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16" w:lineRule="exact"/>
        <w:rPr>
          <w:sz w:val="20"/>
          <w:szCs w:val="20"/>
          <w:color w:val="auto"/>
        </w:rPr>
      </w:pPr>
    </w:p>
    <w:p>
      <w:pPr>
        <w:ind w:left="460" w:right="959" w:firstLine="432"/>
        <w:spacing w:after="0" w:line="311" w:lineRule="auto"/>
        <w:rPr>
          <w:sz w:val="20"/>
          <w:szCs w:val="20"/>
          <w:color w:val="auto"/>
        </w:rPr>
      </w:pPr>
      <w:r>
        <w:rPr>
          <w:rFonts w:ascii="Arial" w:cs="Arial" w:eastAsia="Arial" w:hAnsi="Arial"/>
          <w:sz w:val="16"/>
          <w:szCs w:val="16"/>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9" w:lineRule="exact"/>
        <w:rPr>
          <w:sz w:val="20"/>
          <w:szCs w:val="20"/>
          <w:color w:val="auto"/>
        </w:rPr>
      </w:pPr>
    </w:p>
    <w:p>
      <w:pPr>
        <w:ind w:left="1320" w:right="879" w:hanging="434"/>
        <w:spacing w:after="0" w:line="342" w:lineRule="auto"/>
        <w:tabs>
          <w:tab w:leader="none" w:pos="1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analysis and evaluation of client’s business requirements, especially with regard to the size and complexity of the projects to be supported, as well as the client’s customized needs;</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identification of the key problems and challenges of the current business operation and workflow;</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a proposed software solution based on client’s requirements;</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customization of the system features to fulfill our client’s business by revamping and integrating different information technology systems and operational systems;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administration of the project’s lifecycle by certified professionals;</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fine-tuned adjustment and customization of software solutions to meet the client’s business needs such as project plan or solution proposal, etc.;</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an implementation strategy that assesses operational impacts and improves ease of learning about the new computerized operations;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Software Solutions</w:t>
      </w:r>
    </w:p>
    <w:p>
      <w:pPr>
        <w:spacing w:after="0" w:line="158" w:lineRule="exact"/>
        <w:rPr>
          <w:sz w:val="20"/>
          <w:szCs w:val="20"/>
          <w:color w:val="auto"/>
        </w:rPr>
      </w:pPr>
    </w:p>
    <w:p>
      <w:pPr>
        <w:ind w:left="460" w:right="899" w:firstLine="432"/>
        <w:spacing w:after="0" w:line="308" w:lineRule="auto"/>
        <w:rPr>
          <w:sz w:val="20"/>
          <w:szCs w:val="20"/>
          <w:color w:val="auto"/>
        </w:rPr>
      </w:pPr>
      <w:r>
        <w:rPr>
          <w:rFonts w:ascii="Arial" w:cs="Arial" w:eastAsia="Arial" w:hAnsi="Arial"/>
          <w:sz w:val="17"/>
          <w:szCs w:val="17"/>
          <w:color w:val="auto"/>
        </w:rPr>
        <w:t>We offer a range of management software solutions to customers via annual subscriptions, including client relationship management solutions, inventory management solutions.</w:t>
      </w:r>
    </w:p>
    <w:p>
      <w:pPr>
        <w:spacing w:after="0" w:line="7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Web 3.0 E-Commerce Platform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fourth quarter of 2023, we plan to launch Tridentity, a Web 3.0 e-commerce platform whereby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and merchants can transact in a transparent and secure way. We believe Tridentity addresses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massive market opportunity today and provides us with an attractive runway for growth. According to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Frost &amp; Sullivan Report, the market size of global Web 3.0-enabled e-commerce is expected to reach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US$189.3 billion and US$1,587.4 billion in 2023 and 2027, respectively, representing a CAGR of 70.2% from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 to 2027.</w:t>
      </w:r>
    </w:p>
    <w:p>
      <w:pPr>
        <w:spacing w:after="0" w:line="14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18" w:lineRule="exact"/>
        <w:rPr>
          <w:sz w:val="20"/>
          <w:szCs w:val="20"/>
          <w:color w:val="auto"/>
        </w:rPr>
      </w:pPr>
    </w:p>
    <w:p>
      <w:pPr>
        <w:jc w:val="both"/>
        <w:ind w:left="460" w:right="519" w:firstLine="432"/>
        <w:spacing w:after="0" w:line="284" w:lineRule="auto"/>
        <w:rPr>
          <w:sz w:val="20"/>
          <w:szCs w:val="20"/>
          <w:color w:val="auto"/>
        </w:rPr>
      </w:pPr>
      <w:r>
        <w:rPr>
          <w:rFonts w:ascii="Arial" w:cs="Arial" w:eastAsia="Arial" w:hAnsi="Arial"/>
          <w:sz w:val="16"/>
          <w:szCs w:val="16"/>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4"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23"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Clients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5"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Technology</w:t>
      </w:r>
    </w:p>
    <w:p>
      <w:pPr>
        <w:spacing w:after="0" w:line="16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solutions are designed from the ground up for speed-to-market, scalability, security, durability, and reliability. The foundational technology that enables these benefits includes:</w:t>
      </w:r>
    </w:p>
    <w:p>
      <w:pPr>
        <w:spacing w:after="0" w:line="89" w:lineRule="exact"/>
        <w:rPr>
          <w:sz w:val="20"/>
          <w:szCs w:val="20"/>
          <w:color w:val="auto"/>
        </w:rPr>
      </w:pPr>
    </w:p>
    <w:p>
      <w:pPr>
        <w:ind w:left="1320" w:right="499" w:hanging="434"/>
        <w:spacing w:after="0" w:line="289" w:lineRule="auto"/>
        <w:tabs>
          <w:tab w:leader="none" w:pos="1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1" w:lineRule="exact"/>
        <w:rPr>
          <w:rFonts w:ascii="Arial" w:cs="Arial" w:eastAsia="Arial" w:hAnsi="Arial"/>
          <w:sz w:val="16"/>
          <w:szCs w:val="16"/>
          <w:color w:val="auto"/>
        </w:rPr>
      </w:pPr>
    </w:p>
    <w:p>
      <w:pPr>
        <w:ind w:left="1320" w:right="459" w:hanging="434"/>
        <w:spacing w:after="0" w:line="275" w:lineRule="auto"/>
        <w:tabs>
          <w:tab w:leader="none" w:pos="1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1" w:lineRule="exact"/>
        <w:rPr>
          <w:rFonts w:ascii="Arial" w:cs="Arial" w:eastAsia="Arial" w:hAnsi="Arial"/>
          <w:sz w:val="17"/>
          <w:szCs w:val="17"/>
          <w:color w:val="auto"/>
        </w:rPr>
      </w:pPr>
    </w:p>
    <w:p>
      <w:pPr>
        <w:ind w:left="1320" w:right="499" w:hanging="434"/>
        <w:spacing w:after="0" w:line="275" w:lineRule="auto"/>
        <w:tabs>
          <w:tab w:leader="none" w:pos="1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95" w:lineRule="exact"/>
        <w:rPr>
          <w:rFonts w:ascii="Arial" w:cs="Arial" w:eastAsia="Arial" w:hAnsi="Arial"/>
          <w:sz w:val="17"/>
          <w:szCs w:val="17"/>
          <w:color w:val="auto"/>
        </w:rPr>
      </w:pPr>
    </w:p>
    <w:p>
      <w:pPr>
        <w:ind w:left="1320" w:right="479" w:hanging="434"/>
        <w:spacing w:after="0" w:line="255"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7" w:lineRule="exact"/>
        <w:rPr>
          <w:rFonts w:ascii="Arial" w:cs="Arial" w:eastAsia="Arial" w:hAnsi="Arial"/>
          <w:sz w:val="18"/>
          <w:szCs w:val="18"/>
          <w:color w:val="auto"/>
        </w:rPr>
      </w:pPr>
    </w:p>
    <w:p>
      <w:pPr>
        <w:ind w:left="1320" w:right="599" w:hanging="434"/>
        <w:spacing w:after="0" w:line="289" w:lineRule="auto"/>
        <w:tabs>
          <w:tab w:leader="none" w:pos="1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Maintenance and Support</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106" w:lineRule="exact"/>
        <w:rPr>
          <w:sz w:val="20"/>
          <w:szCs w:val="20"/>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Proven track record and reputation in the industry;</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 customization;</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innovation, quality, functionality and design;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Solid partnerships with upstream and downstream partners;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Deep vertical domain experience; and</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strong commitment to security and privacy.</w:t>
      </w:r>
    </w:p>
    <w:p>
      <w:pPr>
        <w:spacing w:after="0" w:line="14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2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1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We also registered and maintained the domain name “Qzonetech.com” for our business operations to ensure that we maintain the ability to engage with our clients, employees, and the public.</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left="460" w:right="1259" w:firstLine="432"/>
        <w:spacing w:after="0" w:line="308" w:lineRule="auto"/>
        <w:rPr>
          <w:sz w:val="20"/>
          <w:szCs w:val="20"/>
          <w:color w:val="auto"/>
        </w:rPr>
      </w:pPr>
      <w:r>
        <w:rPr>
          <w:rFonts w:ascii="Arial" w:cs="Arial" w:eastAsia="Arial" w:hAnsi="Arial"/>
          <w:sz w:val="17"/>
          <w:szCs w:val="17"/>
          <w:color w:val="auto"/>
        </w:rPr>
        <w:t>We provide foreign workers medical insurance and work injury compensation insurance for our employees as required by applicable law and in line with general market practice.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4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Regulations in Singapore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Data Protection</w:t>
      </w:r>
    </w:p>
    <w:p>
      <w:pPr>
        <w:spacing w:after="0" w:line="154" w:lineRule="exact"/>
        <w:rPr>
          <w:sz w:val="20"/>
          <w:szCs w:val="20"/>
          <w:color w:val="auto"/>
        </w:rPr>
      </w:pPr>
    </w:p>
    <w:p>
      <w:pPr>
        <w:ind w:left="460" w:right="499" w:firstLine="432"/>
        <w:spacing w:after="0" w:line="258" w:lineRule="auto"/>
        <w:rPr>
          <w:sz w:val="20"/>
          <w:szCs w:val="20"/>
          <w:color w:val="auto"/>
        </w:rPr>
      </w:pPr>
      <w:r>
        <w:rPr>
          <w:rFonts w:ascii="Arial" w:cs="Arial" w:eastAsia="Arial" w:hAnsi="Arial"/>
          <w:sz w:val="18"/>
          <w:szCs w:val="18"/>
          <w:color w:val="auto"/>
        </w:rPr>
        <w:t>The Personal Data Protection Act 2012 of Singapore (the “</w:t>
      </w:r>
      <w:r>
        <w:rPr>
          <w:rFonts w:ascii="Arial" w:cs="Arial" w:eastAsia="Arial" w:hAnsi="Arial"/>
          <w:sz w:val="18"/>
          <w:szCs w:val="18"/>
          <w:b w:val="1"/>
          <w:bCs w:val="1"/>
          <w:color w:val="auto"/>
        </w:rPr>
        <w:t>PDPA</w:t>
      </w:r>
      <w:r>
        <w:rPr>
          <w:rFonts w:ascii="Arial" w:cs="Arial" w:eastAsia="Arial" w:hAnsi="Arial"/>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An organization is required to comply with, amongst other things, the following obligations prescribed by the PDPA:</w:t>
      </w:r>
    </w:p>
    <w:p>
      <w:pPr>
        <w:spacing w:after="0" w:line="89" w:lineRule="exact"/>
        <w:rPr>
          <w:sz w:val="20"/>
          <w:szCs w:val="20"/>
          <w:color w:val="auto"/>
        </w:rPr>
      </w:pPr>
    </w:p>
    <w:p>
      <w:pPr>
        <w:jc w:val="both"/>
        <w:ind w:left="1320" w:right="639" w:hanging="434"/>
        <w:spacing w:after="0" w:line="263" w:lineRule="auto"/>
        <w:tabs>
          <w:tab w:leader="none" w:pos="1287"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Purpose limitation obligation </w:t>
      </w:r>
      <w:r>
        <w:rPr>
          <w:rFonts w:ascii="Arial" w:cs="Arial" w:eastAsia="Arial" w:hAnsi="Arial"/>
          <w:sz w:val="18"/>
          <w:szCs w:val="18"/>
          <w:color w:val="auto"/>
        </w:rPr>
        <w:t>— personal data must be collected, used, disclosed and/or processed</w:t>
      </w:r>
      <w:r>
        <w:rPr>
          <w:rFonts w:ascii="Arial" w:cs="Arial" w:eastAsia="Arial" w:hAnsi="Arial"/>
          <w:sz w:val="18"/>
          <w:szCs w:val="18"/>
          <w:i w:val="1"/>
          <w:iCs w:val="1"/>
          <w:color w:val="auto"/>
        </w:rPr>
        <w:t xml:space="preserve"> </w:t>
      </w:r>
      <w:r>
        <w:rPr>
          <w:rFonts w:ascii="Arial" w:cs="Arial" w:eastAsia="Arial" w:hAnsi="Arial"/>
          <w:sz w:val="18"/>
          <w:szCs w:val="18"/>
          <w:color w:val="auto"/>
        </w:rPr>
        <w:t>only for purposes that a reasonable person would consider appropriate in the circumstances, and if applicable, have been notified to the individual concerned;</w:t>
      </w:r>
    </w:p>
    <w:p>
      <w:pPr>
        <w:spacing w:after="0" w:line="116" w:lineRule="exact"/>
        <w:rPr>
          <w:rFonts w:ascii="Arial" w:cs="Arial" w:eastAsia="Arial" w:hAnsi="Arial"/>
          <w:sz w:val="18"/>
          <w:szCs w:val="18"/>
          <w:color w:val="auto"/>
        </w:rPr>
      </w:pPr>
    </w:p>
    <w:p>
      <w:pPr>
        <w:ind w:left="1320" w:right="679" w:hanging="434"/>
        <w:spacing w:after="0" w:line="263" w:lineRule="auto"/>
        <w:tabs>
          <w:tab w:leader="none" w:pos="128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obligation </w:t>
      </w:r>
      <w:r>
        <w:rPr>
          <w:rFonts w:ascii="Arial" w:cs="Arial" w:eastAsia="Arial" w:hAnsi="Arial"/>
          <w:sz w:val="18"/>
          <w:szCs w:val="18"/>
          <w:color w:val="auto"/>
        </w:rPr>
        <w:t>— individuals must be notified of the purposes for the collection, use,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and/or processing of their personal data, prior to such collection, use, disclosure and/or processing;</w:t>
      </w:r>
    </w:p>
    <w:p>
      <w:pPr>
        <w:spacing w:after="0" w:line="116" w:lineRule="exact"/>
        <w:rPr>
          <w:rFonts w:ascii="Arial" w:cs="Arial" w:eastAsia="Arial" w:hAnsi="Arial"/>
          <w:sz w:val="18"/>
          <w:szCs w:val="18"/>
          <w:color w:val="auto"/>
        </w:rPr>
      </w:pPr>
    </w:p>
    <w:p>
      <w:pPr>
        <w:ind w:left="1320" w:right="499" w:hanging="434"/>
        <w:spacing w:after="0" w:line="311" w:lineRule="auto"/>
        <w:tabs>
          <w:tab w:leader="none" w:pos="1293"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Consent obligation </w:t>
      </w:r>
      <w:r>
        <w:rPr>
          <w:rFonts w:ascii="Arial" w:cs="Arial" w:eastAsia="Arial" w:hAnsi="Arial"/>
          <w:sz w:val="16"/>
          <w:szCs w:val="16"/>
          <w:color w:val="auto"/>
        </w:rPr>
        <w:t>— the consent of individuals must be obtained for any collection, use,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and/or processing of their personal data, unless exception(s) apply. Additionally, an organization must allow the withdrawal of consent which has been given or is deemed to have been given;</w:t>
      </w:r>
    </w:p>
    <w:p>
      <w:pPr>
        <w:spacing w:after="0" w:line="67" w:lineRule="exact"/>
        <w:rPr>
          <w:rFonts w:ascii="Arial" w:cs="Arial" w:eastAsia="Arial" w:hAnsi="Arial"/>
          <w:sz w:val="16"/>
          <w:szCs w:val="16"/>
          <w:color w:val="auto"/>
        </w:rPr>
      </w:pPr>
    </w:p>
    <w:p>
      <w:pPr>
        <w:ind w:left="1320" w:right="479" w:hanging="434"/>
        <w:spacing w:after="0" w:line="296" w:lineRule="auto"/>
        <w:tabs>
          <w:tab w:leader="none" w:pos="1283"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Access and correction obligations </w:t>
      </w:r>
      <w:r>
        <w:rPr>
          <w:rFonts w:ascii="Arial" w:cs="Arial" w:eastAsia="Arial" w:hAnsi="Arial"/>
          <w:sz w:val="16"/>
          <w:szCs w:val="16"/>
          <w:color w:val="auto"/>
        </w:rPr>
        <w:t>— when requested by an individual and unless exception(s) apply,</w:t>
      </w:r>
      <w:r>
        <w:rPr>
          <w:rFonts w:ascii="Arial" w:cs="Arial" w:eastAsia="Arial" w:hAnsi="Arial"/>
          <w:sz w:val="16"/>
          <w:szCs w:val="16"/>
          <w:i w:val="1"/>
          <w:iCs w:val="1"/>
          <w:color w:val="auto"/>
        </w:rPr>
        <w:t xml:space="preserve"> </w:t>
      </w:r>
      <w:r>
        <w:rPr>
          <w:rFonts w:ascii="Arial" w:cs="Arial" w:eastAsia="Arial" w:hAnsi="Arial"/>
          <w:sz w:val="16"/>
          <w:szCs w:val="16"/>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93" w:lineRule="exact"/>
        <w:rPr>
          <w:rFonts w:ascii="Arial" w:cs="Arial" w:eastAsia="Arial" w:hAnsi="Arial"/>
          <w:sz w:val="16"/>
          <w:szCs w:val="16"/>
          <w:color w:val="auto"/>
        </w:rPr>
      </w:pPr>
    </w:p>
    <w:p>
      <w:pPr>
        <w:ind w:left="1320" w:right="519" w:hanging="434"/>
        <w:spacing w:after="0" w:line="259" w:lineRule="auto"/>
        <w:tabs>
          <w:tab w:leader="none" w:pos="127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Accuracy obligation </w:t>
      </w:r>
      <w:r>
        <w:rPr>
          <w:rFonts w:ascii="Arial" w:cs="Arial" w:eastAsia="Arial" w:hAnsi="Arial"/>
          <w:sz w:val="18"/>
          <w:szCs w:val="18"/>
          <w:color w:val="auto"/>
        </w:rPr>
        <w:t>— an organization must make reasonable efforts to ensure that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9" w:lineRule="exact"/>
        <w:rPr>
          <w:rFonts w:ascii="Arial" w:cs="Arial" w:eastAsia="Arial" w:hAnsi="Arial"/>
          <w:sz w:val="18"/>
          <w:szCs w:val="18"/>
          <w:color w:val="auto"/>
        </w:rPr>
      </w:pPr>
    </w:p>
    <w:p>
      <w:pPr>
        <w:ind w:left="1320" w:right="639" w:hanging="434"/>
        <w:spacing w:after="0" w:line="279" w:lineRule="auto"/>
        <w:tabs>
          <w:tab w:leader="none" w:pos="128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Protection obligation </w:t>
      </w:r>
      <w:r>
        <w:rPr>
          <w:rFonts w:ascii="Arial" w:cs="Arial" w:eastAsia="Arial" w:hAnsi="Arial"/>
          <w:sz w:val="17"/>
          <w:szCs w:val="17"/>
          <w:color w:val="auto"/>
        </w:rPr>
        <w:t>— an organization must implement reasonable security arrangements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0" w:lineRule="exact"/>
        <w:rPr>
          <w:rFonts w:ascii="Arial" w:cs="Arial" w:eastAsia="Arial" w:hAnsi="Arial"/>
          <w:sz w:val="17"/>
          <w:szCs w:val="17"/>
          <w:color w:val="auto"/>
        </w:rPr>
      </w:pPr>
    </w:p>
    <w:p>
      <w:pPr>
        <w:ind w:left="1320" w:right="659" w:hanging="434"/>
        <w:spacing w:after="0" w:line="342" w:lineRule="auto"/>
        <w:tabs>
          <w:tab w:leader="none" w:pos="128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Retention limitation obligation </w:t>
      </w:r>
      <w:r>
        <w:rPr>
          <w:rFonts w:ascii="Arial" w:cs="Arial" w:eastAsia="Arial" w:hAnsi="Arial"/>
          <w:sz w:val="16"/>
          <w:szCs w:val="16"/>
          <w:color w:val="auto"/>
        </w:rPr>
        <w:t>— an organization must not keep personal data for longer than it is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fulfil (a) the purposes for which it was collected, or (b) a legal or business purpose;</w:t>
      </w:r>
    </w:p>
    <w:p>
      <w:pPr>
        <w:spacing w:after="0" w:line="56" w:lineRule="exact"/>
        <w:rPr>
          <w:rFonts w:ascii="Arial" w:cs="Arial" w:eastAsia="Arial" w:hAnsi="Arial"/>
          <w:sz w:val="16"/>
          <w:szCs w:val="16"/>
          <w:color w:val="auto"/>
        </w:rPr>
      </w:pPr>
    </w:p>
    <w:p>
      <w:pPr>
        <w:ind w:left="1320" w:right="719" w:hanging="434"/>
        <w:spacing w:after="0" w:line="277"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Transfer limitation obligation </w:t>
      </w:r>
      <w:r>
        <w:rPr>
          <w:rFonts w:ascii="Arial" w:cs="Arial" w:eastAsia="Arial" w:hAnsi="Arial"/>
          <w:sz w:val="18"/>
          <w:szCs w:val="18"/>
          <w:color w:val="auto"/>
        </w:rPr>
        <w:t>— personal data must not be transferred out of Singapore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prescribed under the PDPA;</w:t>
      </w:r>
    </w:p>
    <w:p>
      <w:pPr>
        <w:spacing w:after="0" w:line="102" w:lineRule="exact"/>
        <w:rPr>
          <w:rFonts w:ascii="Arial" w:cs="Arial" w:eastAsia="Arial" w:hAnsi="Arial"/>
          <w:sz w:val="18"/>
          <w:szCs w:val="18"/>
          <w:color w:val="auto"/>
        </w:rPr>
      </w:pPr>
    </w:p>
    <w:p>
      <w:pPr>
        <w:ind w:left="1320" w:right="559" w:hanging="434"/>
        <w:spacing w:after="0" w:line="259" w:lineRule="auto"/>
        <w:tabs>
          <w:tab w:leader="none" w:pos="1283"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Accountability obligation </w:t>
      </w:r>
      <w:r>
        <w:rPr>
          <w:rFonts w:ascii="Arial" w:cs="Arial" w:eastAsia="Arial" w:hAnsi="Arial"/>
          <w:sz w:val="18"/>
          <w:szCs w:val="18"/>
          <w:color w:val="auto"/>
        </w:rPr>
        <w:t>— an organization must implement the necessary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679"/>
        <w:spacing w:after="0" w:line="263" w:lineRule="auto"/>
        <w:rPr>
          <w:sz w:val="20"/>
          <w:szCs w:val="20"/>
          <w:color w:val="auto"/>
        </w:rPr>
      </w:pPr>
      <w:r>
        <w:rPr>
          <w:rFonts w:ascii="Arial" w:cs="Arial" w:eastAsia="Arial" w:hAnsi="Arial"/>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16" w:lineRule="exact"/>
        <w:rPr>
          <w:sz w:val="20"/>
          <w:szCs w:val="20"/>
          <w:color w:val="auto"/>
        </w:rPr>
      </w:pPr>
    </w:p>
    <w:p>
      <w:pPr>
        <w:ind w:left="1320" w:right="519" w:hanging="434"/>
        <w:spacing w:after="0" w:line="254" w:lineRule="auto"/>
        <w:tabs>
          <w:tab w:leader="none" w:pos="127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Data breach notification obligation </w:t>
      </w:r>
      <w:r>
        <w:rPr>
          <w:rFonts w:ascii="Arial" w:cs="Arial" w:eastAsia="Arial" w:hAnsi="Arial"/>
          <w:sz w:val="18"/>
          <w:szCs w:val="18"/>
          <w:color w:val="auto"/>
        </w:rPr>
        <w:t>— an organization must notify the Singapore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Commission (“</w:t>
      </w:r>
      <w:r>
        <w:rPr>
          <w:rFonts w:ascii="Arial" w:cs="Arial" w:eastAsia="Arial" w:hAnsi="Arial"/>
          <w:sz w:val="18"/>
          <w:szCs w:val="18"/>
          <w:b w:val="1"/>
          <w:bCs w:val="1"/>
          <w:color w:val="auto"/>
        </w:rPr>
        <w:t>PDPC</w:t>
      </w:r>
      <w:r>
        <w:rPr>
          <w:rFonts w:ascii="Arial" w:cs="Arial" w:eastAsia="Arial" w:hAnsi="Arial"/>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27" w:lineRule="exact"/>
        <w:rPr>
          <w:rFonts w:ascii="Arial" w:cs="Arial" w:eastAsia="Arial" w:hAnsi="Arial"/>
          <w:sz w:val="18"/>
          <w:szCs w:val="18"/>
          <w:color w:val="auto"/>
        </w:rPr>
      </w:pPr>
    </w:p>
    <w:p>
      <w:pPr>
        <w:ind w:left="1320" w:right="559" w:hanging="434"/>
        <w:spacing w:after="0" w:line="255" w:lineRule="auto"/>
        <w:tabs>
          <w:tab w:leader="none" w:pos="128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Data portability obligation </w:t>
      </w:r>
      <w:r>
        <w:rPr>
          <w:rFonts w:ascii="Arial" w:cs="Arial" w:eastAsia="Arial" w:hAnsi="Arial"/>
          <w:sz w:val="18"/>
          <w:szCs w:val="18"/>
          <w:color w:val="auto"/>
        </w:rPr>
        <w:t>— the data portability obligation (which is not yet in force as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addition to the general data protection obligations imposed under the PDPA, the PDPA also generally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prohibits organizations and individuals from sending direct marketing messages (in the form of voice calls, text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 fax messages) to Singapore telephone numbers, including mobile, fixed-line, residential and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numbers, registered with the Do Not Call Registry (the “</w:t>
      </w:r>
      <w:r>
        <w:rPr>
          <w:rFonts w:ascii="Arial" w:cs="Arial" w:eastAsia="Arial" w:hAnsi="Arial"/>
          <w:sz w:val="17"/>
          <w:szCs w:val="17"/>
          <w:b w:val="1"/>
          <w:bCs w:val="1"/>
          <w:color w:val="auto"/>
        </w:rPr>
        <w:t>DNC Registry</w:t>
      </w:r>
      <w:r>
        <w:rPr>
          <w:rFonts w:ascii="Arial" w:cs="Arial" w:eastAsia="Arial" w:hAnsi="Arial"/>
          <w:sz w:val="17"/>
          <w:szCs w:val="17"/>
          <w:color w:val="auto"/>
        </w:rPr>
        <w:t>”), as maintained by the PDPC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DNC Obligations</w:t>
      </w:r>
      <w:r>
        <w:rPr>
          <w:rFonts w:ascii="Arial" w:cs="Arial" w:eastAsia="Arial" w:hAnsi="Arial"/>
          <w:sz w:val="16"/>
          <w:szCs w:val="16"/>
          <w:color w:val="auto"/>
        </w:rPr>
        <w:t>”). The DNC Obligations only apply to the sending of “specified messages” as defined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PDPA, which are marketing messages that offer, promote or advertise goods or services.</w:t>
      </w:r>
    </w:p>
    <w:p>
      <w:pPr>
        <w:spacing w:after="0" w:line="143"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Labor</w:t>
      </w:r>
    </w:p>
    <w:p>
      <w:pPr>
        <w:spacing w:after="0" w:line="140"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Employment Act 1968 of Singapore (the “</w:t>
      </w:r>
      <w:r>
        <w:rPr>
          <w:rFonts w:ascii="Arial" w:cs="Arial" w:eastAsia="Arial" w:hAnsi="Arial"/>
          <w:sz w:val="16"/>
          <w:szCs w:val="16"/>
          <w:b w:val="1"/>
          <w:bCs w:val="1"/>
          <w:color w:val="auto"/>
        </w:rPr>
        <w:t>Employment Act</w:t>
      </w:r>
      <w:r>
        <w:rPr>
          <w:rFonts w:ascii="Arial" w:cs="Arial" w:eastAsia="Arial" w:hAnsi="Arial"/>
          <w:sz w:val="16"/>
          <w:szCs w:val="16"/>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9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COVID-19</w:t>
      </w:r>
    </w:p>
    <w:p>
      <w:pPr>
        <w:spacing w:after="0" w:line="14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COVID-19 (Temporary Measures) Act 2020 (No. 14 of 2020) of Singapore (“</w:t>
      </w:r>
      <w:r>
        <w:rPr>
          <w:rFonts w:ascii="Arial" w:cs="Arial" w:eastAsia="Arial" w:hAnsi="Arial"/>
          <w:sz w:val="17"/>
          <w:szCs w:val="17"/>
          <w:b w:val="1"/>
          <w:bCs w:val="1"/>
          <w:color w:val="auto"/>
        </w:rPr>
        <w:t>COVID-19 Act</w:t>
      </w:r>
      <w:r>
        <w:rPr>
          <w:rFonts w:ascii="Arial" w:cs="Arial" w:eastAsia="Arial" w:hAnsi="Arial"/>
          <w:sz w:val="17"/>
          <w:szCs w:val="17"/>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Arial" w:cs="Arial" w:eastAsia="Arial" w:hAnsi="Arial"/>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Haiyan Huang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How Teck Lim*</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Chwee Koh Chua*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39" w:hanging="426"/>
        <w:spacing w:after="0" w:line="293" w:lineRule="auto"/>
        <w:tabs>
          <w:tab w:leader="none" w:pos="8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100"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i w:val="1"/>
          <w:iCs w:val="1"/>
          <w:color w:val="auto"/>
        </w:rPr>
        <w:t xml:space="preserve">Mr. Soon Huat Lim </w:t>
      </w:r>
      <w:r>
        <w:rPr>
          <w:rFonts w:ascii="Arial" w:cs="Arial" w:eastAsia="Arial" w:hAnsi="Arial"/>
          <w:sz w:val="16"/>
          <w:szCs w:val="16"/>
          <w:color w:val="auto"/>
        </w:rPr>
        <w:t>is our founder, and has served as the chairman of the board of directors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1"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 xml:space="preserve">Ms. Haiyan Huang </w:t>
      </w:r>
      <w:r>
        <w:rPr>
          <w:rFonts w:ascii="Arial" w:cs="Arial" w:eastAsia="Arial" w:hAnsi="Arial"/>
          <w:sz w:val="17"/>
          <w:szCs w:val="17"/>
          <w:color w:val="auto"/>
        </w:rPr>
        <w:t>has served as our chief financial officer since the Company’s inception. Ms. Huang</w:t>
      </w:r>
      <w:r>
        <w:rPr>
          <w:rFonts w:ascii="Arial" w:cs="Arial" w:eastAsia="Arial" w:hAnsi="Arial"/>
          <w:sz w:val="17"/>
          <w:szCs w:val="17"/>
          <w:i w:val="1"/>
          <w:iCs w:val="1"/>
          <w:color w:val="auto"/>
        </w:rPr>
        <w:t xml:space="preserve"> </w:t>
      </w:r>
      <w:r>
        <w:rPr>
          <w:rFonts w:ascii="Arial" w:cs="Arial" w:eastAsia="Arial" w:hAnsi="Arial"/>
          <w:sz w:val="17"/>
          <w:szCs w:val="17"/>
          <w:color w:val="auto"/>
        </w:rPr>
        <w:t>has more than 20 years of experience in the financial sector. From June 2018 to April 2022, Ms. Huang first served as the chief financial officer of Zengame Technology Holding Limited (HKSE: 2660), an established mobile game developer and operator in the People’s Republic of China with special focus on card and board and other casual mobile games.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01"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i w:val="1"/>
          <w:iCs w:val="1"/>
          <w:color w:val="auto"/>
        </w:rPr>
        <w:t xml:space="preserve">Mr. Poh Kiong Tan </w:t>
      </w:r>
      <w:r>
        <w:rPr>
          <w:rFonts w:ascii="Arial" w:cs="Arial" w:eastAsia="Arial" w:hAnsi="Arial"/>
          <w:sz w:val="16"/>
          <w:szCs w:val="16"/>
          <w:color w:val="auto"/>
        </w:rPr>
        <w:t>has served as our chief technology officer since the Company’s inception and is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Mr. How Teck Lim </w:t>
      </w:r>
      <w:r>
        <w:rPr>
          <w:rFonts w:ascii="Arial" w:cs="Arial" w:eastAsia="Arial" w:hAnsi="Arial"/>
          <w:sz w:val="17"/>
          <w:szCs w:val="17"/>
          <w:color w:val="auto"/>
        </w:rPr>
        <w:t>is an independent director nominee. Mr. Lim has extensive board,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2021),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i w:val="1"/>
          <w:iCs w:val="1"/>
          <w:color w:val="auto"/>
        </w:rPr>
        <w:t xml:space="preserve">Dr. Noi Keng Koh </w:t>
      </w:r>
      <w:r>
        <w:rPr>
          <w:rFonts w:ascii="Arial" w:cs="Arial" w:eastAsia="Arial" w:hAnsi="Arial"/>
          <w:sz w:val="16"/>
          <w:szCs w:val="16"/>
          <w:color w:val="auto"/>
        </w:rPr>
        <w:t>is an independent director nominee. Dr. Koh has extensive experience in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9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i w:val="1"/>
          <w:iCs w:val="1"/>
          <w:color w:val="auto"/>
        </w:rPr>
        <w:t xml:space="preserve">Mr. Chwee Koh Chua </w:t>
      </w:r>
      <w:r>
        <w:rPr>
          <w:rFonts w:ascii="Arial" w:cs="Arial" w:eastAsia="Arial" w:hAnsi="Arial"/>
          <w:sz w:val="16"/>
          <w:szCs w:val="16"/>
          <w:color w:val="auto"/>
        </w:rPr>
        <w:t>is an independent director nominee. Mr. Chua brings with him a 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98"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will initially consist of three directors, namely How Teck Lim,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6" w:lineRule="exact"/>
        <w:rPr>
          <w:sz w:val="20"/>
          <w:szCs w:val="20"/>
          <w:color w:val="auto"/>
        </w:rPr>
      </w:pPr>
    </w:p>
    <w:p>
      <w:pPr>
        <w:ind w:left="1320" w:right="59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and appointing the independent auditors and pre-approving all auditing and non-auditing services permitted to be performed by such independent auditors;</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the independent auditors;</w:t>
      </w:r>
    </w:p>
    <w:p>
      <w:pPr>
        <w:spacing w:after="0" w:line="180" w:lineRule="exact"/>
        <w:rPr>
          <w:rFonts w:ascii="Arial" w:cs="Arial" w:eastAsia="Arial" w:hAnsi="Arial"/>
          <w:sz w:val="16"/>
          <w:szCs w:val="16"/>
          <w:color w:val="auto"/>
        </w:rPr>
      </w:pPr>
    </w:p>
    <w:p>
      <w:pPr>
        <w:ind w:left="1320" w:right="1039" w:hanging="434"/>
        <w:spacing w:after="0" w:line="342" w:lineRule="auto"/>
        <w:tabs>
          <w:tab w:leader="none" w:pos="1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internal control policies and procedures and any steps taken to monitor and control major financial risk exposures;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our independent auditors;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157" w:lineRule="exact"/>
        <w:rPr>
          <w:rFonts w:ascii="Arial" w:cs="Arial" w:eastAsia="Arial" w:hAnsi="Arial"/>
          <w:sz w:val="18"/>
          <w:szCs w:val="18"/>
          <w:color w:val="auto"/>
        </w:rPr>
      </w:pPr>
    </w:p>
    <w:p>
      <w:pPr>
        <w:ind w:left="1320" w:right="959" w:hanging="434"/>
        <w:spacing w:after="0" w:line="308" w:lineRule="auto"/>
        <w:tabs>
          <w:tab w:leader="none" w:pos="1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monitoring compliance with our code of business conduct and ethics, including reviewing the adequacy and effectiveness of our procedures to ensure proper compliance; and</w:t>
      </w:r>
    </w:p>
    <w:p>
      <w:pPr>
        <w:spacing w:after="0" w:line="6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matters that are specifically assigned to our audit committee by our board of directors from time to time.</w:t>
      </w:r>
    </w:p>
    <w:p>
      <w:pPr>
        <w:spacing w:after="0" w:line="10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will initially consist of three members, namely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How Teck Lim and Chwee Koh Chua. Noi Keng Koh will be the chairwoman of our compensation committee. Each of those three directors satisfies the “independence” requirements of</w:t>
      </w:r>
    </w:p>
    <w:p>
      <w:pPr>
        <w:ind w:left="460" w:right="539"/>
        <w:spacing w:after="0" w:line="270" w:lineRule="auto"/>
        <w:rPr>
          <w:sz w:val="20"/>
          <w:szCs w:val="20"/>
          <w:color w:val="auto"/>
        </w:rPr>
      </w:pPr>
      <w:r>
        <w:rPr>
          <w:rFonts w:ascii="Arial" w:cs="Arial" w:eastAsia="Arial" w:hAnsi="Arial"/>
          <w:sz w:val="17"/>
          <w:szCs w:val="17"/>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11" w:lineRule="exact"/>
        <w:rPr>
          <w:sz w:val="20"/>
          <w:szCs w:val="20"/>
          <w:color w:val="auto"/>
        </w:rPr>
      </w:pPr>
    </w:p>
    <w:p>
      <w:pPr>
        <w:ind w:left="1320" w:right="919" w:hanging="434"/>
        <w:spacing w:after="0" w:line="277"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to the board with respect to the compensation for our chief executive officer and other executive officers;</w:t>
      </w:r>
    </w:p>
    <w:p>
      <w:pPr>
        <w:spacing w:after="0" w:line="89"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most senior executive officers;</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non-employee directors; and</w:t>
      </w:r>
    </w:p>
    <w:p>
      <w:pPr>
        <w:spacing w:after="0" w:line="10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73" w:lineRule="exact"/>
        <w:rPr>
          <w:sz w:val="20"/>
          <w:szCs w:val="20"/>
          <w:color w:val="auto"/>
        </w:rPr>
      </w:pPr>
    </w:p>
    <w:p>
      <w:pPr>
        <w:ind w:left="1320" w:right="819" w:hanging="434"/>
        <w:spacing w:after="0" w:line="277" w:lineRule="auto"/>
        <w:tabs>
          <w:tab w:leader="none" w:pos="1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and recommending nominees for election by the shareholders or appointment by the board of directors;</w:t>
      </w:r>
    </w:p>
    <w:p>
      <w:pPr>
        <w:spacing w:after="0" w:line="6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75" w:lineRule="exact"/>
        <w:rPr>
          <w:rFonts w:ascii="Arial" w:cs="Arial" w:eastAsia="Arial" w:hAnsi="Arial"/>
          <w:sz w:val="18"/>
          <w:szCs w:val="18"/>
          <w:color w:val="auto"/>
        </w:rPr>
      </w:pPr>
    </w:p>
    <w:p>
      <w:pPr>
        <w:ind w:left="1320" w:right="519" w:hanging="434"/>
        <w:spacing w:after="0" w:line="277" w:lineRule="auto"/>
        <w:tabs>
          <w:tab w:leader="none" w:pos="1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advising the board of directors on the frequency and structure of board meetings and monitoring the functioning of the committees of the board; and</w:t>
      </w:r>
    </w:p>
    <w:p>
      <w:pPr>
        <w:spacing w:after="0" w:line="62" w:lineRule="exact"/>
        <w:rPr>
          <w:rFonts w:ascii="Arial" w:cs="Arial" w:eastAsia="Arial" w:hAnsi="Arial"/>
          <w:sz w:val="18"/>
          <w:szCs w:val="18"/>
          <w:color w:val="auto"/>
        </w:rPr>
      </w:pPr>
    </w:p>
    <w:p>
      <w:pPr>
        <w:ind w:left="1320" w:right="639" w:hanging="434"/>
        <w:spacing w:after="0" w:line="259" w:lineRule="auto"/>
        <w:tabs>
          <w:tab w:leader="none" w:pos="1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Duties of Directors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5"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Our board of directors has all the powers necessary for managing, and for directing and supervising, our business affairs. The functions and powers of our board of directors include, among others:</w:t>
      </w:r>
    </w:p>
    <w:p>
      <w:pPr>
        <w:spacing w:after="0" w:line="29" w:lineRule="exact"/>
        <w:rPr>
          <w:sz w:val="20"/>
          <w:szCs w:val="20"/>
          <w:color w:val="auto"/>
        </w:rPr>
      </w:pPr>
    </w:p>
    <w:p>
      <w:pPr>
        <w:ind w:left="1320" w:right="999" w:hanging="434"/>
        <w:spacing w:after="0" w:line="277" w:lineRule="auto"/>
        <w:tabs>
          <w:tab w:leader="none" w:pos="1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75" w:lineRule="exact"/>
        <w:rPr>
          <w:rFonts w:ascii="Arial" w:cs="Arial" w:eastAsia="Arial" w:hAnsi="Arial"/>
          <w:sz w:val="18"/>
          <w:szCs w:val="18"/>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and responsibilities of the officers;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exercising the borrowing powers of our company and mortgaging the property of our company; and</w:t>
      </w:r>
    </w:p>
    <w:p>
      <w:pPr>
        <w:spacing w:after="0" w:line="153" w:lineRule="exact"/>
        <w:rPr>
          <w:rFonts w:ascii="Arial" w:cs="Arial" w:eastAsia="Arial" w:hAnsi="Arial"/>
          <w:sz w:val="16"/>
          <w:szCs w:val="16"/>
          <w:color w:val="auto"/>
        </w:rPr>
      </w:pPr>
    </w:p>
    <w:p>
      <w:pPr>
        <w:ind w:left="1320" w:right="839" w:hanging="434"/>
        <w:spacing w:after="0" w:line="277" w:lineRule="auto"/>
        <w:tabs>
          <w:tab w:leader="none" w:pos="1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register of members.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96" w:lineRule="auto"/>
        <w:rPr>
          <w:sz w:val="20"/>
          <w:szCs w:val="20"/>
          <w:color w:val="auto"/>
        </w:rPr>
      </w:pPr>
      <w:r>
        <w:rPr>
          <w:rFonts w:ascii="Arial" w:cs="Arial" w:eastAsia="Arial" w:hAnsi="Arial"/>
          <w:sz w:val="16"/>
          <w:szCs w:val="16"/>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9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2023 Equity Incentive Plan</w:t>
      </w:r>
    </w:p>
    <w:p>
      <w:pPr>
        <w:spacing w:after="0" w:line="144"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Awards under the Equity Incentive Plan</w:t>
      </w:r>
    </w:p>
    <w:p>
      <w:pPr>
        <w:spacing w:after="0" w:line="144"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i w:val="1"/>
          <w:iCs w:val="1"/>
          <w:color w:val="auto"/>
        </w:rPr>
        <w:t xml:space="preserve">Share Options. </w:t>
      </w:r>
      <w:r>
        <w:rPr>
          <w:rFonts w:ascii="Arial" w:cs="Arial" w:eastAsia="Arial" w:hAnsi="Arial"/>
          <w:sz w:val="17"/>
          <w:szCs w:val="17"/>
          <w:color w:val="auto"/>
        </w:rPr>
        <w:t>Share options may be granted under the 2023 Equity Incentive Plan.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award agreement will specify restrictions on the duration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9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i w:val="1"/>
          <w:iCs w:val="1"/>
          <w:color w:val="auto"/>
        </w:rPr>
        <w:t xml:space="preserve">Restricted Share Units. </w:t>
      </w:r>
      <w:r>
        <w:rPr>
          <w:rFonts w:ascii="Arial" w:cs="Arial" w:eastAsia="Arial" w:hAnsi="Arial"/>
          <w:sz w:val="17"/>
          <w:szCs w:val="17"/>
          <w:color w:val="auto"/>
        </w:rPr>
        <w:t>Awards of restricted share units may be granted by the administrator.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5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In the event of a change in control, the administrator may provide for termination or acceleration of awards, purchase of awards from holders or replacement of awards.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Unless terminated earlier, the 2023 Equity Incentive Plan will continue in effect for a term of ten years from the date of its adoption.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5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Subject to applicable shareholders’ approval and certain exceptions, the board of directors may at any time amend or terminate the 2023 Equity Incentive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103" w:lineRule="exact"/>
        <w:rPr>
          <w:sz w:val="20"/>
          <w:szCs w:val="20"/>
          <w:color w:val="auto"/>
        </w:rPr>
      </w:pPr>
    </w:p>
    <w:p>
      <w:pPr>
        <w:ind w:left="1320" w:hanging="43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57" w:lineRule="exact"/>
        <w:rPr>
          <w:rFonts w:ascii="Arial" w:cs="Arial" w:eastAsia="Arial" w:hAnsi="Arial"/>
          <w:sz w:val="18"/>
          <w:szCs w:val="18"/>
          <w:color w:val="auto"/>
        </w:rPr>
      </w:pPr>
    </w:p>
    <w:p>
      <w:pPr>
        <w:ind w:left="1320" w:right="1039" w:hanging="434"/>
        <w:spacing w:after="0" w:line="277" w:lineRule="auto"/>
        <w:tabs>
          <w:tab w:leader="none" w:pos="13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principal shareholders who beneficially own 5% or more of our total outstanding ordinary shares.</w:t>
      </w:r>
    </w:p>
    <w:p>
      <w:pPr>
        <w:spacing w:after="0" w:line="89" w:lineRule="exact"/>
        <w:rPr>
          <w:sz w:val="20"/>
          <w:szCs w:val="20"/>
          <w:color w:val="auto"/>
        </w:rPr>
      </w:pPr>
    </w:p>
    <w:p>
      <w:pPr>
        <w:ind w:left="880"/>
        <w:spacing w:after="0"/>
        <w:tabs>
          <w:tab w:leader="none" w:pos="4960" w:val="left"/>
        </w:tabs>
        <w:rPr>
          <w:sz w:val="20"/>
          <w:szCs w:val="20"/>
          <w:color w:val="auto"/>
        </w:rPr>
      </w:pPr>
      <w:r>
        <w:rPr>
          <w:rFonts w:ascii="Arial" w:cs="Arial" w:eastAsia="Arial" w:hAnsi="Arial"/>
          <w:sz w:val="18"/>
          <w:szCs w:val="18"/>
          <w:color w:val="auto"/>
        </w:rPr>
        <w:t>The calculations in the table below are based on [</w:t>
      </w:r>
      <w:r>
        <w:rPr>
          <w:sz w:val="20"/>
          <w:szCs w:val="20"/>
          <w:color w:val="auto"/>
        </w:rPr>
        <w:tab/>
      </w:r>
      <w:r>
        <w:rPr>
          <w:rFonts w:ascii="Arial" w:cs="Arial" w:eastAsia="Arial" w:hAnsi="Arial"/>
          <w:sz w:val="16"/>
          <w:szCs w:val="16"/>
          <w:color w:val="auto"/>
        </w:rPr>
        <w:t>] ordinary shares issued and outstanding as of the</w:t>
      </w:r>
    </w:p>
    <w:p>
      <w:pPr>
        <w:spacing w:after="0" w:line="23" w:lineRule="exact"/>
        <w:rPr>
          <w:sz w:val="20"/>
          <w:szCs w:val="20"/>
          <w:color w:val="auto"/>
        </w:rPr>
      </w:pPr>
    </w:p>
    <w:p>
      <w:pPr>
        <w:ind w:left="460"/>
        <w:spacing w:after="0"/>
        <w:tabs>
          <w:tab w:leader="none" w:pos="3040" w:val="left"/>
          <w:tab w:leader="none" w:pos="5820" w:val="left"/>
        </w:tabs>
        <w:rPr>
          <w:sz w:val="20"/>
          <w:szCs w:val="20"/>
          <w:color w:val="auto"/>
        </w:rPr>
      </w:pPr>
      <w:r>
        <w:rPr>
          <w:rFonts w:ascii="Arial" w:cs="Arial" w:eastAsia="Arial" w:hAnsi="Arial"/>
          <w:sz w:val="18"/>
          <w:szCs w:val="18"/>
          <w:color w:val="auto"/>
        </w:rPr>
        <w:t>date of this prospectus, and [</w:t>
      </w:r>
      <w:r>
        <w:rPr>
          <w:sz w:val="20"/>
          <w:szCs w:val="20"/>
          <w:color w:val="auto"/>
        </w:rPr>
        <w:tab/>
      </w:r>
      <w:r>
        <w:rPr>
          <w:rFonts w:ascii="Arial" w:cs="Arial" w:eastAsia="Arial" w:hAnsi="Arial"/>
          <w:sz w:val="18"/>
          <w:szCs w:val="18"/>
          <w:color w:val="auto"/>
        </w:rPr>
        <w:t>] Class A ordinary shares and [</w:t>
      </w:r>
      <w:r>
        <w:rPr>
          <w:sz w:val="20"/>
          <w:szCs w:val="20"/>
          <w:color w:val="auto"/>
        </w:rPr>
        <w:tab/>
      </w:r>
      <w:r>
        <w:rPr>
          <w:rFonts w:ascii="Arial" w:cs="Arial" w:eastAsia="Arial" w:hAnsi="Arial"/>
          <w:sz w:val="15"/>
          <w:szCs w:val="15"/>
          <w:color w:val="auto"/>
        </w:rPr>
        <w:t>] Class B ordinary shares issued and</w:t>
      </w:r>
    </w:p>
    <w:p>
      <w:pPr>
        <w:spacing w:after="0" w:line="9" w:lineRule="exact"/>
        <w:rPr>
          <w:sz w:val="20"/>
          <w:szCs w:val="20"/>
          <w:color w:val="auto"/>
        </w:rPr>
      </w:pPr>
    </w:p>
    <w:p>
      <w:pPr>
        <w:ind w:left="460" w:right="659"/>
        <w:spacing w:after="0" w:line="290" w:lineRule="auto"/>
        <w:rPr>
          <w:sz w:val="20"/>
          <w:szCs w:val="20"/>
          <w:color w:val="auto"/>
        </w:rPr>
      </w:pPr>
      <w:r>
        <w:rPr>
          <w:rFonts w:ascii="Arial" w:cs="Arial" w:eastAsia="Arial" w:hAnsi="Arial"/>
          <w:sz w:val="17"/>
          <w:szCs w:val="17"/>
          <w:color w:val="auto"/>
        </w:rPr>
        <w:t>outstanding immediately after the completion of this offering, assuming the underwriters do not exercise their option to purchase additional ADSs. All of our issued and outstanding shares are fully paid.</w:t>
      </w:r>
    </w:p>
    <w:p>
      <w:pPr>
        <w:spacing w:after="0" w:line="9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Ordinary Shares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4"/>
              <w:spacing w:after="0"/>
              <w:rPr>
                <w:sz w:val="20"/>
                <w:szCs w:val="20"/>
                <w:color w:val="auto"/>
              </w:rPr>
            </w:pPr>
            <w:r>
              <w:rPr>
                <w:rFonts w:ascii="Arial" w:cs="Arial" w:eastAsia="Arial" w:hAnsi="Arial"/>
                <w:sz w:val="14"/>
                <w:szCs w:val="14"/>
                <w:b w:val="1"/>
                <w:bCs w:val="1"/>
                <w:color w:val="auto"/>
              </w:rPr>
              <w:t>Ordinary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Prior to This Offering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After This Offering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Total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Ordinary</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on An</w:t>
            </w:r>
          </w:p>
        </w:tc>
        <w:tc>
          <w:tcPr>
            <w:tcW w:w="80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7"/>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on 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Aggregate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Ordinary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converted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Voting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Ordinary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converted</w:t>
            </w:r>
          </w:p>
        </w:tc>
        <w:tc>
          <w:tcPr>
            <w:tcW w:w="74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96"/>
              </w:rPr>
              <w:t>Voting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Basis†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Power††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Basis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left="2"/>
              <w:spacing w:after="0"/>
              <w:rPr>
                <w:sz w:val="20"/>
                <w:szCs w:val="20"/>
                <w:color w:val="auto"/>
              </w:rPr>
            </w:pPr>
            <w:r>
              <w:rPr>
                <w:rFonts w:ascii="Arial" w:cs="Arial" w:eastAsia="Arial" w:hAnsi="Arial"/>
                <w:sz w:val="14"/>
                <w:szCs w:val="14"/>
                <w:b w:val="1"/>
                <w:bCs w:val="1"/>
                <w:color w:val="auto"/>
                <w:w w:val="90"/>
              </w:rPr>
              <w:t>Power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Directors and</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Executive Officers*:</w:t>
            </w: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Arial" w:cs="Arial" w:eastAsia="Arial" w:hAnsi="Arial"/>
                <w:sz w:val="16"/>
                <w:szCs w:val="16"/>
                <w:color w:val="auto"/>
              </w:rPr>
              <w:t>Soon Huat Lim</w:t>
            </w:r>
            <w:r>
              <w:rPr>
                <w:rFonts w:ascii="Arial" w:cs="Arial" w:eastAsia="Arial" w:hAnsi="Arial"/>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274,901,428</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4"/>
                <w:szCs w:val="24"/>
                <w:color w:val="auto"/>
              </w:rPr>
            </w:pPr>
          </w:p>
        </w:tc>
        <w:tc>
          <w:tcPr>
            <w:tcW w:w="6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Poh Kiong Tan</w:t>
            </w:r>
            <w:r>
              <w:rPr>
                <w:rFonts w:ascii="Arial" w:cs="Arial" w:eastAsia="Arial" w:hAnsi="Arial"/>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0"/>
                <w:szCs w:val="20"/>
                <w:color w:val="auto"/>
              </w:rPr>
            </w:pPr>
            <w:r>
              <w:rPr>
                <w:rFonts w:ascii="Arial" w:cs="Arial" w:eastAsia="Arial" w:hAnsi="Arial"/>
                <w:sz w:val="16"/>
                <w:szCs w:val="16"/>
                <w:color w:val="auto"/>
              </w:rPr>
              <w:t>Haiyan Huang</w:t>
            </w:r>
            <w:r>
              <w:rPr>
                <w:rFonts w:ascii="Arial" w:cs="Arial" w:eastAsia="Arial" w:hAnsi="Arial"/>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6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All directors and</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officers as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289,901,428</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tcBorders>
              <w:bottom w:val="single" w:sz="8" w:color="CCEEFF"/>
            </w:tcBorders>
            <w:shd w:val="clear" w:color="auto" w:fill="CCEEFF"/>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Arial" w:cs="Arial" w:eastAsia="Arial" w:hAnsi="Arial"/>
                <w:sz w:val="16"/>
                <w:szCs w:val="16"/>
                <w:b w:val="1"/>
                <w:bCs w:val="1"/>
                <w:color w:val="auto"/>
              </w:rPr>
              <w:t>Shareholders: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Trident Digital Tech</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720" w:type="dxa"/>
            <w:vAlign w:val="bottom"/>
            <w:shd w:val="clear" w:color="auto" w:fill="CCEEFF"/>
          </w:tcPr>
          <w:p>
            <w:pPr>
              <w:ind w:left="180"/>
              <w:spacing w:after="0" w:line="266" w:lineRule="exact"/>
              <w:rPr>
                <w:sz w:val="20"/>
                <w:szCs w:val="20"/>
                <w:color w:val="auto"/>
              </w:rPr>
            </w:pPr>
            <w:r>
              <w:rPr>
                <w:rFonts w:ascii="Arial" w:cs="Arial" w:eastAsia="Arial" w:hAnsi="Arial"/>
                <w:sz w:val="30"/>
                <w:szCs w:val="30"/>
                <w:color w:val="auto"/>
                <w:vertAlign w:val="subscript"/>
              </w:rPr>
              <w:t>Ltd</w:t>
            </w:r>
            <w:r>
              <w:rPr>
                <w:rFonts w:ascii="Arial" w:cs="Arial" w:eastAsia="Arial" w:hAnsi="Arial"/>
                <w:sz w:val="10"/>
                <w:szCs w:val="10"/>
                <w:color w:val="auto"/>
              </w:rPr>
              <w:t>(4)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rPr>
              <w:t>Trident Group Holdings</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720" w:type="dxa"/>
            <w:vAlign w:val="bottom"/>
          </w:tcPr>
          <w:p>
            <w:pPr>
              <w:ind w:left="180"/>
              <w:spacing w:after="0"/>
              <w:rPr>
                <w:sz w:val="20"/>
                <w:szCs w:val="20"/>
                <w:color w:val="auto"/>
              </w:rPr>
            </w:pPr>
            <w:r>
              <w:rPr>
                <w:rFonts w:ascii="Arial" w:cs="Arial" w:eastAsia="Arial" w:hAnsi="Arial"/>
                <w:sz w:val="16"/>
                <w:szCs w:val="16"/>
                <w:color w:val="auto"/>
              </w:rPr>
              <w:t>Ltd</w:t>
            </w:r>
            <w:r>
              <w:rPr>
                <w:rFonts w:ascii="Arial" w:cs="Arial" w:eastAsia="Arial" w:hAnsi="Arial"/>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150,000,000</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6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Tri Wealth Ltd</w:t>
            </w:r>
            <w:r>
              <w:rPr>
                <w:rFonts w:ascii="Arial" w:cs="Arial" w:eastAsia="Arial" w:hAnsi="Arial"/>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125,705,000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0"/>
                <w:szCs w:val="20"/>
                <w:color w:val="auto"/>
              </w:rPr>
            </w:pPr>
            <w:r>
              <w:rPr>
                <w:rFonts w:ascii="Arial" w:cs="Arial" w:eastAsia="Arial" w:hAnsi="Arial"/>
                <w:sz w:val="16"/>
                <w:szCs w:val="16"/>
                <w:color w:val="auto"/>
              </w:rPr>
              <w:t>Soon Tai Lee</w:t>
            </w:r>
            <w:r>
              <w:rPr>
                <w:rFonts w:ascii="Arial" w:cs="Arial" w:eastAsia="Arial" w:hAnsi="Arial"/>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6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Yat Hong Lo</w:t>
            </w:r>
            <w:r>
              <w:rPr>
                <w:rFonts w:ascii="Arial" w:cs="Arial" w:eastAsia="Arial" w:hAnsi="Arial"/>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w:t>
            </w:r>
          </w:p>
        </w:tc>
        <w:tc>
          <w:tcPr>
            <w:tcW w:w="56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0"/>
              </w:rPr>
              <w:t>]</w:t>
            </w:r>
          </w:p>
        </w:tc>
        <w:tc>
          <w:tcPr>
            <w:tcW w:w="7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6"/>
                <w:szCs w:val="16"/>
                <w:color w:val="auto"/>
              </w:rPr>
              <w:t>____________</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ind w:left="880" w:right="659" w:hanging="426"/>
        <w:spacing w:after="0" w:line="264" w:lineRule="auto"/>
        <w:tabs>
          <w:tab w:leader="none" w:pos="8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as indicated otherwise below, the business address of our directors and executive officers is Suntec Tower 3, 8 Temasek Boulevard Road, #24-03 Singapore, 038988.</w:t>
      </w:r>
    </w:p>
    <w:p>
      <w:pPr>
        <w:ind w:left="860" w:hanging="406"/>
        <w:spacing w:after="0"/>
        <w:tabs>
          <w:tab w:leader="none" w:pos="8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each person and group included in this table, percentage ownership is calculated by dividing the number of shares</w:t>
      </w:r>
    </w:p>
    <w:p>
      <w:pPr>
        <w:spacing w:after="0" w:line="42" w:lineRule="exact"/>
        <w:rPr>
          <w:sz w:val="20"/>
          <w:szCs w:val="20"/>
          <w:color w:val="auto"/>
        </w:rPr>
      </w:pPr>
    </w:p>
    <w:p>
      <w:pPr>
        <w:ind w:left="880" w:right="479"/>
        <w:spacing w:after="0" w:line="264" w:lineRule="auto"/>
        <w:rPr>
          <w:sz w:val="20"/>
          <w:szCs w:val="20"/>
          <w:color w:val="auto"/>
        </w:rPr>
      </w:pPr>
      <w:r>
        <w:rPr>
          <w:rFonts w:ascii="Arial" w:cs="Arial" w:eastAsia="Arial" w:hAnsi="Arial"/>
          <w:sz w:val="16"/>
          <w:szCs w:val="16"/>
          <w:color w:val="auto"/>
        </w:rPr>
        <w:t>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2"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left="880" w:right="539"/>
        <w:spacing w:after="0" w:line="262" w:lineRule="auto"/>
        <w:rPr>
          <w:sz w:val="20"/>
          <w:szCs w:val="20"/>
          <w:color w:val="auto"/>
        </w:rPr>
      </w:pPr>
      <w:r>
        <w:rPr>
          <w:rFonts w:ascii="Arial" w:cs="Arial" w:eastAsia="Arial" w:hAnsi="Arial"/>
          <w:sz w:val="16"/>
          <w:szCs w:val="16"/>
          <w:color w:val="auto"/>
        </w:rPr>
        <w:t>wholly owned by Mr. Soon Huat Lim; and (iii) 124,901,428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10,000,000 Class B ordinary shares directly held by Mr. Poh Kiong Tan.</w:t>
      </w:r>
    </w:p>
    <w:p>
      <w:pPr>
        <w:spacing w:after="0" w:line="18" w:lineRule="exact"/>
        <w:rPr>
          <w:rFonts w:ascii="Arial" w:cs="Arial" w:eastAsia="Arial" w:hAnsi="Arial"/>
          <w:sz w:val="16"/>
          <w:szCs w:val="16"/>
          <w:color w:val="auto"/>
        </w:rPr>
      </w:pPr>
    </w:p>
    <w:p>
      <w:pPr>
        <w:ind w:left="880" w:right="499" w:hanging="426"/>
        <w:spacing w:after="0" w:line="301" w:lineRule="auto"/>
        <w:tabs>
          <w:tab w:leader="none" w:pos="8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5,000,000 Class B ordinary shares held by Trident Verse Ltd, a company limited by shares incorporated in British Virgin Islands which is wholly owned by Ms. Haiyan Huang. The registered address of Trident Verse Ltd is Sertus Chambers, P.O. Box 905, Quastisky Building, Road Town, Tortola, British Virgin Islands.</w:t>
      </w:r>
    </w:p>
    <w:p>
      <w:pPr>
        <w:spacing w:after="0" w:line="1" w:lineRule="exact"/>
        <w:rPr>
          <w:rFonts w:ascii="Arial" w:cs="Arial" w:eastAsia="Arial" w:hAnsi="Arial"/>
          <w:sz w:val="14"/>
          <w:szCs w:val="14"/>
          <w:color w:val="auto"/>
        </w:rPr>
      </w:pPr>
    </w:p>
    <w:p>
      <w:pPr>
        <w:ind w:left="880" w:right="599" w:hanging="426"/>
        <w:spacing w:after="0" w:line="301" w:lineRule="auto"/>
        <w:tabs>
          <w:tab w:leader="none" w:pos="8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spacing w:after="0" w:line="1" w:lineRule="exact"/>
        <w:rPr>
          <w:rFonts w:ascii="Arial" w:cs="Arial" w:eastAsia="Arial" w:hAnsi="Arial"/>
          <w:sz w:val="14"/>
          <w:szCs w:val="14"/>
          <w:color w:val="auto"/>
        </w:rPr>
      </w:pPr>
    </w:p>
    <w:p>
      <w:pPr>
        <w:ind w:left="880" w:right="679" w:hanging="426"/>
        <w:spacing w:after="0" w:line="264"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19" w:hanging="426"/>
        <w:spacing w:after="0" w:line="281" w:lineRule="auto"/>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Represents 125,705,000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75,000,000 Class B ordinary shares directly held by Mr. Soon Tai Lee.</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25,000,000 Class B ordinary shares directly held by Mr. Yat Hong Lo.</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date of this prospectus, none of our ordinary shares are held by record holders in the</w:t>
      </w:r>
    </w:p>
    <w:p>
      <w:pPr>
        <w:spacing w:after="0" w:line="23" w:lineRule="exact"/>
        <w:rPr>
          <w:sz w:val="20"/>
          <w:szCs w:val="20"/>
          <w:color w:val="auto"/>
        </w:rPr>
      </w:pPr>
    </w:p>
    <w:p>
      <w:pPr>
        <w:jc w:val="both"/>
        <w:ind w:left="460" w:right="599"/>
        <w:spacing w:after="0" w:line="255" w:lineRule="auto"/>
        <w:rPr>
          <w:sz w:val="20"/>
          <w:szCs w:val="20"/>
          <w:color w:val="auto"/>
        </w:rPr>
      </w:pPr>
      <w:r>
        <w:rPr>
          <w:rFonts w:ascii="Arial" w:cs="Arial" w:eastAsia="Arial" w:hAnsi="Arial"/>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from related parties</w:t>
      </w:r>
    </w:p>
    <w:p>
      <w:pPr>
        <w:spacing w:after="0" w:line="158"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Trident Consultancy Pte. Ltd., a wholly-owned company of Mr. Soon Huat Lim, our founder, chairman of board of directors and chief executive officer, provided an interest-free loan in the amount of US$889,422 to us to support our operations. The loan was due on demand. The remaining balance of the loan was fully settled in June 2023.</w:t>
      </w:r>
    </w:p>
    <w:p>
      <w:pPr>
        <w:spacing w:after="0" w:line="11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intend to receive any financing from related parties after completion of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to related parties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9" w:lineRule="exact"/>
        <w:rPr>
          <w:sz w:val="20"/>
          <w:szCs w:val="20"/>
          <w:color w:val="auto"/>
        </w:rPr>
      </w:pPr>
    </w:p>
    <w:p>
      <w:pPr>
        <w:ind w:left="460" w:right="879" w:firstLine="432"/>
        <w:spacing w:after="0" w:line="291" w:lineRule="auto"/>
        <w:rPr>
          <w:sz w:val="20"/>
          <w:szCs w:val="20"/>
          <w:color w:val="auto"/>
        </w:rPr>
      </w:pPr>
      <w:r>
        <w:rPr>
          <w:rFonts w:ascii="Arial" w:cs="Arial" w:eastAsia="Arial" w:hAnsi="Arial"/>
          <w:sz w:val="16"/>
          <w:szCs w:val="16"/>
          <w:color w:val="auto"/>
        </w:rPr>
        <w:t>As of the date hereof, our authorized share capital is US$50,000 divided into 5,000,000,000 ordinary shares with a par value of US$0.00001 each, comprising (i) 1,000,000,000 Class A ordinary shares,</w:t>
      </w:r>
    </w:p>
    <w:p>
      <w:pPr>
        <w:ind w:left="460"/>
        <w:spacing w:after="0"/>
        <w:tabs>
          <w:tab w:leader="none" w:pos="6700" w:val="left"/>
        </w:tabs>
        <w:rPr>
          <w:sz w:val="20"/>
          <w:szCs w:val="20"/>
          <w:color w:val="auto"/>
        </w:rPr>
      </w:pPr>
      <w:r>
        <w:rPr>
          <w:rFonts w:ascii="Arial" w:cs="Arial" w:eastAsia="Arial" w:hAnsi="Arial"/>
          <w:sz w:val="18"/>
          <w:szCs w:val="18"/>
          <w:color w:val="auto"/>
        </w:rPr>
        <w:t>(ii) 4,000,000,000 Class B ordinary shares. As of the date of this prospectus, (i)</w:t>
      </w:r>
      <w:r>
        <w:rPr>
          <w:sz w:val="20"/>
          <w:szCs w:val="20"/>
          <w:color w:val="auto"/>
        </w:rPr>
        <w:tab/>
      </w:r>
      <w:r>
        <w:rPr>
          <w:rFonts w:ascii="Arial" w:cs="Arial" w:eastAsia="Arial" w:hAnsi="Arial"/>
          <w:sz w:val="15"/>
          <w:szCs w:val="15"/>
          <w:color w:val="auto"/>
        </w:rPr>
        <w:t>Class A ordinary shares,</w:t>
      </w:r>
    </w:p>
    <w:p>
      <w:pPr>
        <w:spacing w:after="0" w:line="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and (ii)</w:t>
      </w:r>
      <w:r>
        <w:rPr>
          <w:sz w:val="20"/>
          <w:szCs w:val="20"/>
          <w:color w:val="auto"/>
        </w:rPr>
        <w:tab/>
      </w:r>
      <w:r>
        <w:rPr>
          <w:rFonts w:ascii="Arial" w:cs="Arial" w:eastAsia="Arial" w:hAnsi="Arial"/>
          <w:sz w:val="15"/>
          <w:szCs w:val="15"/>
          <w:color w:val="auto"/>
        </w:rPr>
        <w:t>Class B ordinary shares are issued and outstanding.</w:t>
      </w:r>
    </w:p>
    <w:p>
      <w:pPr>
        <w:spacing w:after="0" w:line="143" w:lineRule="exact"/>
        <w:rPr>
          <w:sz w:val="20"/>
          <w:szCs w:val="20"/>
          <w:color w:val="auto"/>
        </w:rPr>
      </w:pPr>
    </w:p>
    <w:p>
      <w:pPr>
        <w:ind w:left="460" w:right="639" w:firstLine="432"/>
        <w:spacing w:after="0" w:line="284" w:lineRule="auto"/>
        <w:rPr>
          <w:sz w:val="20"/>
          <w:szCs w:val="20"/>
          <w:color w:val="auto"/>
        </w:rPr>
      </w:pPr>
      <w:r>
        <w:rPr>
          <w:rFonts w:ascii="Arial" w:cs="Arial" w:eastAsia="Arial" w:hAnsi="Arial"/>
          <w:sz w:val="16"/>
          <w:szCs w:val="16"/>
          <w:color w:val="auto"/>
        </w:rPr>
        <w:t>We plan to adopt, subject to the approval of the existing shareholders, an amended and restated memorandum and articles of association, which will become effective upon completion of this offering and replace the current memorandum and articles of association in its entirety immediately prior to the completion of this offering. Our authorized share capital immediately prior to the completion of the offering will be US$50,000 divided into 5,000,000,000 ordinary shares with a par value of US$0.00001 each, comprising (i) 1,000,000,000 Class A ordinary shares, (ii) 4,000,000,000 Class B ordinary shares. We will issue</w:t>
      </w:r>
    </w:p>
    <w:p>
      <w:pPr>
        <w:spacing w:after="0" w:line="4" w:lineRule="exact"/>
        <w:rPr>
          <w:sz w:val="20"/>
          <w:szCs w:val="20"/>
          <w:color w:val="auto"/>
        </w:rPr>
      </w:pPr>
    </w:p>
    <w:p>
      <w:pPr>
        <w:ind w:left="460" w:right="579"/>
        <w:spacing w:after="0" w:line="323" w:lineRule="auto"/>
        <w:rPr>
          <w:sz w:val="20"/>
          <w:szCs w:val="20"/>
          <w:color w:val="auto"/>
        </w:rPr>
      </w:pPr>
      <w:r>
        <w:rPr>
          <w:rFonts w:ascii="Arial" w:cs="Arial" w:eastAsia="Arial" w:hAnsi="Arial"/>
          <w:sz w:val="16"/>
          <w:szCs w:val="16"/>
          <w:color w:val="auto"/>
        </w:rPr>
        <w:t>Class B ordinary shares represented by ADSs in this offering. All options, regardless of grant dates, will entitle holders to an equivalent number of ordinary shares once the vesting and exercising conditions are met.</w:t>
      </w:r>
    </w:p>
    <w:p>
      <w:pPr>
        <w:spacing w:after="0" w:line="57"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ordinary shares are divided into Class A ordinary shares and Class B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9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Class A ordinary shares may be converted into the same number of Class B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1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the Companies Act, our directors may declare dividends in any currency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1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directors may also pay interim dividends, whenever our financial position, in the opinion of our directors, justifies such payment.</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directors may deduct from any dividend or bonus payable to any shareholder all sums of money (if any) presently payable by such shareholder to us on account of calls or otherwise.</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09"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8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0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On a show of hands each shareholder is entitled to one vote or, on a poll,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90"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A poll may be demanded by the chairman of such meeting or any shareholder present in person or by proxy.</w:t>
      </w:r>
    </w:p>
    <w:p>
      <w:pPr>
        <w:spacing w:after="0" w:line="8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1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any applicable restrictions set forth in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Our directors may decline to register any transfer of any share which is not paid up or on which we have a lien. Our directors may also decline to register any transfer of any share unless:</w:t>
      </w:r>
    </w:p>
    <w:p>
      <w:pPr>
        <w:spacing w:after="0" w:line="103" w:lineRule="exact"/>
        <w:rPr>
          <w:sz w:val="20"/>
          <w:szCs w:val="20"/>
          <w:color w:val="auto"/>
        </w:rPr>
      </w:pPr>
    </w:p>
    <w:p>
      <w:pPr>
        <w:ind w:left="1320" w:right="479" w:hanging="434"/>
        <w:spacing w:after="0" w:line="263"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instrument of transfer is properly stamped (in circumstances where stamping is required); and</w:t>
      </w:r>
    </w:p>
    <w:p>
      <w:pPr>
        <w:spacing w:after="0" w:line="180" w:lineRule="exact"/>
        <w:rPr>
          <w:rFonts w:ascii="Arial" w:cs="Arial" w:eastAsia="Arial" w:hAnsi="Arial"/>
          <w:sz w:val="16"/>
          <w:szCs w:val="16"/>
          <w:color w:val="auto"/>
        </w:rPr>
      </w:pPr>
    </w:p>
    <w:p>
      <w:pPr>
        <w:ind w:left="1320" w:right="779" w:hanging="434"/>
        <w:spacing w:after="0" w:line="277"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 of such maximum sum as the Nasdaq may determine to be payable or such lesser sum as our directors may from time to time require is paid to us in respect thereof.</w:t>
      </w:r>
    </w:p>
    <w:p>
      <w:pPr>
        <w:spacing w:after="0" w:line="103"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Subject to any future shares which are issued with specific rights, (1) if we are wound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8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1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Subject to our memorandum and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5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are empowered by the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our amended and restated articles of association to purchase our own shares, subject to certain restrictions.</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106"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2" w:lineRule="exact"/>
        <w:rPr>
          <w:sz w:val="20"/>
          <w:szCs w:val="20"/>
          <w:color w:val="auto"/>
        </w:rPr>
      </w:pPr>
    </w:p>
    <w:p>
      <w:pPr>
        <w:jc w:val="both"/>
        <w:ind w:left="460" w:right="679" w:hanging="6"/>
        <w:spacing w:after="0" w:line="255" w:lineRule="auto"/>
        <w:tabs>
          <w:tab w:leader="none" w:pos="7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2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Variations of Rights of Shares. </w:t>
      </w:r>
      <w:r>
        <w:rPr>
          <w:rFonts w:ascii="Arial" w:cs="Arial" w:eastAsia="Arial" w:hAnsi="Arial"/>
          <w:sz w:val="17"/>
          <w:szCs w:val="17"/>
          <w:color w:val="auto"/>
        </w:rPr>
        <w:t>If at any time, our share capital is divided into different classes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8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b w:val="1"/>
          <w:bCs w:val="1"/>
          <w:i w:val="1"/>
          <w:iCs w:val="1"/>
          <w:color w:val="auto"/>
        </w:rPr>
        <w:t xml:space="preserve">Inspection of Books and Records. </w:t>
      </w:r>
      <w:r>
        <w:rPr>
          <w:rFonts w:ascii="Arial" w:cs="Arial" w:eastAsia="Arial" w:hAnsi="Arial"/>
          <w:sz w:val="16"/>
          <w:szCs w:val="16"/>
          <w:color w:val="auto"/>
        </w:rPr>
        <w:t>Holders of our ordinary shares have no general right under Cayman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7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post-offering amended and restated memorandum of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authorizes our board of directors to issue additional ordinary shares from time to time as our board of directors shall determine, to the extent of available authorized but unissued shares.</w:t>
      </w:r>
    </w:p>
    <w:p>
      <w:pPr>
        <w:spacing w:after="0" w:line="89" w:lineRule="exact"/>
        <w:rPr>
          <w:sz w:val="20"/>
          <w:szCs w:val="20"/>
          <w:color w:val="auto"/>
        </w:rPr>
      </w:pPr>
    </w:p>
    <w:p>
      <w:pPr>
        <w:ind w:left="460" w:right="599" w:firstLine="432"/>
        <w:spacing w:after="0" w:line="286" w:lineRule="auto"/>
        <w:rPr>
          <w:sz w:val="20"/>
          <w:szCs w:val="20"/>
          <w:color w:val="auto"/>
        </w:rPr>
      </w:pPr>
      <w:r>
        <w:rPr>
          <w:rFonts w:ascii="Arial" w:cs="Arial" w:eastAsia="Arial" w:hAnsi="Arial"/>
          <w:sz w:val="17"/>
          <w:szCs w:val="17"/>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84" w:lineRule="exact"/>
        <w:rPr>
          <w:sz w:val="20"/>
          <w:szCs w:val="20"/>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Our board of directors may issue preferred shares without action by our shareholders to the extent authorized but unissued. Issuance of these shares may dilute the voting power of holders of ordinary shares.</w:t>
      </w:r>
    </w:p>
    <w:p>
      <w:pPr>
        <w:spacing w:after="0" w:line="2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articles of association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1320" w:right="599" w:hanging="434"/>
        <w:spacing w:after="0" w:line="263"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limit the ability of shareholders to requisition and convene general meetings of shareholders.</w:t>
      </w:r>
    </w:p>
    <w:p>
      <w:pPr>
        <w:spacing w:after="0" w:line="156"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48"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Sertus Incorporations (Cayman) Limited, Sertus Chambers, Governors Square, Suite # 5-204, 23 Lime Tree Bay Avenue, P.O. Box 2547,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7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116"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the event we fail to update our register of member, the depositary, as the aggrieved party, may apply for an order with the courts of the Cayman Islands for the rectification of the register.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Differences in Corporate Law</w:t>
      </w:r>
    </w:p>
    <w:p>
      <w:pPr>
        <w:spacing w:after="0" w:line="148"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16" w:lineRule="exact"/>
        <w:rPr>
          <w:sz w:val="20"/>
          <w:szCs w:val="20"/>
          <w:color w:val="auto"/>
        </w:rPr>
      </w:pPr>
    </w:p>
    <w:p>
      <w:pPr>
        <w:ind w:left="460" w:right="999" w:firstLine="432"/>
        <w:spacing w:after="0" w:line="259" w:lineRule="auto"/>
        <w:rPr>
          <w:sz w:val="20"/>
          <w:szCs w:val="20"/>
          <w:color w:val="auto"/>
        </w:rPr>
      </w:pPr>
      <w:r>
        <w:rPr>
          <w:rFonts w:ascii="Arial" w:cs="Arial" w:eastAsia="Arial" w:hAnsi="Arial"/>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11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Mergers and Similar Arrangements. </w:t>
      </w:r>
      <w:r>
        <w:rPr>
          <w:rFonts w:ascii="Arial" w:cs="Arial" w:eastAsia="Arial" w:hAnsi="Arial"/>
          <w:sz w:val="17"/>
          <w:szCs w:val="17"/>
          <w:color w:val="auto"/>
        </w:rPr>
        <w:t>The Companies Act permits mergers and consolidations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09"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09"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96"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4" w:lineRule="exact"/>
        <w:rPr>
          <w:sz w:val="20"/>
          <w:szCs w:val="20"/>
          <w:color w:val="auto"/>
        </w:rPr>
      </w:pPr>
    </w:p>
    <w:p>
      <w:pPr>
        <w:ind w:left="1320" w:hanging="43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57"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9"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b w:val="1"/>
          <w:bCs w:val="1"/>
          <w:i w:val="1"/>
          <w:iCs w:val="1"/>
          <w:color w:val="auto"/>
        </w:rPr>
        <w:t xml:space="preserve">Shareholders’ Suits. </w:t>
      </w:r>
      <w:r>
        <w:rPr>
          <w:rFonts w:ascii="Arial" w:cs="Arial" w:eastAsia="Arial" w:hAnsi="Arial"/>
          <w:sz w:val="16"/>
          <w:szCs w:val="16"/>
          <w:color w:val="auto"/>
        </w:rPr>
        <w:t>In principle, we will normally be the proper plaintiff to sue for a wrong done to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6"/>
          <w:szCs w:val="16"/>
          <w:i w:val="1"/>
          <w:iCs w:val="1"/>
          <w:color w:val="auto"/>
        </w:rPr>
        <w:t xml:space="preserve">Foss v. Harbottle </w:t>
      </w:r>
      <w:r>
        <w:rPr>
          <w:rFonts w:ascii="Arial" w:cs="Arial" w:eastAsia="Arial" w:hAnsi="Arial"/>
          <w:sz w:val="16"/>
          <w:szCs w:val="16"/>
          <w:color w:val="auto"/>
        </w:rPr>
        <w:t>and the exceptions thereto) so that a non-controlling shareholder may be permitted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 a class action against or derivative actions in the name of our company to challenge actions where:</w:t>
      </w:r>
    </w:p>
    <w:p>
      <w:pPr>
        <w:spacing w:after="0" w:line="97" w:lineRule="exact"/>
        <w:rPr>
          <w:sz w:val="20"/>
          <w:szCs w:val="20"/>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44"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158"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b w:val="1"/>
          <w:bCs w:val="1"/>
          <w:i w:val="1"/>
          <w:iCs w:val="1"/>
          <w:color w:val="auto"/>
        </w:rPr>
        <w:t xml:space="preserve">Indemnification of Directors and Executive Officers and Limitation of Liability. </w:t>
      </w:r>
      <w:r>
        <w:rPr>
          <w:rFonts w:ascii="Arial" w:cs="Arial" w:eastAsia="Arial" w:hAnsi="Arial"/>
          <w:sz w:val="18"/>
          <w:szCs w:val="18"/>
          <w:color w:val="auto"/>
        </w:rPr>
        <w:t>Cayman Islands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15"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0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96"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b w:val="1"/>
          <w:bCs w:val="1"/>
          <w:i w:val="1"/>
          <w:iCs w:val="1"/>
          <w:color w:val="auto"/>
        </w:rPr>
        <w:t xml:space="preserve">Shareholder Proposals. </w:t>
      </w:r>
      <w:r>
        <w:rPr>
          <w:rFonts w:ascii="Arial" w:cs="Arial" w:eastAsia="Arial" w:hAnsi="Arial"/>
          <w:sz w:val="18"/>
          <w:szCs w:val="18"/>
          <w:color w:val="auto"/>
        </w:rPr>
        <w:t>Under the Delaware General Corporation Law, a shareholder has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0"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9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07"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b w:val="1"/>
          <w:bCs w:val="1"/>
          <w:i w:val="1"/>
          <w:iCs w:val="1"/>
          <w:color w:val="auto"/>
        </w:rPr>
        <w:t xml:space="preserve">Cumulative Voting. </w:t>
      </w:r>
      <w:r>
        <w:rPr>
          <w:rFonts w:ascii="Arial" w:cs="Arial" w:eastAsia="Arial" w:hAnsi="Arial"/>
          <w:sz w:val="16"/>
          <w:szCs w:val="16"/>
          <w:color w:val="auto"/>
        </w:rPr>
        <w:t>Under the Delaware General Corporation Law, cumulative voting for elections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Transactions with Interested Shareholders. </w:t>
      </w:r>
      <w:r>
        <w:rPr>
          <w:rFonts w:ascii="Arial" w:cs="Arial" w:eastAsia="Arial" w:hAnsi="Arial"/>
          <w:sz w:val="16"/>
          <w:szCs w:val="16"/>
          <w:color w:val="auto"/>
        </w:rPr>
        <w:t>The Delaware General Corporation Law contains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0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96"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b w:val="1"/>
          <w:bCs w:val="1"/>
          <w:i w:val="1"/>
          <w:iCs w:val="1"/>
          <w:color w:val="auto"/>
        </w:rPr>
        <w:t xml:space="preserve">Dissolution; Winding up. </w:t>
      </w:r>
      <w:r>
        <w:rPr>
          <w:rFonts w:ascii="Arial" w:cs="Arial" w:eastAsia="Arial" w:hAnsi="Arial"/>
          <w:sz w:val="18"/>
          <w:szCs w:val="18"/>
          <w:color w:val="auto"/>
        </w:rPr>
        <w:t>Under the Delaware General Corporation Law, unless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25"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90"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4"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b w:val="1"/>
          <w:bCs w:val="1"/>
          <w:i w:val="1"/>
          <w:iCs w:val="1"/>
          <w:color w:val="auto"/>
        </w:rPr>
        <w:t xml:space="preserve">Amendment of Governing Documents. </w:t>
      </w:r>
      <w:r>
        <w:rPr>
          <w:rFonts w:ascii="Arial" w:cs="Arial" w:eastAsia="Arial" w:hAnsi="Arial"/>
          <w:sz w:val="16"/>
          <w:szCs w:val="16"/>
          <w:color w:val="auto"/>
        </w:rPr>
        <w:t>Under the Delaware General Corporation Law, a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 post-offering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History of Securities Issuance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90" w:lineRule="exact"/>
        <w:rPr>
          <w:sz w:val="20"/>
          <w:szCs w:val="20"/>
          <w:color w:val="auto"/>
        </w:rPr>
      </w:pPr>
    </w:p>
    <w:p>
      <w:pPr>
        <w:ind w:left="460" w:right="919" w:firstLine="432"/>
        <w:spacing w:after="0" w:line="308" w:lineRule="auto"/>
        <w:rPr>
          <w:sz w:val="20"/>
          <w:szCs w:val="20"/>
          <w:color w:val="auto"/>
        </w:rPr>
      </w:pPr>
      <w:r>
        <w:rPr>
          <w:rFonts w:ascii="Arial" w:cs="Arial" w:eastAsia="Arial" w:hAnsi="Arial"/>
          <w:sz w:val="17"/>
          <w:szCs w:val="17"/>
          <w:color w:val="auto"/>
        </w:rPr>
        <w:t>On June 12, 2023, we issued an aggregate of 275,705,000 Class B ordinary shares, to Trident Group Holdings Ltd and Tri Wealth Ltd, entities owned by Mr. Lim, at par value of US$0.00001 each.</w:t>
      </w:r>
    </w:p>
    <w:p>
      <w:pPr>
        <w:spacing w:after="0" w:line="65"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On July 4, 2023, we issued 10,000,000 Class B ordinary shares to our chief technology officer, Mr. Poh Kiong Tan, at par value.</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On July 4, 2023, we issued 5,000,000 Class B ordinary shares to Trident Verse Ltd, an entity owned by our chief financial officer, Ms. Haiyan Huang, at par value.</w:t>
      </w:r>
    </w:p>
    <w:p>
      <w:pPr>
        <w:spacing w:after="0" w:line="103"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06"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On October 3, 2023, we issued an aggregate of 1,964,286 Class B ordinary shares in the aggregate consideration of US$1,100,000 to certain individual and institutional investors.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Arial" w:cs="Arial" w:eastAsia="Arial" w:hAnsi="Arial"/>
          <w:sz w:val="33"/>
          <w:szCs w:val="33"/>
          <w:color w:val="auto"/>
          <w:vertAlign w:val="superscript"/>
        </w:rPr>
        <w:t>.</w:t>
      </w:r>
    </w:p>
    <w:p>
      <w:pPr>
        <w:spacing w:after="0" w:line="4" w:lineRule="exact"/>
        <w:rPr>
          <w:sz w:val="20"/>
          <w:szCs w:val="20"/>
          <w:color w:val="auto"/>
        </w:rPr>
      </w:pPr>
    </w:p>
    <w:p>
      <w:pPr>
        <w:ind w:left="460" w:right="559" w:firstLine="432"/>
        <w:spacing w:after="0" w:line="294" w:lineRule="auto"/>
        <w:rPr>
          <w:sz w:val="20"/>
          <w:szCs w:val="20"/>
          <w:color w:val="auto"/>
        </w:rPr>
      </w:pPr>
      <w:r>
        <w:rPr>
          <w:rFonts w:ascii="Arial" w:cs="Arial" w:eastAsia="Arial" w:hAnsi="Arial"/>
          <w:sz w:val="16"/>
          <w:szCs w:val="16"/>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Please refer to Registration Number 333-[•] when retrieving such copy.</w:t>
      </w:r>
    </w:p>
    <w:p>
      <w:pPr>
        <w:spacing w:after="0" w:line="95"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79"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Each ADS represents the right to receive, and to exercise the beneficial ownership interests in, [</w:t>
      </w:r>
      <w:r>
        <w:rPr>
          <w:rFonts w:ascii="Arial" w:cs="Arial" w:eastAsia="Arial" w:hAnsi="Arial"/>
          <w:sz w:val="16"/>
          <w:szCs w:val="16"/>
          <w:b w:val="1"/>
          <w:bCs w:val="1"/>
          <w:color w:val="auto"/>
        </w:rPr>
        <w:t>ratio</w:t>
      </w:r>
      <w:r>
        <w:rPr>
          <w:rFonts w:ascii="Arial" w:cs="Arial" w:eastAsia="Arial" w:hAnsi="Arial"/>
          <w:sz w:val="16"/>
          <w:szCs w:val="16"/>
          <w:color w:val="auto"/>
        </w:rPr>
        <w:t>]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0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10"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7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76"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5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Arial" w:cs="Arial" w:eastAsia="Arial" w:hAnsi="Arial"/>
          <w:sz w:val="17"/>
          <w:szCs w:val="17"/>
          <w:u w:val="single" w:color="auto"/>
          <w:color w:val="auto"/>
        </w:rPr>
        <w:t>either</w:t>
      </w:r>
      <w:r>
        <w:rPr>
          <w:rFonts w:ascii="Arial" w:cs="Arial" w:eastAsia="Arial" w:hAnsi="Arial"/>
          <w:sz w:val="17"/>
          <w:szCs w:val="17"/>
          <w:color w:val="auto"/>
        </w:rPr>
        <w:t xml:space="preserve"> distribute to holders new ADSs representing the Class B ordinary shares deposited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10"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9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1320" w:right="799" w:hanging="434"/>
        <w:spacing w:after="0" w:line="277" w:lineRule="auto"/>
        <w:tabs>
          <w:tab w:leader="none" w:pos="1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7"/>
          <w:szCs w:val="17"/>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04"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68"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1320" w:right="75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57" w:lineRule="exact"/>
        <w:rPr>
          <w:rFonts w:ascii="Arial" w:cs="Arial" w:eastAsia="Arial" w:hAnsi="Arial"/>
          <w:sz w:val="18"/>
          <w:szCs w:val="18"/>
          <w:color w:val="auto"/>
        </w:rPr>
      </w:pPr>
    </w:p>
    <w:p>
      <w:pPr>
        <w:ind w:left="1320" w:right="87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8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10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underwriters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2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10"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84" w:lineRule="exact"/>
        <w:rPr>
          <w:sz w:val="20"/>
          <w:szCs w:val="20"/>
          <w:color w:val="auto"/>
        </w:rPr>
      </w:pPr>
    </w:p>
    <w:p>
      <w:pPr>
        <w:jc w:val="both"/>
        <w:ind w:left="460" w:right="699" w:firstLine="432"/>
        <w:spacing w:after="0" w:line="308" w:lineRule="auto"/>
        <w:rPr>
          <w:sz w:val="20"/>
          <w:szCs w:val="20"/>
          <w:color w:val="auto"/>
        </w:rPr>
      </w:pPr>
      <w:r>
        <w:rPr>
          <w:rFonts w:ascii="Arial" w:cs="Arial" w:eastAsia="Arial" w:hAnsi="Arial"/>
          <w:sz w:val="17"/>
          <w:szCs w:val="17"/>
          <w:color w:val="auto"/>
        </w:rPr>
        <w:t>When you make a deposit of Class B ordinary shares, you will be responsible for transferring good and valid title to the depositary bank. As such, you will be deemed to represent and warrant that:</w:t>
      </w:r>
    </w:p>
    <w:p>
      <w:pPr>
        <w:spacing w:after="0" w:line="79" w:lineRule="exact"/>
        <w:rPr>
          <w:sz w:val="20"/>
          <w:szCs w:val="20"/>
          <w:color w:val="auto"/>
        </w:rPr>
      </w:pPr>
    </w:p>
    <w:p>
      <w:pPr>
        <w:ind w:left="1320" w:right="91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B ordinary shares are duly authorized, validly issued, fully paid, non-assessable and legally obtained.</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B ordinary shares have been validly waived or exercised.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You are duly authorized to deposit the Class B ordinary shares.</w:t>
      </w:r>
    </w:p>
    <w:p>
      <w:pPr>
        <w:spacing w:after="0" w:line="157" w:lineRule="exact"/>
        <w:rPr>
          <w:rFonts w:ascii="Arial" w:cs="Arial" w:eastAsia="Arial" w:hAnsi="Arial"/>
          <w:sz w:val="18"/>
          <w:szCs w:val="18"/>
          <w:color w:val="auto"/>
        </w:rPr>
      </w:pPr>
    </w:p>
    <w:p>
      <w:pPr>
        <w:ind w:left="1320" w:right="599" w:hanging="434"/>
        <w:spacing w:after="0" w:line="311" w:lineRule="auto"/>
        <w:tabs>
          <w:tab w:leader="none" w:pos="13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1" w:lineRule="exact"/>
        <w:rPr>
          <w:rFonts w:ascii="Arial" w:cs="Arial" w:eastAsia="Arial" w:hAnsi="Arial"/>
          <w:sz w:val="16"/>
          <w:szCs w:val="16"/>
          <w:color w:val="auto"/>
        </w:rPr>
      </w:pPr>
    </w:p>
    <w:p>
      <w:pPr>
        <w:ind w:left="1320" w:right="129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B ordinary shares presented for deposit have not been stripped of any rights or entitlements.</w:t>
      </w:r>
    </w:p>
    <w:p>
      <w:pPr>
        <w:spacing w:after="0" w:line="89" w:lineRule="exact"/>
        <w:rPr>
          <w:sz w:val="20"/>
          <w:szCs w:val="20"/>
          <w:color w:val="auto"/>
        </w:rPr>
      </w:pPr>
    </w:p>
    <w:p>
      <w:pPr>
        <w:ind w:left="460" w:right="519" w:firstLine="432"/>
        <w:spacing w:after="0" w:line="381" w:lineRule="auto"/>
        <w:rPr>
          <w:sz w:val="20"/>
          <w:szCs w:val="20"/>
          <w:color w:val="auto"/>
        </w:rPr>
      </w:pPr>
      <w:r>
        <w:rPr>
          <w:rFonts w:ascii="Arial" w:cs="Arial" w:eastAsia="Arial" w:hAnsi="Arial"/>
          <w:sz w:val="15"/>
          <w:szCs w:val="15"/>
          <w:color w:val="auto"/>
        </w:rPr>
        <w:t>If any of the representations or warranties are incorrect in any way, we and the depositary bank may, at your cost and expense, take any and all actions necessary to correct the consequences of the misrepresentations.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3"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16" w:lineRule="exact"/>
        <w:rPr>
          <w:sz w:val="20"/>
          <w:szCs w:val="20"/>
          <w:color w:val="auto"/>
        </w:rPr>
      </w:pPr>
    </w:p>
    <w:p>
      <w:pPr>
        <w:ind w:left="1320" w:hanging="434"/>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ensure that the surrendered ADR is properly endorsed or otherwise in proper form for transfer;</w:t>
      </w:r>
    </w:p>
    <w:p>
      <w:pPr>
        <w:spacing w:after="0" w:line="155" w:lineRule="exact"/>
        <w:rPr>
          <w:rFonts w:ascii="Arial" w:cs="Arial" w:eastAsia="Arial" w:hAnsi="Arial"/>
          <w:sz w:val="17"/>
          <w:szCs w:val="17"/>
          <w:color w:val="auto"/>
        </w:rPr>
      </w:pPr>
    </w:p>
    <w:p>
      <w:pPr>
        <w:ind w:left="1320" w:right="1199" w:hanging="434"/>
        <w:spacing w:after="0" w:line="277"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57" w:lineRule="exact"/>
        <w:rPr>
          <w:rFonts w:ascii="Arial" w:cs="Arial" w:eastAsia="Arial" w:hAnsi="Arial"/>
          <w:sz w:val="18"/>
          <w:szCs w:val="18"/>
          <w:color w:val="auto"/>
        </w:rPr>
      </w:pPr>
    </w:p>
    <w:p>
      <w:pPr>
        <w:ind w:left="1320" w:right="799" w:hanging="434"/>
        <w:spacing w:after="0" w:line="308" w:lineRule="auto"/>
        <w:tabs>
          <w:tab w:leader="none" w:pos="13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pay all applicable fees, charges, expenses, taxes and other government charges payable by ADR holders pursuant to the terms of the deposit agreement, upon the transfer of ADRs.</w:t>
      </w:r>
    </w:p>
    <w:p>
      <w:pPr>
        <w:spacing w:after="0" w:line="65"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3"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8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Voting Rights</w:t>
      </w:r>
      <w:r>
        <w:rPr>
          <w:rFonts w:ascii="Arial" w:cs="Arial" w:eastAsia="Arial" w:hAnsi="Arial"/>
          <w:sz w:val="20"/>
          <w:szCs w:val="20"/>
          <w:b w:val="1"/>
          <w:bCs w:val="1"/>
          <w:u w:val="single" w:color="auto"/>
          <w:color w:val="auto"/>
          <w:vertAlign w:val="superscript"/>
        </w:rPr>
        <w:t>2</w:t>
      </w:r>
    </w:p>
    <w:p>
      <w:pPr>
        <w:spacing w:after="0" w:line="139"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9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16" w:lineRule="exact"/>
        <w:rPr>
          <w:sz w:val="20"/>
          <w:szCs w:val="20"/>
          <w:color w:val="auto"/>
        </w:rPr>
      </w:pPr>
    </w:p>
    <w:p>
      <w:pPr>
        <w:ind w:left="1320" w:right="699" w:hanging="434"/>
        <w:spacing w:after="0" w:line="311" w:lineRule="auto"/>
        <w:tabs>
          <w:tab w:leader="none" w:pos="1315"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all Class B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79" w:hanging="434"/>
        <w:spacing w:after="0" w:line="291" w:lineRule="auto"/>
        <w:tabs>
          <w:tab w:leader="none" w:pos="1315"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In the event of voting by poll</w:t>
      </w:r>
      <w:r>
        <w:rPr>
          <w:rFonts w:ascii="Arial" w:cs="Arial" w:eastAsia="Arial" w:hAnsi="Arial"/>
          <w:sz w:val="16"/>
          <w:szCs w:val="16"/>
          <w:color w:val="auto"/>
        </w:rPr>
        <w:t>, the depositary bank will vote (or cause the Custodian to vote)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ordinary shares held on deposit in accordance with the voting instructions received from the</w:t>
      </w:r>
    </w:p>
    <w:p>
      <w:pPr>
        <w:ind w:left="1320"/>
        <w:spacing w:after="0"/>
        <w:rPr>
          <w:sz w:val="20"/>
          <w:szCs w:val="20"/>
          <w:color w:val="auto"/>
        </w:rPr>
      </w:pPr>
      <w:r>
        <w:rPr>
          <w:rFonts w:ascii="Arial" w:cs="Arial" w:eastAsia="Arial" w:hAnsi="Arial"/>
          <w:sz w:val="18"/>
          <w:szCs w:val="18"/>
          <w:color w:val="auto"/>
        </w:rPr>
        <w:t>holders of ADSs.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860" w:hanging="406"/>
        <w:spacing w:after="0"/>
        <w:tabs>
          <w:tab w:leader="none" w:pos="8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be updated following confirmation of voting provision</w:t>
      </w:r>
    </w:p>
    <w:p>
      <w:pPr>
        <w:spacing w:after="0" w:line="203"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Service</w:t>
            </w:r>
          </w:p>
        </w:tc>
        <w:tc>
          <w:tcPr>
            <w:tcW w:w="3840" w:type="dxa"/>
            <w:vAlign w:val="bottom"/>
          </w:tcPr>
          <w:p>
            <w:pPr>
              <w:ind w:left="1760"/>
              <w:spacing w:after="0"/>
              <w:rPr>
                <w:sz w:val="20"/>
                <w:szCs w:val="20"/>
                <w:color w:val="auto"/>
              </w:rPr>
            </w:pPr>
            <w:r>
              <w:rPr>
                <w:rFonts w:ascii="Arial" w:cs="Arial" w:eastAsia="Arial" w:hAnsi="Arial"/>
                <w:sz w:val="16"/>
                <w:szCs w:val="16"/>
                <w:b w:val="1"/>
                <w:bCs w:val="1"/>
                <w:color w:val="auto"/>
              </w:rPr>
              <w:t>Fees</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w w:val="96"/>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5"/>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8"/>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0"/>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20"/>
              <w:spacing w:after="0"/>
              <w:rPr>
                <w:sz w:val="20"/>
                <w:szCs w:val="20"/>
                <w:color w:val="auto"/>
              </w:rPr>
            </w:pPr>
            <w:r>
              <w:rPr>
                <w:rFonts w:ascii="Arial" w:cs="Arial" w:eastAsia="Arial" w:hAnsi="Arial"/>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right="1899" w:hanging="226"/>
        <w:spacing w:after="0" w:line="258" w:lineRule="auto"/>
        <w:tabs>
          <w:tab w:leader="none" w:pos="6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Cancellation of ADSs (e.g., a cancellation of ADSs for Up to U.S. 5¢ per ADS cancelled delivery of deposited property, upon a change in the</w:t>
      </w:r>
    </w:p>
    <w:p>
      <w:pPr>
        <w:spacing w:after="0" w:line="1" w:lineRule="exact"/>
        <w:rPr>
          <w:rFonts w:ascii="Arial" w:cs="Arial" w:eastAsia="Arial" w:hAnsi="Arial"/>
          <w:sz w:val="18"/>
          <w:szCs w:val="18"/>
          <w:color w:val="auto"/>
        </w:rPr>
      </w:pPr>
    </w:p>
    <w:p>
      <w:pPr>
        <w:ind w:left="680" w:right="4539"/>
        <w:spacing w:after="0" w:line="260" w:lineRule="auto"/>
        <w:rPr>
          <w:rFonts w:ascii="Arial" w:cs="Arial" w:eastAsia="Arial" w:hAnsi="Arial"/>
          <w:sz w:val="18"/>
          <w:szCs w:val="18"/>
          <w:color w:val="auto"/>
        </w:rPr>
      </w:pPr>
      <w:r>
        <w:rPr>
          <w:rFonts w:ascii="Arial" w:cs="Arial" w:eastAsia="Arial" w:hAnsi="Arial"/>
          <w:sz w:val="18"/>
          <w:szCs w:val="18"/>
          <w:color w:val="auto"/>
        </w:rPr>
        <w:t>ADS(s)-to-Class B ordinary share(s) ratio, or for any other reason)</w:t>
      </w:r>
    </w:p>
    <w:p>
      <w:pPr>
        <w:spacing w:after="0" w:line="158"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cash dividends or other cash</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entitlements)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ADSs pursuant to (i) stock dividends</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rights to purchase additional ADSs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financial instruments, including, but</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contingent value rights)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ADS Services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80" w:hanging="226"/>
        <w:spacing w:after="0" w:line="259" w:lineRule="auto"/>
        <w:tabs>
          <w:tab w:leader="none" w:pos="6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p>
      <w:pPr>
        <w:spacing w:after="0" w:line="159" w:lineRule="exact"/>
        <w:rPr>
          <w:rFonts w:ascii="Arial" w:cs="Arial" w:eastAsia="Arial" w:hAnsi="Arial"/>
          <w:sz w:val="18"/>
          <w:szCs w:val="18"/>
          <w:color w:val="auto"/>
        </w:rPr>
      </w:pPr>
    </w:p>
    <w:p>
      <w:pPr>
        <w:ind w:left="680" w:right="20" w:hanging="226"/>
        <w:spacing w:after="0" w:line="290" w:lineRule="auto"/>
        <w:tabs>
          <w:tab w:leader="none" w:pos="6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6"/>
          <w:szCs w:val="16"/>
          <w:i w:val="1"/>
          <w:iCs w:val="1"/>
          <w:color w:val="auto"/>
        </w:rPr>
        <w:t>vice versa</w:t>
      </w:r>
      <w:r>
        <w:rPr>
          <w:rFonts w:ascii="Arial" w:cs="Arial" w:eastAsia="Arial" w:hAnsi="Arial"/>
          <w:sz w:val="16"/>
          <w:szCs w:val="16"/>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99"/>
        <w:spacing w:after="0" w:line="308" w:lineRule="auto"/>
        <w:rPr>
          <w:sz w:val="20"/>
          <w:szCs w:val="20"/>
          <w:color w:val="auto"/>
        </w:rPr>
      </w:pPr>
      <w:r>
        <w:rPr>
          <w:rFonts w:ascii="Arial" w:cs="Arial" w:eastAsia="Arial" w:hAnsi="Arial"/>
          <w:sz w:val="17"/>
          <w:szCs w:val="17"/>
          <w:color w:val="auto"/>
        </w:rPr>
        <w:t>Up to U.S. 5¢ per ADS held on the applicable record date(s) established by the depositary bank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pacing w:after="0" w:line="1520" w:lineRule="exact"/>
        <w:rPr>
          <w:sz w:val="20"/>
          <w:szCs w:val="20"/>
          <w:color w:val="auto"/>
        </w:rPr>
      </w:pPr>
    </w:p>
    <w:p>
      <w:pPr>
        <w:sectPr>
          <w:pgSz w:w="11900" w:h="16838" w:orient="portrait"/>
          <w:cols w:equalWidth="0" w:num="2">
            <w:col w:w="4600" w:space="120"/>
            <w:col w:w="429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1320" w:right="739" w:hanging="434"/>
        <w:spacing w:after="0" w:line="259"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105" w:lineRule="exact"/>
        <w:rPr>
          <w:rFonts w:ascii="Arial" w:cs="Arial" w:eastAsia="Arial" w:hAnsi="Arial"/>
          <w:sz w:val="18"/>
          <w:szCs w:val="18"/>
          <w:color w:val="auto"/>
        </w:rPr>
      </w:pPr>
    </w:p>
    <w:p>
      <w:pPr>
        <w:ind w:left="1320" w:hanging="43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57"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16" w:lineRule="exact"/>
        <w:rPr>
          <w:rFonts w:ascii="Arial" w:cs="Arial" w:eastAsia="Arial" w:hAnsi="Arial"/>
          <w:sz w:val="18"/>
          <w:szCs w:val="18"/>
          <w:color w:val="auto"/>
        </w:rPr>
      </w:pPr>
    </w:p>
    <w:p>
      <w:pPr>
        <w:jc w:val="both"/>
        <w:ind w:left="1320" w:right="519" w:hanging="434"/>
        <w:spacing w:after="0" w:line="263"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bank, the custodian, or any nominee in connection with the ADR program; and</w:t>
      </w:r>
    </w:p>
    <w:p>
      <w:pPr>
        <w:spacing w:after="0" w:line="102" w:lineRule="exact"/>
        <w:rPr>
          <w:rFonts w:ascii="Arial" w:cs="Arial" w:eastAsia="Arial" w:hAnsi="Arial"/>
          <w:sz w:val="18"/>
          <w:szCs w:val="18"/>
          <w:color w:val="auto"/>
        </w:rPr>
      </w:pPr>
    </w:p>
    <w:p>
      <w:pPr>
        <w:ind w:left="1320" w:right="839" w:hanging="434"/>
        <w:spacing w:after="0" w:line="263" w:lineRule="auto"/>
        <w:tabs>
          <w:tab w:leader="none" w:pos="1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16"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1" w:lineRule="exact"/>
        <w:rPr>
          <w:sz w:val="20"/>
          <w:szCs w:val="20"/>
          <w:color w:val="auto"/>
        </w:rPr>
      </w:pPr>
    </w:p>
    <w:p>
      <w:pPr>
        <w:ind w:left="460" w:right="479" w:hanging="6"/>
        <w:spacing w:after="0" w:line="290" w:lineRule="auto"/>
        <w:tabs>
          <w:tab w:leader="none" w:pos="7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conversion of ADSs of one series for ADSs of another series, the ADS conversion fee will be payable by the Holder whose ADSs are converted or by the person to whom the converted ADSs are delivered.</w:t>
      </w:r>
    </w:p>
    <w:p>
      <w:pPr>
        <w:spacing w:after="0" w:line="80"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59" w:lineRule="auto"/>
        <w:rPr>
          <w:sz w:val="20"/>
          <w:szCs w:val="20"/>
          <w:color w:val="auto"/>
        </w:rPr>
      </w:pPr>
      <w:r>
        <w:rPr>
          <w:rFonts w:ascii="Arial" w:cs="Arial" w:eastAsia="Arial" w:hAnsi="Arial"/>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0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86" w:lineRule="auto"/>
        <w:rPr>
          <w:sz w:val="20"/>
          <w:szCs w:val="20"/>
          <w:color w:val="auto"/>
        </w:rPr>
      </w:pPr>
      <w:r>
        <w:rPr>
          <w:rFonts w:ascii="Arial" w:cs="Arial" w:eastAsia="Arial" w:hAnsi="Arial"/>
          <w:sz w:val="17"/>
          <w:szCs w:val="17"/>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8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03" w:lineRule="exact"/>
        <w:rPr>
          <w:sz w:val="20"/>
          <w:szCs w:val="20"/>
          <w:color w:val="auto"/>
        </w:rPr>
      </w:pPr>
    </w:p>
    <w:p>
      <w:pPr>
        <w:ind w:left="1320" w:right="659" w:hanging="434"/>
        <w:spacing w:after="0" w:line="277"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89"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16" w:lineRule="exact"/>
        <w:rPr>
          <w:rFonts w:ascii="Arial" w:cs="Arial" w:eastAsia="Arial" w:hAnsi="Arial"/>
          <w:sz w:val="18"/>
          <w:szCs w:val="18"/>
          <w:color w:val="auto"/>
        </w:rPr>
      </w:pPr>
    </w:p>
    <w:p>
      <w:pPr>
        <w:ind w:left="1320" w:right="479" w:hanging="434"/>
        <w:spacing w:after="0" w:line="272" w:lineRule="auto"/>
        <w:tabs>
          <w:tab w:leader="none" w:pos="13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9"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39" w:hanging="434"/>
        <w:spacing w:after="0" w:line="254"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7" w:lineRule="exact"/>
        <w:rPr>
          <w:rFonts w:ascii="Arial" w:cs="Arial" w:eastAsia="Arial" w:hAnsi="Arial"/>
          <w:sz w:val="18"/>
          <w:szCs w:val="18"/>
          <w:color w:val="auto"/>
        </w:rPr>
      </w:pPr>
    </w:p>
    <w:p>
      <w:pPr>
        <w:ind w:left="1320" w:right="479" w:hanging="434"/>
        <w:spacing w:after="0" w:line="263"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16" w:lineRule="exact"/>
        <w:rPr>
          <w:rFonts w:ascii="Arial" w:cs="Arial" w:eastAsia="Arial" w:hAnsi="Arial"/>
          <w:sz w:val="18"/>
          <w:szCs w:val="18"/>
          <w:color w:val="auto"/>
        </w:rPr>
      </w:pPr>
    </w:p>
    <w:p>
      <w:pPr>
        <w:ind w:left="1320" w:right="579" w:hanging="434"/>
        <w:spacing w:after="0" w:line="301" w:lineRule="auto"/>
        <w:tabs>
          <w:tab w:leader="none" w:pos="1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6" w:lineRule="exact"/>
        <w:rPr>
          <w:rFonts w:ascii="Arial" w:cs="Arial" w:eastAsia="Arial" w:hAnsi="Arial"/>
          <w:sz w:val="16"/>
          <w:szCs w:val="16"/>
          <w:color w:val="auto"/>
        </w:rPr>
      </w:pPr>
    </w:p>
    <w:p>
      <w:pPr>
        <w:ind w:left="1320" w:right="679" w:hanging="434"/>
        <w:spacing w:after="0" w:line="286" w:lineRule="auto"/>
        <w:tabs>
          <w:tab w:leader="none" w:pos="13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97" w:lineRule="exact"/>
        <w:rPr>
          <w:rFonts w:ascii="Arial" w:cs="Arial" w:eastAsia="Arial" w:hAnsi="Arial"/>
          <w:sz w:val="17"/>
          <w:szCs w:val="17"/>
          <w:color w:val="auto"/>
        </w:rPr>
      </w:pPr>
    </w:p>
    <w:p>
      <w:pPr>
        <w:ind w:left="1320" w:right="559" w:hanging="434"/>
        <w:spacing w:after="0" w:line="342" w:lineRule="auto"/>
        <w:tabs>
          <w:tab w:leader="none" w:pos="1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and the depositary bank may rely without any liability upon any written notice, request or other document believed to be genuine and to have been signed or presented by the proper parties.</w:t>
      </w:r>
    </w:p>
    <w:p>
      <w:pPr>
        <w:spacing w:after="0" w:line="56" w:lineRule="exact"/>
        <w:rPr>
          <w:rFonts w:ascii="Arial" w:cs="Arial" w:eastAsia="Arial" w:hAnsi="Arial"/>
          <w:sz w:val="16"/>
          <w:szCs w:val="16"/>
          <w:color w:val="auto"/>
        </w:rPr>
      </w:pPr>
    </w:p>
    <w:p>
      <w:pPr>
        <w:ind w:left="1320" w:right="759" w:hanging="434"/>
        <w:spacing w:after="0" w:line="277"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disclaimer of any Securities Act liability is intended by any provision of the deposit agreement.</w:t>
      </w:r>
    </w:p>
    <w:p>
      <w:pPr>
        <w:spacing w:after="0" w:line="180" w:lineRule="exact"/>
        <w:rPr>
          <w:rFonts w:ascii="Arial" w:cs="Arial" w:eastAsia="Arial" w:hAnsi="Arial"/>
          <w:sz w:val="16"/>
          <w:szCs w:val="16"/>
          <w:color w:val="auto"/>
        </w:rPr>
      </w:pPr>
    </w:p>
    <w:p>
      <w:pPr>
        <w:ind w:left="1320" w:right="1079" w:hanging="434"/>
        <w:spacing w:after="0" w:line="342" w:lineRule="auto"/>
        <w:tabs>
          <w:tab w:leader="none" w:pos="1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Nothing in the deposit agreement gives rise to a partnership or joint venture, or establishes a fiduciary relationship, among us, the depositary bank and you as ADS holder.</w:t>
      </w:r>
    </w:p>
    <w:p>
      <w:pPr>
        <w:spacing w:after="0" w:line="56" w:lineRule="exact"/>
        <w:rPr>
          <w:rFonts w:ascii="Arial" w:cs="Arial" w:eastAsia="Arial" w:hAnsi="Arial"/>
          <w:sz w:val="16"/>
          <w:szCs w:val="16"/>
          <w:color w:val="auto"/>
        </w:rPr>
      </w:pPr>
    </w:p>
    <w:p>
      <w:pPr>
        <w:ind w:left="1320" w:right="519" w:hanging="434"/>
        <w:spacing w:after="0" w:line="257"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2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7"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30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03" w:lineRule="exact"/>
        <w:rPr>
          <w:sz w:val="20"/>
          <w:szCs w:val="20"/>
          <w:color w:val="auto"/>
        </w:rPr>
      </w:pPr>
    </w:p>
    <w:p>
      <w:pPr>
        <w:ind w:left="1320" w:right="579" w:hanging="434"/>
        <w:spacing w:after="0" w:line="277" w:lineRule="auto"/>
        <w:tabs>
          <w:tab w:leader="none" w:pos="13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16" w:lineRule="exact"/>
        <w:rPr>
          <w:sz w:val="20"/>
          <w:szCs w:val="20"/>
          <w:color w:val="auto"/>
        </w:rPr>
      </w:pPr>
    </w:p>
    <w:p>
      <w:pPr>
        <w:jc w:val="both"/>
        <w:ind w:left="460" w:right="659" w:firstLine="432"/>
        <w:spacing w:after="0" w:line="28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9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Jurisdiction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have agreed with the depositary that, except as set forth in the following paragraph,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may only be instituted in the United States District Court for the Southern District of</w:t>
      </w:r>
    </w:p>
    <w:p>
      <w:pPr>
        <w:spacing w:after="0" w:line="1" w:lineRule="exact"/>
        <w:rPr>
          <w:sz w:val="20"/>
          <w:szCs w:val="20"/>
          <w:color w:val="auto"/>
        </w:rPr>
      </w:pPr>
    </w:p>
    <w:p>
      <w:pPr>
        <w:ind w:left="460" w:right="499"/>
        <w:spacing w:after="0" w:line="252" w:lineRule="auto"/>
        <w:rPr>
          <w:sz w:val="20"/>
          <w:szCs w:val="20"/>
          <w:color w:val="auto"/>
        </w:rPr>
      </w:pPr>
      <w:r>
        <w:rPr>
          <w:rFonts w:ascii="Arial" w:cs="Arial" w:eastAsia="Arial" w:hAnsi="Arial"/>
          <w:sz w:val="18"/>
          <w:szCs w:val="18"/>
          <w:color w:val="auto"/>
        </w:rPr>
        <w:t>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tbl>
      <w:tblPr>
        <w:tblLayout w:type="fixed"/>
        <w:tblInd w:w="46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3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660" w:type="dxa"/>
            <w:vAlign w:val="bottom"/>
            <w:gridSpan w:val="3"/>
          </w:tcPr>
          <w:p>
            <w:pPr>
              <w:ind w:left="1080"/>
              <w:spacing w:after="0"/>
              <w:rPr>
                <w:sz w:val="20"/>
                <w:szCs w:val="20"/>
                <w:color w:val="auto"/>
              </w:rPr>
            </w:pPr>
            <w:r>
              <w:rPr>
                <w:rFonts w:ascii="Arial" w:cs="Arial" w:eastAsia="Arial" w:hAnsi="Arial"/>
                <w:sz w:val="18"/>
                <w:szCs w:val="18"/>
                <w:b w:val="1"/>
                <w:bCs w:val="1"/>
                <w:color w:val="auto"/>
              </w:rPr>
              <w:t>SHARES ELIGIBLE FOR FUTURE SALE</w:t>
            </w:r>
          </w:p>
        </w:tc>
        <w:tc>
          <w:tcPr>
            <w:tcW w:w="880" w:type="dxa"/>
            <w:vAlign w:val="bottom"/>
          </w:tcPr>
          <w:p>
            <w:pPr>
              <w:spacing w:after="0"/>
              <w:rPr>
                <w:sz w:val="24"/>
                <w:szCs w:val="24"/>
                <w:color w:val="auto"/>
              </w:rPr>
            </w:pPr>
          </w:p>
        </w:tc>
      </w:tr>
      <w:tr>
        <w:trPr>
          <w:trHeight w:val="337"/>
        </w:trPr>
        <w:tc>
          <w:tcPr>
            <w:tcW w:w="4080" w:type="dxa"/>
            <w:vAlign w:val="bottom"/>
            <w:gridSpan w:val="3"/>
          </w:tcPr>
          <w:p>
            <w:pPr>
              <w:ind w:left="420"/>
              <w:spacing w:after="0"/>
              <w:rPr>
                <w:sz w:val="20"/>
                <w:szCs w:val="20"/>
                <w:color w:val="auto"/>
              </w:rPr>
            </w:pPr>
            <w:r>
              <w:rPr>
                <w:rFonts w:ascii="Arial" w:cs="Arial" w:eastAsia="Arial" w:hAnsi="Arial"/>
                <w:sz w:val="18"/>
                <w:szCs w:val="18"/>
                <w:color w:val="auto"/>
              </w:rPr>
              <w:t>Upon completion of this offering, we will have</w:t>
            </w:r>
          </w:p>
        </w:tc>
        <w:tc>
          <w:tcPr>
            <w:tcW w:w="2860" w:type="dxa"/>
            <w:vAlign w:val="bottom"/>
          </w:tcPr>
          <w:p>
            <w:pPr>
              <w:ind w:left="280"/>
              <w:spacing w:after="0"/>
              <w:rPr>
                <w:sz w:val="20"/>
                <w:szCs w:val="20"/>
                <w:color w:val="auto"/>
              </w:rPr>
            </w:pPr>
            <w:r>
              <w:rPr>
                <w:rFonts w:ascii="Arial" w:cs="Arial" w:eastAsia="Arial" w:hAnsi="Arial"/>
                <w:sz w:val="18"/>
                <w:szCs w:val="18"/>
                <w:color w:val="auto"/>
              </w:rPr>
              <w:t>ADSs outstanding, representing</w:t>
            </w:r>
          </w:p>
        </w:tc>
        <w:tc>
          <w:tcPr>
            <w:tcW w:w="880" w:type="dxa"/>
            <w:vAlign w:val="bottom"/>
          </w:tcPr>
          <w:p>
            <w:pPr>
              <w:ind w:left="280"/>
              <w:spacing w:after="0"/>
              <w:rPr>
                <w:sz w:val="20"/>
                <w:szCs w:val="20"/>
                <w:color w:val="auto"/>
              </w:rPr>
            </w:pPr>
            <w:r>
              <w:rPr>
                <w:rFonts w:ascii="Arial" w:cs="Arial" w:eastAsia="Arial" w:hAnsi="Arial"/>
                <w:sz w:val="18"/>
                <w:szCs w:val="18"/>
                <w:color w:val="auto"/>
                <w:w w:val="93"/>
              </w:rPr>
              <w:t>Class B</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w w:val="96"/>
              </w:rPr>
              <w:t>ordinary shares, or approximately [</w:t>
            </w: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w w:val="90"/>
              </w:rPr>
              <w:t>]% of our outstanding ordinary shares, assuming the underwriters do</w:t>
            </w:r>
          </w:p>
        </w:tc>
      </w:tr>
    </w:tbl>
    <w:p>
      <w:pPr>
        <w:ind w:left="460" w:right="539"/>
        <w:spacing w:after="0" w:line="252" w:lineRule="auto"/>
        <w:rPr>
          <w:sz w:val="20"/>
          <w:szCs w:val="20"/>
          <w:color w:val="auto"/>
        </w:rPr>
      </w:pPr>
      <w:r>
        <w:rPr>
          <w:rFonts w:ascii="Arial" w:cs="Arial" w:eastAsia="Arial" w:hAnsi="Arial"/>
          <w:sz w:val="18"/>
          <w:szCs w:val="18"/>
          <w:color w:val="auto"/>
        </w:rPr>
        <w:t>not exercise their over-allotment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directors and executive officers, our existing shareholders and holders of share-based awards]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color w:val="auto"/>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98" w:lineRule="exact"/>
        <w:rPr>
          <w:sz w:val="20"/>
          <w:szCs w:val="20"/>
          <w:color w:val="auto"/>
        </w:rPr>
      </w:pPr>
    </w:p>
    <w:p>
      <w:pPr>
        <w:ind w:left="1320" w:hanging="434"/>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1% of the then outstanding ordinary shares, in the form of ADSs or otherwise, which will equal</w:t>
      </w:r>
    </w:p>
    <w:p>
      <w:pPr>
        <w:spacing w:after="0" w:line="35" w:lineRule="exact"/>
        <w:rPr>
          <w:sz w:val="20"/>
          <w:szCs w:val="20"/>
          <w:color w:val="auto"/>
        </w:rPr>
      </w:pPr>
    </w:p>
    <w:p>
      <w:pPr>
        <w:ind w:left="1320" w:right="559"/>
        <w:spacing w:after="0" w:line="260" w:lineRule="auto"/>
        <w:rPr>
          <w:sz w:val="20"/>
          <w:szCs w:val="20"/>
          <w:color w:val="auto"/>
        </w:rPr>
      </w:pPr>
      <w:r>
        <w:rPr>
          <w:rFonts w:ascii="Arial" w:cs="Arial" w:eastAsia="Arial" w:hAnsi="Arial"/>
          <w:sz w:val="18"/>
          <w:szCs w:val="18"/>
          <w:color w:val="auto"/>
        </w:rPr>
        <w:t>approximately ordinary shares immediately after this offering, assuming the underwriters do not exercise their option to purchase additional ADSs; or</w:t>
      </w:r>
    </w:p>
    <w:p>
      <w:pPr>
        <w:spacing w:after="0" w:line="118" w:lineRule="exact"/>
        <w:rPr>
          <w:sz w:val="20"/>
          <w:szCs w:val="20"/>
          <w:color w:val="auto"/>
        </w:rPr>
      </w:pPr>
    </w:p>
    <w:p>
      <w:pPr>
        <w:ind w:left="1320" w:right="559" w:hanging="434"/>
        <w:spacing w:after="0" w:line="263" w:lineRule="auto"/>
        <w:tabs>
          <w:tab w:leader="none" w:pos="13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1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4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342" w:lineRule="auto"/>
        <w:rPr>
          <w:sz w:val="20"/>
          <w:szCs w:val="20"/>
          <w:color w:val="auto"/>
        </w:rPr>
      </w:pPr>
      <w:r>
        <w:rPr>
          <w:rFonts w:ascii="Arial" w:cs="Arial" w:eastAsia="Arial" w:hAnsi="Arial"/>
          <w:sz w:val="16"/>
          <w:szCs w:val="16"/>
          <w:color w:val="auto"/>
        </w:rPr>
        <w:t>The following summary is not intended to be or to be regarded as tax advice to any investors, and investors should consult their own professional tax advisors regarding the Singapore tax matters.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Income Tax</w:t>
      </w:r>
    </w:p>
    <w:p>
      <w:pPr>
        <w:spacing w:after="0" w:line="131"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accruing in or derived from Singapore; or</w:t>
      </w:r>
    </w:p>
    <w:p>
      <w:pPr>
        <w:spacing w:after="0" w:line="130" w:lineRule="exact"/>
        <w:rPr>
          <w:rFonts w:ascii="Arial" w:cs="Arial" w:eastAsia="Arial" w:hAnsi="Arial"/>
          <w:sz w:val="18"/>
          <w:szCs w:val="18"/>
          <w:color w:val="auto"/>
        </w:rPr>
      </w:pPr>
    </w:p>
    <w:p>
      <w:pPr>
        <w:ind w:left="1320" w:right="519" w:hanging="434"/>
        <w:spacing w:after="0" w:line="311" w:lineRule="auto"/>
        <w:tabs>
          <w:tab w:leader="none" w:pos="127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5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remitted to, transmitted or brought into Singapore;</w:t>
      </w:r>
    </w:p>
    <w:p>
      <w:pPr>
        <w:spacing w:after="0" w:line="130" w:lineRule="exact"/>
        <w:rPr>
          <w:rFonts w:ascii="Arial" w:cs="Arial" w:eastAsia="Arial" w:hAnsi="Arial"/>
          <w:sz w:val="18"/>
          <w:szCs w:val="18"/>
          <w:color w:val="auto"/>
        </w:rPr>
      </w:pPr>
    </w:p>
    <w:p>
      <w:pPr>
        <w:ind w:left="1280" w:hanging="394"/>
        <w:spacing w:after="0"/>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used to pay off any debt incurred in respect of a trade or business carried on in Singapore; or</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9" w:lineRule="exact"/>
        <w:rPr>
          <w:sz w:val="20"/>
          <w:szCs w:val="20"/>
          <w:color w:val="auto"/>
        </w:rPr>
      </w:pPr>
    </w:p>
    <w:p>
      <w:pPr>
        <w:ind w:left="1320" w:right="619" w:hanging="434"/>
        <w:spacing w:after="0" w:line="277" w:lineRule="auto"/>
        <w:tabs>
          <w:tab w:leader="none" w:pos="13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income is subject to tax of a similar character to income tax (by whatever name called) under the law of the territory from which such income is received;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9" w:lineRule="auto"/>
        <w:tabs>
          <w:tab w:leader="none" w:pos="1273"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03" w:lineRule="exact"/>
        <w:rPr>
          <w:rFonts w:ascii="Arial" w:cs="Arial" w:eastAsia="Arial" w:hAnsi="Arial"/>
          <w:sz w:val="17"/>
          <w:szCs w:val="17"/>
          <w:color w:val="auto"/>
        </w:rPr>
      </w:pPr>
    </w:p>
    <w:p>
      <w:pPr>
        <w:ind w:left="1320" w:right="839" w:hanging="434"/>
        <w:spacing w:after="0" w:line="263" w:lineRule="auto"/>
        <w:tabs>
          <w:tab w:leader="none" w:pos="131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16"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The prevailing corporate income tax rate in Singapore is 17.0% with the first S$200,000 of chargeable income of a company being partially exempt from tax as follows:</w:t>
      </w:r>
    </w:p>
    <w:p>
      <w:pPr>
        <w:spacing w:after="0" w:line="89" w:lineRule="exact"/>
        <w:rPr>
          <w:sz w:val="20"/>
          <w:szCs w:val="20"/>
          <w:color w:val="auto"/>
        </w:rPr>
      </w:pPr>
    </w:p>
    <w:p>
      <w:pPr>
        <w:ind w:left="1320" w:hanging="434"/>
        <w:spacing w:after="0"/>
        <w:tabs>
          <w:tab w:leader="none" w:pos="1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75.0% of the first S$10,000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50.0% of the next S$190,000 of chargeable income.</w:t>
      </w:r>
    </w:p>
    <w:p>
      <w:pPr>
        <w:spacing w:after="0" w:line="158"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New companies will also, subject to certain conditions and exceptions, be eligible for tax exemption for each of the company’s first three (3) years of assessment as follows:</w:t>
      </w:r>
    </w:p>
    <w:p>
      <w:pPr>
        <w:spacing w:after="0" w:line="89" w:lineRule="exact"/>
        <w:rPr>
          <w:sz w:val="20"/>
          <w:szCs w:val="20"/>
          <w:color w:val="auto"/>
        </w:rPr>
      </w:pPr>
    </w:p>
    <w:p>
      <w:pPr>
        <w:ind w:left="1320" w:hanging="434"/>
        <w:spacing w:after="0"/>
        <w:tabs>
          <w:tab w:leader="none" w:pos="1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75.0% of the first S$100,000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50.0% of the next S$100,000 of chargeable income.</w:t>
      </w:r>
    </w:p>
    <w:p>
      <w:pPr>
        <w:spacing w:after="0" w:line="158"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remaining chargeable income (after the tax exemption scheme for new companies or the partial tax exemption scheme for companies) will be fully taxable at the prevailing corporate tax rate.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All Singapore-tax resident companies are currently under the one-tier corporate tax system, or one-tier system.</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9"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Gains on Disposal of Shares</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Arial" w:cs="Arial" w:eastAsia="Arial" w:hAnsi="Arial"/>
          <w:sz w:val="16"/>
          <w:szCs w:val="16"/>
          <w:b w:val="1"/>
          <w:bCs w:val="1"/>
          <w:color w:val="auto"/>
        </w:rPr>
        <w:t>IRAS</w:t>
      </w:r>
      <w:r>
        <w:rPr>
          <w:rFonts w:ascii="Arial" w:cs="Arial" w:eastAsia="Arial" w:hAnsi="Arial"/>
          <w:sz w:val="16"/>
          <w:szCs w:val="16"/>
          <w:color w:val="auto"/>
        </w:rPr>
        <w:t>”), are not taxable in Singapore.</w:t>
      </w:r>
    </w:p>
    <w:p>
      <w:pPr>
        <w:spacing w:after="0" w:line="9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color w:val="auto"/>
        </w:rPr>
        <w:t>Subject to specified exceptions, Section 13W of the Income Tax Act 1947 (“</w:t>
      </w:r>
      <w:r>
        <w:rPr>
          <w:rFonts w:ascii="Arial" w:cs="Arial" w:eastAsia="Arial" w:hAnsi="Arial"/>
          <w:sz w:val="18"/>
          <w:szCs w:val="18"/>
          <w:b w:val="1"/>
          <w:bCs w:val="1"/>
          <w:color w:val="auto"/>
        </w:rPr>
        <w:t>SITA</w:t>
      </w:r>
      <w:r>
        <w:rPr>
          <w:rFonts w:ascii="Arial" w:cs="Arial" w:eastAsia="Arial" w:hAnsi="Arial"/>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9" w:lineRule="exact"/>
        <w:rPr>
          <w:sz w:val="20"/>
          <w:szCs w:val="20"/>
          <w:color w:val="auto"/>
        </w:rPr>
      </w:pPr>
    </w:p>
    <w:p>
      <w:pPr>
        <w:ind w:left="1320" w:right="81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divesting company had legally and beneficially held a minimum shareholding of 20% of the ordinary shares of the company whose shares are being disposed; and</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divesting company had maintained the minimum 20% shareholding for a continuous period of at least 24 months immediately prior to the disposal.</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exemption prescribed under Section 13W of the SITA is not applicable under the following scenarios:</w:t>
      </w:r>
    </w:p>
    <w:p>
      <w:pPr>
        <w:spacing w:after="0" w:line="167" w:lineRule="exact"/>
        <w:rPr>
          <w:sz w:val="20"/>
          <w:szCs w:val="20"/>
          <w:color w:val="auto"/>
        </w:rPr>
      </w:pPr>
    </w:p>
    <w:p>
      <w:pPr>
        <w:ind w:left="1320" w:right="999" w:hanging="434"/>
        <w:spacing w:after="0" w:line="277" w:lineRule="auto"/>
        <w:tabs>
          <w:tab w:leader="none" w:pos="13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disposal(s) of shares the gains or profits of which are included as part of the income of an insurer company;</w:t>
      </w:r>
    </w:p>
    <w:p>
      <w:pPr>
        <w:spacing w:after="0" w:line="75" w:lineRule="exact"/>
        <w:rPr>
          <w:rFonts w:ascii="Arial" w:cs="Arial" w:eastAsia="Arial" w:hAnsi="Arial"/>
          <w:sz w:val="18"/>
          <w:szCs w:val="18"/>
          <w:color w:val="auto"/>
        </w:rPr>
      </w:pPr>
    </w:p>
    <w:p>
      <w:pPr>
        <w:ind w:left="1280" w:hanging="394"/>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disposal of shares before 1 June 2022 in a company that is:</w:t>
      </w:r>
    </w:p>
    <w:p>
      <w:pPr>
        <w:spacing w:after="0" w:line="130" w:lineRule="exact"/>
        <w:rPr>
          <w:rFonts w:ascii="Arial" w:cs="Arial" w:eastAsia="Arial" w:hAnsi="Arial"/>
          <w:sz w:val="18"/>
          <w:szCs w:val="18"/>
          <w:color w:val="auto"/>
        </w:rPr>
      </w:pPr>
    </w:p>
    <w:p>
      <w:pPr>
        <w:ind w:left="1720" w:hanging="402"/>
        <w:spacing w:after="0"/>
        <w:tabs>
          <w:tab w:leader="none" w:pos="17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is in the business of trading Singapore immovable properties; or</w:t>
      </w:r>
    </w:p>
    <w:p>
      <w:pPr>
        <w:spacing w:after="0" w:line="144" w:lineRule="exact"/>
        <w:rPr>
          <w:rFonts w:ascii="Arial" w:cs="Arial" w:eastAsia="Arial" w:hAnsi="Arial"/>
          <w:sz w:val="18"/>
          <w:szCs w:val="18"/>
          <w:color w:val="auto"/>
        </w:rPr>
      </w:pPr>
    </w:p>
    <w:p>
      <w:pPr>
        <w:ind w:left="1760" w:right="759" w:hanging="442"/>
        <w:spacing w:after="0" w:line="263" w:lineRule="auto"/>
        <w:tabs>
          <w:tab w:leader="none" w:pos="17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principally carries on the activity of holding Singapore immovable properties, other than property development, where the shares are not listed on a stock exchange in Singapore or elsewhere;</w:t>
      </w:r>
    </w:p>
    <w:p>
      <w:pPr>
        <w:spacing w:after="0" w:line="89" w:lineRule="exact"/>
        <w:rPr>
          <w:rFonts w:ascii="Arial" w:cs="Arial" w:eastAsia="Arial" w:hAnsi="Arial"/>
          <w:sz w:val="18"/>
          <w:szCs w:val="18"/>
          <w:color w:val="auto"/>
        </w:rPr>
      </w:pPr>
    </w:p>
    <w:p>
      <w:pPr>
        <w:ind w:left="1320" w:right="1079" w:hanging="434"/>
        <w:spacing w:after="0" w:line="308" w:lineRule="auto"/>
        <w:tabs>
          <w:tab w:leader="none" w:pos="131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disposal of shares on or after 1 June 2022 not listed on a stock exchange in Singapore or elsewhere, being shares in a company that the Comptroller is satisfied:</w:t>
      </w:r>
    </w:p>
    <w:p>
      <w:pPr>
        <w:spacing w:after="0" w:line="51" w:lineRule="exact"/>
        <w:rPr>
          <w:rFonts w:ascii="Arial" w:cs="Arial" w:eastAsia="Arial" w:hAnsi="Arial"/>
          <w:sz w:val="17"/>
          <w:szCs w:val="17"/>
          <w:color w:val="auto"/>
        </w:rPr>
      </w:pPr>
    </w:p>
    <w:p>
      <w:pPr>
        <w:ind w:left="1720" w:hanging="402"/>
        <w:spacing w:after="0"/>
        <w:tabs>
          <w:tab w:leader="none" w:pos="17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is in the business of trading immovable properties situated whether in Singapore or elsewhere;</w:t>
      </w:r>
    </w:p>
    <w:p>
      <w:pPr>
        <w:spacing w:after="0" w:line="167" w:lineRule="exact"/>
        <w:rPr>
          <w:rFonts w:ascii="Arial" w:cs="Arial" w:eastAsia="Arial" w:hAnsi="Arial"/>
          <w:sz w:val="16"/>
          <w:szCs w:val="16"/>
          <w:color w:val="auto"/>
        </w:rPr>
      </w:pPr>
    </w:p>
    <w:p>
      <w:pPr>
        <w:ind w:left="1760" w:right="1099" w:hanging="442"/>
        <w:spacing w:after="0" w:line="277" w:lineRule="auto"/>
        <w:tabs>
          <w:tab w:leader="none" w:pos="17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principally carries on the activity of holding immovable properties situated whether in Singapore or elsewhere; or</w:t>
      </w:r>
    </w:p>
    <w:p>
      <w:pPr>
        <w:spacing w:after="0" w:line="75" w:lineRule="exact"/>
        <w:rPr>
          <w:rFonts w:ascii="Arial" w:cs="Arial" w:eastAsia="Arial" w:hAnsi="Arial"/>
          <w:sz w:val="18"/>
          <w:szCs w:val="18"/>
          <w:color w:val="auto"/>
        </w:rPr>
      </w:pPr>
    </w:p>
    <w:p>
      <w:pPr>
        <w:ind w:left="1720" w:hanging="402"/>
        <w:spacing w:after="0"/>
        <w:tabs>
          <w:tab w:leader="none" w:pos="17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has undertaken property development on Singapore or elsewhere, except where:</w:t>
      </w:r>
    </w:p>
    <w:p>
      <w:pPr>
        <w:spacing w:after="0" w:line="130" w:lineRule="exact"/>
        <w:rPr>
          <w:rFonts w:ascii="Arial" w:cs="Arial" w:eastAsia="Arial" w:hAnsi="Arial"/>
          <w:sz w:val="18"/>
          <w:szCs w:val="18"/>
          <w:color w:val="auto"/>
        </w:rPr>
      </w:pPr>
    </w:p>
    <w:p>
      <w:pPr>
        <w:ind w:left="2180" w:right="599" w:hanging="430"/>
        <w:spacing w:after="0" w:line="263" w:lineRule="auto"/>
        <w:tabs>
          <w:tab w:leader="none" w:pos="2173"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102" w:lineRule="exact"/>
        <w:rPr>
          <w:rFonts w:ascii="Arial" w:cs="Arial" w:eastAsia="Arial" w:hAnsi="Arial"/>
          <w:sz w:val="18"/>
          <w:szCs w:val="18"/>
          <w:color w:val="auto"/>
        </w:rPr>
      </w:pPr>
    </w:p>
    <w:p>
      <w:pPr>
        <w:ind w:left="2180" w:right="519" w:hanging="430"/>
        <w:spacing w:after="0" w:line="342" w:lineRule="auto"/>
        <w:tabs>
          <w:tab w:leader="none" w:pos="2163" w:val="left"/>
        </w:tabs>
        <w:numPr>
          <w:ilvl w:val="2"/>
          <w:numId w:val="96"/>
        </w:numPr>
        <w:rPr>
          <w:rFonts w:ascii="Arial" w:cs="Arial" w:eastAsia="Arial" w:hAnsi="Arial"/>
          <w:sz w:val="16"/>
          <w:szCs w:val="16"/>
          <w:color w:val="auto"/>
        </w:rPr>
      </w:pPr>
      <w:r>
        <w:rPr>
          <w:rFonts w:ascii="Arial" w:cs="Arial" w:eastAsia="Arial" w:hAnsi="Arial"/>
          <w:sz w:val="16"/>
          <w:szCs w:val="16"/>
          <w:color w:val="auto"/>
        </w:rPr>
        <w:t>the company did not undertake any property development in Singapore or elsewhere for a period of at least 60 consecutive months before the disposal of shares; or</w:t>
      </w:r>
    </w:p>
    <w:p>
      <w:pPr>
        <w:spacing w:after="0" w:line="29" w:lineRule="exact"/>
        <w:rPr>
          <w:rFonts w:ascii="Arial" w:cs="Arial" w:eastAsia="Arial" w:hAnsi="Arial"/>
          <w:sz w:val="16"/>
          <w:szCs w:val="16"/>
          <w:color w:val="auto"/>
        </w:rPr>
      </w:pPr>
    </w:p>
    <w:p>
      <w:pPr>
        <w:ind w:left="1320" w:right="539" w:hanging="434"/>
        <w:spacing w:after="0" w:line="277" w:lineRule="auto"/>
        <w:tabs>
          <w:tab w:leader="none" w:pos="12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disposal(s) of shares by a partnership, limited partnership and limited liability partnership one or more of the partners of which is a company or are companies.</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Shareholders who apply, or who are required to apply, the Singapore Financial Reporting Standard 39</w:t>
      </w:r>
    </w:p>
    <w:p>
      <w:pPr>
        <w:spacing w:after="0" w:line="35" w:lineRule="exact"/>
        <w:rPr>
          <w:sz w:val="20"/>
          <w:szCs w:val="20"/>
          <w:color w:val="auto"/>
        </w:rPr>
      </w:pPr>
    </w:p>
    <w:p>
      <w:pPr>
        <w:ind w:left="460" w:right="639"/>
        <w:spacing w:after="0" w:line="290" w:lineRule="auto"/>
        <w:rPr>
          <w:sz w:val="20"/>
          <w:szCs w:val="20"/>
          <w:color w:val="auto"/>
        </w:rPr>
      </w:pPr>
      <w:r>
        <w:rPr>
          <w:rFonts w:ascii="Arial" w:cs="Arial" w:eastAsia="Arial" w:hAnsi="Arial"/>
          <w:sz w:val="16"/>
          <w:szCs w:val="16"/>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1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2" w:lineRule="exact"/>
        <w:rPr>
          <w:sz w:val="20"/>
          <w:szCs w:val="20"/>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banks;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are required to use a mark-to-market method of accounting;</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certain former citizens or residents of the United States subject to Section 877 of the Code;</w:t>
      </w:r>
    </w:p>
    <w:p>
      <w:pPr>
        <w:spacing w:after="0" w:line="142" w:lineRule="exact"/>
        <w:rPr>
          <w:rFonts w:ascii="Arial" w:cs="Arial" w:eastAsia="Arial" w:hAnsi="Arial"/>
          <w:sz w:val="17"/>
          <w:szCs w:val="17"/>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320" w:right="77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89"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holding ADSs or ordinary shares through a bank, financial institution or other entity, or a branch thereof, located, organized or resident outside the United States;</w:t>
      </w:r>
    </w:p>
    <w:p>
      <w:pPr>
        <w:spacing w:after="0" w:line="75"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acquired ADSs or ordinary shares pursuant to the exercise of an employee stock option or otherwise as compensation; or</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or ordinary shares through such entities.</w:t>
      </w:r>
    </w:p>
    <w:p>
      <w:pPr>
        <w:spacing w:after="0" w:line="76" w:lineRule="exact"/>
        <w:rPr>
          <w:sz w:val="20"/>
          <w:szCs w:val="20"/>
          <w:color w:val="auto"/>
        </w:rPr>
      </w:pPr>
    </w:p>
    <w:p>
      <w:pPr>
        <w:ind w:left="460" w:right="919" w:firstLine="432"/>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05" w:lineRule="exact"/>
        <w:rPr>
          <w:sz w:val="20"/>
          <w:szCs w:val="20"/>
          <w:color w:val="auto"/>
        </w:rPr>
      </w:pPr>
    </w:p>
    <w:p>
      <w:pPr>
        <w:ind w:left="460" w:right="539" w:firstLine="432"/>
        <w:spacing w:after="0" w:line="294" w:lineRule="auto"/>
        <w:rPr>
          <w:sz w:val="20"/>
          <w:szCs w:val="20"/>
          <w:color w:val="auto"/>
        </w:rPr>
      </w:pPr>
      <w:r>
        <w:rPr>
          <w:rFonts w:ascii="Arial" w:cs="Arial" w:eastAsia="Arial" w:hAnsi="Arial"/>
          <w:sz w:val="16"/>
          <w:szCs w:val="16"/>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our ADSs or ordinary shares that is, for United States federal income tax purposes:</w:t>
      </w:r>
    </w:p>
    <w:p>
      <w:pPr>
        <w:spacing w:after="0" w:line="76" w:lineRule="exact"/>
        <w:rPr>
          <w:sz w:val="20"/>
          <w:szCs w:val="20"/>
          <w:color w:val="auto"/>
        </w:rPr>
      </w:pPr>
    </w:p>
    <w:p>
      <w:pPr>
        <w:ind w:left="1320" w:hanging="434"/>
        <w:spacing w:after="0"/>
        <w:tabs>
          <w:tab w:leader="none" w:pos="1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02" w:lineRule="exact"/>
        <w:rPr>
          <w:rFonts w:ascii="Arial" w:cs="Arial" w:eastAsia="Arial" w:hAnsi="Arial"/>
          <w:sz w:val="18"/>
          <w:szCs w:val="18"/>
          <w:color w:val="auto"/>
        </w:rPr>
      </w:pPr>
    </w:p>
    <w:p>
      <w:pPr>
        <w:ind w:left="1320" w:right="499" w:hanging="434"/>
        <w:spacing w:after="0" w:line="257"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20"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ADSs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91"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11"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2" w:lineRule="exact"/>
        <w:rPr>
          <w:sz w:val="20"/>
          <w:szCs w:val="20"/>
          <w:color w:val="auto"/>
        </w:rPr>
      </w:pPr>
    </w:p>
    <w:p>
      <w:pPr>
        <w:ind w:left="460" w:right="519" w:hanging="6"/>
        <w:spacing w:after="0" w:line="268" w:lineRule="auto"/>
        <w:tabs>
          <w:tab w:leader="none" w:pos="7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16"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44"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5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99" w:lineRule="exact"/>
        <w:rPr>
          <w:sz w:val="20"/>
          <w:szCs w:val="20"/>
          <w:color w:val="auto"/>
        </w:rPr>
      </w:pPr>
    </w:p>
    <w:p>
      <w:pPr>
        <w:ind w:left="1320" w:right="479" w:hanging="434"/>
        <w:spacing w:after="0" w:line="277" w:lineRule="auto"/>
        <w:tabs>
          <w:tab w:leader="none" w:pos="1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89" w:lineRule="exact"/>
        <w:rPr>
          <w:rFonts w:ascii="Arial" w:cs="Arial" w:eastAsia="Arial" w:hAnsi="Arial"/>
          <w:sz w:val="18"/>
          <w:szCs w:val="18"/>
          <w:color w:val="auto"/>
        </w:rPr>
      </w:pPr>
    </w:p>
    <w:p>
      <w:pPr>
        <w:jc w:val="both"/>
        <w:ind w:left="1320" w:right="539" w:hanging="434"/>
        <w:spacing w:after="0" w:line="263" w:lineRule="auto"/>
        <w:tabs>
          <w:tab w:leader="none" w:pos="1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16" w:lineRule="exact"/>
        <w:rPr>
          <w:rFonts w:ascii="Arial" w:cs="Arial" w:eastAsia="Arial" w:hAnsi="Arial"/>
          <w:sz w:val="18"/>
          <w:szCs w:val="18"/>
          <w:color w:val="auto"/>
        </w:rPr>
      </w:pPr>
    </w:p>
    <w:p>
      <w:pPr>
        <w:jc w:val="both"/>
        <w:ind w:left="1320" w:right="579" w:hanging="434"/>
        <w:spacing w:after="0" w:line="259" w:lineRule="auto"/>
        <w:tabs>
          <w:tab w:leader="none" w:pos="1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9"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0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9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6"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4" w:lineRule="exact"/>
        <w:rPr>
          <w:sz w:val="20"/>
          <w:szCs w:val="20"/>
          <w:color w:val="auto"/>
        </w:rPr>
      </w:pPr>
    </w:p>
    <w:p>
      <w:pPr>
        <w:ind w:left="460" w:right="559" w:firstLine="432"/>
        <w:spacing w:after="0" w:line="261" w:lineRule="auto"/>
        <w:rPr>
          <w:sz w:val="20"/>
          <w:szCs w:val="20"/>
          <w:color w:val="auto"/>
        </w:rPr>
      </w:pPr>
      <w:r>
        <w:rPr>
          <w:rFonts w:ascii="Arial" w:cs="Arial" w:eastAsia="Arial" w:hAnsi="Arial"/>
          <w:sz w:val="18"/>
          <w:szCs w:val="18"/>
          <w:color w:val="auto"/>
        </w:rPr>
        <w:t xml:space="preserve">We expect to enter into an underwriting agreement with US Tiger Securities, Inc., or the </w:t>
      </w:r>
      <w:r>
        <w:rPr>
          <w:rFonts w:ascii="Arial" w:cs="Arial" w:eastAsia="Arial" w:hAnsi="Arial"/>
          <w:sz w:val="18"/>
          <w:szCs w:val="18"/>
          <w:b w:val="1"/>
          <w:bCs w:val="1"/>
          <w:color w:val="auto"/>
        </w:rPr>
        <w:t>“Underwriter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Underwriter has agreed to purchase, and we have agreed to sell to it, the number of our ADSs at the initial public offering price, less the underwriting discounts and commissions, as set forth on the cover page of this prospectus and as indicated below:</w:t>
      </w:r>
    </w:p>
    <w:p>
      <w:pPr>
        <w:spacing w:after="0" w:line="157"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tabs>
          <w:tab w:leader="none" w:pos="7620" w:val="left"/>
        </w:tabs>
        <w:rPr>
          <w:sz w:val="20"/>
          <w:szCs w:val="20"/>
          <w:color w:val="auto"/>
        </w:rPr>
      </w:pPr>
      <w:r>
        <w:rPr>
          <w:rFonts w:ascii="Arial" w:cs="Arial" w:eastAsia="Arial" w:hAnsi="Arial"/>
          <w:sz w:val="16"/>
          <w:szCs w:val="16"/>
          <w:b w:val="1"/>
          <w:bCs w:val="1"/>
          <w:color w:val="auto"/>
        </w:rPr>
        <w:t>Underwriter</w:t>
      </w:r>
      <w:r>
        <w:rPr>
          <w:sz w:val="20"/>
          <w:szCs w:val="20"/>
          <w:color w:val="auto"/>
        </w:rPr>
        <w:tab/>
      </w:r>
      <w:r>
        <w:rPr>
          <w:rFonts w:ascii="Arial" w:cs="Arial" w:eastAsia="Arial" w:hAnsi="Arial"/>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Tiger Securities,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However, the Underwriter is not required to take or pay for the ADSs covered by the Underwriter’s option to purchase additional ADSs described below.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granted to the Underwriter an option (“</w:t>
      </w:r>
      <w:r>
        <w:rPr>
          <w:rFonts w:ascii="Arial" w:cs="Arial" w:eastAsia="Arial" w:hAnsi="Arial"/>
          <w:sz w:val="16"/>
          <w:szCs w:val="16"/>
          <w:b w:val="1"/>
          <w:bCs w:val="1"/>
          <w:color w:val="auto"/>
        </w:rPr>
        <w:t>Over-Allotment Option</w:t>
      </w:r>
      <w:r>
        <w:rPr>
          <w:rFonts w:ascii="Arial" w:cs="Arial" w:eastAsia="Arial" w:hAnsi="Arial"/>
          <w:sz w:val="16"/>
          <w:szCs w:val="16"/>
          <w:color w:val="auto"/>
        </w:rPr>
        <w:t>”), exercisable for 45 days after</w:t>
      </w:r>
    </w:p>
    <w:p>
      <w:pPr>
        <w:spacing w:after="0" w:line="50" w:lineRule="exact"/>
        <w:rPr>
          <w:sz w:val="20"/>
          <w:szCs w:val="20"/>
          <w:color w:val="auto"/>
        </w:rPr>
      </w:pPr>
    </w:p>
    <w:p>
      <w:pPr>
        <w:ind w:left="460" w:right="579"/>
        <w:spacing w:after="0" w:line="269" w:lineRule="auto"/>
        <w:rPr>
          <w:sz w:val="20"/>
          <w:szCs w:val="20"/>
          <w:color w:val="auto"/>
        </w:rPr>
      </w:pPr>
      <w:r>
        <w:rPr>
          <w:rFonts w:ascii="Arial" w:cs="Arial" w:eastAsia="Arial" w:hAnsi="Arial"/>
          <w:sz w:val="17"/>
          <w:szCs w:val="17"/>
          <w:color w:val="auto"/>
        </w:rPr>
        <w:t>the closing of this offering to purchase up to [ ] additional ADSs at the initial public offering price listed on the cover page of this prospectus, less underwriting discounts and commissions. Such additional ADSs represent 15% of the total amount sold in this offering. The Underwriter may exercise this Over-Allotment Option solely for the purpose of covering over-allotments, if any, made in connection with this offering. To the extent the Over-Allotment Option is exercised, the Underwriter will become obligated, subject to certain conditions, to purchase about the same percentage of the additional ADSs as the number listed next to the Underwriter’s name in the preceding table.</w:t>
      </w:r>
    </w:p>
    <w:p>
      <w:pPr>
        <w:spacing w:after="0" w:line="9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Underwriter will offer the ADSs to the public at the initial public offering price set forth on the cover of this prospectus. After this offering, the initial public offering price, concession and reallowance to dealers may be reduced by the Underwriter. No change in those terms will change the amount of proceeds to be received by us as set forth on the cover of this prospectus. The ADSs are offered by the Underwriter as stated herein, subject to receipt and acceptance by the Underwriter and subject to its right to reject any order in whole or in part.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Discounts and Expenses</w:t>
      </w:r>
    </w:p>
    <w:p>
      <w:pPr>
        <w:spacing w:after="0" w:line="16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underwriting discounts and commissions are equal to 6% of the initial public offering price set forth on the cover of this prospectus.</w:t>
      </w:r>
    </w:p>
    <w:p>
      <w:pPr>
        <w:spacing w:after="0" w:line="103" w:lineRule="exact"/>
        <w:rPr>
          <w:sz w:val="20"/>
          <w:szCs w:val="20"/>
          <w:color w:val="auto"/>
        </w:rPr>
      </w:pPr>
    </w:p>
    <w:p>
      <w:pPr>
        <w:ind w:left="460" w:right="499" w:firstLine="432"/>
        <w:spacing w:after="0" w:line="310" w:lineRule="auto"/>
        <w:rPr>
          <w:sz w:val="20"/>
          <w:szCs w:val="20"/>
          <w:color w:val="auto"/>
        </w:rPr>
      </w:pPr>
      <w:r>
        <w:rPr>
          <w:rFonts w:ascii="Arial" w:cs="Arial" w:eastAsia="Arial" w:hAnsi="Arial"/>
          <w:sz w:val="15"/>
          <w:szCs w:val="15"/>
          <w:color w:val="auto"/>
        </w:rPr>
        <w:t>The following table shows the per ADS and total initial public offering price, underwriting discounts and commissions, and proceeds before expenses to us. These amounts are shown assuming both no exercise and full</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w w:val="99"/>
              </w:rPr>
              <w:t>exercise of the Underwriter’s option to purchase up to [</w:t>
            </w:r>
          </w:p>
        </w:tc>
        <w:tc>
          <w:tcPr>
            <w:tcW w:w="2460" w:type="dxa"/>
            <w:vAlign w:val="bottom"/>
            <w:gridSpan w:val="4"/>
          </w:tcPr>
          <w:p>
            <w:pPr>
              <w:ind w:left="160"/>
              <w:spacing w:after="0"/>
              <w:rPr>
                <w:sz w:val="20"/>
                <w:szCs w:val="20"/>
                <w:color w:val="auto"/>
              </w:rPr>
            </w:pPr>
            <w:r>
              <w:rPr>
                <w:rFonts w:ascii="Arial" w:cs="Arial" w:eastAsia="Arial" w:hAnsi="Arial"/>
                <w:sz w:val="18"/>
                <w:szCs w:val="18"/>
                <w:color w:val="auto"/>
              </w:rPr>
              <w:t>] additional ADSs.</w:t>
            </w:r>
          </w:p>
        </w:tc>
        <w:tc>
          <w:tcPr>
            <w:tcW w:w="1280" w:type="dxa"/>
            <w:vAlign w:val="bottom"/>
          </w:tcPr>
          <w:p>
            <w:pPr>
              <w:spacing w:after="0"/>
              <w:rPr>
                <w:sz w:val="20"/>
                <w:szCs w:val="20"/>
                <w:color w:val="auto"/>
              </w:rPr>
            </w:pPr>
          </w:p>
        </w:tc>
      </w:tr>
      <w:tr>
        <w:trPr>
          <w:trHeight w:val="350"/>
        </w:trPr>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Total Without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Total With Full</w:t>
            </w: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Exercise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Over- allotment   Over- allotment</w:t>
            </w:r>
          </w:p>
        </w:tc>
      </w:tr>
      <w:tr>
        <w:trPr>
          <w:trHeight w:val="210"/>
        </w:trPr>
        <w:tc>
          <w:tcPr>
            <w:tcW w:w="436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 ADS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4"/>
              </w:rPr>
              <w:t>Underwriting discounts and commissions to be paid by us</w:t>
            </w:r>
          </w:p>
        </w:tc>
        <w:tc>
          <w:tcPr>
            <w:tcW w:w="1240" w:type="dxa"/>
            <w:vAlign w:val="bottom"/>
            <w:gridSpan w:val="2"/>
          </w:tcPr>
          <w:p>
            <w:pPr>
              <w:spacing w:after="0"/>
              <w:rPr>
                <w:sz w:val="20"/>
                <w:szCs w:val="20"/>
                <w:color w:val="auto"/>
              </w:rPr>
            </w:pPr>
            <w:r>
              <w:rPr>
                <w:rFonts w:ascii="Arial" w:cs="Arial" w:eastAsia="Arial" w:hAnsi="Arial"/>
                <w:sz w:val="18"/>
                <w:szCs w:val="18"/>
                <w:color w:val="auto"/>
              </w:rPr>
              <w:t>US$</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41"/>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We will also pay to the Underwriter by deduction from the net proceeds of this offering, a non-accountable expense allowance equal to one percent (1%) of the gross proceeds received by us from the sale of our ADSs.</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311" w:lineRule="auto"/>
        <w:rPr>
          <w:sz w:val="20"/>
          <w:szCs w:val="20"/>
          <w:color w:val="auto"/>
        </w:rPr>
      </w:pPr>
      <w:r>
        <w:rPr>
          <w:rFonts w:ascii="Arial" w:cs="Arial" w:eastAsia="Arial" w:hAnsi="Arial"/>
          <w:sz w:val="16"/>
          <w:szCs w:val="16"/>
          <w:color w:val="auto"/>
        </w:rPr>
        <w:t>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81"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the total expenses of the offering payable by us, excluding the underwriting discounts</w:t>
      </w:r>
    </w:p>
    <w:p>
      <w:pPr>
        <w:spacing w:after="0" w:line="46"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and commissions and non-accountable expense allowance, will be approximately US$[</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679" w:firstLine="432"/>
        <w:spacing w:after="0" w:line="271" w:lineRule="auto"/>
        <w:rPr>
          <w:sz w:val="20"/>
          <w:szCs w:val="20"/>
          <w:color w:val="auto"/>
        </w:rPr>
      </w:pPr>
      <w:r>
        <w:rPr>
          <w:rFonts w:ascii="Arial" w:cs="Arial" w:eastAsia="Arial" w:hAnsi="Arial"/>
          <w:sz w:val="17"/>
          <w:szCs w:val="17"/>
          <w:color w:val="auto"/>
        </w:rPr>
        <w:t>Our officers, directors and principal shareholders (defined as owners of 5% or more of our ordinary shares, provided that the Underwriter may in its discretion require a lower percentage threshold)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1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the Offering</w:t>
      </w:r>
    </w:p>
    <w:p>
      <w:pPr>
        <w:spacing w:after="0" w:line="148" w:lineRule="exact"/>
        <w:rPr>
          <w:sz w:val="20"/>
          <w:szCs w:val="20"/>
          <w:color w:val="auto"/>
        </w:rPr>
      </w:pPr>
    </w:p>
    <w:p>
      <w:pPr>
        <w:ind w:left="460" w:right="839" w:firstLine="432"/>
        <w:spacing w:after="0" w:line="273" w:lineRule="auto"/>
        <w:rPr>
          <w:sz w:val="20"/>
          <w:szCs w:val="20"/>
          <w:color w:val="auto"/>
        </w:rPr>
      </w:pPr>
      <w:r>
        <w:rPr>
          <w:rFonts w:ascii="Arial" w:cs="Arial" w:eastAsia="Arial" w:hAnsi="Arial"/>
          <w:sz w:val="17"/>
          <w:szCs w:val="17"/>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A short sale is covered if the short position is no greater than the number of shares available for purchase by the Underwriter under option to purchase additional shares. The Underwriter can close out a covered short sale by exercising the option to purchase additional shares or purchasing shares in the open market. In determining the source of shares to close out a covered short sale, the Underwriter will consider, among other things, the open market price of shares compared to the price available under the option to purchase additional shares. The Underwriter may also sell shares in excess of the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100"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16"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Finally, the Underwriter may bid for, and purchase, our ADSs in market making transactions, including “passive” market making transactions as described below.</w:t>
      </w:r>
    </w:p>
    <w:p>
      <w:pPr>
        <w:spacing w:after="0" w:line="103" w:lineRule="exact"/>
        <w:rPr>
          <w:sz w:val="20"/>
          <w:szCs w:val="20"/>
          <w:color w:val="auto"/>
        </w:rPr>
      </w:pPr>
    </w:p>
    <w:p>
      <w:pPr>
        <w:jc w:val="both"/>
        <w:ind w:left="460" w:right="619" w:firstLine="432"/>
        <w:spacing w:after="0" w:line="279" w:lineRule="auto"/>
        <w:rPr>
          <w:sz w:val="20"/>
          <w:szCs w:val="20"/>
          <w:color w:val="auto"/>
        </w:rPr>
      </w:pPr>
      <w:r>
        <w:rPr>
          <w:rFonts w:ascii="Arial" w:cs="Arial" w:eastAsia="Arial" w:hAnsi="Arial"/>
          <w:sz w:val="17"/>
          <w:szCs w:val="17"/>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color w:val="auto"/>
        </w:rPr>
        <w:t>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16"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4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97"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460" w:right="73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0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5"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Malaysia</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44"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ADSs are subscribed or purchased under Section 275 of the SFA by a relevant person which is:</w:t>
      </w:r>
    </w:p>
    <w:p>
      <w:pPr>
        <w:spacing w:after="0" w:line="181" w:lineRule="exact"/>
        <w:rPr>
          <w:sz w:val="20"/>
          <w:szCs w:val="20"/>
          <w:color w:val="auto"/>
        </w:rPr>
      </w:pPr>
    </w:p>
    <w:p>
      <w:pPr>
        <w:jc w:val="both"/>
        <w:ind w:left="1320" w:right="719" w:hanging="434"/>
        <w:spacing w:after="0" w:line="263" w:lineRule="auto"/>
        <w:tabs>
          <w:tab w:leader="none" w:pos="13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308" w:lineRule="auto"/>
        <w:tabs>
          <w:tab w:leader="none" w:pos="13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79" w:lineRule="exact"/>
        <w:rPr>
          <w:sz w:val="20"/>
          <w:szCs w:val="20"/>
          <w:color w:val="auto"/>
        </w:rPr>
      </w:pPr>
    </w:p>
    <w:p>
      <w:pPr>
        <w:ind w:left="460" w:right="67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9" w:lineRule="exact"/>
        <w:rPr>
          <w:sz w:val="20"/>
          <w:szCs w:val="20"/>
          <w:color w:val="auto"/>
        </w:rPr>
      </w:pPr>
    </w:p>
    <w:p>
      <w:pPr>
        <w:ind w:left="1320" w:right="659" w:hanging="434"/>
        <w:spacing w:after="0" w:line="286" w:lineRule="auto"/>
        <w:tabs>
          <w:tab w:leader="none" w:pos="131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84" w:lineRule="exact"/>
        <w:rPr>
          <w:rFonts w:ascii="Arial" w:cs="Arial" w:eastAsia="Arial" w:hAnsi="Arial"/>
          <w:sz w:val="17"/>
          <w:szCs w:val="17"/>
          <w:color w:val="auto"/>
        </w:rPr>
      </w:pPr>
    </w:p>
    <w:p>
      <w:pPr>
        <w:ind w:left="1320" w:hanging="43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76"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Singapore SFA Product Classification: </w:t>
      </w:r>
      <w:r>
        <w:rPr>
          <w:rFonts w:ascii="Arial" w:cs="Arial" w:eastAsia="Arial" w:hAnsi="Arial"/>
          <w:sz w:val="18"/>
          <w:szCs w:val="18"/>
          <w:i w:val="1"/>
          <w:iCs w:val="1"/>
          <w:color w:val="auto"/>
        </w:rPr>
        <w:t>In accordance with Section 309B of the SFA,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Arial" w:cs="Arial" w:eastAsia="Arial" w:hAnsi="Arial"/>
          <w:sz w:val="18"/>
          <w:szCs w:val="18"/>
          <w:color w:val="auto"/>
        </w:rPr>
        <w: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Purchasers are advised to seek legal advice prior to any resale of the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People’s Republic of China</w:t>
      </w:r>
    </w:p>
    <w:p>
      <w:pPr>
        <w:spacing w:after="0" w:line="131"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Taiwan</w:t>
      </w:r>
    </w:p>
    <w:p>
      <w:pPr>
        <w:spacing w:after="0" w:line="13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Indonesia</w:t>
      </w:r>
    </w:p>
    <w:p>
      <w:pPr>
        <w:spacing w:after="0" w:line="131"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Vietnam</w:t>
      </w:r>
    </w:p>
    <w:p>
      <w:pPr>
        <w:spacing w:after="0" w:line="14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Thailand</w:t>
      </w:r>
    </w:p>
    <w:p>
      <w:pPr>
        <w:spacing w:after="0" w:line="117" w:lineRule="exact"/>
        <w:rPr>
          <w:sz w:val="20"/>
          <w:szCs w:val="20"/>
          <w:color w:val="auto"/>
        </w:rPr>
      </w:pPr>
    </w:p>
    <w:p>
      <w:pPr>
        <w:jc w:val="both"/>
        <w:ind w:left="460" w:right="559" w:firstLine="432"/>
        <w:spacing w:after="0" w:line="296" w:lineRule="auto"/>
        <w:rPr>
          <w:sz w:val="20"/>
          <w:szCs w:val="20"/>
          <w:color w:val="auto"/>
        </w:rPr>
      </w:pPr>
      <w:r>
        <w:rPr>
          <w:rFonts w:ascii="Arial" w:cs="Arial" w:eastAsia="Arial" w:hAnsi="Arial"/>
          <w:sz w:val="16"/>
          <w:szCs w:val="16"/>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Korea</w:t>
      </w:r>
    </w:p>
    <w:p>
      <w:pPr>
        <w:spacing w:after="0" w:line="11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New Zealand</w:t>
      </w:r>
    </w:p>
    <w:p>
      <w:pPr>
        <w:spacing w:after="0" w:line="13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7" w:lineRule="exact"/>
        <w:rPr>
          <w:sz w:val="20"/>
          <w:szCs w:val="20"/>
          <w:color w:val="auto"/>
        </w:rPr>
      </w:pPr>
    </w:p>
    <w:p>
      <w:pPr>
        <w:ind w:left="1320" w:hanging="43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FMCA; or</w:t>
      </w:r>
    </w:p>
    <w:p>
      <w:pPr>
        <w:spacing w:after="0" w:line="117" w:lineRule="exact"/>
        <w:rPr>
          <w:rFonts w:ascii="Arial" w:cs="Arial" w:eastAsia="Arial" w:hAnsi="Arial"/>
          <w:sz w:val="18"/>
          <w:szCs w:val="18"/>
          <w:color w:val="auto"/>
        </w:rPr>
      </w:pPr>
    </w:p>
    <w:p>
      <w:pPr>
        <w:ind w:left="1320" w:right="1079" w:hanging="434"/>
        <w:spacing w:after="0" w:line="308" w:lineRule="auto"/>
        <w:tabs>
          <w:tab w:leader="none" w:pos="131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11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Cayman Islands</w:t>
      </w:r>
    </w:p>
    <w:p>
      <w:pPr>
        <w:spacing w:after="0" w:line="13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No offer or invitation, whether directly or indirectly, may be made to the public in the Cayman Islands to subscribe for our securities.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67"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6"/>
          <w:szCs w:val="16"/>
          <w:color w:val="auto"/>
        </w:rPr>
        <w:t>US$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Exchange Application and Listing Fee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40640</wp:posOffset>
            </wp:positionV>
            <wp:extent cx="8229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3"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34290</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51435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20"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The office of Marcum Asia CPAs LLP is located at 7 Pennsylvania Plaza Suite 830, New York, NY 10001,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97" w:lineRule="exact"/>
        <w:rPr>
          <w:sz w:val="20"/>
          <w:szCs w:val="20"/>
          <w:color w:val="auto"/>
        </w:rPr>
      </w:pPr>
    </w:p>
    <w:p>
      <w:pPr>
        <w:ind w:left="460" w:right="699" w:firstLine="432"/>
        <w:spacing w:after="0" w:line="273" w:lineRule="auto"/>
        <w:rPr>
          <w:sz w:val="20"/>
          <w:szCs w:val="20"/>
          <w:color w:val="auto"/>
        </w:rPr>
      </w:pPr>
      <w:r>
        <w:rPr>
          <w:rFonts w:ascii="Arial" w:cs="Arial" w:eastAsia="Arial" w:hAnsi="Arial"/>
          <w:sz w:val="17"/>
          <w:szCs w:val="17"/>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1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TRIDENT DIGITAL TECH HOLDINGS LTD</w:t>
            </w:r>
          </w:p>
        </w:tc>
        <w:tc>
          <w:tcPr>
            <w:tcW w:w="8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8"/>
        </w:trPr>
        <w:tc>
          <w:tcPr>
            <w:tcW w:w="7280" w:type="dxa"/>
            <w:vAlign w:val="bottom"/>
            <w:gridSpan w:val="2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Arial" w:cs="Arial" w:eastAsia="Arial" w:hAnsi="Arial"/>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5"/>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Arial" w:cs="Arial" w:eastAsia="Arial" w:hAnsi="Arial"/>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Arial" w:cs="Arial" w:eastAsia="Arial" w:hAnsi="Arial"/>
                <w:sz w:val="18"/>
                <w:szCs w:val="18"/>
                <w:color w:val="0000EE"/>
                <w:w w:val="94"/>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Arial" w:cs="Arial" w:eastAsia="Arial" w:hAnsi="Arial"/>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7"/>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EE"/>
                <w:w w:val="95"/>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5"/>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AND 2022</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8"/>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Arial" w:cs="Arial" w:eastAsia="Arial" w:hAnsi="Arial"/>
                <w:sz w:val="18"/>
                <w:szCs w:val="18"/>
                <w:color w:val="auto"/>
                <w:w w:val="88"/>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right="1439" w:firstLine="969"/>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Trident Digital Tech Holdings Ltd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Beijing, China</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7,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8"/>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322"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(174,377)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29,967</w:t>
            </w:r>
          </w:p>
        </w:tc>
        <w:tc>
          <w:tcPr>
            <w:tcW w:w="0" w:type="dxa"/>
            <w:vAlign w:val="bottom"/>
          </w:tcPr>
          <w:p>
            <w:pPr>
              <w:spacing w:after="0"/>
              <w:rPr>
                <w:sz w:val="1"/>
                <w:szCs w:val="1"/>
                <w:color w:val="auto"/>
              </w:rPr>
            </w:pPr>
          </w:p>
        </w:tc>
      </w:tr>
      <w:tr>
        <w:trPr>
          <w:trHeight w:val="271"/>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-4392930</wp:posOffset>
            </wp:positionV>
            <wp:extent cx="28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-4401820</wp:posOffset>
            </wp:positionV>
            <wp:extent cx="285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Arial" w:cs="Arial" w:eastAsia="Arial" w:hAnsi="Arial"/>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2" w:lineRule="exact"/>
              <w:rPr>
                <w:sz w:val="20"/>
                <w:szCs w:val="20"/>
                <w:color w:val="auto"/>
              </w:rPr>
            </w:pPr>
            <w:r>
              <w:rPr>
                <w:rFonts w:ascii="Arial" w:cs="Arial" w:eastAsia="Arial" w:hAnsi="Arial"/>
                <w:sz w:val="16"/>
                <w:szCs w:val="16"/>
                <w:b w:val="1"/>
                <w:bCs w:val="1"/>
                <w:color w:val="auto"/>
                <w:w w:val="89"/>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2" w:lineRule="exact"/>
              <w:rPr>
                <w:sz w:val="20"/>
                <w:szCs w:val="20"/>
                <w:color w:val="auto"/>
              </w:rPr>
            </w:pPr>
            <w:r>
              <w:rPr>
                <w:rFonts w:ascii="Arial" w:cs="Arial" w:eastAsia="Arial" w:hAnsi="Arial"/>
                <w:sz w:val="16"/>
                <w:szCs w:val="16"/>
                <w:b w:val="1"/>
                <w:bCs w:val="1"/>
                <w:color w:val="auto"/>
                <w:w w:val="91"/>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89"/>
              </w:rPr>
              <w:t>earnings/</w:t>
            </w:r>
          </w:p>
        </w:tc>
        <w:tc>
          <w:tcPr>
            <w:tcW w:w="96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2" w:lineRule="exact"/>
              <w:rPr>
                <w:sz w:val="20"/>
                <w:szCs w:val="20"/>
                <w:color w:val="auto"/>
              </w:rPr>
            </w:pPr>
            <w:r>
              <w:rPr>
                <w:rFonts w:ascii="Arial" w:cs="Arial" w:eastAsia="Arial" w:hAnsi="Arial"/>
                <w:sz w:val="16"/>
                <w:szCs w:val="16"/>
                <w:b w:val="1"/>
                <w:bCs w:val="1"/>
                <w:color w:val="auto"/>
                <w:w w:val="90"/>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5"/>
              </w:rPr>
              <w:t>Amount</w:t>
            </w:r>
          </w:p>
        </w:tc>
        <w:tc>
          <w:tcPr>
            <w:tcW w:w="9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6"/>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loss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shd w:val="clear" w:color="auto" w:fill="CCEEFF"/>
          </w:tcPr>
          <w:p>
            <w:pPr>
              <w:spacing w:after="0"/>
              <w:rPr>
                <w:sz w:val="22"/>
                <w:szCs w:val="22"/>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8"/>
        </w:trPr>
        <w:tc>
          <w:tcPr>
            <w:tcW w:w="15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shareholder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5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(1,323,341)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TRIDENT DIGITAL TECH HOLDINGS LTD CONSOLIDATED STATEMENTS OF CASH FLOWS (In U.S. dollars, except for share and per share data, or otherwise noted)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6"/>
        </w:trPr>
        <w:tc>
          <w:tcPr>
            <w:tcW w:w="56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(loss)/income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(1,129,489)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29,967</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loss to net cash (used in)/provided by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5,363</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Amortisation of right-of-use asset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101,099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5,996</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tax benefit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71,232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(118,779)</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(268,509)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(29,870)</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166,358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51,491</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461,128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192,935</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27,869</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Amounts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(10,399)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30,445</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(127,196)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(5,995)</w:t>
            </w: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249,052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54,678</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244,100</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(73,885)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(53,313)</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524,560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Proceeds from long-term bank loans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652,789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48,370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(4,665)</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748,533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44,650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(239,357)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(22,325)</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66,030</w:t>
            </w:r>
          </w:p>
        </w:tc>
        <w:tc>
          <w:tcPr>
            <w:tcW w:w="1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(22,754)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(861)</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255,956</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17,637</w:t>
            </w:r>
          </w:p>
        </w:tc>
      </w:tr>
      <w:tr>
        <w:trPr>
          <w:trHeight w:val="284"/>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year</w:t>
            </w: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273,593</w:t>
            </w:r>
          </w:p>
        </w:tc>
        <w:tc>
          <w:tcPr>
            <w:tcW w:w="140" w:type="dxa"/>
            <w:vAlign w:val="bottom"/>
            <w:tcBorders>
              <w:bottom w:val="single" w:sz="8" w:color="CCEEFF"/>
            </w:tcBorders>
          </w:tcPr>
          <w:p>
            <w:pPr>
              <w:spacing w:after="0"/>
              <w:rPr>
                <w:sz w:val="24"/>
                <w:szCs w:val="24"/>
                <w:color w:val="auto"/>
              </w:rPr>
            </w:pPr>
          </w:p>
        </w:tc>
      </w:tr>
      <w:tr>
        <w:trPr>
          <w:trHeight w:val="270"/>
        </w:trPr>
        <w:tc>
          <w:tcPr>
            <w:tcW w:w="5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48,978</w:t>
            </w:r>
          </w:p>
        </w:tc>
        <w:tc>
          <w:tcPr>
            <w:tcW w:w="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17,813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745</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Obtaining right-of-use assets in exchange for 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1,561,203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42,510</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Contribution from shareholder (Note 11)</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(36,266)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47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1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Company was incorporated under the law of Cayman Islands as an exempted company with limited liability on June 12, 2023.</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103"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Trident Digital Tech Pte. Ltd. (“Trident”) was incorporated on May 10, 2022 in Singapore. It has not started business as of December 31,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Reorganization</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In anticipation of an initial public offering (“IPO”) of its equity securities, the Company undertook a reorganization (the “Reorganization”), which involved in following steps:</w:t>
      </w:r>
    </w:p>
    <w:p>
      <w:pPr>
        <w:spacing w:after="0" w:line="103" w:lineRule="exact"/>
        <w:rPr>
          <w:sz w:val="20"/>
          <w:szCs w:val="20"/>
          <w:color w:val="auto"/>
        </w:rPr>
      </w:pPr>
    </w:p>
    <w:p>
      <w:pPr>
        <w:ind w:left="880" w:right="479"/>
        <w:spacing w:after="0" w:line="466" w:lineRule="auto"/>
        <w:rPr>
          <w:sz w:val="20"/>
          <w:szCs w:val="20"/>
          <w:color w:val="auto"/>
        </w:rPr>
      </w:pPr>
      <w:r>
        <w:rPr>
          <w:rFonts w:ascii="Arial" w:cs="Arial" w:eastAsia="Arial" w:hAnsi="Arial"/>
          <w:sz w:val="16"/>
          <w:szCs w:val="16"/>
          <w:color w:val="auto"/>
        </w:rPr>
        <w:t>On July 3, 2023, the Company acquired 100% of the equity interests in QZT from its original shareholder; On July 4, 2023, QZT acquired 100% of the equity interests in Trident from its original shareholder;</w:t>
      </w:r>
    </w:p>
    <w:p>
      <w:pPr>
        <w:spacing w:after="0" w:line="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Effective on July 4, 2023, the Company became the ultimate holding company of QZT and Trident, which were all controlled by the same shareholder before and after the Reorganization.</w:t>
      </w:r>
    </w:p>
    <w:p>
      <w:pPr>
        <w:spacing w:after="0" w:line="103"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2" w:lineRule="exact"/>
        <w:rPr>
          <w:sz w:val="20"/>
          <w:szCs w:val="20"/>
          <w:color w:val="auto"/>
        </w:rPr>
      </w:pPr>
    </w:p>
    <w:p>
      <w:pPr>
        <w:ind w:left="860" w:hanging="406"/>
        <w:spacing w:after="0"/>
        <w:tabs>
          <w:tab w:leader="none" w:pos="8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20"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14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provision of allowance for doubtful accounts as of December 31,2022 and 2021.</w:t>
      </w:r>
    </w:p>
    <w:p>
      <w:pPr>
        <w:spacing w:after="0" w:line="158" w:lineRule="exact"/>
        <w:rPr>
          <w:sz w:val="20"/>
          <w:szCs w:val="20"/>
          <w:color w:val="auto"/>
        </w:rPr>
      </w:pPr>
    </w:p>
    <w:p>
      <w:pPr>
        <w:ind w:left="1320" w:hanging="434"/>
        <w:spacing w:after="0"/>
        <w:tabs>
          <w:tab w:leader="none" w:pos="132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Category</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89"/>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53"/>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53"/>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0" w:lineRule="exact"/>
        <w:rPr>
          <w:sz w:val="20"/>
          <w:szCs w:val="20"/>
          <w:color w:val="auto"/>
        </w:rPr>
      </w:pPr>
    </w:p>
    <w:p>
      <w:pPr>
        <w:ind w:left="1300" w:hanging="414"/>
        <w:spacing w:after="0"/>
        <w:tabs>
          <w:tab w:leader="none" w:pos="1300"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adopted ASC 842 on January 1, 2021.</w:t>
      </w:r>
    </w:p>
    <w:p>
      <w:pPr>
        <w:spacing w:after="0" w:line="14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99"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5" w:lineRule="auto"/>
        <w:rPr>
          <w:sz w:val="20"/>
          <w:szCs w:val="20"/>
          <w:color w:val="auto"/>
        </w:rPr>
      </w:pPr>
      <w:r>
        <w:rPr>
          <w:rFonts w:ascii="Arial" w:cs="Arial" w:eastAsia="Arial" w:hAnsi="Arial"/>
          <w:sz w:val="17"/>
          <w:szCs w:val="17"/>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0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Group determines whether a contract is or contains a lease at inception of the contract and whether that lease meets the classification criteria of a finance or operating lease.</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Group’s lease agreements do not contain any material residual value guarantees or material restrictive covenants.</w:t>
      </w:r>
    </w:p>
    <w:p>
      <w:pPr>
        <w:spacing w:after="0" w:line="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10" w:lineRule="exact"/>
        <w:rPr>
          <w:sz w:val="20"/>
          <w:szCs w:val="20"/>
          <w:color w:val="auto"/>
        </w:rPr>
      </w:pPr>
    </w:p>
    <w:p>
      <w:pPr>
        <w:ind w:left="880" w:right="799"/>
        <w:spacing w:after="0" w:line="414" w:lineRule="auto"/>
        <w:rPr>
          <w:sz w:val="20"/>
          <w:szCs w:val="20"/>
          <w:color w:val="auto"/>
        </w:rPr>
      </w:pPr>
      <w:r>
        <w:rPr>
          <w:rFonts w:ascii="Arial" w:cs="Arial" w:eastAsia="Arial" w:hAnsi="Arial"/>
          <w:sz w:val="18"/>
          <w:szCs w:val="18"/>
          <w:color w:val="auto"/>
        </w:rPr>
        <w:t xml:space="preserve">No impairment of long-lived assets was recognized for the years ended December 31, 2022 and 2021. </w:t>
      </w:r>
      <w:r>
        <w:rPr>
          <w:rFonts w:ascii="Arial" w:cs="Arial" w:eastAsia="Arial" w:hAnsi="Arial"/>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20" w:lineRule="exact"/>
        <w:rPr>
          <w:sz w:val="20"/>
          <w:szCs w:val="20"/>
          <w:color w:val="auto"/>
        </w:rPr>
      </w:pPr>
    </w:p>
    <w:p>
      <w:pPr>
        <w:ind w:left="1320" w:right="499" w:hanging="434"/>
        <w:spacing w:after="0" w:line="277" w:lineRule="auto"/>
        <w:tabs>
          <w:tab w:leader="none" w:pos="13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89" w:lineRule="exact"/>
        <w:rPr>
          <w:rFonts w:ascii="Arial" w:cs="Arial" w:eastAsia="Arial" w:hAnsi="Arial"/>
          <w:sz w:val="18"/>
          <w:szCs w:val="18"/>
          <w:color w:val="auto"/>
        </w:rPr>
      </w:pPr>
    </w:p>
    <w:p>
      <w:pPr>
        <w:ind w:left="1320" w:right="659" w:hanging="434"/>
        <w:spacing w:after="0" w:line="259" w:lineRule="auto"/>
        <w:tabs>
          <w:tab w:leader="none" w:pos="13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4" w:lineRule="exact"/>
        <w:rPr>
          <w:sz w:val="20"/>
          <w:szCs w:val="20"/>
          <w:color w:val="auto"/>
        </w:rPr>
      </w:pPr>
    </w:p>
    <w:p>
      <w:pPr>
        <w:ind w:left="1280" w:hanging="394"/>
        <w:spacing w:after="0"/>
        <w:tabs>
          <w:tab w:leader="none" w:pos="12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9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96"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years ended December 31, 2022 and 2021:</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396,637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1,262,899</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6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20"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December 31, 2022 and 2021.</w:t>
      </w:r>
    </w:p>
    <w:p>
      <w:pPr>
        <w:spacing w:after="0" w:line="43" w:lineRule="exact"/>
        <w:rPr>
          <w:sz w:val="20"/>
          <w:szCs w:val="20"/>
          <w:color w:val="auto"/>
        </w:rPr>
      </w:pPr>
    </w:p>
    <w:p>
      <w:pPr>
        <w:ind w:left="1280" w:hanging="394"/>
        <w:spacing w:after="0"/>
        <w:tabs>
          <w:tab w:leader="none" w:pos="12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of revenue</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Cost of revenue mainly comprised of direct labor costs, service fee paid to service suppliers, commission cost and generic cost.</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16"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84"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0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94"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The Group does not expect that its assessment regarding unrecognized tax positions will materially change over the next 12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280" w:hanging="394"/>
        <w:spacing w:after="0"/>
        <w:tabs>
          <w:tab w:leader="none" w:pos="12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Goods and services taxes</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  Employee benefits</w:t>
      </w:r>
    </w:p>
    <w:p>
      <w:pPr>
        <w:spacing w:after="0" w:line="15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4"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44"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81"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97"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r>
      <w:tr>
        <w:trPr>
          <w:trHeight w:val="364"/>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 the Years Ended</w:t>
            </w:r>
          </w:p>
        </w:tc>
      </w:t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Comprehensive income</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106"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Loss/income per share</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1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Segment reporting</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0" w:lineRule="exact"/>
        <w:rPr>
          <w:sz w:val="20"/>
          <w:szCs w:val="20"/>
          <w:color w:val="auto"/>
        </w:rPr>
      </w:pPr>
    </w:p>
    <w:p>
      <w:pPr>
        <w:ind w:left="1300" w:hanging="414"/>
        <w:spacing w:after="0"/>
        <w:tabs>
          <w:tab w:leader="none" w:pos="130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44"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0" w:lineRule="exact"/>
        <w:rPr>
          <w:sz w:val="20"/>
          <w:szCs w:val="20"/>
          <w:color w:val="auto"/>
        </w:rPr>
      </w:pPr>
    </w:p>
    <w:p>
      <w:pPr>
        <w:ind w:left="1300" w:hanging="414"/>
        <w:spacing w:after="0"/>
        <w:tabs>
          <w:tab w:leader="none" w:pos="130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11"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799"/>
        <w:spacing w:after="0" w:line="291" w:lineRule="auto"/>
        <w:rPr>
          <w:sz w:val="20"/>
          <w:szCs w:val="20"/>
          <w:color w:val="auto"/>
        </w:rPr>
      </w:pPr>
      <w:r>
        <w:rPr>
          <w:rFonts w:ascii="Arial" w:cs="Arial" w:eastAsia="Arial" w:hAnsi="Arial"/>
          <w:sz w:val="16"/>
          <w:szCs w:val="16"/>
          <w:color w:val="auto"/>
        </w:rPr>
        <w:t>FASB issued ASU No. 2018-19, Codification Improvements to Topic 326, to clarify that receivables arising from operating leases are within the scope of lease accounting standards. Further, the FASB issued ASU</w:t>
      </w:r>
    </w:p>
    <w:p>
      <w:pPr>
        <w:ind w:left="460" w:right="499"/>
        <w:spacing w:after="0" w:line="292" w:lineRule="auto"/>
        <w:rPr>
          <w:sz w:val="20"/>
          <w:szCs w:val="20"/>
          <w:color w:val="auto"/>
        </w:rPr>
      </w:pPr>
      <w:r>
        <w:rPr>
          <w:rFonts w:ascii="Arial" w:cs="Arial" w:eastAsia="Arial" w:hAnsi="Arial"/>
          <w:sz w:val="16"/>
          <w:szCs w:val="16"/>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9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53" w:lineRule="exact"/>
        <w:rPr>
          <w:sz w:val="20"/>
          <w:szCs w:val="20"/>
          <w:color w:val="auto"/>
        </w:rPr>
      </w:pPr>
    </w:p>
    <w:p>
      <w:pPr>
        <w:ind w:left="860" w:hanging="406"/>
        <w:spacing w:after="0"/>
        <w:tabs>
          <w:tab w:leader="none" w:pos="8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47,547</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522" w:lineRule="auto"/>
        <w:tabs>
          <w:tab w:leader="none" w:pos="853"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141,851</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5.</w:t>
            </w:r>
          </w:p>
        </w:tc>
        <w:tc>
          <w:tcPr>
            <w:tcW w:w="5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106,718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(cont.)</w:t>
      </w:r>
    </w:p>
    <w:p>
      <w:pPr>
        <w:spacing w:after="0" w:line="189"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$16,867 and $5,363 for the years ended December 31, 2022 and 2021,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522" w:lineRule="auto"/>
        <w:tabs>
          <w:tab w:leader="none" w:pos="853"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303,730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8" w:lineRule="exact"/>
        <w:rPr>
          <w:sz w:val="20"/>
          <w:szCs w:val="20"/>
          <w:color w:val="auto"/>
        </w:rPr>
      </w:pPr>
    </w:p>
    <w:p>
      <w:pPr>
        <w:ind w:left="860" w:hanging="406"/>
        <w:spacing w:after="0"/>
        <w:tabs>
          <w:tab w:leader="none" w:pos="8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30"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maturity of lease liabilities under operating leases as of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345,255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358,818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227,798</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1,649,507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181,521</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277,699</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1,190,287</w:t>
            </w:r>
          </w:p>
        </w:tc>
      </w:tr>
    </w:tbl>
    <w:p>
      <w:pPr>
        <w:spacing w:after="0" w:line="23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99"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4,793</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
        </w:trPr>
        <w:tc>
          <w:tcPr>
            <w:tcW w:w="5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of December 31, 2022 and 2021, the significant components of the deferred tax assets are summarized below: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Arial" w:cs="Arial" w:eastAsia="Arial" w:hAnsi="Arial"/>
                <w:sz w:val="16"/>
                <w:szCs w:val="16"/>
                <w:b w:val="1"/>
                <w:bCs w:val="1"/>
                <w:color w:val="auto"/>
              </w:rPr>
              <w:t>As of December 31,</w:t>
            </w:r>
          </w:p>
        </w:tc>
      </w:tr>
      <w:tr>
        <w:trPr>
          <w:trHeight w:val="46"/>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164,313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6,214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8,038</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238,081</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73" w:lineRule="auto"/>
        <w:rPr>
          <w:sz w:val="20"/>
          <w:szCs w:val="20"/>
          <w:color w:val="auto"/>
        </w:rPr>
      </w:pPr>
      <w:r>
        <w:rPr>
          <w:rFonts w:ascii="Arial" w:cs="Arial" w:eastAsia="Arial" w:hAnsi="Arial"/>
          <w:sz w:val="17"/>
          <w:szCs w:val="17"/>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4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2022 and 2021, summary of the borrowings is as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term</w:t>
            </w: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Interest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Principal</w:t>
            </w:r>
          </w:p>
        </w:tc>
        <w:tc>
          <w:tcPr>
            <w:tcW w:w="600" w:type="dxa"/>
            <w:vAlign w:val="bottom"/>
            <w:gridSpan w:val="2"/>
            <w:vMerge w:val="continue"/>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(current</w:t>
            </w:r>
          </w:p>
        </w:tc>
        <w:tc>
          <w:tcPr>
            <w:tcW w:w="5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86"/>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portions)</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term</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USD</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USD</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4"/>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6"/>
                <w:szCs w:val="16"/>
                <w:color w:val="auto"/>
              </w:rPr>
              <w:t>OCBC Bank</w:t>
            </w:r>
          </w:p>
        </w:tc>
        <w:tc>
          <w:tcPr>
            <w:tcW w:w="2780" w:type="dxa"/>
            <w:vAlign w:val="bottom"/>
            <w:gridSpan w:val="6"/>
          </w:tcPr>
          <w:p>
            <w:pPr>
              <w:ind w:left="80"/>
              <w:spacing w:after="0"/>
              <w:rPr>
                <w:sz w:val="20"/>
                <w:szCs w:val="20"/>
                <w:color w:val="auto"/>
              </w:rPr>
            </w:pPr>
            <w:r>
              <w:rPr>
                <w:rFonts w:ascii="Arial" w:cs="Arial" w:eastAsia="Arial" w:hAnsi="Arial"/>
                <w:sz w:val="16"/>
                <w:szCs w:val="16"/>
                <w:color w:val="auto"/>
                <w:w w:val="92"/>
              </w:rPr>
              <w:t>4.25% September 2021 September 2026</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25,888</w:t>
            </w:r>
          </w:p>
        </w:tc>
        <w:tc>
          <w:tcPr>
            <w:tcW w:w="520" w:type="dxa"/>
            <w:vAlign w:val="bottom"/>
          </w:tcPr>
          <w:p>
            <w:pPr>
              <w:jc w:val="right"/>
              <w:spacing w:after="0"/>
              <w:rPr>
                <w:sz w:val="20"/>
                <w:szCs w:val="20"/>
                <w:color w:val="auto"/>
              </w:rPr>
            </w:pPr>
            <w:r>
              <w:rPr>
                <w:rFonts w:ascii="Arial" w:cs="Arial" w:eastAsia="Arial" w:hAnsi="Arial"/>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Arial" w:cs="Arial" w:eastAsia="Arial" w:hAnsi="Arial"/>
                <w:sz w:val="16"/>
                <w:szCs w:val="16"/>
                <w:color w:val="auto"/>
              </w:rPr>
              <w:t>Maybank Singapore Limited</w:t>
            </w: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2022</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2027</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298,418</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55,243</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6"/>
              </w:rPr>
              <w:t>719,518</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expenses were $17,813 and $745 for the years ended December 31, 2022 and 2021, respectively.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December 31, 2022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67"/>
              <w:spacing w:after="0"/>
              <w:rPr>
                <w:sz w:val="20"/>
                <w:szCs w:val="20"/>
                <w:color w:val="auto"/>
              </w:rPr>
            </w:pPr>
            <w:r>
              <w:rPr>
                <w:rFonts w:ascii="Arial" w:cs="Arial" w:eastAsia="Arial" w:hAnsi="Arial"/>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income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73,888</w:t>
            </w: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Non-refundable service fee from terminated consulting projects</w:t>
            </w:r>
            <w:r>
              <w:rPr>
                <w:rFonts w:ascii="Arial" w:cs="Arial" w:eastAsia="Arial" w:hAnsi="Arial"/>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136,576</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619" w:hanging="426"/>
        <w:spacing w:after="0" w:line="303" w:lineRule="auto"/>
        <w:tabs>
          <w:tab w:leader="none" w:pos="8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Arial" w:cs="Arial" w:eastAsia="Arial" w:hAnsi="Arial"/>
          <w:sz w:val="14"/>
          <w:szCs w:val="14"/>
          <w:color w:val="auto"/>
        </w:rPr>
      </w:pPr>
    </w:p>
    <w:p>
      <w:pPr>
        <w:ind w:left="880" w:right="779" w:hanging="426"/>
        <w:spacing w:after="0" w:line="288" w:lineRule="auto"/>
        <w:tabs>
          <w:tab w:leader="none" w:pos="8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Group record referral fees as other income when other consulting services providers successfully engaged by customer and paid the Group referral fee.</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3300" w:type="dxa"/>
            <w:vAlign w:val="bottom"/>
            <w:gridSpan w:val="3"/>
          </w:tcPr>
          <w:p>
            <w:pPr>
              <w:ind w:left="580"/>
              <w:spacing w:after="0"/>
              <w:rPr>
                <w:sz w:val="20"/>
                <w:szCs w:val="20"/>
                <w:color w:val="auto"/>
              </w:rPr>
            </w:pPr>
            <w:r>
              <w:rPr>
                <w:rFonts w:ascii="Arial" w:cs="Arial" w:eastAsia="Arial" w:hAnsi="Arial"/>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Arial" w:cs="Arial" w:eastAsia="Arial" w:hAnsi="Arial"/>
                <w:sz w:val="16"/>
                <w:szCs w:val="16"/>
                <w:b w:val="1"/>
                <w:bCs w:val="1"/>
                <w:color w:val="auto"/>
                <w:w w:val="92"/>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00" w:type="dxa"/>
            <w:vAlign w:val="bottom"/>
          </w:tcPr>
          <w:p>
            <w:pPr>
              <w:ind w:left="100"/>
              <w:spacing w:after="0"/>
              <w:rPr>
                <w:sz w:val="20"/>
                <w:szCs w:val="20"/>
                <w:color w:val="auto"/>
              </w:rPr>
            </w:pPr>
            <w:r>
              <w:rPr>
                <w:rFonts w:ascii="Arial" w:cs="Arial" w:eastAsia="Arial" w:hAnsi="Arial"/>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Arial" w:cs="Arial" w:eastAsia="Arial" w:hAnsi="Arial"/>
                <w:sz w:val="18"/>
                <w:szCs w:val="18"/>
                <w:color w:val="auto"/>
                <w:w w:val="91"/>
              </w:rPr>
              <w:t>Founder, Chairman, Chief Executive Officer</w:t>
            </w:r>
          </w:p>
        </w:tc>
        <w:tc>
          <w:tcPr>
            <w:tcW w:w="0" w:type="dxa"/>
            <w:vAlign w:val="bottom"/>
          </w:tcPr>
          <w:p>
            <w:pPr>
              <w:spacing w:after="0"/>
              <w:rPr>
                <w:sz w:val="1"/>
                <w:szCs w:val="1"/>
                <w:color w:val="auto"/>
              </w:rPr>
            </w:pPr>
          </w:p>
        </w:tc>
      </w:tr>
      <w:tr>
        <w:trPr>
          <w:trHeight w:val="256"/>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300" w:type="dxa"/>
            <w:vAlign w:val="bottom"/>
            <w:gridSpan w:val="3"/>
          </w:tcPr>
          <w:p>
            <w:pPr>
              <w:spacing w:after="0"/>
              <w:rPr>
                <w:sz w:val="20"/>
                <w:szCs w:val="20"/>
                <w:color w:val="auto"/>
              </w:rPr>
            </w:pPr>
            <w:r>
              <w:rPr>
                <w:rFonts w:ascii="Arial" w:cs="Arial" w:eastAsia="Arial" w:hAnsi="Arial"/>
                <w:sz w:val="18"/>
                <w:szCs w:val="18"/>
                <w:color w:val="auto"/>
              </w:rPr>
              <w:t>Poh Kiong Tan</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3"/>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3300" w:type="dxa"/>
            <w:vAlign w:val="bottom"/>
            <w:gridSpan w:val="3"/>
          </w:tcPr>
          <w:p>
            <w:pPr>
              <w:spacing w:after="0"/>
              <w:rPr>
                <w:sz w:val="20"/>
                <w:szCs w:val="20"/>
                <w:color w:val="auto"/>
              </w:rPr>
            </w:pPr>
            <w:r>
              <w:rPr>
                <w:rFonts w:ascii="Arial" w:cs="Arial" w:eastAsia="Arial" w:hAnsi="Arial"/>
                <w:sz w:val="18"/>
                <w:szCs w:val="18"/>
                <w:color w:val="auto"/>
              </w:rPr>
              <w:t>Trident Consultancy Pte. Ltd.</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1"/>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526,263</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59" w:hanging="426"/>
        <w:spacing w:after="0" w:line="266"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Related party transactions</w:t>
            </w: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87,039</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44,650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43,376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59" w:hanging="426"/>
        <w:spacing w:after="0" w:line="266" w:lineRule="auto"/>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the year ended December 31, 2022, QZT received contribution from Poh Kiong Tan. The contribution was implemented to reduce the outstanding balance due to Poh Kiong Tan by $36,266.</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the year ended December 31, 2022, QZT declared dividend to Soon Huat Lim.</w:t>
      </w:r>
    </w:p>
    <w:p>
      <w:pPr>
        <w:spacing w:after="0" w:line="22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ORDINARY SHARES</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7"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As of December 31, 2022 and 2021, subscription receivable on the consolidated balance sheets represented the unrecovered consideration of the nil and 410,205,000 ordinary shares issued by the Company.</w:t>
      </w:r>
    </w:p>
    <w:p>
      <w:pPr>
        <w:spacing w:after="0" w:line="7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46355</wp:posOffset>
            </wp:positionV>
            <wp:extent cx="15944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4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46355</wp:posOffset>
            </wp:positionV>
            <wp:extent cx="16033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100"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8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18"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CONDENSED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Arial" w:cs="Arial" w:eastAsia="Arial" w:hAnsi="Arial"/>
                <w:sz w:val="16"/>
                <w:szCs w:val="16"/>
                <w:b w:val="1"/>
                <w:bCs w:val="1"/>
                <w:color w:val="auto"/>
                <w:w w:val="79"/>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2" w:lineRule="exact"/>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424,868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5"/>
              </w:rPr>
              <w:t>11,093,048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shares and per share information are presented on a retroactive basis to reflect the reorganization.</w:t>
      </w:r>
    </w:p>
    <w:p>
      <w:pPr>
        <w:spacing w:after="0" w:line="14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Ordinary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(deficit)</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(loss)/income</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equity/(deficit)</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(4,102</w:t>
            </w: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(306</w:t>
            </w: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June 30, 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(311,036)</w:t>
            </w:r>
          </w:p>
        </w:tc>
        <w:tc>
          <w:tcPr>
            <w:tcW w:w="0" w:type="dxa"/>
            <w:vAlign w:val="bottom"/>
          </w:tcPr>
          <w:p>
            <w:pPr>
              <w:spacing w:after="0"/>
              <w:rPr>
                <w:sz w:val="1"/>
                <w:szCs w:val="1"/>
                <w:color w:val="auto"/>
              </w:rPr>
            </w:pPr>
          </w:p>
        </w:tc>
      </w:tr>
      <w:tr>
        <w:trPr>
          <w:trHeight w:val="271"/>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(1,323,341</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(37,788</w:t>
            </w:r>
            <w:r>
              <w:rPr>
                <w:rFonts w:ascii="Arial" w:cs="Arial" w:eastAsia="Arial" w:hAnsi="Arial"/>
                <w:sz w:val="16"/>
                <w:szCs w:val="16"/>
                <w:color w:val="auto"/>
                <w:w w:val="97"/>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(1,324,787)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(1,861,412)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(1,861,412)</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w w:val="92"/>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(3,259,598</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(2,935</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(3,226,191</w:t>
            </w:r>
            <w:r>
              <w:rPr>
                <w:rFonts w:ascii="Arial" w:cs="Arial" w:eastAsia="Arial" w:hAnsi="Arial"/>
                <w:sz w:val="16"/>
                <w:szCs w:val="16"/>
                <w:color w:val="auto"/>
                <w:w w:val="90"/>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-398780</wp:posOffset>
            </wp:positionV>
            <wp:extent cx="28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UNAUDITED CONDENSED CONSOLIDATED STATEMENTS OF CASH FLOWS (In U.S. dollars, except for share and per share data, or otherwise noted)</w:t>
      </w:r>
    </w:p>
    <w:p>
      <w:pPr>
        <w:spacing w:after="0" w:line="140"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(2,380,926)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(113,439)</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9"/>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80" w:lineRule="exact"/>
        <w:rPr>
          <w:sz w:val="20"/>
          <w:szCs w:val="20"/>
          <w:color w:val="auto"/>
        </w:rPr>
      </w:pPr>
    </w:p>
    <w:p>
      <w:pPr>
        <w:ind w:left="860" w:hanging="406"/>
        <w:spacing w:after="0"/>
        <w:tabs>
          <w:tab w:leader="none" w:pos="8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1"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9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1" w:lineRule="exact"/>
        <w:rPr>
          <w:sz w:val="20"/>
          <w:szCs w:val="20"/>
          <w:color w:val="auto"/>
        </w:rPr>
      </w:pPr>
    </w:p>
    <w:p>
      <w:pPr>
        <w:ind w:left="460" w:right="559"/>
        <w:spacing w:after="0" w:line="269" w:lineRule="auto"/>
        <w:rPr>
          <w:sz w:val="20"/>
          <w:szCs w:val="20"/>
          <w:color w:val="auto"/>
        </w:rPr>
      </w:pPr>
      <w:r>
        <w:rPr>
          <w:rFonts w:ascii="Arial" w:cs="Arial" w:eastAsia="Arial" w:hAnsi="Arial"/>
          <w:sz w:val="17"/>
          <w:szCs w:val="17"/>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1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jc w:val="center"/>
        <w:ind w:left="2160" w:right="160"/>
        <w:spacing w:after="0" w:line="481" w:lineRule="auto"/>
        <w:rPr>
          <w:sz w:val="20"/>
          <w:szCs w:val="20"/>
          <w:color w:val="auto"/>
        </w:rPr>
      </w:pPr>
      <w:r>
        <w:rPr>
          <w:rFonts w:ascii="Arial" w:cs="Arial" w:eastAsia="Arial" w:hAnsi="Arial"/>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83"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44"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03"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1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six months ended June 30, 2023 and 2022:</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272,874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481,165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44"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June 30, 2023 and December 31, 2022.</w:t>
      </w:r>
    </w:p>
    <w:p>
      <w:pPr>
        <w:spacing w:after="0" w:line="4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58"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6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90"/>
              </w:rPr>
              <w:t>June 30,</w:t>
            </w:r>
          </w:p>
        </w:tc>
        <w:tc>
          <w:tcPr>
            <w:tcW w:w="12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20" w:hanging="434"/>
        <w:spacing w:after="0"/>
        <w:tabs>
          <w:tab w:leader="none" w:pos="132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58"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00" w:hanging="414"/>
        <w:spacing w:after="0"/>
        <w:tabs>
          <w:tab w:leader="none" w:pos="130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offering costs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97"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860" w:hanging="406"/>
        <w:spacing w:after="0"/>
        <w:tabs>
          <w:tab w:leader="none" w:pos="8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522" w:lineRule="auto"/>
        <w:tabs>
          <w:tab w:leader="none" w:pos="853"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w w:val="93"/>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166,436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$18,837 and $5,663 for the six months ended June 30, 2023 and 2022,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522" w:lineRule="auto"/>
        <w:tabs>
          <w:tab w:leader="none" w:pos="853"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230,694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5"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85"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200,292</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maturity of lease liabilities under operating leases as of June 30,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Operating</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156,754</w:t>
            </w:r>
          </w:p>
        </w:tc>
        <w:tc>
          <w:tcPr>
            <w:tcW w:w="20" w:type="dxa"/>
            <w:vAlign w:val="bottom"/>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1,521,638</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378,056</w:t>
            </w:r>
          </w:p>
        </w:tc>
        <w:tc>
          <w:tcPr>
            <w:tcW w:w="20" w:type="dxa"/>
            <w:vAlign w:val="bottom"/>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85"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As of June 30, 2023 and December 31, 2022, the significant components of the deferred tax assets are summarized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w w:val="79"/>
              </w:rPr>
              <w:t>As of</w:t>
            </w: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2" w:lineRule="exact"/>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562,071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249,558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(238,081)</w:t>
            </w: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286,981</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Arial" w:cs="Arial" w:eastAsia="Arial" w:hAnsi="Arial"/>
          <w:sz w:val="18"/>
          <w:szCs w:val="18"/>
          <w:color w:val="auto"/>
        </w:rPr>
        <w:t>(92,998)</w:t>
      </w:r>
      <w:r>
        <w:rPr>
          <w:sz w:val="20"/>
          <w:szCs w:val="20"/>
          <w:color w:val="auto"/>
        </w:rPr>
        <w:tab/>
      </w:r>
      <w:r>
        <w:rPr>
          <w:rFonts w:ascii="Arial" w:cs="Arial" w:eastAsia="Arial" w:hAnsi="Arial"/>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Arial" w:cs="Arial" w:eastAsia="Arial" w:hAnsi="Arial"/>
          <w:sz w:val="18"/>
          <w:szCs w:val="18"/>
          <w:color w:val="auto"/>
        </w:rPr>
        <w:t>(261,815)</w:t>
      </w:r>
      <w:r>
        <w:rPr>
          <w:sz w:val="20"/>
          <w:szCs w:val="20"/>
          <w:color w:val="auto"/>
        </w:rPr>
        <w:tab/>
      </w:r>
      <w:r>
        <w:rPr>
          <w:rFonts w:ascii="Arial" w:cs="Arial" w:eastAsia="Arial" w:hAnsi="Arial"/>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Arial" w:cs="Arial" w:eastAsia="Arial" w:hAnsi="Arial"/>
          <w:sz w:val="18"/>
          <w:szCs w:val="18"/>
          <w:color w:val="auto"/>
        </w:rPr>
        <w:t>(12,277)</w:t>
      </w:r>
      <w:r>
        <w:rPr>
          <w:sz w:val="20"/>
          <w:szCs w:val="20"/>
          <w:color w:val="auto"/>
        </w:rPr>
        <w:tab/>
      </w:r>
      <w:r>
        <w:rPr>
          <w:rFonts w:ascii="Arial" w:cs="Arial" w:eastAsia="Arial" w:hAnsi="Arial"/>
          <w:sz w:val="16"/>
          <w:szCs w:val="16"/>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Arial" w:cs="Arial" w:eastAsia="Arial" w:hAnsi="Arial"/>
          <w:sz w:val="18"/>
          <w:szCs w:val="18"/>
          <w:b w:val="1"/>
          <w:bCs w:val="1"/>
          <w:color w:val="auto"/>
        </w:rPr>
        <w:t>$</w:t>
        <w:tab/>
        <w:t>(367,090)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(286,981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240030</wp:posOffset>
            </wp:positionV>
            <wp:extent cx="5143500" cy="180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51435</wp:posOffset>
            </wp:positionV>
            <wp:extent cx="1482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43180</wp:posOffset>
            </wp:positionV>
            <wp:extent cx="1482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620" w:space="720"/>
            <w:col w:w="4679"/>
          </w:cols>
          <w:pgMar w:left="1440" w:top="274" w:right="1440" w:bottom="1440" w:gutter="0" w:footer="0" w:header="0"/>
          <w:type w:val="continuous"/>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630,695</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6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June 30, 2023 and December 31, 2022, summary of the borrowings is as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0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1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(current</w:t>
            </w:r>
          </w:p>
        </w:tc>
        <w:tc>
          <w:tcPr>
            <w:tcW w:w="1000" w:type="dxa"/>
            <w:vAlign w:val="bottom"/>
            <w:gridSpan w:val="3"/>
            <w:vMerge w:val="restart"/>
          </w:tcPr>
          <w:p>
            <w:pPr>
              <w:jc w:val="center"/>
              <w:ind w:right="113"/>
              <w:spacing w:after="0"/>
              <w:rPr>
                <w:sz w:val="20"/>
                <w:szCs w:val="20"/>
                <w:color w:val="auto"/>
              </w:rPr>
            </w:pPr>
            <w:r>
              <w:rPr>
                <w:rFonts w:ascii="Arial" w:cs="Arial" w:eastAsia="Arial" w:hAnsi="Arial"/>
                <w:sz w:val="14"/>
                <w:szCs w:val="14"/>
                <w:b w:val="1"/>
                <w:bCs w:val="1"/>
                <w:color w:val="auto"/>
                <w:w w:val="95"/>
              </w:rPr>
              <w:t>Long-term</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86"/>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5"/>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1000" w:type="dxa"/>
            <w:vAlign w:val="bottom"/>
            <w:gridSpan w:val="3"/>
          </w:tcPr>
          <w:p>
            <w:pPr>
              <w:jc w:val="center"/>
              <w:ind w:right="133"/>
              <w:spacing w:after="0"/>
              <w:rPr>
                <w:sz w:val="20"/>
                <w:szCs w:val="20"/>
                <w:color w:val="auto"/>
              </w:rPr>
            </w:pPr>
            <w:r>
              <w:rPr>
                <w:rFonts w:ascii="Arial" w:cs="Arial" w:eastAsia="Arial" w:hAnsi="Arial"/>
                <w:sz w:val="14"/>
                <w:szCs w:val="14"/>
                <w:b w:val="1"/>
                <w:bCs w:val="1"/>
                <w:color w:val="auto"/>
                <w:w w:val="94"/>
              </w:rPr>
              <w:t>USD</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Arial" w:cs="Arial" w:eastAsia="Arial" w:hAnsi="Arial"/>
                <w:sz w:val="14"/>
                <w:szCs w:val="14"/>
                <w:color w:val="auto"/>
              </w:rPr>
              <w:t>OCBC Bank</w:t>
            </w:r>
          </w:p>
        </w:tc>
        <w:tc>
          <w:tcPr>
            <w:tcW w:w="520" w:type="dxa"/>
            <w:vAlign w:val="bottom"/>
          </w:tcPr>
          <w:p>
            <w:pPr>
              <w:ind w:left="140"/>
              <w:spacing w:after="0"/>
              <w:rPr>
                <w:sz w:val="20"/>
                <w:szCs w:val="20"/>
                <w:color w:val="auto"/>
              </w:rPr>
            </w:pPr>
            <w:r>
              <w:rPr>
                <w:rFonts w:ascii="Arial" w:cs="Arial" w:eastAsia="Arial" w:hAnsi="Arial"/>
                <w:sz w:val="14"/>
                <w:szCs w:val="14"/>
                <w:color w:val="auto"/>
                <w:w w:val="90"/>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September 2021</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September 2026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25,888</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12,379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5,108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Maybank Singapore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0"/>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Interest expenses were $13,394 and $3,143 for the six months ended June 30, 2023 and 2022, respectively.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BORROWINGS </w:t>
      </w:r>
      <w:r>
        <w:rPr>
          <w:rFonts w:ascii="Arial" w:cs="Arial" w:eastAsia="Arial" w:hAnsi="Arial"/>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June 30, 2023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Arial" w:cs="Arial" w:eastAsia="Arial" w:hAnsi="Arial"/>
                <w:sz w:val="16"/>
                <w:szCs w:val="16"/>
                <w:b w:val="1"/>
                <w:bCs w:val="1"/>
                <w:color w:val="auto"/>
                <w:w w:val="95"/>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21,158</w:t>
            </w:r>
          </w:p>
        </w:tc>
        <w:tc>
          <w:tcPr>
            <w:tcW w:w="320" w:type="dxa"/>
            <w:vAlign w:val="bottom"/>
            <w:gridSpan w:val="3"/>
          </w:tcPr>
          <w:p>
            <w:pPr>
              <w:jc w:val="right"/>
              <w:ind w:right="1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619" w:hanging="426"/>
        <w:spacing w:after="0" w:line="293" w:lineRule="auto"/>
        <w:tabs>
          <w:tab w:leader="none" w:pos="8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Group recorded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780" w:type="dxa"/>
            <w:vAlign w:val="bottom"/>
            <w:gridSpan w:val="5"/>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Arial" w:cs="Arial" w:eastAsia="Arial" w:hAnsi="Arial"/>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Arial" w:cs="Arial" w:eastAsia="Arial" w:hAnsi="Arial"/>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Founder, Chairman, Chief Executive Officer</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2"/>
                <w:szCs w:val="22"/>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Poh Kiong Tan</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Consultancy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Foodtech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from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995,563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995,563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balance represented loan to this related party with no fixed term of repayment and interest. The Group has</w:t>
      </w:r>
    </w:p>
    <w:p>
      <w:pPr>
        <w:spacing w:after="0" w:line="34"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w w:val="94"/>
              </w:rPr>
              <w:t>received the $995,563 in September</w:t>
            </w:r>
          </w:p>
        </w:tc>
        <w:tc>
          <w:tcPr>
            <w:tcW w:w="56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163"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40,197</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59" w:hanging="426"/>
        <w:spacing w:after="0" w:line="266" w:lineRule="auto"/>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56,337</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899" w:hanging="426"/>
        <w:spacing w:after="0" w:line="293"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the six months ended June 30, 2022, QZT received contribution from Poh Kiong Tan. The contribution was implemented to reduce the outstanding balance due to Poh Kiong Tan by $36,266.</w:t>
      </w:r>
    </w:p>
    <w:p>
      <w:pPr>
        <w:spacing w:after="0" w:line="16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30" w:lineRule="exact"/>
        <w:rPr>
          <w:sz w:val="20"/>
          <w:szCs w:val="20"/>
          <w:color w:val="auto"/>
        </w:rPr>
      </w:pPr>
    </w:p>
    <w:p>
      <w:pPr>
        <w:jc w:val="center"/>
        <w:ind w:left="552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w w:val="94"/>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w w:val="88"/>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88"/>
              </w:rPr>
              <w:t>14%</w:t>
            </w:r>
          </w:p>
        </w:tc>
      </w:tr>
      <w:tr>
        <w:trPr>
          <w:trHeight w:val="244"/>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31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79"/>
              </w:rPr>
              <w:t>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2"/>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ind w:left="140"/>
              <w:spacing w:after="0" w:line="182" w:lineRule="exact"/>
              <w:rPr>
                <w:sz w:val="20"/>
                <w:szCs w:val="20"/>
                <w:color w:val="auto"/>
              </w:rPr>
            </w:pPr>
            <w:r>
              <w:rPr>
                <w:rFonts w:ascii="Arial" w:cs="Arial" w:eastAsia="Arial" w:hAnsi="Arial"/>
                <w:sz w:val="16"/>
                <w:szCs w:val="16"/>
                <w:b w:val="1"/>
                <w:bCs w:val="1"/>
                <w:color w:val="auto"/>
              </w:rPr>
              <w:t>December 31,</w:t>
            </w:r>
          </w:p>
        </w:tc>
      </w:tr>
      <w:tr>
        <w:trPr>
          <w:trHeight w:val="210"/>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Customer 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45%</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Customer 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w w:val="88"/>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SUBSEQUENT EVENTS</w:t>
      </w:r>
    </w:p>
    <w:p>
      <w:pPr>
        <w:spacing w:after="0" w:line="14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1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81"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indemnification for us and our officers and directors for certain liabilities.</w:t>
      </w:r>
    </w:p>
    <w:p>
      <w:pPr>
        <w:spacing w:after="0" w:line="89"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Date of</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Issuance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499.99999</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Tri Wealth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Yat Hong Lo</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499,990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Alpha Plus Investment Consulting Company Pte.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Shisong Mai</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Choon How Liew</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41"/>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84"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8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Financial Statement Schedules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related notes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 UNDERTAKINGS.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320" w:right="559" w:hanging="434"/>
        <w:spacing w:after="0" w:line="257" w:lineRule="auto"/>
        <w:tabs>
          <w:tab w:leader="none" w:pos="1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sz w:val="20"/>
          <w:szCs w:val="20"/>
          <w:color w:val="auto"/>
        </w:rPr>
      </w:pPr>
    </w:p>
    <w:p>
      <w:pPr>
        <w:ind w:left="1320" w:right="859" w:hanging="434"/>
        <w:spacing w:after="0" w:line="277" w:lineRule="auto"/>
        <w:tabs>
          <w:tab w:leader="none" w:pos="128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320" w:right="1079" w:hanging="434"/>
        <w:spacing w:after="0" w:line="263" w:lineRule="auto"/>
        <w:tabs>
          <w:tab w:leader="none" w:pos="128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2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Trident Digital Tech Holdings Ltd</w:t>
      </w: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Documents</w:t>
      </w:r>
    </w:p>
    <w:p>
      <w:pPr>
        <w:sectPr>
          <w:pgSz w:w="11900" w:h="16838" w:orient="portrait"/>
          <w:cols w:equalWidth="0" w:num="1">
            <w:col w:w="9019"/>
          </w:cols>
          <w:pgMar w:left="1440" w:top="274" w:right="1440"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23.2*</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-139065</wp:posOffset>
            </wp:positionV>
            <wp:extent cx="514350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Memorandum and Articles of Association of the Registrant, as currently in effect</w:t>
      </w:r>
    </w:p>
    <w:p>
      <w:pPr>
        <w:spacing w:after="0" w:line="50"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u w:val="single" w:color="auto"/>
          <w:color w:val="0000EE"/>
        </w:rPr>
        <w:t>Form of Amended and Restated Memorandum and Articles of Association of the Registrant, as effective immediately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-293370</wp:posOffset>
            </wp:positionV>
            <wp:extent cx="5143500" cy="300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Form of Registrant’s Specimen American Depositary Receipt (included in 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Registrant’s Specimen Certificate for Class B ordinary shares</w:t>
      </w:r>
    </w:p>
    <w:p>
      <w:pPr>
        <w:spacing w:after="0" w:line="50" w:lineRule="exact"/>
        <w:rPr>
          <w:sz w:val="20"/>
          <w:szCs w:val="20"/>
          <w:color w:val="auto"/>
        </w:rPr>
      </w:pPr>
    </w:p>
    <w:p>
      <w:pPr>
        <w:ind w:right="719"/>
        <w:spacing w:after="0" w:line="273" w:lineRule="auto"/>
        <w:rPr>
          <w:sz w:val="20"/>
          <w:szCs w:val="20"/>
          <w:color w:val="auto"/>
        </w:rPr>
      </w:pPr>
      <w:r>
        <w:rPr>
          <w:rFonts w:ascii="Arial" w:cs="Arial" w:eastAsia="Arial" w:hAnsi="Arial"/>
          <w:sz w:val="18"/>
          <w:szCs w:val="18"/>
          <w:u w:val="single" w:color="auto"/>
          <w:color w:val="0000EE"/>
        </w:rPr>
        <w:t>Form of Deposit Agreement between the Registrant, the depositary and holders of the American Depositary Receipts</w:t>
      </w:r>
    </w:p>
    <w:p>
      <w:pPr>
        <w:spacing w:after="0" w:line="2" w:lineRule="exact"/>
        <w:rPr>
          <w:sz w:val="20"/>
          <w:szCs w:val="20"/>
          <w:color w:val="auto"/>
        </w:rPr>
      </w:pPr>
    </w:p>
    <w:p>
      <w:pPr>
        <w:ind w:right="779"/>
        <w:spacing w:after="0" w:line="273" w:lineRule="auto"/>
        <w:rPr>
          <w:sz w:val="20"/>
          <w:szCs w:val="20"/>
          <w:color w:val="auto"/>
        </w:rPr>
      </w:pPr>
      <w:r>
        <w:rPr>
          <w:rFonts w:ascii="Arial" w:cs="Arial" w:eastAsia="Arial" w:hAnsi="Arial"/>
          <w:sz w:val="18"/>
          <w:szCs w:val="18"/>
          <w:color w:val="auto"/>
        </w:rPr>
        <w:t>Opinion of Maples and Calder (Hong Kong) LLP regarding the validity of the Class B ordinary shares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sz w:val="20"/>
          <w:szCs w:val="20"/>
          <w:color w:val="auto"/>
        </w:rPr>
      </w:pPr>
      <w:r>
        <w:rPr>
          <w:rFonts w:ascii="Arial" w:cs="Arial" w:eastAsia="Arial" w:hAnsi="Arial"/>
          <w:sz w:val="18"/>
          <w:szCs w:val="18"/>
          <w:color w:val="auto"/>
        </w:rPr>
        <w:t>Opinion of Maples and Calder (Hong Kong) LLP regarding certain Cayman Island tax matters (included in Exhibit 5.1)</w:t>
      </w:r>
    </w:p>
    <w:p>
      <w:pPr>
        <w:spacing w:after="0" w:line="2"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u w:val="single" w:color="auto"/>
          <w:color w:val="0000EE"/>
        </w:rPr>
        <w:t>Opinion of Resource Law LLC (in alliance with Reed Smith) regarding certain Singapore tax matters (included in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-293370</wp:posOffset>
            </wp:positionV>
            <wp:extent cx="5143500" cy="300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Form of Indemnification Agreement between the Registrant and its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55245</wp:posOffset>
            </wp:positionV>
            <wp:extent cx="514350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Form of Employment Agreement, between the Registrant and its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2023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Principal Subsidiaries of the Registrant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Consent of Marcum Asia CPAs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Maples and Calder (Hong Kong) LLP (included in Exhibit 5.1)</w:t>
      </w:r>
    </w:p>
    <w:p>
      <w:pPr>
        <w:spacing w:after="0" w:line="50" w:lineRule="exact"/>
        <w:rPr>
          <w:sz w:val="20"/>
          <w:szCs w:val="20"/>
          <w:color w:val="auto"/>
        </w:rPr>
      </w:pPr>
    </w:p>
    <w:p>
      <w:pPr>
        <w:sectPr>
          <w:pgSz w:w="11900" w:h="16838" w:orient="portrait"/>
          <w:cols w:equalWidth="0" w:num="2">
            <w:col w:w="860" w:space="520"/>
            <w:col w:w="76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920" w:type="dxa"/>
            <w:vAlign w:val="bottom"/>
          </w:tcPr>
          <w:p>
            <w:pPr>
              <w:jc w:val="right"/>
              <w:ind w:right="530"/>
              <w:spacing w:after="0"/>
              <w:rPr>
                <w:sz w:val="20"/>
                <w:szCs w:val="20"/>
                <w:color w:val="auto"/>
              </w:rPr>
            </w:pPr>
            <w:r>
              <w:rPr>
                <w:rFonts w:ascii="Arial" w:cs="Arial" w:eastAsia="Arial" w:hAnsi="Arial"/>
                <w:sz w:val="18"/>
                <w:szCs w:val="18"/>
                <w:color w:val="auto"/>
                <w:w w:val="79"/>
              </w:rPr>
              <w:t>23.3</w:t>
            </w:r>
          </w:p>
        </w:tc>
        <w:tc>
          <w:tcPr>
            <w:tcW w:w="7180" w:type="dxa"/>
            <w:vAlign w:val="bottom"/>
            <w:gridSpan w:val="10"/>
          </w:tcPr>
          <w:p>
            <w:pPr>
              <w:spacing w:after="0"/>
              <w:rPr>
                <w:sz w:val="20"/>
                <w:szCs w:val="20"/>
                <w:color w:val="auto"/>
              </w:rPr>
            </w:pPr>
            <w:r>
              <w:rPr>
                <w:rFonts w:ascii="Arial" w:cs="Arial" w:eastAsia="Arial" w:hAnsi="Arial"/>
                <w:sz w:val="18"/>
                <w:szCs w:val="18"/>
                <w:color w:val="0000EE"/>
              </w:rPr>
              <w:t>Consent of Resource Law LLC (in alliance with Reed Smith)(included in Exhibit 99.2)</w:t>
            </w:r>
          </w:p>
        </w:tc>
      </w:tr>
      <w:tr>
        <w:trPr>
          <w:trHeight w:val="61"/>
        </w:trPr>
        <w:tc>
          <w:tcPr>
            <w:tcW w:w="9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24.1</w:t>
            </w:r>
          </w:p>
        </w:tc>
        <w:tc>
          <w:tcPr>
            <w:tcW w:w="71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EE"/>
              </w:rPr>
              <w:t>Powers of Attorney (included on signature page)</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79"/>
              </w:rPr>
              <w:t>99.1</w:t>
            </w:r>
          </w:p>
        </w:tc>
        <w:tc>
          <w:tcPr>
            <w:tcW w:w="7180" w:type="dxa"/>
            <w:vAlign w:val="bottom"/>
            <w:gridSpan w:val="10"/>
          </w:tcPr>
          <w:p>
            <w:pPr>
              <w:spacing w:after="0" w:line="202" w:lineRule="exact"/>
              <w:rPr>
                <w:sz w:val="20"/>
                <w:szCs w:val="20"/>
                <w:color w:val="auto"/>
              </w:rPr>
            </w:pPr>
            <w:r>
              <w:rPr>
                <w:rFonts w:ascii="Arial" w:cs="Arial" w:eastAsia="Arial" w:hAnsi="Arial"/>
                <w:sz w:val="18"/>
                <w:szCs w:val="18"/>
                <w:color w:val="0000EE"/>
              </w:rPr>
              <w:t>Code of Business Conduct and Ethics of the Registrant</w:t>
            </w:r>
          </w:p>
        </w:tc>
      </w:tr>
      <w:tr>
        <w:trPr>
          <w:trHeight w:val="61"/>
        </w:trPr>
        <w:tc>
          <w:tcPr>
            <w:tcW w:w="9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175"/>
        </w:trPr>
        <w:tc>
          <w:tcPr>
            <w:tcW w:w="920" w:type="dxa"/>
            <w:vAlign w:val="bottom"/>
            <w:tcBorders>
              <w:bottom w:val="single" w:sz="8" w:color="CCEEFF"/>
            </w:tcBorders>
            <w:shd w:val="clear" w:color="auto" w:fill="CCEEFF"/>
          </w:tcPr>
          <w:p>
            <w:pPr>
              <w:jc w:val="right"/>
              <w:ind w:right="530"/>
              <w:spacing w:after="0" w:line="176" w:lineRule="exact"/>
              <w:rPr>
                <w:sz w:val="20"/>
                <w:szCs w:val="20"/>
                <w:color w:val="auto"/>
              </w:rPr>
            </w:pPr>
            <w:r>
              <w:rPr>
                <w:rFonts w:ascii="Arial" w:cs="Arial" w:eastAsia="Arial" w:hAnsi="Arial"/>
                <w:sz w:val="18"/>
                <w:szCs w:val="18"/>
                <w:color w:val="auto"/>
                <w:w w:val="79"/>
              </w:rPr>
              <w:t>99.2</w:t>
            </w:r>
          </w:p>
        </w:tc>
        <w:tc>
          <w:tcPr>
            <w:tcW w:w="676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2"/>
              </w:rPr>
              <w:t>Opinion of Resource Law LLC (in alliance with Reed Smith) regarding certain Singapore law</w:t>
            </w:r>
          </w:p>
        </w:tc>
        <w:tc>
          <w:tcPr>
            <w:tcW w:w="4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71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matters</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79"/>
              </w:rPr>
              <w:t>99.3</w:t>
            </w:r>
          </w:p>
        </w:tc>
        <w:tc>
          <w:tcPr>
            <w:tcW w:w="7180" w:type="dxa"/>
            <w:vAlign w:val="bottom"/>
            <w:gridSpan w:val="10"/>
          </w:tcPr>
          <w:p>
            <w:pPr>
              <w:spacing w:after="0" w:line="202" w:lineRule="exact"/>
              <w:rPr>
                <w:sz w:val="20"/>
                <w:szCs w:val="20"/>
                <w:color w:val="auto"/>
              </w:rPr>
            </w:pPr>
            <w:r>
              <w:rPr>
                <w:rFonts w:ascii="Arial" w:cs="Arial" w:eastAsia="Arial" w:hAnsi="Arial"/>
                <w:sz w:val="18"/>
                <w:szCs w:val="18"/>
                <w:color w:val="0000EE"/>
              </w:rPr>
              <w:t>Consent of Frost &amp; Sullivan</w:t>
            </w:r>
          </w:p>
        </w:tc>
      </w:tr>
      <w:tr>
        <w:trPr>
          <w:trHeight w:val="61"/>
        </w:trPr>
        <w:tc>
          <w:tcPr>
            <w:tcW w:w="9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99.4</w:t>
            </w:r>
          </w:p>
        </w:tc>
        <w:tc>
          <w:tcPr>
            <w:tcW w:w="71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EE"/>
              </w:rPr>
              <w:t>Consent of Poh Kiong Tan</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79"/>
              </w:rPr>
              <w:t>99.5</w:t>
            </w:r>
          </w:p>
        </w:tc>
        <w:tc>
          <w:tcPr>
            <w:tcW w:w="7180" w:type="dxa"/>
            <w:vAlign w:val="bottom"/>
            <w:gridSpan w:val="10"/>
          </w:tcPr>
          <w:p>
            <w:pPr>
              <w:spacing w:after="0" w:line="202" w:lineRule="exact"/>
              <w:rPr>
                <w:sz w:val="20"/>
                <w:szCs w:val="20"/>
                <w:color w:val="auto"/>
              </w:rPr>
            </w:pPr>
            <w:r>
              <w:rPr>
                <w:rFonts w:ascii="Arial" w:cs="Arial" w:eastAsia="Arial" w:hAnsi="Arial"/>
                <w:sz w:val="18"/>
                <w:szCs w:val="18"/>
                <w:color w:val="0000EE"/>
              </w:rPr>
              <w:t>Consent of How Teck Lim</w:t>
            </w:r>
          </w:p>
        </w:tc>
      </w:tr>
      <w:tr>
        <w:trPr>
          <w:trHeight w:val="61"/>
        </w:trPr>
        <w:tc>
          <w:tcPr>
            <w:tcW w:w="9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99.6</w:t>
            </w:r>
          </w:p>
        </w:tc>
        <w:tc>
          <w:tcPr>
            <w:tcW w:w="71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EE"/>
              </w:rPr>
              <w:t>Consent of Noi Keng Koh</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79"/>
              </w:rPr>
              <w:t>99.7</w:t>
            </w:r>
          </w:p>
        </w:tc>
        <w:tc>
          <w:tcPr>
            <w:tcW w:w="7180" w:type="dxa"/>
            <w:vAlign w:val="bottom"/>
            <w:gridSpan w:val="10"/>
          </w:tcPr>
          <w:p>
            <w:pPr>
              <w:spacing w:after="0" w:line="202" w:lineRule="exact"/>
              <w:rPr>
                <w:sz w:val="20"/>
                <w:szCs w:val="20"/>
                <w:color w:val="auto"/>
              </w:rPr>
            </w:pPr>
            <w:r>
              <w:rPr>
                <w:rFonts w:ascii="Arial" w:cs="Arial" w:eastAsia="Arial" w:hAnsi="Arial"/>
                <w:sz w:val="18"/>
                <w:szCs w:val="18"/>
                <w:color w:val="0000EE"/>
              </w:rPr>
              <w:t>Consent of Chwee Koh Chua</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80" w:lineRule="exact"/>
        <w:rPr>
          <w:sz w:val="20"/>
          <w:szCs w:val="20"/>
          <w:color w:val="auto"/>
        </w:rPr>
      </w:pPr>
    </w:p>
    <w:p>
      <w:pPr>
        <w:ind w:left="1380" w:hanging="926"/>
        <w:spacing w:after="0"/>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-139065</wp:posOffset>
            </wp:positionV>
            <wp:extent cx="5143500"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3" w:name="page174"/>
    <w:bookmarkEnd w:id="1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October 4, 2023.</w:t>
      </w:r>
    </w:p>
    <w:p>
      <w:pPr>
        <w:spacing w:after="0" w:line="29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Trident Digital Tech Holdings Ltd</w:t>
      </w:r>
    </w:p>
    <w:p>
      <w:pPr>
        <w:spacing w:after="0" w:line="202" w:lineRule="exact"/>
        <w:rPr>
          <w:sz w:val="20"/>
          <w:szCs w:val="20"/>
          <w:color w:val="auto"/>
        </w:rPr>
      </w:pPr>
    </w:p>
    <w:p>
      <w:pPr>
        <w:ind w:left="466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48895</wp:posOffset>
            </wp:positionV>
            <wp:extent cx="22459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Chairman and 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Each person whose signature appears below constitutes and appoints Soon Huat Lim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00"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tcPr>
          <w:p>
            <w:pPr>
              <w:ind w:left="94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Title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ind w:left="40"/>
              <w:spacing w:after="0"/>
              <w:rPr>
                <w:sz w:val="20"/>
                <w:szCs w:val="20"/>
                <w:color w:val="auto"/>
              </w:rPr>
            </w:pPr>
            <w:r>
              <w:rPr>
                <w:rFonts w:ascii="Arial" w:cs="Arial" w:eastAsia="Arial" w:hAnsi="Arial"/>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Chairman and Chief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October 4, 2023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ind w:left="40"/>
              <w:spacing w:after="0"/>
              <w:rPr>
                <w:sz w:val="20"/>
                <w:szCs w:val="20"/>
                <w:color w:val="auto"/>
              </w:rPr>
            </w:pPr>
            <w:r>
              <w:rPr>
                <w:rFonts w:ascii="Arial" w:cs="Arial" w:eastAsia="Arial" w:hAnsi="Arial"/>
                <w:sz w:val="18"/>
                <w:szCs w:val="18"/>
                <w:color w:val="auto"/>
              </w:rPr>
              <w:t>/s/ Haiyan Huang</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Financial Officer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(principal financial officer and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1"/>
              </w:rPr>
              <w:t>October 4, 2023</w:t>
            </w:r>
          </w:p>
        </w:tc>
        <w:tc>
          <w:tcPr>
            <w:tcW w:w="0" w:type="dxa"/>
            <w:vAlign w:val="bottom"/>
          </w:tcPr>
          <w:p>
            <w:pPr>
              <w:spacing w:after="0"/>
              <w:rPr>
                <w:sz w:val="1"/>
                <w:szCs w:val="1"/>
                <w:color w:val="auto"/>
              </w:rPr>
            </w:pPr>
          </w:p>
        </w:tc>
      </w:tr>
      <w:tr>
        <w:trPr>
          <w:trHeight w:val="182"/>
        </w:trPr>
        <w:tc>
          <w:tcPr>
            <w:tcW w:w="2600" w:type="dxa"/>
            <w:vAlign w:val="bottom"/>
          </w:tcPr>
          <w:p>
            <w:pPr>
              <w:spacing w:after="0" w:line="182" w:lineRule="exact"/>
              <w:rPr>
                <w:sz w:val="20"/>
                <w:szCs w:val="20"/>
                <w:color w:val="auto"/>
              </w:rPr>
            </w:pPr>
            <w:r>
              <w:rPr>
                <w:rFonts w:ascii="Arial" w:cs="Arial" w:eastAsia="Arial" w:hAnsi="Arial"/>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II-5</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October 4, 2023.</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48895</wp:posOffset>
            </wp:positionV>
            <wp:extent cx="16198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8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COMPANIES ACT (REVISED)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Trident Digital Tech Holdings Ltd</w:t>
      </w:r>
    </w:p>
    <w:p>
      <w:pPr>
        <w:spacing w:after="0" w:line="200" w:lineRule="exact"/>
        <w:rPr>
          <w:sz w:val="20"/>
          <w:szCs w:val="20"/>
          <w:color w:val="auto"/>
        </w:rPr>
      </w:pPr>
    </w:p>
    <w:p>
      <w:pPr>
        <w:spacing w:after="0" w:line="24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563245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1431925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76" w:name="page177"/>
    <w:bookmarkEnd w:id="176"/>
    <w:p>
      <w:pPr>
        <w:jc w:val="center"/>
        <w:ind w:right="360"/>
        <w:spacing w:after="0"/>
        <w:rPr>
          <w:sz w:val="20"/>
          <w:szCs w:val="20"/>
          <w:color w:val="auto"/>
        </w:rPr>
      </w:pPr>
      <w:r>
        <w:rPr>
          <w:rFonts w:ascii="Arial" w:cs="Arial" w:eastAsia="Arial" w:hAnsi="Arial"/>
          <w:sz w:val="18"/>
          <w:szCs w:val="18"/>
          <w:b w:val="1"/>
          <w:bCs w:val="1"/>
          <w:color w:val="auto"/>
        </w:rPr>
        <w:t>THE COMPANIES ACT (REVISED) OF THE CAYMAN ISLANDS</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MEMORANDUM OF ASSOCIATION OF</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An Exempted Company Limited By Shares</w:t>
      </w:r>
    </w:p>
    <w:p>
      <w:pPr>
        <w:spacing w:after="0" w:line="221"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name of the Company is Trident Digital Tech Holdings Ltd.</w:t>
      </w:r>
    </w:p>
    <w:p>
      <w:pPr>
        <w:spacing w:after="0" w:line="221"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STATUS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is an exempted company limited by shares.</w:t>
      </w:r>
    </w:p>
    <w:p>
      <w:pPr>
        <w:spacing w:after="0" w:line="221"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OFFICE</w:t>
      </w:r>
    </w:p>
    <w:p>
      <w:pPr>
        <w:spacing w:after="0" w:line="229" w:lineRule="exact"/>
        <w:rPr>
          <w:rFonts w:ascii="Arial" w:cs="Arial" w:eastAsia="Arial" w:hAnsi="Arial"/>
          <w:sz w:val="18"/>
          <w:szCs w:val="18"/>
          <w:b w:val="1"/>
          <w:bCs w:val="1"/>
          <w:color w:val="auto"/>
        </w:rPr>
      </w:pPr>
    </w:p>
    <w:p>
      <w:pPr>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registered office of the Company is at the Office of Sertus Incorporations (Cayman) Limited, Sertus Chambers, Governors Square, Suite # 5-204, 23 Lime Tree Bay Avenue, P.O. Box 2547, Grand Cayman, KY1-1104, Cayman Islands or at such other place as the Directors may from time to time decide.</w:t>
      </w:r>
    </w:p>
    <w:p>
      <w:pPr>
        <w:spacing w:after="0" w:line="180"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OBJECTS AND CAPACITY</w:t>
      </w:r>
    </w:p>
    <w:p>
      <w:pPr>
        <w:spacing w:after="0" w:line="229" w:lineRule="exact"/>
        <w:rPr>
          <w:sz w:val="20"/>
          <w:szCs w:val="20"/>
          <w:color w:val="auto"/>
        </w:rPr>
      </w:pPr>
    </w:p>
    <w:p>
      <w:pPr>
        <w:ind w:left="660" w:right="40"/>
        <w:spacing w:after="0" w:line="311" w:lineRule="auto"/>
        <w:rPr>
          <w:sz w:val="20"/>
          <w:szCs w:val="20"/>
          <w:color w:val="auto"/>
        </w:rPr>
      </w:pPr>
      <w:r>
        <w:rPr>
          <w:rFonts w:ascii="Arial" w:cs="Arial" w:eastAsia="Arial" w:hAnsi="Arial"/>
          <w:sz w:val="16"/>
          <w:szCs w:val="16"/>
          <w:color w:val="auto"/>
        </w:rPr>
        <w:t>Subject to paragraph 9 of this Memorandum, the objects for which the Company is established are unrestricted and the Company shall have full power and authority to carry out any object not prohibited by the Companies Act or any other law of the Cayman Islands. The Company is a body corporate capable of exercising all the functions of a natural person of full capacity, irrespective of any question of corporate benefit.</w:t>
      </w:r>
    </w:p>
    <w:p>
      <w:pPr>
        <w:spacing w:after="0" w:line="145"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authorized share capital of the Company is US$ 50,000.00 divided into 5,000,000,000 shares of a par value of US$0.00001 each, of which:</w:t>
      </w:r>
    </w:p>
    <w:p>
      <w:pPr>
        <w:spacing w:after="0" w:line="248"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1,000,000,000 are designated as Class A Ordinary Shares of a par value of US$0.00001 each;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4,000,000,000 are designated as Class B Ordinary Shares of a par value of US$0.00001 each.</w:t>
      </w:r>
    </w:p>
    <w:p>
      <w:pPr>
        <w:spacing w:after="0" w:line="221"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MEMBERS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liability of each Member is limited to the amount from time to time unpaid on such Member’s Shares.</w:t>
      </w:r>
    </w:p>
    <w:p>
      <w:pPr>
        <w:spacing w:after="0" w:line="221"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w:t>
      </w:r>
    </w:p>
    <w:p>
      <w:pPr>
        <w:spacing w:after="0" w:line="229" w:lineRule="exact"/>
        <w:rPr>
          <w:rFonts w:ascii="Arial" w:cs="Arial" w:eastAsia="Arial" w:hAnsi="Arial"/>
          <w:sz w:val="18"/>
          <w:szCs w:val="18"/>
          <w:b w:val="1"/>
          <w:bCs w:val="1"/>
          <w:color w:val="auto"/>
        </w:rPr>
      </w:pPr>
    </w:p>
    <w:p>
      <w:pPr>
        <w:ind w:left="6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may exercise the powers contained in the Companies Act to transfer and be registered by way of continuation as a body corporate limited by shares under the laws of any jurisdiction outside the Cayman Islands and to be de-registered in the Cayman Islands.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7" w:name="page178"/>
    <w:bookmarkEnd w:id="177"/>
    <w:p>
      <w:pPr>
        <w:ind w:left="660" w:hanging="652"/>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Capitalized terms used and not defined in this Memorandum of Association shall bear the same meaning as those given in the Articles of Association of the Company.</w:t>
      </w:r>
    </w:p>
    <w:p>
      <w:pPr>
        <w:spacing w:after="0" w:line="166"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EXEMPTED COMPANY</w:t>
      </w:r>
    </w:p>
    <w:p>
      <w:pPr>
        <w:spacing w:after="0" w:line="229"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3"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year end of the Company is 31 December or such other date as the Directors may from time to time decide and annex to this Memorandum</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the undersigned, whose name and address are hereto given below are desirous of being formed into a Company in pursuance of this Memorandum of Association, and agree to take the number of shares in the capital of the Company set opposite our name.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12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NUMBER OF SHARES TAKEN</w:t>
            </w:r>
          </w:p>
        </w:tc>
      </w:t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OF SUBSCRIBER</w:t>
            </w:r>
          </w:p>
        </w:tc>
        <w:tc>
          <w:tcPr>
            <w:tcW w:w="12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BY SUBSCRIBER</w:t>
            </w:r>
          </w:p>
        </w:tc>
      </w:tr>
      <w:tr>
        <w:trPr>
          <w:trHeight w:val="223"/>
        </w:trPr>
        <w:tc>
          <w:tcPr>
            <w:tcW w:w="4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431"/>
        </w:trPr>
        <w:tc>
          <w:tcPr>
            <w:tcW w:w="4360" w:type="dxa"/>
            <w:vAlign w:val="bottom"/>
          </w:tcPr>
          <w:p>
            <w:pPr>
              <w:spacing w:after="0"/>
              <w:rPr>
                <w:sz w:val="20"/>
                <w:szCs w:val="20"/>
                <w:color w:val="auto"/>
              </w:rPr>
            </w:pPr>
            <w:r>
              <w:rPr>
                <w:rFonts w:ascii="Arial" w:cs="Arial" w:eastAsia="Arial" w:hAnsi="Arial"/>
                <w:sz w:val="18"/>
                <w:szCs w:val="18"/>
                <w:b w:val="1"/>
                <w:bCs w:val="1"/>
                <w:color w:val="auto"/>
              </w:rPr>
              <w:t>Sertus Nominees (Cayman) Limited</w:t>
            </w:r>
          </w:p>
        </w:tc>
        <w:tc>
          <w:tcPr>
            <w:tcW w:w="126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One (1) Ordinary Share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Sertus Chambers, Governors Square,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Suite # 5-204, 23 Lime Tree Bay Avenue,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P.O. Box 2547, Grand Cayman, KY1-1104,</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Cayman Islands</w:t>
            </w:r>
          </w:p>
        </w:tc>
        <w:tc>
          <w:tcPr>
            <w:tcW w:w="1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9"/>
        </w:trPr>
        <w:tc>
          <w:tcPr>
            <w:tcW w:w="4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Susan Thompson</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Authorised Signatory</w:t>
            </w:r>
          </w:p>
        </w:tc>
        <w:tc>
          <w:tcPr>
            <w:tcW w:w="1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b w:val="1"/>
                <w:bCs w:val="1"/>
                <w:color w:val="auto"/>
              </w:rPr>
              <w:t>DATED this [  ] day of [  ], 2023</w:t>
            </w:r>
          </w:p>
        </w:tc>
        <w:tc>
          <w:tcPr>
            <w:tcW w:w="12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9"/>
        </w:trPr>
        <w:tc>
          <w:tcPr>
            <w:tcW w:w="4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Witness to the above signature: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Burnette Pope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Sertus Chambers, Governors Square,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Suite # 5-204, 23 Lime Tree Bay Avenue,</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P.O. Box 2547, Grand Cayman, KY1-1104,</w:t>
            </w: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Cayman Islands</w:t>
            </w:r>
          </w:p>
        </w:tc>
        <w:tc>
          <w:tcPr>
            <w:tcW w:w="1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2"/>
          </w:tcPr>
          <w:p>
            <w:pPr>
              <w:jc w:val="right"/>
              <w:ind w:right="54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THE COMPANIES ACT (REVISED) OF THE CAYMAN ISLANDS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1706245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9" w:name="page180"/>
    <w:bookmarkEnd w:id="179"/>
    <w:p>
      <w:pPr>
        <w:jc w:val="center"/>
        <w:ind w:right="-79"/>
        <w:spacing w:after="0"/>
        <w:rPr>
          <w:sz w:val="20"/>
          <w:szCs w:val="20"/>
          <w:color w:val="auto"/>
        </w:rPr>
      </w:pPr>
      <w:r>
        <w:rPr>
          <w:rFonts w:ascii="Arial" w:cs="Arial" w:eastAsia="Arial" w:hAnsi="Arial"/>
          <w:sz w:val="18"/>
          <w:szCs w:val="18"/>
          <w:b w:val="1"/>
          <w:bCs w:val="1"/>
          <w:color w:val="auto"/>
        </w:rPr>
        <w:t>THE COMPANIES ACT (REVISED)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 Exempted Company Limited By Shares</w:t>
      </w:r>
    </w:p>
    <w:p>
      <w:pPr>
        <w:spacing w:after="0" w:line="221"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Regulations contained in Table A in the First Schedule to the Companies Act do not apply to the Company. In these Restated Articles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Association, if not inconsistent with the context, the following words and expressions shall have the following meanings:</w:t>
      </w:r>
    </w:p>
    <w:p>
      <w:pPr>
        <w:spacing w:after="0" w:line="211" w:lineRule="exact"/>
        <w:rPr>
          <w:sz w:val="20"/>
          <w:szCs w:val="20"/>
          <w:color w:val="auto"/>
        </w:rPr>
      </w:pPr>
    </w:p>
    <w:p>
      <w:pPr>
        <w:ind w:left="660" w:right="100"/>
        <w:spacing w:after="0" w:line="289" w:lineRule="auto"/>
        <w:rPr>
          <w:sz w:val="20"/>
          <w:szCs w:val="20"/>
          <w:color w:val="auto"/>
        </w:rPr>
      </w:pPr>
      <w:r>
        <w:rPr>
          <w:rFonts w:ascii="Arial" w:cs="Arial" w:eastAsia="Arial" w:hAnsi="Arial"/>
          <w:sz w:val="16"/>
          <w:szCs w:val="16"/>
          <w:b w:val="1"/>
          <w:bCs w:val="1"/>
          <w:i w:val="1"/>
          <w:iCs w:val="1"/>
          <w:color w:val="auto"/>
        </w:rPr>
        <w:t xml:space="preserve">Affiliate </w:t>
      </w:r>
      <w:r>
        <w:rPr>
          <w:rFonts w:ascii="Arial" w:cs="Arial" w:eastAsia="Arial" w:hAnsi="Arial"/>
          <w:sz w:val="16"/>
          <w:szCs w:val="16"/>
          <w:color w:val="auto"/>
        </w:rPr>
        <w:t>means in respect of a Person, any other Person that, directly or indirectly, through one or more intermediaries, controls, is controlled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Articles </w:t>
      </w:r>
      <w:r>
        <w:rPr>
          <w:rFonts w:ascii="Arial" w:cs="Arial" w:eastAsia="Arial" w:hAnsi="Arial"/>
          <w:sz w:val="18"/>
          <w:szCs w:val="18"/>
          <w:color w:val="auto"/>
        </w:rPr>
        <w:t>means these Articles of Association;</w:t>
      </w:r>
    </w:p>
    <w:p>
      <w:pPr>
        <w:spacing w:after="0" w:line="225"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b w:val="1"/>
          <w:bCs w:val="1"/>
          <w:i w:val="1"/>
          <w:iCs w:val="1"/>
          <w:color w:val="auto"/>
        </w:rPr>
        <w:t xml:space="preserve">Applicable Law </w:t>
      </w:r>
      <w:r>
        <w:rPr>
          <w:rFonts w:ascii="Arial" w:cs="Arial" w:eastAsia="Arial" w:hAnsi="Arial"/>
          <w:sz w:val="18"/>
          <w:szCs w:val="18"/>
          <w:color w:val="auto"/>
        </w:rPr>
        <w:t>means all applicable provisions of (i) constitutions, treaties, statutes, laws (including the common law), rules,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ordinances, codes or orders of any Governmental Entity, (ii) any consents or approvals of any Governmental Entity and (iii) any orders, decisions, injunctions, judgments, awards, decrees of or agreements with any Governmental Entity;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Companies Act </w:t>
      </w:r>
      <w:r>
        <w:rPr>
          <w:rFonts w:ascii="Arial" w:cs="Arial" w:eastAsia="Arial" w:hAnsi="Arial"/>
          <w:sz w:val="18"/>
          <w:szCs w:val="18"/>
          <w:color w:val="auto"/>
        </w:rPr>
        <w:t>means the Companies Act (Revised), as amended or re-enacted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the above named company;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0" w:name="page181"/>
    <w:bookmarkEnd w:id="180"/>
    <w:p>
      <w:pPr>
        <w:ind w:left="4" w:right="860"/>
        <w:spacing w:after="0" w:line="500"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means the class A ordinary shares in the share capital of the Company of a par value of US$0.00001 each;</w:t>
      </w:r>
      <w:r>
        <w:rPr>
          <w:rFonts w:ascii="Arial" w:cs="Arial" w:eastAsia="Arial" w:hAnsi="Arial"/>
          <w:sz w:val="18"/>
          <w:szCs w:val="18"/>
          <w:b w:val="1"/>
          <w:bCs w:val="1"/>
          <w:i w:val="1"/>
          <w:iCs w:val="1"/>
          <w:color w:val="auto"/>
        </w:rPr>
        <w:t xml:space="preserve"> Class B Ordinary Shares </w:t>
      </w:r>
      <w:r>
        <w:rPr>
          <w:rFonts w:ascii="Arial" w:cs="Arial" w:eastAsia="Arial" w:hAnsi="Arial"/>
          <w:sz w:val="18"/>
          <w:szCs w:val="18"/>
          <w:color w:val="auto"/>
        </w:rPr>
        <w:t>means the class B ordinary shares in the share capital of the Company of a par value of US$0.00001 each;</w:t>
      </w:r>
      <w:r>
        <w:rPr>
          <w:rFonts w:ascii="Arial" w:cs="Arial" w:eastAsia="Arial" w:hAnsi="Arial"/>
          <w:sz w:val="18"/>
          <w:szCs w:val="18"/>
          <w:b w:val="1"/>
          <w:bCs w:val="1"/>
          <w:i w:val="1"/>
          <w:iCs w:val="1"/>
          <w:color w:val="auto"/>
        </w:rPr>
        <w:t xml:space="preserve"> Class A Holder </w:t>
      </w:r>
      <w:r>
        <w:rPr>
          <w:rFonts w:ascii="Arial" w:cs="Arial" w:eastAsia="Arial" w:hAnsi="Arial"/>
          <w:sz w:val="18"/>
          <w:szCs w:val="18"/>
          <w:color w:val="auto"/>
        </w:rPr>
        <w:t>means any holder of the issued and then outstanding Class A Ordinary Shares;</w:t>
      </w:r>
      <w:r>
        <w:rPr>
          <w:rFonts w:ascii="Arial" w:cs="Arial" w:eastAsia="Arial" w:hAnsi="Arial"/>
          <w:sz w:val="18"/>
          <w:szCs w:val="18"/>
          <w:b w:val="1"/>
          <w:bCs w:val="1"/>
          <w:i w:val="1"/>
          <w:iCs w:val="1"/>
          <w:color w:val="auto"/>
        </w:rPr>
        <w:t xml:space="preserve"> Director </w:t>
      </w:r>
      <w:r>
        <w:rPr>
          <w:rFonts w:ascii="Arial" w:cs="Arial" w:eastAsia="Arial" w:hAnsi="Arial"/>
          <w:sz w:val="18"/>
          <w:szCs w:val="18"/>
          <w:color w:val="auto"/>
        </w:rPr>
        <w:t>means a director of the Company appointed in accordance with these Articles;</w:t>
      </w:r>
    </w:p>
    <w:p>
      <w:pPr>
        <w:spacing w:after="0" w:line="3"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b w:val="1"/>
          <w:bCs w:val="1"/>
          <w:i w:val="1"/>
          <w:iCs w:val="1"/>
          <w:color w:val="auto"/>
        </w:rPr>
        <w:t xml:space="preserve">Distribution </w:t>
      </w:r>
      <w:r>
        <w:rPr>
          <w:rFonts w:ascii="Arial" w:cs="Arial" w:eastAsia="Arial" w:hAnsi="Arial"/>
          <w:sz w:val="18"/>
          <w:szCs w:val="18"/>
          <w:color w:val="auto"/>
        </w:rPr>
        <w:t>means a distribution, dividend (including an interim dividend) or other payment or transfer of property of the Company on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 Share (save in respect of its redemption or repurchase);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Electronic Transactions Act </w:t>
      </w:r>
      <w:r>
        <w:rPr>
          <w:rFonts w:ascii="Arial" w:cs="Arial" w:eastAsia="Arial" w:hAnsi="Arial"/>
          <w:sz w:val="18"/>
          <w:szCs w:val="18"/>
          <w:color w:val="auto"/>
        </w:rPr>
        <w:t>means the Electronic Transactions Act of the Cayman Islands;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Governmental Entity </w:t>
      </w:r>
      <w:r>
        <w:rPr>
          <w:rFonts w:ascii="Arial" w:cs="Arial" w:eastAsia="Arial" w:hAnsi="Arial"/>
          <w:sz w:val="18"/>
          <w:szCs w:val="18"/>
          <w:color w:val="auto"/>
        </w:rPr>
        <w:t>means any federal, state, local or foreign court, legislative, executive or regulatory authority or agency;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Member </w:t>
      </w:r>
      <w:r>
        <w:rPr>
          <w:rFonts w:ascii="Arial" w:cs="Arial" w:eastAsia="Arial" w:hAnsi="Arial"/>
          <w:sz w:val="18"/>
          <w:szCs w:val="18"/>
          <w:color w:val="auto"/>
        </w:rPr>
        <w:t>has the same meaning as in the Companies 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Memorandum </w:t>
      </w:r>
      <w:r>
        <w:rPr>
          <w:rFonts w:ascii="Arial" w:cs="Arial" w:eastAsia="Arial" w:hAnsi="Arial"/>
          <w:sz w:val="18"/>
          <w:szCs w:val="18"/>
          <w:color w:val="auto"/>
        </w:rPr>
        <w:t>means the Memorandum of Association of the Company;</w:t>
      </w:r>
    </w:p>
    <w:p>
      <w:pPr>
        <w:spacing w:after="0" w:line="225" w:lineRule="exact"/>
        <w:rPr>
          <w:sz w:val="20"/>
          <w:szCs w:val="20"/>
          <w:color w:val="auto"/>
        </w:rPr>
      </w:pPr>
    </w:p>
    <w:p>
      <w:pPr>
        <w:ind w:left="4" w:right="4120"/>
        <w:spacing w:after="0" w:line="500" w:lineRule="auto"/>
        <w:rPr>
          <w:sz w:val="20"/>
          <w:szCs w:val="20"/>
          <w:color w:val="auto"/>
        </w:rPr>
      </w:pPr>
      <w:r>
        <w:rPr>
          <w:rFonts w:ascii="Arial" w:cs="Arial" w:eastAsia="Arial" w:hAnsi="Arial"/>
          <w:sz w:val="18"/>
          <w:szCs w:val="18"/>
          <w:b w:val="1"/>
          <w:bCs w:val="1"/>
          <w:i w:val="1"/>
          <w:iCs w:val="1"/>
          <w:color w:val="auto"/>
        </w:rPr>
        <w:t xml:space="preserve">Officer </w:t>
      </w:r>
      <w:r>
        <w:rPr>
          <w:rFonts w:ascii="Arial" w:cs="Arial" w:eastAsia="Arial" w:hAnsi="Arial"/>
          <w:sz w:val="18"/>
          <w:szCs w:val="18"/>
          <w:color w:val="auto"/>
        </w:rPr>
        <w:t>means any person appointed by the Directors to hold an office in the Company;</w:t>
      </w:r>
      <w:r>
        <w:rPr>
          <w:rFonts w:ascii="Arial" w:cs="Arial" w:eastAsia="Arial" w:hAnsi="Arial"/>
          <w:sz w:val="18"/>
          <w:szCs w:val="18"/>
          <w:b w:val="1"/>
          <w:bCs w:val="1"/>
          <w:i w:val="1"/>
          <w:iCs w:val="1"/>
          <w:color w:val="auto"/>
        </w:rPr>
        <w:t xml:space="preserve"> Ordinary Resolution </w:t>
      </w:r>
      <w:r>
        <w:rPr>
          <w:rFonts w:ascii="Arial" w:cs="Arial" w:eastAsia="Arial" w:hAnsi="Arial"/>
          <w:sz w:val="18"/>
          <w:szCs w:val="18"/>
          <w:color w:val="auto"/>
        </w:rPr>
        <w:t>means a resolution:</w:t>
      </w:r>
    </w:p>
    <w:p>
      <w:pPr>
        <w:spacing w:after="0" w:line="2" w:lineRule="exact"/>
        <w:rPr>
          <w:sz w:val="20"/>
          <w:szCs w:val="20"/>
          <w:color w:val="auto"/>
        </w:rPr>
      </w:pPr>
    </w:p>
    <w:p>
      <w:pPr>
        <w:ind w:left="644" w:hanging="644"/>
        <w:spacing w:after="0"/>
        <w:tabs>
          <w:tab w:leader="none" w:pos="64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passed by a majority of such Members as, being entitled to do so, vote in person or by proxy at a general meeting of the Company; or</w:t>
      </w:r>
    </w:p>
    <w:p>
      <w:pPr>
        <w:spacing w:after="0" w:line="24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w:t>
      </w:r>
    </w:p>
    <w:p>
      <w:pPr>
        <w:spacing w:after="0" w:line="170"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any natural person, firm, company, joint venture, partnership, corporation, association or other entity (whether or not having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 legal personality) or any of them as the context so requires;</w:t>
      </w:r>
    </w:p>
    <w:p>
      <w:pPr>
        <w:spacing w:after="0" w:line="386"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4"/>
          </w:cols>
          <w:pgMar w:left="976" w:top="908" w:right="519" w:bottom="1440" w:gutter="0" w:footer="0" w:header="0"/>
        </w:sectPr>
      </w:pPr>
    </w:p>
    <w:bookmarkStart w:id="181" w:name="page182"/>
    <w:bookmarkEnd w:id="181"/>
    <w:p>
      <w:pPr>
        <w:ind w:left="4"/>
        <w:spacing w:after="0"/>
        <w:rPr>
          <w:sz w:val="20"/>
          <w:szCs w:val="20"/>
          <w:color w:val="auto"/>
        </w:rPr>
      </w:pPr>
      <w:r>
        <w:rPr>
          <w:rFonts w:ascii="Arial" w:cs="Arial" w:eastAsia="Arial" w:hAnsi="Arial"/>
          <w:sz w:val="16"/>
          <w:szCs w:val="16"/>
          <w:b w:val="1"/>
          <w:bCs w:val="1"/>
          <w:i w:val="1"/>
          <w:iCs w:val="1"/>
          <w:color w:val="auto"/>
        </w:rPr>
        <w:t xml:space="preserve">Register of Directors and Officers </w:t>
      </w:r>
      <w:r>
        <w:rPr>
          <w:rFonts w:ascii="Arial" w:cs="Arial" w:eastAsia="Arial" w:hAnsi="Arial"/>
          <w:sz w:val="16"/>
          <w:szCs w:val="16"/>
          <w:color w:val="auto"/>
        </w:rPr>
        <w:t>means the register of Directors and Officers maintained by the Company in accordance with these Articles;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Register of Members </w:t>
      </w:r>
      <w:r>
        <w:rPr>
          <w:rFonts w:ascii="Arial" w:cs="Arial" w:eastAsia="Arial" w:hAnsi="Arial"/>
          <w:sz w:val="18"/>
          <w:szCs w:val="18"/>
          <w:color w:val="auto"/>
        </w:rPr>
        <w:t>means the register of Members referred to in these Articles;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Registrar </w:t>
      </w:r>
      <w:r>
        <w:rPr>
          <w:rFonts w:ascii="Arial" w:cs="Arial" w:eastAsia="Arial" w:hAnsi="Arial"/>
          <w:sz w:val="18"/>
          <w:szCs w:val="18"/>
          <w:color w:val="auto"/>
        </w:rPr>
        <w:t>means the Registrar of Companies and includes the Deputy Registrar of Companies;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Registered Office </w:t>
      </w:r>
      <w:r>
        <w:rPr>
          <w:rFonts w:ascii="Arial" w:cs="Arial" w:eastAsia="Arial" w:hAnsi="Arial"/>
          <w:sz w:val="18"/>
          <w:szCs w:val="18"/>
          <w:color w:val="auto"/>
        </w:rPr>
        <w:t>means the registered office for the time being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Seal </w:t>
      </w:r>
      <w:r>
        <w:rPr>
          <w:rFonts w:ascii="Arial" w:cs="Arial" w:eastAsia="Arial" w:hAnsi="Arial"/>
          <w:sz w:val="18"/>
          <w:szCs w:val="18"/>
          <w:color w:val="auto"/>
        </w:rPr>
        <w:t>means any seal which has been duly adopted as the common seal of the Company and includes every duplicate seal;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 xml:space="preserve">Secretary </w:t>
      </w:r>
      <w:r>
        <w:rPr>
          <w:rFonts w:ascii="Arial" w:cs="Arial" w:eastAsia="Arial" w:hAnsi="Arial"/>
          <w:sz w:val="17"/>
          <w:szCs w:val="17"/>
          <w:color w:val="auto"/>
        </w:rPr>
        <w:t>means the person appointed to perform any or all of the duties of secretary of the Company, including any assistant secretary;</w:t>
      </w:r>
    </w:p>
    <w:p>
      <w:pPr>
        <w:spacing w:after="0" w:line="237"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color w:val="auto"/>
        </w:rPr>
        <w:t>means a share in the capital of the Company, and includes a Class A Ordinary Share or a Class B Ordinary Share, as well as a fraction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issued or authorized to be issued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Special Resolution </w:t>
      </w:r>
      <w:r>
        <w:rPr>
          <w:rFonts w:ascii="Arial" w:cs="Arial" w:eastAsia="Arial" w:hAnsi="Arial"/>
          <w:sz w:val="18"/>
          <w:szCs w:val="18"/>
          <w:color w:val="auto"/>
        </w:rPr>
        <w:t>means a special resolution passed in accordance with Section 60 of the Companies Act, being a resolution:</w:t>
      </w:r>
    </w:p>
    <w:p>
      <w:pPr>
        <w:spacing w:after="0" w:line="225" w:lineRule="exact"/>
        <w:rPr>
          <w:sz w:val="20"/>
          <w:szCs w:val="20"/>
          <w:color w:val="auto"/>
        </w:rPr>
      </w:pPr>
    </w:p>
    <w:p>
      <w:pPr>
        <w:ind w:left="644" w:right="120" w:hanging="644"/>
        <w:spacing w:after="0" w:line="263" w:lineRule="auto"/>
        <w:tabs>
          <w:tab w:leader="none" w:pos="6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passed by a majority of not less than two-thirds of such Members as, being entitled to do so, vote in person or by proxy at a general meeting of the Company of which notice specifying the intention to propose the resolution as a Special Resolution has been duly given; or</w:t>
      </w:r>
    </w:p>
    <w:p>
      <w:pPr>
        <w:spacing w:after="0" w:line="183" w:lineRule="exact"/>
        <w:rPr>
          <w:rFonts w:ascii="Arial" w:cs="Arial" w:eastAsia="Arial" w:hAnsi="Arial"/>
          <w:sz w:val="18"/>
          <w:szCs w:val="18"/>
          <w:color w:val="auto"/>
        </w:rPr>
      </w:pPr>
    </w:p>
    <w:p>
      <w:pPr>
        <w:ind w:left="644" w:right="140" w:hanging="644"/>
        <w:spacing w:after="0" w:line="277" w:lineRule="auto"/>
        <w:tabs>
          <w:tab w:leader="none" w:pos="6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Subscriber </w:t>
      </w:r>
      <w:r>
        <w:rPr>
          <w:rFonts w:ascii="Arial" w:cs="Arial" w:eastAsia="Arial" w:hAnsi="Arial"/>
          <w:sz w:val="18"/>
          <w:szCs w:val="18"/>
          <w:color w:val="auto"/>
        </w:rPr>
        <w:t>means the subscriber to the Memorandum;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5"/>
          <w:szCs w:val="15"/>
          <w:b w:val="1"/>
          <w:bCs w:val="1"/>
          <w:i w:val="1"/>
          <w:iCs w:val="1"/>
          <w:color w:val="auto"/>
        </w:rPr>
        <w:t xml:space="preserve">Treasury Share </w:t>
      </w:r>
      <w:r>
        <w:rPr>
          <w:rFonts w:ascii="Arial" w:cs="Arial" w:eastAsia="Arial" w:hAnsi="Arial"/>
          <w:sz w:val="15"/>
          <w:szCs w:val="15"/>
          <w:color w:val="auto"/>
        </w:rPr>
        <w:t>means a Share that has been repurchased, redeemed, surrendered to or otherwise acquired by the Company and not cancelled; and</w:t>
      </w:r>
    </w:p>
    <w:p>
      <w:pPr>
        <w:spacing w:after="0" w:line="200" w:lineRule="exact"/>
        <w:rPr>
          <w:sz w:val="20"/>
          <w:szCs w:val="20"/>
          <w:color w:val="auto"/>
        </w:rPr>
      </w:pPr>
    </w:p>
    <w:p>
      <w:pPr>
        <w:spacing w:after="0" w:line="27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182" w:name="page183"/>
    <w:bookmarkEnd w:id="182"/>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Written </w:t>
      </w:r>
      <w:r>
        <w:rPr>
          <w:rFonts w:ascii="Arial" w:cs="Arial" w:eastAsia="Arial" w:hAnsi="Arial"/>
          <w:sz w:val="18"/>
          <w:szCs w:val="18"/>
          <w:color w:val="auto"/>
        </w:rPr>
        <w:t>includes information generated, sent, received or stored by electronic, electrical, digital, magnetic, optical, electromagnetic, biometric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photonic means, including electronic data interchange and electronic mail in accordance with the Electronic Transactions Act and in writing shall be construed accordingly.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 Memorandum and these Articles, unless the context otherwise requires a reference to:</w:t>
      </w:r>
    </w:p>
    <w:p>
      <w:pPr>
        <w:spacing w:after="0" w:line="225"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Cayman Islands law or regulation, is a reference to such law or regulation as amended or re-enacted from time to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singular includes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person includes all legal persons and natural persons; and</w:t>
      </w:r>
    </w:p>
    <w:p>
      <w:pPr>
        <w:spacing w:after="0" w:line="225" w:lineRule="exact"/>
        <w:rPr>
          <w:rFonts w:ascii="Arial" w:cs="Arial" w:eastAsia="Arial" w:hAnsi="Arial"/>
          <w:sz w:val="18"/>
          <w:szCs w:val="18"/>
          <w:color w:val="auto"/>
        </w:rPr>
      </w:pPr>
    </w:p>
    <w:p>
      <w:pPr>
        <w:ind w:left="1300" w:right="700" w:hanging="644"/>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legal persons include all forms of corporate entity and any other person having capacity to act in its own name created by or in accordance with the laws or regulations of any jurisdiction.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Headings are for ease of reference only and shall be disregarded in interpreting the Memorandum and the Articles.</w:t>
      </w:r>
    </w:p>
    <w:p>
      <w:pPr>
        <w:spacing w:after="0" w:line="221"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Commencement</w:t>
      </w:r>
      <w:r>
        <w:rPr>
          <w:rFonts w:ascii="Arial" w:cs="Arial" w:eastAsia="Arial" w:hAnsi="Arial"/>
          <w:sz w:val="16"/>
          <w:szCs w:val="16"/>
          <w:color w:val="auto"/>
        </w:rPr>
        <w:t>. The business of the Company may be commenced at such time as determined by the Directors.</w:t>
      </w:r>
    </w:p>
    <w:p>
      <w:pPr>
        <w:spacing w:after="0" w:line="225"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Commencement Costs and Expenses</w:t>
      </w:r>
      <w:r>
        <w:rPr>
          <w:rFonts w:ascii="Arial" w:cs="Arial" w:eastAsia="Arial" w:hAnsi="Arial"/>
          <w:sz w:val="18"/>
          <w:szCs w:val="18"/>
          <w:color w:val="auto"/>
        </w:rPr>
        <w:t>. The Directors may pay, out of capital or other money of the Company, all costs and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establishment and registration of the Company.</w:t>
      </w:r>
    </w:p>
    <w:p>
      <w:pPr>
        <w:spacing w:after="0" w:line="162"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SHARES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Registered Shares</w:t>
      </w:r>
      <w:r>
        <w:rPr>
          <w:rFonts w:ascii="Arial" w:cs="Arial" w:eastAsia="Arial" w:hAnsi="Arial"/>
          <w:sz w:val="15"/>
          <w:szCs w:val="15"/>
          <w:color w:val="auto"/>
        </w:rPr>
        <w:t>. The Company shall issue registered Shares only.</w:t>
      </w:r>
    </w:p>
    <w:p>
      <w:pPr>
        <w:spacing w:after="0" w:line="225" w:lineRule="exact"/>
        <w:rPr>
          <w:sz w:val="20"/>
          <w:szCs w:val="20"/>
          <w:color w:val="auto"/>
        </w:rPr>
      </w:pPr>
    </w:p>
    <w:p>
      <w:pPr>
        <w:ind w:left="660" w:right="360" w:hanging="647"/>
        <w:spacing w:after="0" w:line="282"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No Bearer Shares</w:t>
      </w:r>
      <w:r>
        <w:rPr>
          <w:rFonts w:ascii="Arial" w:cs="Arial" w:eastAsia="Arial" w:hAnsi="Arial"/>
          <w:sz w:val="18"/>
          <w:szCs w:val="18"/>
          <w:color w:val="auto"/>
        </w:rPr>
        <w:t>. The Company is not authorised to issue bearer Shares, convert registered Shares to bearer Shares or exchange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for bearer Shares.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83" w:name="page184"/>
    <w:bookmarkEnd w:id="183"/>
    <w:p>
      <w:pPr>
        <w:ind w:left="660" w:hanging="652"/>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25" w:lineRule="exact"/>
        <w:rPr>
          <w:sz w:val="20"/>
          <w:szCs w:val="20"/>
          <w:color w:val="auto"/>
        </w:rPr>
      </w:pPr>
    </w:p>
    <w:p>
      <w:pPr>
        <w:ind w:left="660" w:right="20" w:hanging="647"/>
        <w:spacing w:after="0" w:line="256"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Share Certificates</w:t>
      </w:r>
      <w:r>
        <w:rPr>
          <w:rFonts w:ascii="Arial" w:cs="Arial" w:eastAsia="Arial" w:hAnsi="Arial"/>
          <w:sz w:val="18"/>
          <w:szCs w:val="18"/>
          <w:color w:val="auto"/>
        </w:rPr>
        <w:t>. Unless and until the Directors resolve to issue share certificates, no share certificate shall be issued, and the records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shareholdings of each Member shall be in uncertified book entry form. If the Directors do resolve to issue share certificates in respect of any one or more classes of Shares, then every Member holding such Shares shall be entitled, upon written request only, to a certificate signed by a Director or Secretary, or any other person authorised by a resolution of the Directors, or under the Seal specifying the number of Shares held by him and the signature of the Director, Secretary or authorised person and the Seal may be facsimiles or affixed by electronic means pursuant to the Electronic Transactions Act.</w:t>
      </w:r>
    </w:p>
    <w:p>
      <w:pPr>
        <w:spacing w:after="0" w:line="187" w:lineRule="exact"/>
        <w:rPr>
          <w:sz w:val="20"/>
          <w:szCs w:val="20"/>
          <w:color w:val="auto"/>
        </w:rPr>
      </w:pPr>
    </w:p>
    <w:p>
      <w:pPr>
        <w:ind w:left="660" w:right="20" w:hanging="647"/>
        <w:spacing w:after="0" w:line="258"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Indemnity and Replacement</w:t>
      </w:r>
      <w:r>
        <w:rPr>
          <w:rFonts w:ascii="Arial" w:cs="Arial" w:eastAsia="Arial" w:hAnsi="Arial"/>
          <w:sz w:val="18"/>
          <w:szCs w:val="18"/>
          <w:color w:val="auto"/>
        </w:rPr>
        <w:t>. Any Member receiving a certificate shall indemnify and hold the Company and its Directors and Officers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loss or liability which it or they may incur by reason of any wrongful or fraudulent use or representation made by any person by virtue of the possession thereof. If a certificate for Shares is worn out or lost it may be renewed or, in connection with any proposed share transfer, a new certificate may be issued, on production of the worn out certificate or on satisfactory proof of its loss together with such indemnity as may be required by the Directors.</w:t>
      </w:r>
    </w:p>
    <w:p>
      <w:pPr>
        <w:spacing w:after="0" w:line="183"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Joint Holders</w:t>
      </w:r>
      <w:r>
        <w:rPr>
          <w:rFonts w:ascii="Arial" w:cs="Arial" w:eastAsia="Arial" w:hAnsi="Arial"/>
          <w:sz w:val="18"/>
          <w:szCs w:val="18"/>
          <w:color w:val="auto"/>
        </w:rPr>
        <w:t>. If several Members are registered as joint holders of any Shares, any one of such Members may give an effectual receipt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 certificate.</w:t>
      </w:r>
    </w:p>
    <w:p>
      <w:pPr>
        <w:spacing w:after="0" w:line="162" w:lineRule="exact"/>
        <w:rPr>
          <w:sz w:val="20"/>
          <w:szCs w:val="20"/>
          <w:color w:val="auto"/>
        </w:rPr>
      </w:pPr>
    </w:p>
    <w:p>
      <w:pPr>
        <w:ind w:left="660" w:hanging="652"/>
        <w:spacing w:after="0"/>
        <w:tabs>
          <w:tab w:leader="none" w:pos="6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225" w:lineRule="exact"/>
        <w:rPr>
          <w:sz w:val="20"/>
          <w:szCs w:val="20"/>
          <w:color w:val="auto"/>
        </w:rPr>
      </w:pPr>
    </w:p>
    <w:p>
      <w:pPr>
        <w:ind w:left="660" w:right="100" w:hanging="647"/>
        <w:spacing w:after="0" w:line="314"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Issue</w:t>
      </w:r>
      <w:r>
        <w:rPr>
          <w:rFonts w:ascii="Arial" w:cs="Arial" w:eastAsia="Arial" w:hAnsi="Arial"/>
          <w:sz w:val="16"/>
          <w:szCs w:val="16"/>
          <w:color w:val="auto"/>
        </w:rPr>
        <w:t>. Subject to the provisions, if any, of the Memorandum and directions given by any Ordinary Resolution and the rights attaching to any class</w:t>
      </w:r>
      <w:r>
        <w:rPr>
          <w:rFonts w:ascii="Arial" w:cs="Arial" w:eastAsia="Arial" w:hAnsi="Arial"/>
          <w:sz w:val="16"/>
          <w:szCs w:val="16"/>
          <w:b w:val="1"/>
          <w:bCs w:val="1"/>
          <w:color w:val="auto"/>
        </w:rPr>
        <w:t xml:space="preserve"> </w:t>
      </w:r>
      <w:r>
        <w:rPr>
          <w:rFonts w:ascii="Arial" w:cs="Arial" w:eastAsia="Arial" w:hAnsi="Arial"/>
          <w:sz w:val="16"/>
          <w:szCs w:val="16"/>
          <w:color w:val="auto"/>
        </w:rPr>
        <w:t>of existing Shares, the Directors may issue, allot, grant options over or otherwise dispose of Shares (including any fractions of Shares) and other securities of the Company at such times, to such persons, for such consideration and on such terms as the Directors may determine.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Subscriber Share</w:t>
      </w:r>
      <w:r>
        <w:rPr>
          <w:rFonts w:ascii="Arial" w:cs="Arial" w:eastAsia="Arial" w:hAnsi="Arial"/>
          <w:sz w:val="16"/>
          <w:szCs w:val="16"/>
          <w:color w:val="auto"/>
        </w:rPr>
        <w:t>. Notwithstanding the preceding Article, the Subscriber shall have the power to:</w:t>
      </w:r>
    </w:p>
    <w:p>
      <w:pPr>
        <w:spacing w:after="0" w:line="229"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issue one Share to itself;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transfer that Share by an instrument of transfer to any person; and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update the Register of Members in respect of the issue and transfer of that Share</w:t>
      </w:r>
      <w:r>
        <w:rPr>
          <w:rFonts w:ascii="Arial" w:cs="Arial" w:eastAsia="Arial" w:hAnsi="Arial"/>
          <w:sz w:val="18"/>
          <w:szCs w:val="18"/>
          <w:b w:val="1"/>
          <w:bCs w:val="1"/>
          <w:color w:val="auto"/>
        </w:rPr>
        <w:t>.</w:t>
      </w:r>
    </w:p>
    <w:p>
      <w:pPr>
        <w:spacing w:after="0" w:line="225"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Preferred Shares</w:t>
      </w:r>
      <w:r>
        <w:rPr>
          <w:rFonts w:ascii="Arial" w:cs="Arial" w:eastAsia="Arial" w:hAnsi="Arial"/>
          <w:sz w:val="18"/>
          <w:szCs w:val="18"/>
          <w:color w:val="auto"/>
        </w:rPr>
        <w:t>. Shares and other securities of the Company may be issued by the Directors with such preferred, deferred or other special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privileges whether in regard to voting, Distributions, a return of capital, or otherwise and in such classes and series, if any, as the Directors may determine.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660" w:right="200" w:hanging="647"/>
        <w:spacing w:after="0" w:line="266"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Consideration for Share Issue</w:t>
      </w:r>
      <w:r>
        <w:rPr>
          <w:rFonts w:ascii="Arial" w:cs="Arial" w:eastAsia="Arial" w:hAnsi="Arial"/>
          <w:sz w:val="18"/>
          <w:szCs w:val="18"/>
          <w:color w:val="auto"/>
        </w:rPr>
        <w:t>. A Share may be issued for consideration in any form, including money, a promissory note or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contribute money or property, real property, personal property (including goodwill and know-how), services rendered or a contract for future services.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Register of Members</w:t>
      </w:r>
      <w:r>
        <w:rPr>
          <w:rFonts w:ascii="Arial" w:cs="Arial" w:eastAsia="Arial" w:hAnsi="Arial"/>
          <w:sz w:val="16"/>
          <w:szCs w:val="16"/>
          <w:color w:val="auto"/>
        </w:rPr>
        <w:t>. The Register of Members kept by the Company shall contain:</w:t>
      </w:r>
    </w:p>
    <w:p>
      <w:pPr>
        <w:spacing w:after="0" w:line="229"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names and addresses of each Member;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distinguishing numbers and classes of the Shares of each Member (if 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paid, or agreed to be considered as paid, on the Shares of each Member;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date on which the name of each person was entered on the register as a Member;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1" w:lineRule="exact"/>
        <w:rPr>
          <w:sz w:val="20"/>
          <w:szCs w:val="20"/>
          <w:color w:val="auto"/>
        </w:rPr>
      </w:pPr>
    </w:p>
    <w:p>
      <w:pPr>
        <w:ind w:left="660" w:right="20" w:hanging="647"/>
        <w:spacing w:after="0" w:line="34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Commission</w:t>
      </w:r>
      <w:r>
        <w:rPr>
          <w:rFonts w:ascii="Arial" w:cs="Arial" w:eastAsia="Arial" w:hAnsi="Arial"/>
          <w:sz w:val="16"/>
          <w:szCs w:val="16"/>
          <w:color w:val="auto"/>
        </w:rPr>
        <w:t>. The Company is authorised to pay a commission to any person in consideration of his subscribing or agreeing to subscribe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absolutely or conditionally) for any Shares or procuring or agreeing to procure subscriptions (whether absolute or conditional) for any Shares.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Rights Attaching to Shares.</w:t>
      </w:r>
    </w:p>
    <w:p>
      <w:pPr>
        <w:spacing w:after="0" w:line="229" w:lineRule="exact"/>
        <w:rPr>
          <w:sz w:val="20"/>
          <w:szCs w:val="20"/>
          <w:color w:val="auto"/>
        </w:rPr>
      </w:pPr>
    </w:p>
    <w:p>
      <w:pPr>
        <w:ind w:left="1300" w:hanging="644"/>
        <w:spacing w:after="0" w:line="277"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the Class A Ordinary Shares and the Class B Ordinary Shares entitles the holder, subject to any other Share having any preferred, deferred, redemption or other special rights, to:</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receive notice of, attend and vote at any general meeting of the Company and on any Ordinary Resolution or Special Resolution;</w:t>
      </w:r>
    </w:p>
    <w:p>
      <w:pPr>
        <w:spacing w:after="0" w:line="248" w:lineRule="exact"/>
        <w:rPr>
          <w:rFonts w:ascii="Arial" w:cs="Arial" w:eastAsia="Arial" w:hAnsi="Arial"/>
          <w:sz w:val="16"/>
          <w:szCs w:val="16"/>
          <w:color w:val="auto"/>
        </w:rPr>
      </w:pPr>
    </w:p>
    <w:p>
      <w:pPr>
        <w:ind w:left="1620" w:hanging="316"/>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equal share in any dividend or other Distribution paid by the Company; and</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equal share in the distribution of the surplus assets of the Company.</w:t>
      </w:r>
    </w:p>
    <w:p>
      <w:pPr>
        <w:spacing w:after="0" w:line="22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as required by Applicable Law and subject to these Articles, each Class A Ordinary Share shall entitle the holder thereof to sixty (60) votes on all matters subject to vote at general meetings of the Company, and each Class B Ordinary Share shall entitle the holder thereof to one (1) vote on all matters subject to vote at general meetings of the Company.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5" w:name="page186"/>
    <w:bookmarkEnd w:id="185"/>
    <w:p>
      <w:pPr>
        <w:ind w:left="1300" w:right="60" w:hanging="644"/>
        <w:spacing w:after="0" w:line="263"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these Articles (including but not limited to Article 6) and unless otherwise required by Applicable Law, the holders of Class A Ordinary Shares and the holders of Class B Ordinary Shares shall at all times vote together as one class on all resolutions submitted to a vote of the Members.</w:t>
      </w:r>
    </w:p>
    <w:p>
      <w:pPr>
        <w:spacing w:after="0" w:line="183" w:lineRule="exact"/>
        <w:rPr>
          <w:rFonts w:ascii="Arial" w:cs="Arial" w:eastAsia="Arial" w:hAnsi="Arial"/>
          <w:sz w:val="18"/>
          <w:szCs w:val="18"/>
          <w:color w:val="auto"/>
        </w:rPr>
      </w:pPr>
    </w:p>
    <w:p>
      <w:pPr>
        <w:ind w:left="1300" w:right="400" w:hanging="644"/>
        <w:spacing w:after="0" w:line="311" w:lineRule="auto"/>
        <w:tabs>
          <w:tab w:leader="none" w:pos="13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the Articles, except with respect to the voting right set out in this Article 5.7 and the conversion right set out in Article 13, the rights, privileges and obligations of the Class A Ordinary Shares and the Class B Ordinary Shares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including with respect to dividends and rights upon liquidation of the Company.</w:t>
      </w:r>
    </w:p>
    <w:p>
      <w:pPr>
        <w:spacing w:after="0" w:line="145"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25"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Class Variation</w:t>
      </w:r>
      <w:r>
        <w:rPr>
          <w:rFonts w:ascii="Arial" w:cs="Arial" w:eastAsia="Arial" w:hAnsi="Arial"/>
          <w:sz w:val="17"/>
          <w:szCs w:val="17"/>
          <w:color w:val="auto"/>
        </w:rPr>
        <w:t>. If, at any time, the share capital of the Company is divided into different classes of Shares, the rights attached to any class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(unless otherwise provided by the terms of issue of the Shares of that class) may be varied with the consent in writing of the holders of two-thirds of the issued Shares of that class or with the sanction of a Special Resolution passed at a separate general meeting of the holders of the Shares of the class. To every such separate general meeting the provisions of these Articles relating to general meetings shall, </w:t>
      </w:r>
      <w:r>
        <w:rPr>
          <w:rFonts w:ascii="Arial" w:cs="Arial" w:eastAsia="Arial" w:hAnsi="Arial"/>
          <w:sz w:val="17"/>
          <w:szCs w:val="17"/>
          <w:i w:val="1"/>
          <w:iCs w:val="1"/>
          <w:color w:val="auto"/>
        </w:rPr>
        <w:t>mutatis mutandis</w:t>
      </w:r>
      <w:r>
        <w:rPr>
          <w:rFonts w:ascii="Arial" w:cs="Arial" w:eastAsia="Arial" w:hAnsi="Arial"/>
          <w:sz w:val="17"/>
          <w:szCs w:val="17"/>
          <w:color w:val="auto"/>
        </w:rPr>
        <w:t>, apply, but so that the necessary quorum shall be one or more persons holding or representing by proxy one-third of the issued Shares of the class and that any holder of Shares of the class present in person or by proxy may demand a poll.</w:t>
      </w:r>
    </w:p>
    <w:p>
      <w:pPr>
        <w:spacing w:after="0" w:line="173" w:lineRule="exact"/>
        <w:rPr>
          <w:sz w:val="20"/>
          <w:szCs w:val="20"/>
          <w:color w:val="auto"/>
        </w:rPr>
      </w:pPr>
    </w:p>
    <w:p>
      <w:pPr>
        <w:ind w:left="660" w:hanging="647"/>
        <w:spacing w:after="0" w:line="34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No Variation on Further Issue</w:t>
      </w:r>
      <w:r>
        <w:rPr>
          <w:rFonts w:ascii="Arial" w:cs="Arial" w:eastAsia="Arial" w:hAnsi="Arial"/>
          <w:sz w:val="16"/>
          <w:szCs w:val="16"/>
          <w:color w:val="auto"/>
        </w:rPr>
        <w:t>. The rights conferred upon the holders of the Shares of any class shall not, unless otherwise expressly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terms of issue of the Shares of that class,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therewith.</w:t>
      </w:r>
    </w:p>
    <w:p>
      <w:pPr>
        <w:spacing w:after="0" w:line="116"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PURCHASE AND SURRENDER OF SHARES AND TREASURY SHARES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Redemption, Purchase and Surrender</w:t>
      </w:r>
      <w:r>
        <w:rPr>
          <w:rFonts w:ascii="Arial" w:cs="Arial" w:eastAsia="Arial" w:hAnsi="Arial"/>
          <w:sz w:val="16"/>
          <w:szCs w:val="16"/>
          <w:color w:val="auto"/>
        </w:rPr>
        <w:t>. Subject to the provisions of the Companies Act and to the rights attaching to any class of Share,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may:</w:t>
      </w:r>
    </w:p>
    <w:p>
      <w:pPr>
        <w:spacing w:after="0" w:line="211" w:lineRule="exact"/>
        <w:rPr>
          <w:sz w:val="20"/>
          <w:szCs w:val="20"/>
          <w:color w:val="auto"/>
        </w:rPr>
      </w:pPr>
    </w:p>
    <w:p>
      <w:pPr>
        <w:ind w:left="1300" w:right="380" w:hanging="644"/>
        <w:spacing w:after="0" w:line="277"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as the Directors determine;</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permitted by the Companies Act including out of capital;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permit the surrender of fully paid Shares for no consideration.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6" w:name="page187"/>
    <w:bookmarkEnd w:id="186"/>
    <w:p>
      <w:pPr>
        <w:ind w:left="652" w:right="580" w:hanging="647"/>
        <w:spacing w:after="0" w:line="282" w:lineRule="auto"/>
        <w:tabs>
          <w:tab w:leader="none" w:pos="6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Effect of Redemption, Purchase and Surrender</w:t>
      </w:r>
      <w:r>
        <w:rPr>
          <w:rFonts w:ascii="Arial" w:cs="Arial" w:eastAsia="Arial" w:hAnsi="Arial"/>
          <w:sz w:val="18"/>
          <w:szCs w:val="18"/>
          <w:color w:val="auto"/>
        </w:rPr>
        <w:t>. Shares that the Company redeems, purchases, accepts by way of surrender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acquires pursuant to Article 7.1 may:</w:t>
      </w:r>
    </w:p>
    <w:p>
      <w:pPr>
        <w:spacing w:after="0" w:line="166" w:lineRule="exact"/>
        <w:rPr>
          <w:sz w:val="20"/>
          <w:szCs w:val="20"/>
          <w:color w:val="auto"/>
        </w:rPr>
      </w:pPr>
    </w:p>
    <w:p>
      <w:pPr>
        <w:ind w:left="1292" w:hanging="644"/>
        <w:spacing w:after="0"/>
        <w:tabs>
          <w:tab w:leader="none" w:pos="12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 cancelled;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 held as Treasury Shares on such terms and in such manner as the Directors determine prior to such acquisition.</w:t>
      </w:r>
    </w:p>
    <w:p>
      <w:pPr>
        <w:spacing w:after="0" w:line="221" w:lineRule="exact"/>
        <w:rPr>
          <w:sz w:val="20"/>
          <w:szCs w:val="20"/>
          <w:color w:val="auto"/>
        </w:rPr>
      </w:pPr>
    </w:p>
    <w:p>
      <w:pPr>
        <w:ind w:left="652" w:right="40" w:hanging="647"/>
        <w:spacing w:after="0" w:line="282" w:lineRule="auto"/>
        <w:tabs>
          <w:tab w:leader="none" w:pos="6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Treasury Shares</w:t>
      </w:r>
      <w:r>
        <w:rPr>
          <w:rFonts w:ascii="Arial" w:cs="Arial" w:eastAsia="Arial" w:hAnsi="Arial"/>
          <w:sz w:val="18"/>
          <w:szCs w:val="18"/>
          <w:color w:val="auto"/>
        </w:rPr>
        <w:t>. All rights and obligations attaching to a Treasury Share are suspended and shall not be exercised by the Company while it holds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as a Treasury Share, other than as set out in this Article. The Company may:</w:t>
      </w:r>
    </w:p>
    <w:p>
      <w:pPr>
        <w:spacing w:after="0" w:line="166" w:lineRule="exact"/>
        <w:rPr>
          <w:sz w:val="20"/>
          <w:szCs w:val="20"/>
          <w:color w:val="auto"/>
        </w:rPr>
      </w:pPr>
    </w:p>
    <w:p>
      <w:pPr>
        <w:ind w:left="1292" w:hanging="644"/>
        <w:spacing w:after="0"/>
        <w:tabs>
          <w:tab w:leader="none" w:pos="12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cancel the Treasury Shares on such terms and in such a manner as the Directors may determine; and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 the Treasury Shares in accordance with Article 12.</w:t>
      </w:r>
    </w:p>
    <w:p>
      <w:pPr>
        <w:spacing w:after="0" w:line="221" w:lineRule="exact"/>
        <w:rPr>
          <w:sz w:val="20"/>
          <w:szCs w:val="20"/>
          <w:color w:val="auto"/>
        </w:rPr>
      </w:pPr>
    </w:p>
    <w:p>
      <w:pPr>
        <w:ind w:left="652" w:right="500" w:hanging="647"/>
        <w:spacing w:after="0" w:line="282" w:lineRule="auto"/>
        <w:tabs>
          <w:tab w:leader="none" w:pos="6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b w:val="1"/>
          <w:bCs w:val="1"/>
          <w:color w:val="auto"/>
        </w:rPr>
        <w:t>No Participation</w:t>
      </w:r>
      <w:r>
        <w:rPr>
          <w:rFonts w:ascii="Arial" w:cs="Arial" w:eastAsia="Arial" w:hAnsi="Arial"/>
          <w:sz w:val="18"/>
          <w:szCs w:val="18"/>
          <w:color w:val="auto"/>
        </w:rPr>
        <w:t>. Any Share in respect of which notice of redemption has been given shall not be entitled to participate in the profits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respect of the period after the date specified as the date of redemption in the notice of redemption.</w:t>
      </w:r>
    </w:p>
    <w:p>
      <w:pPr>
        <w:spacing w:after="0" w:line="162" w:lineRule="exact"/>
        <w:rPr>
          <w:sz w:val="20"/>
          <w:szCs w:val="20"/>
          <w:color w:val="auto"/>
        </w:rPr>
      </w:pPr>
    </w:p>
    <w:p>
      <w:pPr>
        <w:ind w:left="652" w:right="520" w:hanging="647"/>
        <w:spacing w:after="0" w:line="282" w:lineRule="auto"/>
        <w:tabs>
          <w:tab w:leader="none" w:pos="6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b w:val="1"/>
          <w:bCs w:val="1"/>
          <w:color w:val="auto"/>
        </w:rPr>
        <w:t>No other Redemption</w:t>
      </w:r>
      <w:r>
        <w:rPr>
          <w:rFonts w:ascii="Arial" w:cs="Arial" w:eastAsia="Arial" w:hAnsi="Arial"/>
          <w:sz w:val="18"/>
          <w:szCs w:val="18"/>
          <w:color w:val="auto"/>
        </w:rPr>
        <w:t>. The redemption, purchase or surrender of any Share shall not be deemed to give rise to the redemption, purchase or</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 of any other Share.</w:t>
      </w:r>
    </w:p>
    <w:p>
      <w:pPr>
        <w:spacing w:after="0" w:line="162" w:lineRule="exact"/>
        <w:rPr>
          <w:sz w:val="20"/>
          <w:szCs w:val="20"/>
          <w:color w:val="auto"/>
        </w:rPr>
      </w:pPr>
    </w:p>
    <w:p>
      <w:pPr>
        <w:ind w:left="652" w:right="20" w:hanging="647"/>
        <w:spacing w:after="0" w:line="347" w:lineRule="auto"/>
        <w:tabs>
          <w:tab w:leader="none" w:pos="63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Redemption in Kind</w:t>
      </w:r>
      <w:r>
        <w:rPr>
          <w:rFonts w:ascii="Arial" w:cs="Arial" w:eastAsia="Arial" w:hAnsi="Arial"/>
          <w:sz w:val="16"/>
          <w:szCs w:val="16"/>
          <w:color w:val="auto"/>
        </w:rPr>
        <w:t>. The Directors may, when making payments in respect of redemption or purchase of Shares, if authorised by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issue of the Shares being redeemed or purchased or with the agreement of the holder of such Shares, make such payments either in cash or in kind.</w:t>
      </w:r>
    </w:p>
    <w:p>
      <w:pPr>
        <w:spacing w:after="0" w:line="116" w:lineRule="exact"/>
        <w:rPr>
          <w:sz w:val="20"/>
          <w:szCs w:val="20"/>
          <w:color w:val="auto"/>
        </w:rPr>
      </w:pPr>
    </w:p>
    <w:p>
      <w:pPr>
        <w:ind w:left="652" w:hanging="652"/>
        <w:spacing w:after="0"/>
        <w:tabs>
          <w:tab w:leader="none" w:pos="65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225" w:lineRule="exact"/>
        <w:rPr>
          <w:sz w:val="20"/>
          <w:szCs w:val="20"/>
          <w:color w:val="auto"/>
        </w:rPr>
      </w:pPr>
    </w:p>
    <w:p>
      <w:pPr>
        <w:ind w:left="652" w:hanging="647"/>
        <w:spacing w:after="0" w:line="298"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All Monies Payable</w:t>
      </w:r>
      <w:r>
        <w:rPr>
          <w:rFonts w:ascii="Arial" w:cs="Arial" w:eastAsia="Arial" w:hAnsi="Arial"/>
          <w:sz w:val="16"/>
          <w:szCs w:val="16"/>
          <w:color w:val="auto"/>
        </w:rPr>
        <w:t>. The Company shall have a first and paramount lien on every Share, whether or not it is a fully paid Share, for all moneys,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presently payable or not, called or payable at a fixed time in respect of that Share and for all debts, liabilities or other obligations owed, whether presently or not, by the Member or by one or more joint Members or by any of their estates to the Company (together, the Lien Amounts) but the Directors may, at any time, declare any Share to be wholly or in part exempt from this Article. The Company’s lien, if any, on a Share shall extend to all Distributions payable thereon. Any registration of the transfer of a Share shall operate to extinguish the Company’s lien on that Share.</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7" w:name="page188"/>
    <w:bookmarkEnd w:id="187"/>
    <w:p>
      <w:pPr>
        <w:jc w:val="both"/>
        <w:ind w:left="652" w:right="320" w:hanging="647"/>
        <w:spacing w:after="0" w:line="314" w:lineRule="auto"/>
        <w:tabs>
          <w:tab w:leader="none" w:pos="63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Sale</w:t>
      </w:r>
      <w:r>
        <w:rPr>
          <w:rFonts w:ascii="Arial" w:cs="Arial" w:eastAsia="Arial" w:hAnsi="Arial"/>
          <w:sz w:val="16"/>
          <w:szCs w:val="16"/>
          <w:color w:val="auto"/>
        </w:rPr>
        <w:t>. The Company may sell, in such manner as the Directors think fit, any Shares in which the Company has a lien, but no sale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some amount in respect of which the lien exists is presently payable and the period of fourteen days has elapsed after the Company has given a notice in writing, stating and demanding payment of such part of the presently payable amount, to the relevant Member.</w:t>
      </w:r>
    </w:p>
    <w:p>
      <w:pPr>
        <w:spacing w:after="0" w:line="142" w:lineRule="exact"/>
        <w:rPr>
          <w:sz w:val="20"/>
          <w:szCs w:val="20"/>
          <w:color w:val="auto"/>
        </w:rPr>
      </w:pPr>
    </w:p>
    <w:p>
      <w:pPr>
        <w:ind w:left="652" w:right="140" w:hanging="647"/>
        <w:spacing w:after="0" w:line="261" w:lineRule="auto"/>
        <w:tabs>
          <w:tab w:leader="none" w:pos="6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Registration of Purchase</w:t>
      </w:r>
      <w:r>
        <w:rPr>
          <w:rFonts w:ascii="Arial" w:cs="Arial" w:eastAsia="Arial" w:hAnsi="Arial"/>
          <w:sz w:val="18"/>
          <w:szCs w:val="18"/>
          <w:color w:val="auto"/>
        </w:rPr>
        <w:t>. The Directors may authorise any person to transfer the Shares sold in accordance with this Article to the purchaser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w:t>
      </w:r>
    </w:p>
    <w:p>
      <w:pPr>
        <w:spacing w:after="0" w:line="180" w:lineRule="exact"/>
        <w:rPr>
          <w:sz w:val="20"/>
          <w:szCs w:val="20"/>
          <w:color w:val="auto"/>
        </w:rPr>
      </w:pPr>
    </w:p>
    <w:p>
      <w:pPr>
        <w:ind w:left="652" w:right="80" w:hanging="647"/>
        <w:spacing w:after="0" w:line="258" w:lineRule="auto"/>
        <w:tabs>
          <w:tab w:leader="none" w:pos="63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b w:val="1"/>
          <w:bCs w:val="1"/>
          <w:color w:val="auto"/>
        </w:rPr>
        <w:t>Application of Proceeds</w:t>
      </w:r>
      <w:r>
        <w:rPr>
          <w:rFonts w:ascii="Arial" w:cs="Arial" w:eastAsia="Arial" w:hAnsi="Arial"/>
          <w:sz w:val="18"/>
          <w:szCs w:val="18"/>
          <w:color w:val="auto"/>
        </w:rPr>
        <w:t>. The proceeds of the sale, net of any costs incurred by the Company in relation to the sale, shall be applied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payment of such part of the amount in respect of which the lien exists as is presently payable. The Company shall retain and have a lien over such part of the remainder of the proceeds as is equal to the Lien Amounts which exist but are not presently payable by the Member and may apply such proceeds against the Lien Amounts as and when they become payable and the residue shall be paid to the person entitled to the Shares at the date of the sale.</w:t>
      </w:r>
    </w:p>
    <w:p>
      <w:pPr>
        <w:spacing w:after="0" w:line="183" w:lineRule="exact"/>
        <w:rPr>
          <w:sz w:val="20"/>
          <w:szCs w:val="20"/>
          <w:color w:val="auto"/>
        </w:rPr>
      </w:pPr>
    </w:p>
    <w:p>
      <w:pPr>
        <w:ind w:left="652" w:hanging="652"/>
        <w:spacing w:after="0"/>
        <w:tabs>
          <w:tab w:leader="none" w:pos="652"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25" w:lineRule="exact"/>
        <w:rPr>
          <w:sz w:val="20"/>
          <w:szCs w:val="20"/>
          <w:color w:val="auto"/>
        </w:rPr>
      </w:pPr>
    </w:p>
    <w:p>
      <w:pPr>
        <w:ind w:left="652" w:right="360" w:hanging="647"/>
        <w:spacing w:after="0" w:line="281"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Calls</w:t>
      </w:r>
      <w:r>
        <w:rPr>
          <w:rFonts w:ascii="Arial" w:cs="Arial" w:eastAsia="Arial" w:hAnsi="Arial"/>
          <w:sz w:val="17"/>
          <w:szCs w:val="17"/>
          <w:color w:val="auto"/>
        </w:rPr>
        <w:t>. The Directors may, from time to time, make calls upon the Members in respect of some or all of any moneys unpaid on their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in respect of their par value or the premium payable on those Shares; each Member shall (subject to receiving at least 14 days’ notice specifying the time or times of payment) pay to the Company at the time or times so specified the amount called on his Shares. A call may be required to be paid in instalments. The Directors may revoke or postpone a call at any time.</w:t>
      </w:r>
    </w:p>
    <w:p>
      <w:pPr>
        <w:spacing w:after="0" w:line="165" w:lineRule="exact"/>
        <w:rPr>
          <w:sz w:val="20"/>
          <w:szCs w:val="20"/>
          <w:color w:val="auto"/>
        </w:rPr>
      </w:pPr>
    </w:p>
    <w:p>
      <w:pPr>
        <w:jc w:val="both"/>
        <w:ind w:left="652" w:right="180" w:hanging="647"/>
        <w:spacing w:after="0" w:line="266"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Joint Holders</w:t>
      </w:r>
      <w:r>
        <w:rPr>
          <w:rFonts w:ascii="Arial" w:cs="Arial" w:eastAsia="Arial" w:hAnsi="Arial"/>
          <w:sz w:val="18"/>
          <w:szCs w:val="18"/>
          <w:color w:val="auto"/>
        </w:rPr>
        <w:t>. The joint holders of a Share shall be jointly and severally liable to pay calls in respect thereof and the holder or joint holders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at the time of a call shall remain liable to pay the call on that Share, notwithstanding any subsequent transfer of the Share being registered by the Company.</w:t>
      </w:r>
    </w:p>
    <w:p>
      <w:pPr>
        <w:spacing w:after="0" w:line="176" w:lineRule="exact"/>
        <w:rPr>
          <w:sz w:val="20"/>
          <w:szCs w:val="20"/>
          <w:color w:val="auto"/>
        </w:rPr>
      </w:pPr>
    </w:p>
    <w:p>
      <w:pPr>
        <w:ind w:left="652" w:hanging="647"/>
        <w:spacing w:after="0" w:line="289"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color w:val="auto"/>
        </w:rPr>
        <w:t>Interest on Calls</w:t>
      </w:r>
      <w:r>
        <w:rPr>
          <w:rFonts w:ascii="Arial" w:cs="Arial" w:eastAsia="Arial" w:hAnsi="Arial"/>
          <w:sz w:val="17"/>
          <w:szCs w:val="17"/>
          <w:color w:val="auto"/>
        </w:rPr>
        <w:t>. If a sum called in respect of a Share is not paid before or on the day appointed for payment of that call, the Member from whom</w:t>
      </w:r>
      <w:r>
        <w:rPr>
          <w:rFonts w:ascii="Arial" w:cs="Arial" w:eastAsia="Arial" w:hAnsi="Arial"/>
          <w:sz w:val="17"/>
          <w:szCs w:val="17"/>
          <w:b w:val="1"/>
          <w:bCs w:val="1"/>
          <w:color w:val="auto"/>
        </w:rPr>
        <w:t xml:space="preserve"> </w:t>
      </w:r>
      <w:r>
        <w:rPr>
          <w:rFonts w:ascii="Arial" w:cs="Arial" w:eastAsia="Arial" w:hAnsi="Arial"/>
          <w:sz w:val="17"/>
          <w:szCs w:val="17"/>
          <w:color w:val="auto"/>
        </w:rPr>
        <w:t>such amount is due shall pay interest upon the sum at such rate as the Directors may determine from the day appointed for payment of the call to the time of the actual payment. The Directors shall have the discretion to waive payment of any such interest in full or in part.</w:t>
      </w:r>
    </w:p>
    <w:p>
      <w:pPr>
        <w:spacing w:after="0" w:line="158" w:lineRule="exact"/>
        <w:rPr>
          <w:sz w:val="20"/>
          <w:szCs w:val="20"/>
          <w:color w:val="auto"/>
        </w:rPr>
      </w:pPr>
    </w:p>
    <w:p>
      <w:pPr>
        <w:ind w:left="652" w:right="20" w:hanging="647"/>
        <w:spacing w:after="0" w:line="266" w:lineRule="auto"/>
        <w:tabs>
          <w:tab w:leader="none" w:pos="63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color w:val="auto"/>
        </w:rPr>
        <w:t>Fixed Payment Dates</w:t>
      </w:r>
      <w:r>
        <w:rPr>
          <w:rFonts w:ascii="Arial" w:cs="Arial" w:eastAsia="Arial" w:hAnsi="Arial"/>
          <w:sz w:val="18"/>
          <w:szCs w:val="18"/>
          <w:color w:val="auto"/>
        </w:rPr>
        <w:t>. The provisions contained in these Articles in respect of calls shall apply to payments, whether on account of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or by way of premium, to be made on the allotment of a Share or any date fixed on the issue of the Share as if the same had become payable by virtue of a call duly made and notified.</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88" w:name="page189"/>
    <w:bookmarkEnd w:id="188"/>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FORFEITURE</w:t>
      </w:r>
    </w:p>
    <w:p>
      <w:pPr>
        <w:spacing w:after="0" w:line="225" w:lineRule="exact"/>
        <w:rPr>
          <w:sz w:val="20"/>
          <w:szCs w:val="20"/>
          <w:color w:val="auto"/>
        </w:rPr>
      </w:pPr>
    </w:p>
    <w:p>
      <w:pPr>
        <w:ind w:left="660" w:hanging="647"/>
        <w:spacing w:after="0" w:line="261"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b w:val="1"/>
          <w:bCs w:val="1"/>
          <w:color w:val="auto"/>
        </w:rPr>
        <w:t>Failure to pay Call</w:t>
      </w:r>
      <w:r>
        <w:rPr>
          <w:rFonts w:ascii="Arial" w:cs="Arial" w:eastAsia="Arial" w:hAnsi="Arial"/>
          <w:sz w:val="18"/>
          <w:szCs w:val="18"/>
          <w:color w:val="auto"/>
        </w:rPr>
        <w:t>. If a Member fails to pay any call or instalment of a call in respect of Shares on the day appointed for payment,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serve a notice on such Member naming a further date not earlier than the expiration of 14 days from the date of service on or before which the payment required by the notice is to be made and containing a statement that in the event of non-payment the Shares, or any of them, will be liable to be forfeited.</w:t>
      </w:r>
    </w:p>
    <w:p>
      <w:pPr>
        <w:spacing w:after="0" w:line="180" w:lineRule="exact"/>
        <w:rPr>
          <w:sz w:val="20"/>
          <w:szCs w:val="20"/>
          <w:color w:val="auto"/>
        </w:rPr>
      </w:pPr>
    </w:p>
    <w:p>
      <w:pPr>
        <w:ind w:left="660" w:right="280" w:hanging="647"/>
        <w:spacing w:after="0" w:line="312"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Forfeiture</w:t>
      </w:r>
      <w:r>
        <w:rPr>
          <w:rFonts w:ascii="Arial" w:cs="Arial" w:eastAsia="Arial" w:hAnsi="Arial"/>
          <w:sz w:val="17"/>
          <w:szCs w:val="17"/>
          <w:color w:val="auto"/>
        </w:rPr>
        <w:t>. If the requirements of the notice referenced in this Article are not complied with the Company may forfeit the Shares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Distributions declared payable in respect of the forfeited Shares and not paid at any time before tender of payment.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No Refund</w:t>
      </w:r>
      <w:r>
        <w:rPr>
          <w:rFonts w:ascii="Arial" w:cs="Arial" w:eastAsia="Arial" w:hAnsi="Arial"/>
          <w:sz w:val="16"/>
          <w:szCs w:val="16"/>
          <w:color w:val="auto"/>
        </w:rPr>
        <w:t>. The Company is under no obligation to refund any moneys to the Member whose Shares have been forfeited.</w:t>
      </w:r>
    </w:p>
    <w:p>
      <w:pPr>
        <w:spacing w:after="0" w:line="225" w:lineRule="exact"/>
        <w:rPr>
          <w:sz w:val="20"/>
          <w:szCs w:val="20"/>
          <w:color w:val="auto"/>
        </w:rPr>
      </w:pPr>
    </w:p>
    <w:p>
      <w:pPr>
        <w:ind w:left="660" w:right="120" w:hanging="647"/>
        <w:spacing w:after="0" w:line="289"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b w:val="1"/>
          <w:bCs w:val="1"/>
          <w:color w:val="auto"/>
        </w:rPr>
        <w:t>Sale of Forfeited Share</w:t>
      </w:r>
      <w:r>
        <w:rPr>
          <w:rFonts w:ascii="Arial" w:cs="Arial" w:eastAsia="Arial" w:hAnsi="Arial"/>
          <w:sz w:val="17"/>
          <w:szCs w:val="17"/>
          <w:color w:val="auto"/>
        </w:rPr>
        <w:t>. A forfeited Share may be sold or otherwise disposed of on such terms and in such manner as the Directors think fit, and</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before a sale or disposition the forfeiture may be cancelled on such terms as the Directors think fit. The proceeds of any sale or disposition of the forfeited Share may be received and used by the Company as the Directors determine.</w:t>
      </w:r>
    </w:p>
    <w:p>
      <w:pPr>
        <w:spacing w:after="0" w:line="158"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b w:val="1"/>
          <w:bCs w:val="1"/>
          <w:color w:val="auto"/>
        </w:rPr>
        <w:t>Outstanding Liability</w:t>
      </w:r>
      <w:r>
        <w:rPr>
          <w:rFonts w:ascii="Arial" w:cs="Arial" w:eastAsia="Arial" w:hAnsi="Arial"/>
          <w:sz w:val="18"/>
          <w:szCs w:val="18"/>
          <w:color w:val="auto"/>
        </w:rPr>
        <w:t>. A person whose Shares have been forfeited shall cease to be a Member in respect of the forfeited Shares,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remain liable to pay to the Company all moneys which at the date of forfeiture were payable by him to the Company in respect of the Shares together with interest.</w:t>
      </w:r>
    </w:p>
    <w:p>
      <w:pPr>
        <w:spacing w:after="0" w:line="176" w:lineRule="exact"/>
        <w:rPr>
          <w:sz w:val="20"/>
          <w:szCs w:val="20"/>
          <w:color w:val="auto"/>
        </w:rPr>
      </w:pPr>
    </w:p>
    <w:p>
      <w:pPr>
        <w:ind w:left="660" w:right="20" w:hanging="647"/>
        <w:spacing w:after="0" w:line="298"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Certificate of Forfeiture</w:t>
      </w:r>
      <w:r>
        <w:rPr>
          <w:rFonts w:ascii="Arial" w:cs="Arial" w:eastAsia="Arial" w:hAnsi="Arial"/>
          <w:sz w:val="16"/>
          <w:szCs w:val="16"/>
          <w:color w:val="auto"/>
        </w:rPr>
        <w:t>. A certificate in writing under the hand of a Director or Officer stating that a Share has been duly forfeited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stated in the certificate shall be conclusive evidence of the facts stated in the certificate as against all persons claiming to be entitled to the Share. The Directors may authorize any person to transfer the Shares sold in accordance with this Article to the purchaser of 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w:t>
      </w:r>
    </w:p>
    <w:p>
      <w:pPr>
        <w:spacing w:after="0" w:line="154" w:lineRule="exact"/>
        <w:rPr>
          <w:sz w:val="20"/>
          <w:szCs w:val="20"/>
          <w:color w:val="auto"/>
        </w:rPr>
      </w:pPr>
    </w:p>
    <w:p>
      <w:pPr>
        <w:ind w:left="660" w:right="240" w:hanging="647"/>
        <w:spacing w:after="0" w:line="289"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b w:val="1"/>
          <w:bCs w:val="1"/>
          <w:color w:val="auto"/>
        </w:rPr>
        <w:t>Fixed Payment Dates</w:t>
      </w:r>
      <w:r>
        <w:rPr>
          <w:rFonts w:ascii="Arial" w:cs="Arial" w:eastAsia="Arial" w:hAnsi="Arial"/>
          <w:sz w:val="17"/>
          <w:szCs w:val="17"/>
          <w:color w:val="auto"/>
        </w:rPr>
        <w:t>. The provisions of this Article applying to forfeiture for failure to pay any call or instalment of a call shall apply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to make payments, whether on account of the amount of the Share, or by way of premium, to be made on the allotment of a Share or any date fixed on the issue of the Share as if the same had become payable by virtue of a call duly made and notified.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Legal Personal Representative</w:t>
      </w:r>
      <w:r>
        <w:rPr>
          <w:rFonts w:ascii="Arial" w:cs="Arial" w:eastAsia="Arial" w:hAnsi="Arial"/>
          <w:sz w:val="16"/>
          <w:szCs w:val="16"/>
          <w:color w:val="auto"/>
        </w:rPr>
        <w:t>. The legal personal representative of a deceased sole holder of a Share shall be the only person recognised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having any title to the Share. In the case of a Share registered in the names of two or more holders, the survivors, survivor or the legal personal representatives of the deceased survivor, shall be the only person(s) recognised by the Company as having any title to the Share.</w:t>
      </w:r>
    </w:p>
    <w:p>
      <w:pPr>
        <w:spacing w:after="0" w:line="142" w:lineRule="exact"/>
        <w:rPr>
          <w:sz w:val="20"/>
          <w:szCs w:val="20"/>
          <w:color w:val="auto"/>
        </w:rPr>
      </w:pPr>
    </w:p>
    <w:p>
      <w:pPr>
        <w:ind w:left="660" w:right="60" w:hanging="647"/>
        <w:spacing w:after="0" w:line="298"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Transmission</w:t>
      </w:r>
      <w:r>
        <w:rPr>
          <w:rFonts w:ascii="Arial" w:cs="Arial" w:eastAsia="Arial" w:hAnsi="Arial"/>
          <w:sz w:val="16"/>
          <w:szCs w:val="16"/>
          <w:color w:val="auto"/>
        </w:rPr>
        <w:t>. Any person becoming entitled to a Share in consequence of the death or bankruptcy of or any analogous event affecting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(each such event a Transmission Event and each such person a Representative) shall, upon such evidence being produced as may from time to time be required by the Directors, have the right either to be registered as a Member in respect of the Share or, instead of being registered himself, to make such transfer of the Share as the Member could have made; but the Directors shall, in either case, have the same right to decline or suspend registration as they would have had in the case of a transfer of the Share by such Member before the occurrence of a Transmission Event.</w:t>
      </w:r>
    </w:p>
    <w:p>
      <w:pPr>
        <w:spacing w:after="0" w:line="154"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b w:val="1"/>
          <w:bCs w:val="1"/>
          <w:color w:val="auto"/>
        </w:rPr>
        <w:t>Pre-Registration Status</w:t>
      </w:r>
      <w:r>
        <w:rPr>
          <w:rFonts w:ascii="Arial" w:cs="Arial" w:eastAsia="Arial" w:hAnsi="Arial"/>
          <w:sz w:val="18"/>
          <w:szCs w:val="18"/>
          <w:color w:val="auto"/>
        </w:rPr>
        <w:t>. Representatives shall be entitled to the same notices, dividends and other advantages to which he would be entitled if he</w:t>
      </w:r>
      <w:r>
        <w:rPr>
          <w:rFonts w:ascii="Arial" w:cs="Arial" w:eastAsia="Arial" w:hAnsi="Arial"/>
          <w:sz w:val="18"/>
          <w:szCs w:val="18"/>
          <w:b w:val="1"/>
          <w:bCs w:val="1"/>
          <w:color w:val="auto"/>
        </w:rPr>
        <w:t xml:space="preserve"> </w:t>
      </w:r>
      <w:r>
        <w:rPr>
          <w:rFonts w:ascii="Arial" w:cs="Arial" w:eastAsia="Arial" w:hAnsi="Arial"/>
          <w:sz w:val="18"/>
          <w:szCs w:val="18"/>
          <w:color w:val="auto"/>
        </w:rPr>
        <w:t>were the registered holder of the Share, except that he shall not, before being registered as a Member in respect of the Share, be entitled in respect of it to exercise any right conferred by membership in relation to meetings of the Company.</w:t>
      </w:r>
    </w:p>
    <w:p>
      <w:pPr>
        <w:spacing w:after="0" w:line="17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color w:val="auto"/>
        </w:rPr>
        <w:t>Requirement for Registration</w:t>
      </w:r>
      <w:r>
        <w:rPr>
          <w:rFonts w:ascii="Arial" w:cs="Arial" w:eastAsia="Arial" w:hAnsi="Arial"/>
          <w:sz w:val="17"/>
          <w:szCs w:val="17"/>
          <w:color w:val="auto"/>
        </w:rPr>
        <w:t>. The Directors may at any time give notice requiring a Representative to elect either to be registered himself or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some person nominated by him become the holder of the Share (but the Directors shall, in either case, have the same right to decline or suspend registration as they would have had in the case of a transfer of the Share by the relevant Member before the Transmission Event). If the notice is not complied with within ninety days the Directors may thereafter withhold payment of all Dividends, bonuses or other monies payable in respect of the Share until the requirements of the notice have been complied with.</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660" w:right="320" w:hanging="647"/>
        <w:spacing w:after="0" w:line="282"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color w:val="auto"/>
        </w:rPr>
        <w:t>Directors’ Consent</w:t>
      </w:r>
      <w:r>
        <w:rPr>
          <w:rFonts w:ascii="Arial" w:cs="Arial" w:eastAsia="Arial" w:hAnsi="Arial"/>
          <w:sz w:val="18"/>
          <w:szCs w:val="18"/>
          <w:color w:val="auto"/>
        </w:rPr>
        <w:t>. Shares and Treasury Shares are transferable, subject to the consent of the Directors who may, in their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refuse to consent to any transfer and decline to register the transfer without giving any reason.</w:t>
      </w:r>
    </w:p>
    <w:p>
      <w:pPr>
        <w:spacing w:after="0" w:line="162" w:lineRule="exact"/>
        <w:rPr>
          <w:sz w:val="20"/>
          <w:szCs w:val="20"/>
          <w:color w:val="auto"/>
        </w:rPr>
      </w:pPr>
    </w:p>
    <w:p>
      <w:pPr>
        <w:ind w:left="660" w:right="180" w:hanging="647"/>
        <w:spacing w:after="0" w:line="282"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b w:val="1"/>
          <w:bCs w:val="1"/>
          <w:color w:val="auto"/>
        </w:rPr>
        <w:t>Instrument of Transfer</w:t>
      </w:r>
      <w:r>
        <w:rPr>
          <w:rFonts w:ascii="Arial" w:cs="Arial" w:eastAsia="Arial" w:hAnsi="Arial"/>
          <w:sz w:val="18"/>
          <w:szCs w:val="18"/>
          <w:color w:val="auto"/>
        </w:rPr>
        <w:t>. The instrument of transfer shall be in writing in such form as may be acceptable to the Directors and shall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on behalf of the transferor and, if required by the Directors, signed by the transferee.</w:t>
      </w:r>
    </w:p>
    <w:p>
      <w:pPr>
        <w:spacing w:after="0" w:line="162" w:lineRule="exact"/>
        <w:rPr>
          <w:sz w:val="20"/>
          <w:szCs w:val="20"/>
          <w:color w:val="auto"/>
        </w:rPr>
      </w:pPr>
    </w:p>
    <w:p>
      <w:pPr>
        <w:ind w:left="660" w:right="340" w:hanging="647"/>
        <w:spacing w:after="0" w:line="312"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b w:val="1"/>
          <w:bCs w:val="1"/>
          <w:color w:val="auto"/>
        </w:rPr>
        <w:t>Certificates</w:t>
      </w:r>
      <w:r>
        <w:rPr>
          <w:rFonts w:ascii="Arial" w:cs="Arial" w:eastAsia="Arial" w:hAnsi="Arial"/>
          <w:sz w:val="17"/>
          <w:szCs w:val="17"/>
          <w:color w:val="auto"/>
        </w:rPr>
        <w:t>. Subject to Article 4.2, where the Company has issued a certificate in respect of a Share proposed to be transferred, the transferor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lodge, with the instrument of transfer, the original certificate relating to the Share being transferred.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0" w:name="page191"/>
    <w:bookmarkEnd w:id="190"/>
    <w:p>
      <w:pPr>
        <w:ind w:left="660" w:right="260" w:hanging="647"/>
        <w:spacing w:after="0" w:line="282"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Effective Date</w:t>
      </w:r>
      <w:r>
        <w:rPr>
          <w:rFonts w:ascii="Arial" w:cs="Arial" w:eastAsia="Arial" w:hAnsi="Arial"/>
          <w:sz w:val="18"/>
          <w:szCs w:val="18"/>
          <w:color w:val="auto"/>
        </w:rPr>
        <w:t>. The transfer of a Share is effective when the name of the transferee is entered on the Register of Members. Until such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transferor shall be deemed to remain a Member.</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b w:val="1"/>
          <w:bCs w:val="1"/>
          <w:color w:val="auto"/>
        </w:rPr>
        <w:t>Lost Certificate</w:t>
      </w:r>
      <w:r>
        <w:rPr>
          <w:rFonts w:ascii="Arial" w:cs="Arial" w:eastAsia="Arial" w:hAnsi="Arial"/>
          <w:sz w:val="18"/>
          <w:szCs w:val="18"/>
          <w:color w:val="auto"/>
        </w:rPr>
        <w:t>. If the Directors are satisfied that an instrument of transfer relating to Shares has been signed but that the instrument has been lost</w:t>
      </w:r>
      <w:r>
        <w:rPr>
          <w:rFonts w:ascii="Arial" w:cs="Arial" w:eastAsia="Arial" w:hAnsi="Arial"/>
          <w:sz w:val="18"/>
          <w:szCs w:val="18"/>
          <w:b w:val="1"/>
          <w:bCs w:val="1"/>
          <w:color w:val="auto"/>
        </w:rPr>
        <w:t xml:space="preserve"> </w:t>
      </w:r>
      <w:r>
        <w:rPr>
          <w:rFonts w:ascii="Arial" w:cs="Arial" w:eastAsia="Arial" w:hAnsi="Arial"/>
          <w:sz w:val="18"/>
          <w:szCs w:val="18"/>
          <w:color w:val="auto"/>
        </w:rPr>
        <w:t>or destroyed, they may, on receipt of such indemnities as they may require:</w:t>
      </w:r>
    </w:p>
    <w:p>
      <w:pPr>
        <w:spacing w:after="0" w:line="166" w:lineRule="exact"/>
        <w:rPr>
          <w:sz w:val="20"/>
          <w:szCs w:val="20"/>
          <w:color w:val="auto"/>
        </w:rPr>
      </w:pPr>
    </w:p>
    <w:p>
      <w:pPr>
        <w:ind w:left="1340" w:hanging="630"/>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accept such evidence of the transfer of Shares as they consider appropriate; and</w:t>
      </w:r>
    </w:p>
    <w:p>
      <w:pPr>
        <w:spacing w:after="0" w:line="225" w:lineRule="exact"/>
        <w:rPr>
          <w:rFonts w:ascii="Arial" w:cs="Arial" w:eastAsia="Arial" w:hAnsi="Arial"/>
          <w:sz w:val="18"/>
          <w:szCs w:val="18"/>
          <w:color w:val="auto"/>
        </w:rPr>
      </w:pPr>
    </w:p>
    <w:p>
      <w:pPr>
        <w:ind w:left="1340" w:hanging="630"/>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proceed to register the transferee’s name in the Register of Members.</w:t>
      </w:r>
    </w:p>
    <w:p>
      <w:pPr>
        <w:spacing w:after="0" w:line="221" w:lineRule="exact"/>
        <w:rPr>
          <w:sz w:val="20"/>
          <w:szCs w:val="20"/>
          <w:color w:val="auto"/>
        </w:rPr>
      </w:pPr>
    </w:p>
    <w:p>
      <w:pPr>
        <w:ind w:left="660" w:right="360" w:hanging="647"/>
        <w:spacing w:after="0" w:line="282"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b w:val="1"/>
          <w:bCs w:val="1"/>
          <w:color w:val="auto"/>
        </w:rPr>
        <w:t>Notification of Refusal</w:t>
      </w:r>
      <w:r>
        <w:rPr>
          <w:rFonts w:ascii="Arial" w:cs="Arial" w:eastAsia="Arial" w:hAnsi="Arial"/>
          <w:sz w:val="18"/>
          <w:szCs w:val="18"/>
          <w:color w:val="auto"/>
        </w:rPr>
        <w:t>. Where the Directors refuse to register a transfer of a Share, they shall, within two months after the date 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was lodged with the Company, notify the transferee of the refusal.</w:t>
      </w:r>
    </w:p>
    <w:p>
      <w:pPr>
        <w:spacing w:after="0" w:line="162" w:lineRule="exact"/>
        <w:rPr>
          <w:sz w:val="20"/>
          <w:szCs w:val="20"/>
          <w:color w:val="auto"/>
        </w:rPr>
      </w:pPr>
    </w:p>
    <w:p>
      <w:pPr>
        <w:ind w:left="660" w:right="140" w:hanging="647"/>
        <w:spacing w:after="0" w:line="282"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b w:val="1"/>
          <w:bCs w:val="1"/>
          <w:color w:val="auto"/>
        </w:rPr>
        <w:t>Transfer of Treasury Shares</w:t>
      </w:r>
      <w:r>
        <w:rPr>
          <w:rFonts w:ascii="Arial" w:cs="Arial" w:eastAsia="Arial" w:hAnsi="Arial"/>
          <w:sz w:val="18"/>
          <w:szCs w:val="18"/>
          <w:color w:val="auto"/>
        </w:rPr>
        <w:t>. The transfer of Treasury Shares may be for valuable consideration or otherwise, and at a discount to the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Shares.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CONVERSION OF CLASS B ORDINARY SHARES</w:t>
      </w:r>
    </w:p>
    <w:p>
      <w:pPr>
        <w:spacing w:after="0" w:line="256" w:lineRule="exact"/>
        <w:rPr>
          <w:sz w:val="20"/>
          <w:szCs w:val="20"/>
          <w:color w:val="auto"/>
        </w:rPr>
      </w:pPr>
    </w:p>
    <w:p>
      <w:pPr>
        <w:ind w:left="660" w:right="40" w:hanging="647"/>
        <w:spacing w:after="0" w:line="279"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Each Class A Ordinary Share shall be convertible into one (1) fully paid and non-assessable Class B Ordinary Share at the option of the Class A Holder at any time upon written notice to the transfer agent of the Company. The right to convert shall be exercisable by the Class A Holder delivering a written notice to the Company that such Class A Holder elects to convert a specified number of Class A Ordinary Shares into Class B Ordinary Shares. In no event shall Class B Ordinary Shares be convertible into Class A Ordinary Shares.</w:t>
      </w:r>
    </w:p>
    <w:p>
      <w:pPr>
        <w:spacing w:after="0" w:line="171"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Any conversion of Class A Ordinary Shares into Class B Ordinary Shares pursuant to these Articles shall be effected by means of the re-designation of each relevant Class A Ordinary Share as a Class B Ordinary Share. Such conversion shall become effective (i) in the case of any conversion effected pursuant to Article 13.1, forthwith upon the receipt by the Company of the written notice delivered to the Company as described in Article 13.1 (or at such later date as may be specified in such notice), or (ii) in the case of any automatic conversion effected pursuant to Article 13.3, forthwith upon occurrence of the event specified in Article 13.3 which triggers such automatic conversion, and the Company shall make entries in the Register to record the re-designation of the relevant Class A Ordinary Shares as Class B Ordinary Shares at the relevant time.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1" w:name="page192"/>
    <w:bookmarkEnd w:id="191"/>
    <w:p>
      <w:pPr>
        <w:ind w:left="660" w:hanging="647"/>
        <w:spacing w:after="0" w:line="270"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Upon any sale, transfer, assignment or disposition of any Class A Ordinary Share by a holder thereof to any person or entity who is not an Affiliate of the holder thereof, or upon a change of ultimate beneficial ownership of the holder of any Class A Ordinary Share to any person or entity who is not an Affiliate of the holder thereof, such Class A Ordinary Shares shall be automatically and immediately converted into the same number of Class B Ordinary Shares. For the avoidance of doubt, (i) a sale, transfer, assignment or disposition shall be effective upon the Company’s registration of such sale, transfer, assignment or disposition in its Register of Members; and (ii) the creation of any pledge, charge, encumbrance or other third party right of whatever description on any Class A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A Ordinary Shares, in which case all the related Class A Ordinary Shares shall be automatically converted into the same number of Class B Ordinary Shares.</w:t>
      </w:r>
    </w:p>
    <w:p>
      <w:pPr>
        <w:spacing w:after="0" w:line="181"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Company shall at all times reserve and keep available, solely for the purpose of issuance upon conversion of the issued and outstanding Class A Ordinary Shares, such number of Class B Ordinary Shares as may be required to be issued upon the conversion of all issued and outstanding Class A Ordinary Shares.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REGISTERED HOLDER DEEMED ABSOLUTE OWNER</w:t>
      </w:r>
    </w:p>
    <w:p>
      <w:pPr>
        <w:spacing w:after="0" w:line="229" w:lineRule="exact"/>
        <w:rPr>
          <w:sz w:val="20"/>
          <w:szCs w:val="20"/>
          <w:color w:val="auto"/>
        </w:rPr>
      </w:pPr>
    </w:p>
    <w:p>
      <w:pPr>
        <w:ind w:left="660" w:right="240" w:hanging="647"/>
        <w:spacing w:after="0" w:line="311"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registered holder of a Share shall be treated as the absolute owner of such Share. No person shall be recognised by the Company as holding any Share upon trust and the Company shall not register nor be bound by or required to recognise any equitable or other interest of whatever nature in a Share other than an absolute right to the Share, irrespective of whether the Company has notice of such interest.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ALTERATION OF SHARE CAPITAL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Increase or Amendment</w:t>
      </w:r>
      <w:r>
        <w:rPr>
          <w:rFonts w:ascii="Arial" w:cs="Arial" w:eastAsia="Arial" w:hAnsi="Arial"/>
          <w:sz w:val="16"/>
          <w:szCs w:val="16"/>
          <w:color w:val="auto"/>
        </w:rPr>
        <w:t>. The Company may by Ordinary Resolution:</w:t>
      </w:r>
    </w:p>
    <w:p>
      <w:pPr>
        <w:spacing w:after="0" w:line="229" w:lineRule="exact"/>
        <w:rPr>
          <w:sz w:val="20"/>
          <w:szCs w:val="20"/>
          <w:color w:val="auto"/>
        </w:rPr>
      </w:pPr>
    </w:p>
    <w:p>
      <w:pPr>
        <w:ind w:left="1300" w:right="760" w:hanging="644"/>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amount, and with such rights, privileges, priorities and restrictions attached to them as the resolution shall prescribe;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section 13 of the Companies Act, sub-divide its existing Shares, or any of them, into Shares of smaller amounts than is fixed by the Memorandum;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w:t>
      </w:r>
    </w:p>
    <w:p>
      <w:pPr>
        <w:spacing w:after="0" w:line="233"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b w:val="1"/>
          <w:bCs w:val="1"/>
          <w:color w:val="auto"/>
        </w:rPr>
        <w:t>Reduction</w:t>
      </w:r>
      <w:r>
        <w:rPr>
          <w:rFonts w:ascii="Arial" w:cs="Arial" w:eastAsia="Arial" w:hAnsi="Arial"/>
          <w:sz w:val="18"/>
          <w:szCs w:val="18"/>
          <w:color w:val="auto"/>
        </w:rPr>
        <w:t>. Subject to the provisions of the Companies Act and these Articles, the Company may, by Special Resolution, reduce its share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capital redemption reserve in any manner.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MEETINGS AND CONSENTS OF MEMBERS</w:t>
      </w:r>
    </w:p>
    <w:p>
      <w:pPr>
        <w:spacing w:after="0" w:line="225" w:lineRule="exact"/>
        <w:rPr>
          <w:sz w:val="20"/>
          <w:szCs w:val="20"/>
          <w:color w:val="auto"/>
        </w:rPr>
      </w:pPr>
    </w:p>
    <w:p>
      <w:pPr>
        <w:ind w:left="660" w:right="620" w:hanging="647"/>
        <w:spacing w:after="0" w:line="282"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b w:val="1"/>
          <w:bCs w:val="1"/>
          <w:color w:val="auto"/>
        </w:rPr>
        <w:t>Meetings</w:t>
      </w:r>
      <w:r>
        <w:rPr>
          <w:rFonts w:ascii="Arial" w:cs="Arial" w:eastAsia="Arial" w:hAnsi="Arial"/>
          <w:sz w:val="18"/>
          <w:szCs w:val="18"/>
          <w:color w:val="auto"/>
        </w:rPr>
        <w:t>. All meetings of Members shall be referred to as extraordinary general meetings unless the general meeting is an annual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The Company may but shall not be obliged to hold an annual general meeting.</w:t>
      </w:r>
    </w:p>
    <w:p>
      <w:pPr>
        <w:spacing w:after="0" w:line="162" w:lineRule="exact"/>
        <w:rPr>
          <w:sz w:val="20"/>
          <w:szCs w:val="20"/>
          <w:color w:val="auto"/>
        </w:rPr>
      </w:pPr>
    </w:p>
    <w:p>
      <w:pPr>
        <w:ind w:left="660" w:right="60" w:hanging="647"/>
        <w:spacing w:after="0" w:line="266"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b w:val="1"/>
          <w:bCs w:val="1"/>
          <w:color w:val="auto"/>
        </w:rPr>
        <w:t>Directors Convene and Cancel</w:t>
      </w:r>
      <w:r>
        <w:rPr>
          <w:rFonts w:ascii="Arial" w:cs="Arial" w:eastAsia="Arial" w:hAnsi="Arial"/>
          <w:sz w:val="18"/>
          <w:szCs w:val="18"/>
          <w:color w:val="auto"/>
        </w:rPr>
        <w:t>. The Directors may convene a general meeting at such time and in such manner and place within or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Cayman Islands as the Directors consider necessary or desirable and the Directors may cancel a general meeting with such notice, in such manner and for such reason as the Directors consider necessary.</w:t>
      </w:r>
    </w:p>
    <w:p>
      <w:pPr>
        <w:spacing w:after="0" w:line="176" w:lineRule="exact"/>
        <w:rPr>
          <w:sz w:val="20"/>
          <w:szCs w:val="20"/>
          <w:color w:val="auto"/>
        </w:rPr>
      </w:pPr>
    </w:p>
    <w:p>
      <w:pPr>
        <w:ind w:left="660" w:right="80" w:hanging="647"/>
        <w:spacing w:after="0" w:line="281"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b w:val="1"/>
          <w:bCs w:val="1"/>
          <w:color w:val="auto"/>
        </w:rPr>
        <w:t>Members Convene</w:t>
      </w:r>
      <w:r>
        <w:rPr>
          <w:rFonts w:ascii="Arial" w:cs="Arial" w:eastAsia="Arial" w:hAnsi="Arial"/>
          <w:sz w:val="17"/>
          <w:szCs w:val="17"/>
          <w:color w:val="auto"/>
        </w:rPr>
        <w:t>. Upon the written request of Members entitled to exercise 10% or more of the voting rights in respect of the matter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meeting is requisitioned, any one or more of the Directors shall forthwith proceed to convene a meeting of Members. The written request of Members to requisition a meeting must state the objects of the meeting and must be signed by the Members requisitioning the meeting. The written request must be lodged at the Registered Office and may be delivered in counterpart.</w:t>
      </w:r>
    </w:p>
    <w:p>
      <w:pPr>
        <w:spacing w:after="0" w:line="165" w:lineRule="exact"/>
        <w:rPr>
          <w:sz w:val="20"/>
          <w:szCs w:val="20"/>
          <w:color w:val="auto"/>
        </w:rPr>
      </w:pPr>
    </w:p>
    <w:p>
      <w:pPr>
        <w:ind w:left="660" w:right="60" w:hanging="647"/>
        <w:spacing w:after="0" w:line="258"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b w:val="1"/>
          <w:bCs w:val="1"/>
          <w:color w:val="auto"/>
        </w:rPr>
        <w:t>Failure to Convene</w:t>
      </w:r>
      <w:r>
        <w:rPr>
          <w:rFonts w:ascii="Arial" w:cs="Arial" w:eastAsia="Arial" w:hAnsi="Arial"/>
          <w:sz w:val="18"/>
          <w:szCs w:val="18"/>
          <w:color w:val="auto"/>
        </w:rPr>
        <w:t>. If the Directors do not proceed to convene a meeting of Members within 21 days of the written request to requisition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being lodged the requisitionists, or any of them together holding at least half of the voting rights of all of them, may convene the meeting of Members in the same manner as nearly as possible as that in which a meeting of Members may be convened by a Director. Where the requisitionists fail to convene the meeting of Members within three months of their right to convene the meeting arising, the right to convene the meeting of Members shall lapse.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color w:val="auto"/>
        </w:rPr>
        <w:t>Notice of Meeting</w:t>
      </w:r>
      <w:r>
        <w:rPr>
          <w:rFonts w:ascii="Arial" w:cs="Arial" w:eastAsia="Arial" w:hAnsi="Arial"/>
          <w:sz w:val="16"/>
          <w:szCs w:val="16"/>
          <w:color w:val="auto"/>
        </w:rPr>
        <w:t>. The Director convening a meeting shall give not less than seven days’ notice of a meeting of Members to:</w:t>
      </w:r>
    </w:p>
    <w:p>
      <w:pPr>
        <w:spacing w:after="0" w:line="229" w:lineRule="exact"/>
        <w:rPr>
          <w:sz w:val="20"/>
          <w:szCs w:val="20"/>
          <w:color w:val="auto"/>
        </w:rPr>
      </w:pPr>
    </w:p>
    <w:p>
      <w:pPr>
        <w:ind w:left="1340" w:hanging="630"/>
        <w:spacing w:after="0" w:line="277" w:lineRule="auto"/>
        <w:tabs>
          <w:tab w:leader="none" w:pos="1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those Members whose names on the date the notice is given appear as Members in the Register of Members and are entitled to vote at the meeting; and</w:t>
      </w:r>
    </w:p>
    <w:p>
      <w:pPr>
        <w:spacing w:after="0" w:line="170" w:lineRule="exact"/>
        <w:rPr>
          <w:rFonts w:ascii="Arial" w:cs="Arial" w:eastAsia="Arial" w:hAnsi="Arial"/>
          <w:sz w:val="18"/>
          <w:szCs w:val="18"/>
          <w:color w:val="auto"/>
        </w:rPr>
      </w:pPr>
    </w:p>
    <w:p>
      <w:pPr>
        <w:ind w:left="1340" w:hanging="630"/>
        <w:spacing w:after="0"/>
        <w:tabs>
          <w:tab w:leader="none" w:pos="1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of the Directors.</w:t>
      </w:r>
    </w:p>
    <w:p>
      <w:pPr>
        <w:spacing w:after="0" w:line="221" w:lineRule="exact"/>
        <w:rPr>
          <w:sz w:val="20"/>
          <w:szCs w:val="20"/>
          <w:color w:val="auto"/>
        </w:rPr>
      </w:pPr>
    </w:p>
    <w:p>
      <w:pPr>
        <w:ind w:left="660" w:right="140" w:hanging="647"/>
        <w:spacing w:after="0" w:line="289" w:lineRule="auto"/>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b w:val="1"/>
          <w:bCs w:val="1"/>
          <w:color w:val="auto"/>
        </w:rPr>
        <w:t>Failure to Give General Notice</w:t>
      </w:r>
      <w:r>
        <w:rPr>
          <w:rFonts w:ascii="Arial" w:cs="Arial" w:eastAsia="Arial" w:hAnsi="Arial"/>
          <w:sz w:val="17"/>
          <w:szCs w:val="17"/>
          <w:color w:val="auto"/>
        </w:rPr>
        <w:t>. A meeting of Members held in contravention of the requirement to give notice is valid if Members holding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90% of the total voting rights on all the matters to be considered at the meeting have waived notice of the meeting and, for this purpose, the presence of a Member at the meeting shall constitute waiver in relation to all the Shares which that Member holds.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3" w:name="page194"/>
    <w:bookmarkEnd w:id="193"/>
    <w:p>
      <w:pPr>
        <w:ind w:left="660" w:right="420" w:hanging="647"/>
        <w:spacing w:after="0" w:line="312"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b w:val="1"/>
          <w:bCs w:val="1"/>
          <w:color w:val="auto"/>
        </w:rPr>
        <w:t>Failure to give Individual Notice</w:t>
      </w:r>
      <w:r>
        <w:rPr>
          <w:rFonts w:ascii="Arial" w:cs="Arial" w:eastAsia="Arial" w:hAnsi="Arial"/>
          <w:sz w:val="17"/>
          <w:szCs w:val="17"/>
          <w:color w:val="auto"/>
        </w:rPr>
        <w:t>. The inadvertent failure of a Director who convenes a meeting to give notice of a meeting to a Member or</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Director, or the fact that a Member or another Director has not received notice, does not invalidate the meeting.</w:t>
      </w:r>
    </w:p>
    <w:p>
      <w:pPr>
        <w:spacing w:after="0" w:line="140"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b w:val="1"/>
          <w:bCs w:val="1"/>
          <w:color w:val="auto"/>
        </w:rPr>
        <w:t>Voting</w:t>
      </w:r>
      <w:r>
        <w:rPr>
          <w:rFonts w:ascii="Arial" w:cs="Arial" w:eastAsia="Arial" w:hAnsi="Arial"/>
          <w:sz w:val="18"/>
          <w:szCs w:val="18"/>
          <w:color w:val="auto"/>
        </w:rPr>
        <w:t>. No person shall be entitled to vote at any meeting of Members unless he is registered as a Member on the record date for such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calls or other moneys payable by him in respect of Shares have been paid at or before the record date.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PROXIES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Proxies</w:t>
      </w:r>
      <w:r>
        <w:rPr>
          <w:rFonts w:ascii="Arial" w:cs="Arial" w:eastAsia="Arial" w:hAnsi="Arial"/>
          <w:sz w:val="16"/>
          <w:szCs w:val="16"/>
          <w:color w:val="auto"/>
        </w:rPr>
        <w:t>. A Member may be represented at a meeting of Members by a proxy who may speak and vote on behalf of the Member.</w:t>
      </w:r>
    </w:p>
    <w:p>
      <w:pPr>
        <w:spacing w:after="0" w:line="225" w:lineRule="exact"/>
        <w:rPr>
          <w:sz w:val="20"/>
          <w:szCs w:val="20"/>
          <w:color w:val="auto"/>
        </w:rPr>
      </w:pPr>
    </w:p>
    <w:p>
      <w:pPr>
        <w:ind w:left="660" w:right="200" w:hanging="647"/>
        <w:spacing w:after="0" w:line="266"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b w:val="1"/>
          <w:bCs w:val="1"/>
          <w:color w:val="auto"/>
        </w:rPr>
        <w:t>Production of Proxies</w:t>
      </w:r>
      <w:r>
        <w:rPr>
          <w:rFonts w:ascii="Arial" w:cs="Arial" w:eastAsia="Arial" w:hAnsi="Arial"/>
          <w:sz w:val="18"/>
          <w:szCs w:val="18"/>
          <w:color w:val="auto"/>
        </w:rPr>
        <w:t>. The instrument appointing a proxy shall be produced at the place designated for the meeting before the time for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meeting at which the person named in such instrument proposes to vote. The notice of the meeting may specify an alternative or additional place or time at which the proxy shall be presented.</w:t>
      </w:r>
    </w:p>
    <w:p>
      <w:pPr>
        <w:spacing w:after="0" w:line="176" w:lineRule="exact"/>
        <w:rPr>
          <w:sz w:val="20"/>
          <w:szCs w:val="20"/>
          <w:color w:val="auto"/>
        </w:rPr>
      </w:pPr>
    </w:p>
    <w:p>
      <w:pPr>
        <w:ind w:left="660" w:right="80" w:hanging="647"/>
        <w:spacing w:after="0" w:line="289"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b w:val="1"/>
          <w:bCs w:val="1"/>
          <w:color w:val="auto"/>
        </w:rPr>
        <w:t>Form of Proxy</w:t>
      </w:r>
      <w:r>
        <w:rPr>
          <w:rFonts w:ascii="Arial" w:cs="Arial" w:eastAsia="Arial" w:hAnsi="Arial"/>
          <w:sz w:val="17"/>
          <w:szCs w:val="17"/>
          <w:color w:val="auto"/>
        </w:rPr>
        <w:t>. An instrument appointing a proxy may be in any usual or common form (or such other form as the Directors may approve) and</w:t>
      </w:r>
      <w:r>
        <w:rPr>
          <w:rFonts w:ascii="Arial" w:cs="Arial" w:eastAsia="Arial" w:hAnsi="Arial"/>
          <w:sz w:val="17"/>
          <w:szCs w:val="17"/>
          <w:b w:val="1"/>
          <w:bCs w:val="1"/>
          <w:color w:val="auto"/>
        </w:rPr>
        <w:t xml:space="preserve"> </w:t>
      </w:r>
      <w:r>
        <w:rPr>
          <w:rFonts w:ascii="Arial" w:cs="Arial" w:eastAsia="Arial" w:hAnsi="Arial"/>
          <w:sz w:val="17"/>
          <w:szCs w:val="17"/>
          <w:color w:val="auto"/>
        </w:rPr>
        <w:t>may be expressed to be for a particular meeting or any adjournment thereof or may appoint a standing proxy until notice of revocation is received at the Registered Office or at such place or places as the Directors may otherwise specify for the purpose.</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Joint Ownership and Proxies</w:t>
      </w:r>
      <w:r>
        <w:rPr>
          <w:rFonts w:ascii="Arial" w:cs="Arial" w:eastAsia="Arial" w:hAnsi="Arial"/>
          <w:sz w:val="16"/>
          <w:szCs w:val="16"/>
          <w:color w:val="auto"/>
        </w:rPr>
        <w:t>. Where Shares are jointly owned:</w:t>
      </w:r>
    </w:p>
    <w:p>
      <w:pPr>
        <w:spacing w:after="0" w:line="229" w:lineRule="exact"/>
        <w:rPr>
          <w:sz w:val="20"/>
          <w:szCs w:val="20"/>
          <w:color w:val="auto"/>
        </w:rPr>
      </w:pPr>
    </w:p>
    <w:p>
      <w:pPr>
        <w:ind w:left="1340" w:right="160" w:hanging="630"/>
        <w:spacing w:after="0" w:line="258" w:lineRule="auto"/>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two or more persons hold Shares jointly, each of them may be present in person or by proxy at a meeting of Members and may speak as a Member;</w:t>
      </w:r>
    </w:p>
    <w:p>
      <w:pPr>
        <w:spacing w:after="0" w:line="1" w:lineRule="exact"/>
        <w:rPr>
          <w:rFonts w:ascii="Arial" w:cs="Arial" w:eastAsia="Arial" w:hAnsi="Arial"/>
          <w:sz w:val="18"/>
          <w:szCs w:val="18"/>
          <w:color w:val="auto"/>
        </w:rPr>
      </w:pPr>
    </w:p>
    <w:p>
      <w:pPr>
        <w:ind w:left="1340" w:hanging="630"/>
        <w:spacing w:after="0"/>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only one of the joint owners is present in person or by proxy he may vote on behalf of all joint owners; and</w:t>
      </w:r>
    </w:p>
    <w:p>
      <w:pPr>
        <w:spacing w:after="0" w:line="210" w:lineRule="exact"/>
        <w:rPr>
          <w:rFonts w:ascii="Arial" w:cs="Arial" w:eastAsia="Arial" w:hAnsi="Arial"/>
          <w:sz w:val="18"/>
          <w:szCs w:val="18"/>
          <w:color w:val="auto"/>
        </w:rPr>
      </w:pPr>
    </w:p>
    <w:p>
      <w:pPr>
        <w:ind w:left="1340" w:hanging="630"/>
        <w:spacing w:after="0"/>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two or more of the joint owners are present in person or by proxy they must vote as one.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PROCEEDINGS OF SHAREHOLDER MEETINGS</w:t>
      </w:r>
    </w:p>
    <w:p>
      <w:pPr>
        <w:spacing w:after="0" w:line="225"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b w:val="1"/>
          <w:bCs w:val="1"/>
          <w:color w:val="auto"/>
        </w:rPr>
        <w:t>Chairman of Member Meeting</w:t>
      </w:r>
      <w:r>
        <w:rPr>
          <w:rFonts w:ascii="Arial" w:cs="Arial" w:eastAsia="Arial" w:hAnsi="Arial"/>
          <w:sz w:val="18"/>
          <w:szCs w:val="18"/>
          <w:color w:val="auto"/>
        </w:rPr>
        <w:t>. At every meeting of Members, the chairman of the board of Directors shall preside as chairman of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If there is no chairman of the board of Directors or if he is not present at the meeting within fifteen minutes of the time appointed after the meeting or if he is unwilling to act the Directors present shall elect the chairman of the meeting.</w:t>
      </w:r>
    </w:p>
    <w:p>
      <w:pPr>
        <w:spacing w:after="0" w:line="176" w:lineRule="exact"/>
        <w:rPr>
          <w:sz w:val="20"/>
          <w:szCs w:val="20"/>
          <w:color w:val="auto"/>
        </w:rPr>
      </w:pPr>
    </w:p>
    <w:p>
      <w:pPr>
        <w:ind w:left="660" w:right="400" w:hanging="647"/>
        <w:spacing w:after="0" w:line="266"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b w:val="1"/>
          <w:bCs w:val="1"/>
          <w:color w:val="auto"/>
        </w:rPr>
        <w:t>Adjournment</w:t>
      </w:r>
      <w:r>
        <w:rPr>
          <w:rFonts w:ascii="Arial" w:cs="Arial" w:eastAsia="Arial" w:hAnsi="Arial"/>
          <w:sz w:val="18"/>
          <w:szCs w:val="18"/>
          <w:color w:val="auto"/>
        </w:rPr>
        <w:t>. The chairman may, with the consent of the meeting, adjourn any meeting from time to time, and from place to place, but no</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shall be transacted at any adjourned meeting other than the business left unfinished at the meeting from which the adjournment took place.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4" w:name="page195"/>
    <w:bookmarkEnd w:id="194"/>
    <w:p>
      <w:pPr>
        <w:ind w:left="620" w:right="380" w:hanging="647"/>
        <w:spacing w:after="0" w:line="347" w:lineRule="auto"/>
        <w:tabs>
          <w:tab w:leader="none" w:pos="6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Conference Call</w:t>
      </w:r>
      <w:r>
        <w:rPr>
          <w:rFonts w:ascii="Arial" w:cs="Arial" w:eastAsia="Arial" w:hAnsi="Arial"/>
          <w:sz w:val="16"/>
          <w:szCs w:val="16"/>
          <w:color w:val="auto"/>
        </w:rPr>
        <w:t>. A Member, or his duly authorised representative or proxy, shall be deemed to be present at a meeting of Members if 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participates by telephone or other electronic means by means of which all the persons participating in the meeting are able to hear each other.</w:t>
      </w:r>
    </w:p>
    <w:p>
      <w:pPr>
        <w:spacing w:after="0" w:line="116" w:lineRule="exact"/>
        <w:rPr>
          <w:sz w:val="20"/>
          <w:szCs w:val="20"/>
          <w:color w:val="auto"/>
        </w:rPr>
      </w:pPr>
    </w:p>
    <w:p>
      <w:pPr>
        <w:jc w:val="both"/>
        <w:ind w:left="620" w:right="120" w:hanging="647"/>
        <w:spacing w:after="0" w:line="266" w:lineRule="auto"/>
        <w:tabs>
          <w:tab w:leader="none" w:pos="6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b w:val="1"/>
          <w:bCs w:val="1"/>
          <w:color w:val="auto"/>
        </w:rPr>
        <w:t>Objections</w:t>
      </w:r>
      <w:r>
        <w:rPr>
          <w:rFonts w:ascii="Arial" w:cs="Arial" w:eastAsia="Arial" w:hAnsi="Arial"/>
          <w:sz w:val="18"/>
          <w:szCs w:val="18"/>
          <w:color w:val="auto"/>
        </w:rPr>
        <w:t>. No objection shall be raised to the qualification of any voter except at the meeting of members or adjourned meeting of Members at</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vote objected to is given or tendered and every vote not disallowed at the meeting shall be valid. Any objection made in due time shall be referred to the chairman whose decision shall be final and binding on all parties.</w:t>
      </w:r>
    </w:p>
    <w:p>
      <w:pPr>
        <w:spacing w:after="0" w:line="176" w:lineRule="exact"/>
        <w:rPr>
          <w:sz w:val="20"/>
          <w:szCs w:val="20"/>
          <w:color w:val="auto"/>
        </w:rPr>
      </w:pPr>
    </w:p>
    <w:p>
      <w:pPr>
        <w:ind w:left="620" w:right="20" w:hanging="647"/>
        <w:spacing w:after="0" w:line="266" w:lineRule="auto"/>
        <w:tabs>
          <w:tab w:leader="none" w:pos="60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b w:val="1"/>
          <w:bCs w:val="1"/>
          <w:color w:val="auto"/>
        </w:rPr>
        <w:t>Casting of Votes</w:t>
      </w:r>
      <w:r>
        <w:rPr>
          <w:rFonts w:ascii="Arial" w:cs="Arial" w:eastAsia="Arial" w:hAnsi="Arial"/>
          <w:sz w:val="18"/>
          <w:szCs w:val="18"/>
          <w:color w:val="auto"/>
        </w:rPr>
        <w:t>. A Member holding more than one Share need not cast the votes in respect of the Shares held by him in the same way on any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for which a poll is taken. A person appointed as the authorised representative or proxy of a Member may cast the votes in respect of the Shares for which he is appointed in a like manner.</w:t>
      </w:r>
    </w:p>
    <w:p>
      <w:pPr>
        <w:spacing w:after="0" w:line="176" w:lineRule="exact"/>
        <w:rPr>
          <w:sz w:val="20"/>
          <w:szCs w:val="20"/>
          <w:color w:val="auto"/>
        </w:rPr>
      </w:pPr>
    </w:p>
    <w:p>
      <w:pPr>
        <w:jc w:val="both"/>
        <w:ind w:left="620" w:right="40" w:hanging="647"/>
        <w:spacing w:after="0" w:line="289" w:lineRule="auto"/>
        <w:tabs>
          <w:tab w:leader="none" w:pos="60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b w:val="1"/>
          <w:bCs w:val="1"/>
          <w:color w:val="auto"/>
        </w:rPr>
        <w:t>Quorum</w:t>
      </w:r>
      <w:r>
        <w:rPr>
          <w:rFonts w:ascii="Arial" w:cs="Arial" w:eastAsia="Arial" w:hAnsi="Arial"/>
          <w:sz w:val="16"/>
          <w:szCs w:val="16"/>
          <w:color w:val="auto"/>
        </w:rPr>
        <w:t>. A meeting of Members is duly constituted if, at the commencement of the meeting, there are present in person, through their authorised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or by proxy two or more Members entitled to vote on resolutions of Members to be considered at the meeting except where there is only one Member entitled to vote on resolutions of Members to be considered at the meeting in which case the quorum shall be one Member.</w:t>
      </w:r>
    </w:p>
    <w:p>
      <w:pPr>
        <w:spacing w:after="0" w:line="2" w:lineRule="exact"/>
        <w:rPr>
          <w:sz w:val="20"/>
          <w:szCs w:val="20"/>
          <w:color w:val="auto"/>
        </w:rPr>
      </w:pPr>
    </w:p>
    <w:p>
      <w:pPr>
        <w:ind w:left="620" w:right="360"/>
        <w:spacing w:after="0" w:line="290" w:lineRule="auto"/>
        <w:rPr>
          <w:sz w:val="20"/>
          <w:szCs w:val="20"/>
          <w:color w:val="auto"/>
        </w:rPr>
      </w:pPr>
      <w:r>
        <w:rPr>
          <w:rFonts w:ascii="Arial" w:cs="Arial" w:eastAsia="Arial" w:hAnsi="Arial"/>
          <w:sz w:val="17"/>
          <w:szCs w:val="17"/>
          <w:color w:val="auto"/>
        </w:rPr>
        <w:t>Where a quorum comprises a single Member or proxy, such person may pass a resolution of Members and a certificate signed by such person accompanied where such person be a proxy by a copy of the proxy instrument shall constitute a valid resolution of Members.</w:t>
      </w:r>
    </w:p>
    <w:p>
      <w:pPr>
        <w:spacing w:after="0" w:line="157" w:lineRule="exact"/>
        <w:rPr>
          <w:sz w:val="20"/>
          <w:szCs w:val="20"/>
          <w:color w:val="auto"/>
        </w:rPr>
      </w:pPr>
    </w:p>
    <w:p>
      <w:pPr>
        <w:ind w:left="620" w:right="120" w:hanging="647"/>
        <w:spacing w:after="0" w:line="303" w:lineRule="auto"/>
        <w:tabs>
          <w:tab w:leader="none" w:pos="60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b w:val="1"/>
          <w:bCs w:val="1"/>
          <w:color w:val="auto"/>
        </w:rPr>
        <w:t>No Quorum</w:t>
      </w:r>
      <w:r>
        <w:rPr>
          <w:rFonts w:ascii="Arial" w:cs="Arial" w:eastAsia="Arial" w:hAnsi="Arial"/>
          <w:sz w:val="16"/>
          <w:szCs w:val="16"/>
          <w:color w:val="auto"/>
        </w:rPr>
        <w:t>. If within two hours from the time appointed for the meeting a quorum is not present, the meeting, if convened upon the requisition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Members, shall be dissolved; in any other case it shall stand adjourned to the next business day in the jurisdiction in which the meeting was to have been held at the same time and place or to such other time and place as the Directors may determine, and if at the adjourned meeting a quorum is not present within half an hour from the time appointed for the meeting the Members present shall be a quorum.</w:t>
      </w:r>
    </w:p>
    <w:p>
      <w:pPr>
        <w:spacing w:after="0" w:line="151" w:lineRule="exact"/>
        <w:rPr>
          <w:sz w:val="20"/>
          <w:szCs w:val="20"/>
          <w:color w:val="auto"/>
        </w:rPr>
      </w:pPr>
    </w:p>
    <w:p>
      <w:pPr>
        <w:ind w:left="620" w:hanging="647"/>
        <w:spacing w:after="0" w:line="272" w:lineRule="auto"/>
        <w:tabs>
          <w:tab w:leader="none" w:pos="60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7"/>
          <w:szCs w:val="17"/>
          <w:b w:val="1"/>
          <w:bCs w:val="1"/>
          <w:color w:val="auto"/>
        </w:rPr>
        <w:t>Polls</w:t>
      </w:r>
      <w:r>
        <w:rPr>
          <w:rFonts w:ascii="Arial" w:cs="Arial" w:eastAsia="Arial" w:hAnsi="Arial"/>
          <w:sz w:val="17"/>
          <w:szCs w:val="17"/>
          <w:color w:val="auto"/>
        </w:rPr>
        <w:t>. At any meeting of the Members the chairman is responsible for deciding in such manner as he considers appropriate whether any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Member present in person or by proxy who disputes the announcement by the chairman of the result of any vote may immediately following such announcement demand that a poll be taken and the chairman shall cause a poll to be taken. If a poll is taken at any meeting, the result shall be announced to the meeting and recorded in the minutes of the meeting. The minutes of the meeting shall be conclusive evidence of the fact that a resolution was carried or not without proof of the number or proportion of the votes recorded in favour of or against such resolution.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195" w:name="page196"/>
    <w:bookmarkEnd w:id="195"/>
    <w:p>
      <w:pPr>
        <w:ind w:left="660" w:right="340" w:hanging="647"/>
        <w:spacing w:after="0" w:line="282" w:lineRule="auto"/>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b w:val="1"/>
          <w:bCs w:val="1"/>
          <w:color w:val="auto"/>
        </w:rPr>
        <w:t>Director Participation</w:t>
      </w:r>
      <w:r>
        <w:rPr>
          <w:rFonts w:ascii="Arial" w:cs="Arial" w:eastAsia="Arial" w:hAnsi="Arial"/>
          <w:sz w:val="18"/>
          <w:szCs w:val="18"/>
          <w:color w:val="auto"/>
        </w:rPr>
        <w:t>. Directors may attend and speak at any meeting of Members and at any separate meeting of the holders of any class or</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Shares.</w:t>
      </w:r>
    </w:p>
    <w:p>
      <w:pPr>
        <w:spacing w:after="0" w:line="162"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7"/>
          <w:szCs w:val="17"/>
          <w:b w:val="1"/>
          <w:bCs w:val="1"/>
          <w:color w:val="auto"/>
        </w:rPr>
        <w:t>Unanimous Written Resolutions</w:t>
      </w:r>
      <w:r>
        <w:rPr>
          <w:rFonts w:ascii="Arial" w:cs="Arial" w:eastAsia="Arial" w:hAnsi="Arial"/>
          <w:sz w:val="17"/>
          <w:szCs w:val="17"/>
          <w:color w:val="auto"/>
        </w:rPr>
        <w:t>. Any Ordinary or Special Resolution of Members and any other action that may be taken by the Members at a</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may also be taken by a resolution consented to in writing, without the need for any notice, by all Members who would have been entitled to attend and vote at a meeting called for the purpose of passing such a resolution or taking any other action. The consent may be in the form of counterparts, each counterpart being signed by one or more Members. If the consent is in one or more counterparts, and the counterparts bear different dates, then the resolution shall take effect on the latest date borne by the counterparts.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APPOINTMENT AND REMOVAL OF DIRECTORS</w:t>
      </w:r>
    </w:p>
    <w:p>
      <w:pPr>
        <w:spacing w:after="0" w:line="225" w:lineRule="exact"/>
        <w:rPr>
          <w:sz w:val="20"/>
          <w:szCs w:val="20"/>
          <w:color w:val="auto"/>
        </w:rPr>
      </w:pPr>
    </w:p>
    <w:p>
      <w:pPr>
        <w:ind w:left="660" w:right="380" w:hanging="647"/>
        <w:spacing w:after="0" w:line="347" w:lineRule="auto"/>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color w:val="auto"/>
        </w:rPr>
        <w:t>Number of Directors</w:t>
      </w:r>
      <w:r>
        <w:rPr>
          <w:rFonts w:ascii="Arial" w:cs="Arial" w:eastAsia="Arial" w:hAnsi="Arial"/>
          <w:sz w:val="16"/>
          <w:szCs w:val="16"/>
          <w:color w:val="auto"/>
        </w:rPr>
        <w:t>. The Company shall have a board of Directors consisting of not less than one Director. The Company may by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impose a maximum or minimum number of Directors required to hold office at any time and vary such limits from time to time.</w:t>
      </w:r>
    </w:p>
    <w:p>
      <w:pPr>
        <w:spacing w:after="0" w:line="11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b w:val="1"/>
          <w:bCs w:val="1"/>
          <w:color w:val="auto"/>
        </w:rPr>
        <w:t>Appointment of Directors</w:t>
      </w:r>
      <w:r>
        <w:rPr>
          <w:rFonts w:ascii="Arial" w:cs="Arial" w:eastAsia="Arial" w:hAnsi="Arial"/>
          <w:sz w:val="17"/>
          <w:szCs w:val="17"/>
          <w:color w:val="auto"/>
        </w:rPr>
        <w:t>. The first Directors shall be appointed by the subscribers to the Memorandum by a written instrument signed by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subscribers or by an Ordinary Resolution passed by the subscribers. Thereafter, subject to the limits set out in the preceding Article, Directors shall be appointed by Ordinary Resolution or by a resolution of the Directors and may be removed by Ordinary Resolution.</w:t>
      </w:r>
    </w:p>
    <w:p>
      <w:pPr>
        <w:spacing w:after="0" w:line="158" w:lineRule="exact"/>
        <w:rPr>
          <w:sz w:val="20"/>
          <w:szCs w:val="20"/>
          <w:color w:val="auto"/>
        </w:rPr>
      </w:pPr>
    </w:p>
    <w:p>
      <w:pPr>
        <w:ind w:left="660" w:right="360" w:hanging="647"/>
        <w:spacing w:after="0" w:line="266"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Each Director holds office for the term, if any, fixed by the terms of his appointment or until his earlier death, bankruptcy, insanity,</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or removal. If no term is fixed on the appointment of a Director, the Director serves indefinitely until his earlier death, bankruptcy, insanity, resignation or removal.</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b w:val="1"/>
          <w:bCs w:val="1"/>
          <w:color w:val="auto"/>
        </w:rPr>
        <w:t>Vacation</w:t>
      </w:r>
      <w:r>
        <w:rPr>
          <w:rFonts w:ascii="Arial" w:cs="Arial" w:eastAsia="Arial" w:hAnsi="Arial"/>
          <w:sz w:val="16"/>
          <w:szCs w:val="16"/>
          <w:color w:val="auto"/>
        </w:rPr>
        <w:t>. The office of a Director shall be vacated if:</w:t>
      </w:r>
    </w:p>
    <w:p>
      <w:pPr>
        <w:spacing w:after="0" w:line="229"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he gives notice in writing to the Company that he resigns the office of Director; or</w:t>
      </w:r>
    </w:p>
    <w:p>
      <w:pPr>
        <w:spacing w:after="0" w:line="225"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he absents himself (without being represented by an alternate Director appointed by him) from three consecutive meetings of the board of Directors without special leave of absence from the Directors, and they pass a resolution that he has by reason of such absence vacated office; 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ind w:left="1340" w:hanging="630"/>
        <w:spacing w:after="0"/>
        <w:tabs>
          <w:tab w:leader="none" w:pos="1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he dies,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340" w:hanging="630"/>
        <w:spacing w:after="0"/>
        <w:tabs>
          <w:tab w:leader="none" w:pos="1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he is found to be or becomes of unsound mind; or</w:t>
      </w:r>
    </w:p>
    <w:p>
      <w:pPr>
        <w:spacing w:after="0" w:line="225" w:lineRule="exact"/>
        <w:rPr>
          <w:rFonts w:ascii="Arial" w:cs="Arial" w:eastAsia="Arial" w:hAnsi="Arial"/>
          <w:sz w:val="18"/>
          <w:szCs w:val="18"/>
          <w:color w:val="auto"/>
        </w:rPr>
      </w:pPr>
    </w:p>
    <w:p>
      <w:pPr>
        <w:ind w:left="1340" w:hanging="630"/>
        <w:spacing w:after="0"/>
        <w:tabs>
          <w:tab w:leader="none" w:pos="1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the other Directors (being not less than two in number) resolve that he should be removed as a Director.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REGISTER OF DIRECTORS AND OFFICERS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Details</w:t>
      </w:r>
      <w:r>
        <w:rPr>
          <w:rFonts w:ascii="Arial" w:cs="Arial" w:eastAsia="Arial" w:hAnsi="Arial"/>
          <w:sz w:val="16"/>
          <w:szCs w:val="16"/>
          <w:color w:val="auto"/>
        </w:rPr>
        <w:t>. The Register of Directors and Officers shall contain:</w:t>
      </w:r>
    </w:p>
    <w:p>
      <w:pPr>
        <w:spacing w:after="0" w:line="229" w:lineRule="exact"/>
        <w:rPr>
          <w:sz w:val="20"/>
          <w:szCs w:val="20"/>
          <w:color w:val="auto"/>
        </w:rPr>
      </w:pPr>
    </w:p>
    <w:p>
      <w:pPr>
        <w:ind w:left="1340" w:hanging="630"/>
        <w:spacing w:after="0"/>
        <w:tabs>
          <w:tab w:leader="none" w:pos="1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names and addresses of the persons who are Directors and Officers;</w:t>
      </w:r>
    </w:p>
    <w:p>
      <w:pPr>
        <w:spacing w:after="0" w:line="225" w:lineRule="exact"/>
        <w:rPr>
          <w:rFonts w:ascii="Arial" w:cs="Arial" w:eastAsia="Arial" w:hAnsi="Arial"/>
          <w:sz w:val="18"/>
          <w:szCs w:val="18"/>
          <w:color w:val="auto"/>
        </w:rPr>
      </w:pPr>
    </w:p>
    <w:p>
      <w:pPr>
        <w:ind w:left="1340" w:hanging="630"/>
        <w:spacing w:after="0"/>
        <w:tabs>
          <w:tab w:leader="none" w:pos="1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date on which each person whose name is entered in the register was appointed as a Director or Officer; and</w:t>
      </w:r>
    </w:p>
    <w:p>
      <w:pPr>
        <w:spacing w:after="0" w:line="225" w:lineRule="exact"/>
        <w:rPr>
          <w:rFonts w:ascii="Arial" w:cs="Arial" w:eastAsia="Arial" w:hAnsi="Arial"/>
          <w:sz w:val="18"/>
          <w:szCs w:val="18"/>
          <w:color w:val="auto"/>
        </w:rPr>
      </w:pPr>
    </w:p>
    <w:p>
      <w:pPr>
        <w:ind w:left="1340" w:hanging="630"/>
        <w:spacing w:after="0"/>
        <w:tabs>
          <w:tab w:leader="none" w:pos="1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date on which each person named as a Director or Officer ceased to be a Director or Officer.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POWERS OF DIRECTORS</w:t>
      </w:r>
    </w:p>
    <w:p>
      <w:pPr>
        <w:spacing w:after="0" w:line="225" w:lineRule="exact"/>
        <w:rPr>
          <w:sz w:val="20"/>
          <w:szCs w:val="20"/>
          <w:color w:val="auto"/>
        </w:rPr>
      </w:pPr>
    </w:p>
    <w:p>
      <w:pPr>
        <w:ind w:left="660" w:right="40" w:hanging="647"/>
        <w:spacing w:after="0" w:line="255"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b w:val="1"/>
          <w:bCs w:val="1"/>
          <w:color w:val="auto"/>
        </w:rPr>
        <w:t>Management by Directors</w:t>
      </w:r>
      <w:r>
        <w:rPr>
          <w:rFonts w:ascii="Arial" w:cs="Arial" w:eastAsia="Arial" w:hAnsi="Arial"/>
          <w:sz w:val="18"/>
          <w:szCs w:val="18"/>
          <w:color w:val="auto"/>
        </w:rPr>
        <w:t>. Subject to the provisions of the Companies Act, the Memorandum, these Articles and any directions given by</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Resolution, the business and affairs of the Company shall be managed by, or under the direction or supervision of, the Directors. The Directors shall have all the powers necessary for managing, and for directing and supervising, the business and affairs of the Company as are not by the Companies Act, the Memorandum, these Articles or the terms of any Special Resolution required to be exercised by the Members. No alteration of the Memorandum or these Articles or any direction given by Ordinary or Special Resolution shall invalidate any prior act of the Directors that was valid at the time undertaken. A duly convened meeting of Directors at which a quorum is present may exercise all powers exercisable by the Directors.</w:t>
      </w:r>
    </w:p>
    <w:p>
      <w:pPr>
        <w:spacing w:after="0" w:line="18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b w:val="1"/>
          <w:bCs w:val="1"/>
          <w:color w:val="auto"/>
        </w:rPr>
        <w:t>Good Faith</w:t>
      </w:r>
      <w:r>
        <w:rPr>
          <w:rFonts w:ascii="Arial" w:cs="Arial" w:eastAsia="Arial" w:hAnsi="Arial"/>
          <w:sz w:val="18"/>
          <w:szCs w:val="18"/>
          <w:color w:val="auto"/>
        </w:rPr>
        <w:t>. Each Director shall exercise his powers for a proper purpose. Each Director, in exercising his powers or performing his duties,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act honestly and in good faith in what the Director believes to be the best interests of the Company.</w:t>
      </w:r>
    </w:p>
    <w:p>
      <w:pPr>
        <w:spacing w:after="0" w:line="162" w:lineRule="exact"/>
        <w:rPr>
          <w:sz w:val="20"/>
          <w:szCs w:val="20"/>
          <w:color w:val="auto"/>
        </w:rPr>
      </w:pPr>
    </w:p>
    <w:p>
      <w:pPr>
        <w:ind w:left="660" w:hanging="647"/>
        <w:spacing w:after="0" w:line="261"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b w:val="1"/>
          <w:bCs w:val="1"/>
          <w:color w:val="auto"/>
        </w:rPr>
        <w:t>Acting in Vacancy</w:t>
      </w:r>
      <w:r>
        <w:rPr>
          <w:rFonts w:ascii="Arial" w:cs="Arial" w:eastAsia="Arial" w:hAnsi="Arial"/>
          <w:sz w:val="18"/>
          <w:szCs w:val="18"/>
          <w:color w:val="auto"/>
        </w:rPr>
        <w:t>. The continuing Directors may act notwithstanding any vacancy in their body, but if and for so long as their number is below</w:t>
      </w:r>
      <w:r>
        <w:rPr>
          <w:rFonts w:ascii="Arial" w:cs="Arial" w:eastAsia="Arial" w:hAnsi="Arial"/>
          <w:sz w:val="18"/>
          <w:szCs w:val="18"/>
          <w:b w:val="1"/>
          <w:bCs w:val="1"/>
          <w:color w:val="auto"/>
        </w:rPr>
        <w:t xml:space="preserve"> </w:t>
      </w:r>
      <w:r>
        <w:rPr>
          <w:rFonts w:ascii="Arial" w:cs="Arial" w:eastAsia="Arial" w:hAnsi="Arial"/>
          <w:sz w:val="18"/>
          <w:szCs w:val="18"/>
          <w:color w:val="auto"/>
        </w:rPr>
        <w:t>any minimum number of Directors fixed by or pursuant to these Articles, the continuing Directors may act for the purpose of passing a resolution to appoint further Directors to the board of Directors and of convening a meeting of Members to appoint further Directors but for no other purpose.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97" w:name="page198"/>
    <w:bookmarkEnd w:id="197"/>
    <w:p>
      <w:pPr>
        <w:ind w:left="660" w:right="120" w:hanging="647"/>
        <w:spacing w:after="0" w:line="266"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b w:val="1"/>
          <w:bCs w:val="1"/>
          <w:color w:val="auto"/>
        </w:rPr>
        <w:t>Indebtedness and Security</w:t>
      </w:r>
      <w:r>
        <w:rPr>
          <w:rFonts w:ascii="Arial" w:cs="Arial" w:eastAsia="Arial" w:hAnsi="Arial"/>
          <w:sz w:val="18"/>
          <w:szCs w:val="18"/>
          <w:color w:val="auto"/>
        </w:rPr>
        <w:t>. The Directors may exercise all the powers of the Company to incur indebtedness, liabilities or obligations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issue debentures, debenture stock, mortgages, bonds and other such securities and to secure indebtedness, liabilities or obligations whether of the Company or of any third party.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OF DIRECTORS</w:t>
      </w:r>
    </w:p>
    <w:p>
      <w:pPr>
        <w:spacing w:after="0" w:line="225"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b w:val="1"/>
          <w:bCs w:val="1"/>
          <w:color w:val="auto"/>
        </w:rPr>
        <w:t>Quorum</w:t>
      </w:r>
      <w:r>
        <w:rPr>
          <w:rFonts w:ascii="Arial" w:cs="Arial" w:eastAsia="Arial" w:hAnsi="Arial"/>
          <w:sz w:val="18"/>
          <w:szCs w:val="18"/>
          <w:color w:val="auto"/>
        </w:rPr>
        <w:t>. The quorum for the transaction of the business of the Directors may be fixed by the Directors, and unless so fixed shall be two if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two or more Directors, and shall be one if there is only one Director. A person who holds office as an alternate Director shall be counted in the quorum. A Director who also acts as an alternate Director shall count twice towards the quorum.</w:t>
      </w:r>
    </w:p>
    <w:p>
      <w:pPr>
        <w:spacing w:after="0" w:line="176" w:lineRule="exact"/>
        <w:rPr>
          <w:sz w:val="20"/>
          <w:szCs w:val="20"/>
          <w:color w:val="auto"/>
        </w:rPr>
      </w:pPr>
    </w:p>
    <w:p>
      <w:pPr>
        <w:jc w:val="both"/>
        <w:ind w:left="660" w:right="40" w:hanging="647"/>
        <w:spacing w:after="0" w:line="289"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b w:val="1"/>
          <w:bCs w:val="1"/>
          <w:color w:val="auto"/>
        </w:rPr>
        <w:t>Voting</w:t>
      </w:r>
      <w:r>
        <w:rPr>
          <w:rFonts w:ascii="Arial" w:cs="Arial" w:eastAsia="Arial" w:hAnsi="Arial"/>
          <w:sz w:val="17"/>
          <w:szCs w:val="17"/>
          <w:color w:val="auto"/>
        </w:rPr>
        <w:t>. Subject to the provisions of these Articles, the Directors may regulate their proceedings as they think fit. Questions arising at any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decided by a majority of votes. In the case of an equality of votes, the chairman shall not have a second or casting vote. A Director who is also an alternate Director shall be entitled to a separate vote on behalf of his appointor in addition to his own vote.</w:t>
      </w:r>
    </w:p>
    <w:p>
      <w:pPr>
        <w:spacing w:after="0" w:line="158"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b w:val="1"/>
          <w:bCs w:val="1"/>
          <w:color w:val="auto"/>
        </w:rPr>
        <w:t>Conference Call</w:t>
      </w:r>
      <w:r>
        <w:rPr>
          <w:rFonts w:ascii="Arial" w:cs="Arial" w:eastAsia="Arial" w:hAnsi="Arial"/>
          <w:sz w:val="18"/>
          <w:szCs w:val="18"/>
          <w:color w:val="auto"/>
        </w:rPr>
        <w:t>. A person may participate and vote in a meeting of the Directors or committee of Directors by telephone or other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means by means of which all the persons participating in the meeting are able to hear each other. Unless otherwise determined by the Directors the meeting shall be deemed to be held at the place where the chairman is at the start of the meeting.</w:t>
      </w:r>
    </w:p>
    <w:p>
      <w:pPr>
        <w:spacing w:after="0" w:line="176" w:lineRule="exact"/>
        <w:rPr>
          <w:sz w:val="20"/>
          <w:szCs w:val="20"/>
          <w:color w:val="auto"/>
        </w:rPr>
      </w:pPr>
    </w:p>
    <w:p>
      <w:pPr>
        <w:ind w:left="660" w:right="160" w:hanging="647"/>
        <w:spacing w:after="0" w:line="289"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b w:val="1"/>
          <w:bCs w:val="1"/>
          <w:color w:val="auto"/>
        </w:rPr>
        <w:t>Unanimous Written Resolution</w:t>
      </w:r>
      <w:r>
        <w:rPr>
          <w:rFonts w:ascii="Arial" w:cs="Arial" w:eastAsia="Arial" w:hAnsi="Arial"/>
          <w:sz w:val="17"/>
          <w:szCs w:val="17"/>
          <w:color w:val="auto"/>
        </w:rPr>
        <w:t>. A resolution in writing (in one or more counterparts) signed by all the Directors or all the members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Directors (an alternate Director being entitled to sign any such resolution on behalf of his appointor) shall be as valid and effectual as if it had been passed at a meeting of the Directors, or committee of Directors as the case may be, duly convened and held.</w:t>
      </w:r>
    </w:p>
    <w:p>
      <w:pPr>
        <w:spacing w:after="0" w:line="158"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b w:val="1"/>
          <w:bCs w:val="1"/>
          <w:color w:val="auto"/>
        </w:rPr>
        <w:t>Notice of Meetings</w:t>
      </w:r>
      <w:r>
        <w:rPr>
          <w:rFonts w:ascii="Arial" w:cs="Arial" w:eastAsia="Arial" w:hAnsi="Arial"/>
          <w:sz w:val="18"/>
          <w:szCs w:val="18"/>
          <w:color w:val="auto"/>
        </w:rPr>
        <w:t>. A Director may, or other Officer on the requisition of a Director shall, call a meeting of the Directors by at least two days’</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in writing to every Director which notice shall set forth the general nature of the business to be considered unless notice is waived by all the Directors either at, before or after the meeting is held.</w:t>
      </w:r>
    </w:p>
    <w:p>
      <w:pPr>
        <w:spacing w:after="0" w:line="176" w:lineRule="exact"/>
        <w:rPr>
          <w:sz w:val="20"/>
          <w:szCs w:val="20"/>
          <w:color w:val="auto"/>
        </w:rPr>
      </w:pPr>
    </w:p>
    <w:p>
      <w:pPr>
        <w:jc w:val="center"/>
        <w:ind w:right="40"/>
        <w:spacing w:after="0"/>
        <w:tabs>
          <w:tab w:leader="none" w:pos="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Chairman of the Board</w:t>
      </w:r>
      <w:r>
        <w:rPr>
          <w:rFonts w:ascii="Arial" w:cs="Arial" w:eastAsia="Arial" w:hAnsi="Arial"/>
          <w:sz w:val="16"/>
          <w:szCs w:val="16"/>
          <w:color w:val="auto"/>
        </w:rPr>
        <w:t>. The Directors may elect a chairman of their board and determine the period for which he is to hold office; but if no such</w:t>
      </w:r>
    </w:p>
    <w:p>
      <w:pPr>
        <w:spacing w:after="0" w:line="27" w:lineRule="exact"/>
        <w:rPr>
          <w:sz w:val="20"/>
          <w:szCs w:val="20"/>
          <w:color w:val="auto"/>
        </w:rPr>
      </w:pPr>
    </w:p>
    <w:p>
      <w:pPr>
        <w:ind w:left="660" w:right="660"/>
        <w:spacing w:after="0" w:line="260" w:lineRule="auto"/>
        <w:rPr>
          <w:sz w:val="20"/>
          <w:szCs w:val="20"/>
          <w:color w:val="auto"/>
        </w:rPr>
      </w:pPr>
      <w:r>
        <w:rPr>
          <w:rFonts w:ascii="Arial" w:cs="Arial" w:eastAsia="Arial" w:hAnsi="Arial"/>
          <w:sz w:val="18"/>
          <w:szCs w:val="18"/>
          <w:color w:val="auto"/>
        </w:rPr>
        <w:t>chairman is elected, or if at any meeting the chairman is not present within five minutes after the time appointed for holding the same, the Directors present may choose one of their number to be chairman of the meeting.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8" w:name="page199"/>
    <w:bookmarkEnd w:id="198"/>
    <w:p>
      <w:pPr>
        <w:ind w:left="660" w:right="20" w:hanging="647"/>
        <w:spacing w:after="0" w:line="289"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b w:val="1"/>
          <w:bCs w:val="1"/>
          <w:color w:val="auto"/>
        </w:rPr>
        <w:t>Defects</w:t>
      </w:r>
      <w:r>
        <w:rPr>
          <w:rFonts w:ascii="Arial" w:cs="Arial" w:eastAsia="Arial" w:hAnsi="Arial"/>
          <w:sz w:val="17"/>
          <w:szCs w:val="17"/>
          <w:color w:val="auto"/>
        </w:rPr>
        <w:t>. Absent fraud, all acts done by any meeting of the Directors or a committee of Directors shall, notwithstanding that it be afterwards</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PRESUMPTION OF ASSENT</w:t>
      </w:r>
    </w:p>
    <w:p>
      <w:pPr>
        <w:spacing w:after="0" w:line="229" w:lineRule="exact"/>
        <w:rPr>
          <w:sz w:val="20"/>
          <w:szCs w:val="20"/>
          <w:color w:val="auto"/>
        </w:rPr>
      </w:pPr>
    </w:p>
    <w:p>
      <w:pPr>
        <w:ind w:left="660" w:right="60" w:hanging="647"/>
        <w:spacing w:after="0" w:line="259"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Such right to dissent shall not apply to a Director who voted in favour of such action.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DIRECTORS’ INTERESTS</w:t>
      </w:r>
    </w:p>
    <w:p>
      <w:pPr>
        <w:spacing w:after="0" w:line="225" w:lineRule="exact"/>
        <w:rPr>
          <w:sz w:val="20"/>
          <w:szCs w:val="20"/>
          <w:color w:val="auto"/>
        </w:rPr>
      </w:pPr>
    </w:p>
    <w:p>
      <w:pPr>
        <w:ind w:left="660" w:hanging="647"/>
        <w:spacing w:after="0" w:line="261"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b w:val="1"/>
          <w:bCs w:val="1"/>
          <w:color w:val="auto"/>
        </w:rPr>
        <w:t>Other Office</w:t>
      </w:r>
      <w:r>
        <w:rPr>
          <w:rFonts w:ascii="Arial" w:cs="Arial" w:eastAsia="Arial" w:hAnsi="Arial"/>
          <w:sz w:val="18"/>
          <w:szCs w:val="18"/>
          <w:color w:val="auto"/>
        </w:rPr>
        <w:t>. A Director may hold any other office or place of profit under the Company (other than the office of auditor) in conjunction with his</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Director for such period and on such terms as to remuneration and otherwise as the Directors may determine. A Director may act by himself or his firm in a professional capacity for the Company and he or his firm shall be entitled to remuneration for professional services as if he were not a Director or alternate Director.</w:t>
      </w:r>
    </w:p>
    <w:p>
      <w:pPr>
        <w:spacing w:after="0" w:line="180"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b w:val="1"/>
          <w:bCs w:val="1"/>
          <w:color w:val="auto"/>
        </w:rPr>
        <w:t>No Exclusivity</w:t>
      </w:r>
      <w:r>
        <w:rPr>
          <w:rFonts w:ascii="Arial" w:cs="Arial" w:eastAsia="Arial" w:hAnsi="Arial"/>
          <w:sz w:val="18"/>
          <w:szCs w:val="18"/>
          <w:color w:val="auto"/>
        </w:rPr>
        <w:t>. A Director or alternate Director may be or become a director or other officer of or otherwise interested in any company promoted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w:t>
      </w:r>
    </w:p>
    <w:p>
      <w:pPr>
        <w:spacing w:after="0" w:line="180" w:lineRule="exact"/>
        <w:rPr>
          <w:sz w:val="20"/>
          <w:szCs w:val="20"/>
          <w:color w:val="auto"/>
        </w:rPr>
      </w:pPr>
    </w:p>
    <w:p>
      <w:pPr>
        <w:ind w:left="660" w:right="100" w:hanging="647"/>
        <w:spacing w:after="0" w:line="254"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b w:val="1"/>
          <w:bCs w:val="1"/>
          <w:color w:val="auto"/>
        </w:rPr>
        <w:t>Disclosure of Interests</w:t>
      </w:r>
      <w:r>
        <w:rPr>
          <w:rFonts w:ascii="Arial" w:cs="Arial" w:eastAsia="Arial" w:hAnsi="Arial"/>
          <w:sz w:val="18"/>
          <w:szCs w:val="18"/>
          <w:color w:val="auto"/>
        </w:rPr>
        <w:t>. No person shall be disqualified from the office of Director or alternate Director or prevented by such office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contracting with the Company, either as vendor, purchaser or otherwise, nor shall any such contract or any other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9" w:name="page200"/>
    <w:bookmarkEnd w:id="199"/>
    <w:p>
      <w:pPr>
        <w:ind w:left="660" w:right="60" w:hanging="647"/>
        <w:spacing w:after="0" w:line="261"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b w:val="1"/>
          <w:bCs w:val="1"/>
          <w:color w:val="auto"/>
        </w:rPr>
        <w:t>General Notice of Interests</w:t>
      </w:r>
      <w:r>
        <w:rPr>
          <w:rFonts w:ascii="Arial" w:cs="Arial" w:eastAsia="Arial" w:hAnsi="Arial"/>
          <w:sz w:val="18"/>
          <w:szCs w:val="18"/>
          <w:color w:val="auto"/>
        </w:rPr>
        <w:t>. A general notice that a Director or alternate Director is a shareholder, director, officer or employee of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MINUTES</w:t>
      </w:r>
    </w:p>
    <w:p>
      <w:pPr>
        <w:spacing w:after="0" w:line="229" w:lineRule="exact"/>
        <w:rPr>
          <w:sz w:val="20"/>
          <w:szCs w:val="20"/>
          <w:color w:val="auto"/>
        </w:rPr>
      </w:pPr>
    </w:p>
    <w:p>
      <w:pPr>
        <w:jc w:val="both"/>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Directors shall cause minutes to be made in books kept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DELEGATION OF DIRECTORS’ POWERS</w:t>
      </w:r>
    </w:p>
    <w:p>
      <w:pPr>
        <w:spacing w:after="0" w:line="225" w:lineRule="exact"/>
        <w:rPr>
          <w:sz w:val="20"/>
          <w:szCs w:val="20"/>
          <w:color w:val="auto"/>
        </w:rPr>
      </w:pPr>
    </w:p>
    <w:p>
      <w:pPr>
        <w:ind w:left="660" w:right="40" w:hanging="647"/>
        <w:spacing w:after="0" w:line="256" w:lineRule="auto"/>
        <w:tabs>
          <w:tab w:leader="none" w:pos="6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b w:val="1"/>
          <w:bCs w:val="1"/>
          <w:color w:val="auto"/>
        </w:rPr>
        <w:t>Delegation</w:t>
      </w:r>
      <w:r>
        <w:rPr>
          <w:rFonts w:ascii="Arial" w:cs="Arial" w:eastAsia="Arial" w:hAnsi="Arial"/>
          <w:sz w:val="18"/>
          <w:szCs w:val="18"/>
          <w:color w:val="auto"/>
        </w:rPr>
        <w:t>. The Directors may delegate any of their powers to any committee consisting of one or more Directors. They may also delegate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or any Director holding any other executive office such of their powers as they consider desirable to be exercised by him provided that an alternate Director may not act as managing director and the appointment of a managing director shall automatically terminate if he ceases to be a Director. Any such delegation may be made subject to any conditions the Directors may impose and may be revoked or altered. Subject to any such conditions, the proceedings of a committee of Directors shall be governed by the Articles regulating the proceedings of Directors, so far as they are capable of applying.</w:t>
      </w:r>
    </w:p>
    <w:p>
      <w:pPr>
        <w:spacing w:after="0" w:line="187" w:lineRule="exact"/>
        <w:rPr>
          <w:sz w:val="20"/>
          <w:szCs w:val="20"/>
          <w:color w:val="auto"/>
        </w:rPr>
      </w:pPr>
    </w:p>
    <w:p>
      <w:pPr>
        <w:ind w:left="660" w:right="60" w:hanging="647"/>
        <w:spacing w:after="0" w:line="303" w:lineRule="auto"/>
        <w:tabs>
          <w:tab w:leader="none" w:pos="6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b w:val="1"/>
          <w:bCs w:val="1"/>
          <w:color w:val="auto"/>
        </w:rPr>
        <w:t>Committees</w:t>
      </w:r>
      <w:r>
        <w:rPr>
          <w:rFonts w:ascii="Arial" w:cs="Arial" w:eastAsia="Arial" w:hAnsi="Arial"/>
          <w:sz w:val="16"/>
          <w:szCs w:val="16"/>
          <w:color w:val="auto"/>
        </w:rPr>
        <w:t>. The Directors may establish any committees, local boards or agencies or appoint any person to be a manager or agent for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the affairs of the Company and may appoint any person to be a member of such committees or local boards. Any such appointment may be made subject to any conditions the Directors may impose, and may be revoked or altered. Subject to any such conditions, the proceedings of any such committee, local board or agency shall be governed by the Articles regulating the proceedings of Directors, so far as they are capable of applying.</w:t>
      </w:r>
    </w:p>
    <w:p>
      <w:pPr>
        <w:spacing w:after="0" w:line="151" w:lineRule="exact"/>
        <w:rPr>
          <w:sz w:val="20"/>
          <w:szCs w:val="20"/>
          <w:color w:val="auto"/>
        </w:rPr>
      </w:pPr>
    </w:p>
    <w:p>
      <w:pPr>
        <w:ind w:left="660" w:right="240" w:hanging="647"/>
        <w:spacing w:after="0" w:line="294" w:lineRule="auto"/>
        <w:tabs>
          <w:tab w:leader="none" w:pos="6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Third Party Delegation</w:t>
      </w:r>
      <w:r>
        <w:rPr>
          <w:rFonts w:ascii="Arial" w:cs="Arial" w:eastAsia="Arial" w:hAnsi="Arial"/>
          <w:sz w:val="16"/>
          <w:szCs w:val="16"/>
          <w:color w:val="auto"/>
        </w:rPr>
        <w:t>. The Directors may by power of attorney or otherwise appoint any company, firm, person or body of persons,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nominated directly or indirectly by the Directors, to be the attorney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60"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b w:val="1"/>
          <w:bCs w:val="1"/>
          <w:color w:val="auto"/>
        </w:rPr>
        <w:t>Officers</w:t>
      </w:r>
      <w:r>
        <w:rPr>
          <w:rFonts w:ascii="Arial" w:cs="Arial" w:eastAsia="Arial" w:hAnsi="Arial"/>
          <w:sz w:val="18"/>
          <w:szCs w:val="18"/>
          <w:color w:val="auto"/>
        </w:rPr>
        <w:t>. The Directors may appoint such Officers as they consider necessary on such terms, at such remuneration and to perform such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provisions as to disqualification and removal as the Directors may think fit. Unless otherwise specified in the terms of his appointment an officer may be removed by the Directors.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0" w:name="page201"/>
    <w:bookmarkEnd w:id="200"/>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ALTERNATE DIRECTORS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b w:val="1"/>
          <w:bCs w:val="1"/>
          <w:color w:val="auto"/>
        </w:rPr>
        <w:t>Alternate Appointment</w:t>
      </w:r>
      <w:r>
        <w:rPr>
          <w:rFonts w:ascii="Arial" w:cs="Arial" w:eastAsia="Arial" w:hAnsi="Arial"/>
          <w:sz w:val="18"/>
          <w:szCs w:val="18"/>
          <w:color w:val="auto"/>
        </w:rPr>
        <w:t>. Any Director (other than an alternate Director) may by writing in notice to the Company appoint any other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willing to act, to be an alternate Director.</w:t>
      </w:r>
    </w:p>
    <w:p>
      <w:pPr>
        <w:spacing w:after="0" w:line="162"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b w:val="1"/>
          <w:bCs w:val="1"/>
          <w:color w:val="auto"/>
        </w:rPr>
        <w:t>Conduct of Alternates</w:t>
      </w:r>
      <w:r>
        <w:rPr>
          <w:rFonts w:ascii="Arial" w:cs="Arial" w:eastAsia="Arial" w:hAnsi="Arial"/>
          <w:sz w:val="18"/>
          <w:szCs w:val="18"/>
          <w:color w:val="auto"/>
        </w:rPr>
        <w:t>. An alternate Director shall be entitled to receive notice of all meetings of Directors and of all meetings of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which his appointor is a member, to attend and vote at every such meeting at which the Director appointing him is not personally present, and, save as expressly provided herein, to perform all the functions and exercise all of the powers of his appointor as a Director in his absence.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Automatic termination</w:t>
      </w:r>
      <w:r>
        <w:rPr>
          <w:rFonts w:ascii="Arial" w:cs="Arial" w:eastAsia="Arial" w:hAnsi="Arial"/>
          <w:sz w:val="16"/>
          <w:szCs w:val="16"/>
          <w:color w:val="auto"/>
        </w:rPr>
        <w:t>. An alternate Director shall cease to be an alternate Director if his appointor ceases to be a Director.</w:t>
      </w:r>
    </w:p>
    <w:p>
      <w:pPr>
        <w:spacing w:after="0" w:line="225"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b w:val="1"/>
          <w:bCs w:val="1"/>
          <w:color w:val="auto"/>
        </w:rPr>
        <w:t>No Agency</w:t>
      </w:r>
      <w:r>
        <w:rPr>
          <w:rFonts w:ascii="Arial" w:cs="Arial" w:eastAsia="Arial" w:hAnsi="Arial"/>
          <w:sz w:val="18"/>
          <w:szCs w:val="18"/>
          <w:color w:val="auto"/>
        </w:rPr>
        <w:t>. An alternate Director shall be deemed for all purposes to be a Director and shall alone be responsible for his own acts and defaults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to be the agent of the Director appointing him.</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NO MINIMUM SHAREHOLDING</w:t>
      </w:r>
    </w:p>
    <w:p>
      <w:pPr>
        <w:spacing w:after="0" w:line="229"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REMUNERATION OF DIRECTORS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b w:val="1"/>
          <w:bCs w:val="1"/>
          <w:color w:val="auto"/>
        </w:rPr>
        <w:t>Office Remuneration</w:t>
      </w:r>
      <w:r>
        <w:rPr>
          <w:rFonts w:ascii="Arial" w:cs="Arial" w:eastAsia="Arial" w:hAnsi="Arial"/>
          <w:sz w:val="17"/>
          <w:szCs w:val="17"/>
          <w:color w:val="auto"/>
        </w:rPr>
        <w:t>. The remuneration to be paid to the Directors, if any, shall be such remuneration as the Directors shall determine.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to receive a fixed allowance in respect thereof as may be determined by the Directors, or a combination of such methods.</w:t>
      </w:r>
    </w:p>
    <w:p>
      <w:pPr>
        <w:spacing w:after="0" w:line="168" w:lineRule="exact"/>
        <w:rPr>
          <w:sz w:val="20"/>
          <w:szCs w:val="20"/>
          <w:color w:val="auto"/>
        </w:rPr>
      </w:pPr>
    </w:p>
    <w:p>
      <w:pPr>
        <w:ind w:left="660" w:right="320" w:hanging="647"/>
        <w:spacing w:after="0" w:line="266" w:lineRule="auto"/>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b w:val="1"/>
          <w:bCs w:val="1"/>
          <w:color w:val="auto"/>
        </w:rPr>
        <w:t>Additional Remuneration</w:t>
      </w:r>
      <w:r>
        <w:rPr>
          <w:rFonts w:ascii="Arial" w:cs="Arial" w:eastAsia="Arial" w:hAnsi="Arial"/>
          <w:sz w:val="18"/>
          <w:szCs w:val="18"/>
          <w:color w:val="auto"/>
        </w:rPr>
        <w:t>. The Directors may by resolution approve additional remuneration to any Director for any services other than his</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routine work as a Director. Any fees paid to a Director who is also counsel or solicitor to the Company, or otherwise serves it in a professional capacity shall be in addition to his remuneration as a Director.</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01" w:name="page202"/>
    <w:bookmarkEnd w:id="201"/>
    <w:p>
      <w:pPr>
        <w:ind w:left="660" w:right="220" w:hanging="647"/>
        <w:spacing w:after="0" w:line="266" w:lineRule="auto"/>
        <w:tabs>
          <w:tab w:leader="none" w:pos="6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b w:val="1"/>
          <w:bCs w:val="1"/>
          <w:color w:val="auto"/>
        </w:rPr>
        <w:t>Pensions</w:t>
      </w:r>
      <w:r>
        <w:rPr>
          <w:rFonts w:ascii="Arial" w:cs="Arial" w:eastAsia="Arial" w:hAnsi="Arial"/>
          <w:sz w:val="18"/>
          <w:szCs w:val="18"/>
          <w:color w:val="auto"/>
        </w:rPr>
        <w:t>. The Directors, on behalf of the Company, may pay a gratuity or pension or allowance on retirement to any Director who has held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salaried office or place of profit with the Company or to his widow or dependants and may make contributions to any fund and pay premiums for the purchase or provision of any such gratuity, pension or allowance.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660" w:right="20" w:hanging="647"/>
        <w:spacing w:after="0" w:line="298" w:lineRule="auto"/>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Indemnity and Exclusion of Liability</w:t>
      </w:r>
      <w:r>
        <w:rPr>
          <w:rFonts w:ascii="Arial" w:cs="Arial" w:eastAsia="Arial" w:hAnsi="Arial"/>
          <w:sz w:val="16"/>
          <w:szCs w:val="16"/>
          <w:color w:val="auto"/>
        </w:rPr>
        <w:t>. Every Director, alternate Director or Officer shall be indemnified out of the assets of the Company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any liability incurred by him as a result of any act or failure to act in carrying out his functions other than such liability (if any) that he may incur by his own actual fraud or wilful default. No such Director, alternate Director or Officer shall be liable to the Company for any loss or damage in carrying out his functions unless that liability arises through the actual fraud or wilful default of such Director or officer. References in this Article to actual fraud or wilful default mean a finding to such effect by a competent court in relation to the conduct of the relevant party.</w:t>
      </w:r>
    </w:p>
    <w:p>
      <w:pPr>
        <w:spacing w:after="0" w:line="154" w:lineRule="exact"/>
        <w:rPr>
          <w:sz w:val="20"/>
          <w:szCs w:val="20"/>
          <w:color w:val="auto"/>
        </w:rPr>
      </w:pPr>
    </w:p>
    <w:p>
      <w:pPr>
        <w:ind w:left="660" w:right="340" w:hanging="647"/>
        <w:spacing w:after="0" w:line="258" w:lineRule="auto"/>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b w:val="1"/>
          <w:bCs w:val="1"/>
          <w:color w:val="auto"/>
        </w:rPr>
        <w:t>Advancement of Expenses</w:t>
      </w:r>
      <w:r>
        <w:rPr>
          <w:rFonts w:ascii="Arial" w:cs="Arial" w:eastAsia="Arial" w:hAnsi="Arial"/>
          <w:sz w:val="18"/>
          <w:szCs w:val="18"/>
          <w:color w:val="auto"/>
        </w:rPr>
        <w:t>. Expenses, including legal fees, incurred by a Director, alternate Director or Officer, or former Director, alternate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or Officer in defending any legal, administrative or investigative proceedings may be paid by the Company in advance of the final disposition of such proceedings upon receipt of an undertaking by such party to repay the amount if it shall ultimately be determined that such Director, alternate Director or Officer is not entitled to be indemnified by the Company and upon such terms and conditions, if any, as the Company deems appropriate.</w:t>
      </w:r>
    </w:p>
    <w:p>
      <w:pPr>
        <w:spacing w:after="0" w:line="183" w:lineRule="exact"/>
        <w:rPr>
          <w:sz w:val="20"/>
          <w:szCs w:val="20"/>
          <w:color w:val="auto"/>
        </w:rPr>
      </w:pPr>
    </w:p>
    <w:p>
      <w:pPr>
        <w:ind w:left="660" w:hanging="647"/>
        <w:spacing w:after="0" w:line="261" w:lineRule="auto"/>
        <w:tabs>
          <w:tab w:leader="none" w:pos="6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b w:val="1"/>
          <w:bCs w:val="1"/>
          <w:color w:val="auto"/>
        </w:rPr>
        <w:t>Insurance</w:t>
      </w:r>
      <w:r>
        <w:rPr>
          <w:rFonts w:ascii="Arial" w:cs="Arial" w:eastAsia="Arial" w:hAnsi="Arial"/>
          <w:sz w:val="18"/>
          <w:szCs w:val="18"/>
          <w:color w:val="auto"/>
        </w:rPr>
        <w:t>. The Company may purchase and maintain insurance in relation to any person who is or was a Director, alternate Director,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of the Company, or who at the request of the Company is or was serving as a Director, alternate director, Officer or liquidator of, or in any other capacity is or was acting for, another body corporate or a partnership, joint venture, trust or other enterprise, against any liability asserted against the person and incurred by the person in that capacity.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RECORDS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Registered Office Records</w:t>
      </w:r>
      <w:r>
        <w:rPr>
          <w:rFonts w:ascii="Arial" w:cs="Arial" w:eastAsia="Arial" w:hAnsi="Arial"/>
          <w:sz w:val="16"/>
          <w:szCs w:val="16"/>
          <w:color w:val="auto"/>
        </w:rPr>
        <w:t>. The Company shall keep the following documents at the Registered Office:</w:t>
      </w:r>
    </w:p>
    <w:p>
      <w:pPr>
        <w:spacing w:after="0" w:line="229"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Certificate of Incorporation and any Certificate on Change of Name;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copy of the Memorandum and Articles;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Register of Directors and Officers;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the Company has created a security interest over any of its assets the Register of Mortgages and Charges required to be maintained by the Company under Section 54 of the Companies Act.</w:t>
      </w:r>
    </w:p>
    <w:p>
      <w:pPr>
        <w:spacing w:after="0" w:line="166" w:lineRule="exact"/>
        <w:rPr>
          <w:sz w:val="20"/>
          <w:szCs w:val="20"/>
          <w:color w:val="auto"/>
        </w:rPr>
      </w:pPr>
    </w:p>
    <w:p>
      <w:pPr>
        <w:ind w:left="660" w:right="320" w:hanging="647"/>
        <w:spacing w:after="0" w:line="282"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b w:val="1"/>
          <w:bCs w:val="1"/>
          <w:color w:val="auto"/>
        </w:rPr>
        <w:t>Other Corporate Records</w:t>
      </w:r>
      <w:r>
        <w:rPr>
          <w:rFonts w:ascii="Arial" w:cs="Arial" w:eastAsia="Arial" w:hAnsi="Arial"/>
          <w:sz w:val="18"/>
          <w:szCs w:val="18"/>
          <w:color w:val="auto"/>
        </w:rPr>
        <w:t>. The Company shall keep the following records at the Registered Office or at such other place or places, within or</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Cayman Islands, as the Directors may determine:</w:t>
      </w:r>
    </w:p>
    <w:p>
      <w:pPr>
        <w:spacing w:after="0" w:line="166"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minutes of meetings, Ordinary Resolutions and Special Resolutions of Members and classes of Members;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Register of Members;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minutes of meetings and Resolutions of Directors and committees of Directors.</w:t>
      </w:r>
    </w:p>
    <w:p>
      <w:pPr>
        <w:spacing w:after="0" w:line="221"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b w:val="1"/>
          <w:bCs w:val="1"/>
          <w:color w:val="auto"/>
        </w:rPr>
        <w:t>Electronic Form</w:t>
      </w:r>
      <w:r>
        <w:rPr>
          <w:rFonts w:ascii="Arial" w:cs="Arial" w:eastAsia="Arial" w:hAnsi="Arial"/>
          <w:sz w:val="18"/>
          <w:szCs w:val="18"/>
          <w:color w:val="auto"/>
        </w:rPr>
        <w:t>. All of the registers and records kept by the Company under these Articles shall be in written form or either wholly or partly as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records complying with the requirements of the Electronic Transactions Act.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SEAL</w:t>
      </w:r>
    </w:p>
    <w:p>
      <w:pPr>
        <w:spacing w:after="0" w:line="225" w:lineRule="exact"/>
        <w:rPr>
          <w:sz w:val="20"/>
          <w:szCs w:val="20"/>
          <w:color w:val="auto"/>
        </w:rPr>
      </w:pPr>
    </w:p>
    <w:p>
      <w:pPr>
        <w:ind w:left="660" w:right="40" w:hanging="647"/>
        <w:spacing w:after="0" w:line="289"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b w:val="1"/>
          <w:bCs w:val="1"/>
          <w:color w:val="auto"/>
        </w:rPr>
        <w:t>Use of Seal</w:t>
      </w:r>
      <w:r>
        <w:rPr>
          <w:rFonts w:ascii="Arial" w:cs="Arial" w:eastAsia="Arial" w:hAnsi="Arial"/>
          <w:sz w:val="17"/>
          <w:szCs w:val="17"/>
          <w:color w:val="auto"/>
        </w:rPr>
        <w:t>. The Company may, if the Directors so determine, have a Seal. The Seal shall only be used by the authority of the Directors or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Directors authorised by the Directors. Every instrument to which the Seal has been affixed shall be signed by at least one person who shall be either a Director or an Officer or other person appointed by the Directors for the purpose.</w:t>
      </w:r>
    </w:p>
    <w:p>
      <w:pPr>
        <w:spacing w:after="0" w:line="158"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b w:val="1"/>
          <w:bCs w:val="1"/>
          <w:color w:val="auto"/>
        </w:rPr>
        <w:t>Duplicate Seal</w:t>
      </w:r>
      <w:r>
        <w:rPr>
          <w:rFonts w:ascii="Arial" w:cs="Arial" w:eastAsia="Arial" w:hAnsi="Arial"/>
          <w:sz w:val="18"/>
          <w:szCs w:val="18"/>
          <w:color w:val="auto"/>
        </w:rPr>
        <w:t>. The Company may have for use in any place or places outside the Cayman Islands a duplicate Seal or Seals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 facsimile of the common Seal of the Company and, if the Directors so determine, with the addition on its face of the name of every place where it is to be used.</w:t>
      </w:r>
    </w:p>
    <w:p>
      <w:pPr>
        <w:spacing w:after="0" w:line="176" w:lineRule="exact"/>
        <w:rPr>
          <w:sz w:val="20"/>
          <w:szCs w:val="20"/>
          <w:color w:val="auto"/>
        </w:rPr>
      </w:pPr>
    </w:p>
    <w:p>
      <w:pPr>
        <w:jc w:val="both"/>
        <w:ind w:left="660" w:right="60" w:hanging="647"/>
        <w:spacing w:after="0" w:line="266" w:lineRule="auto"/>
        <w:tabs>
          <w:tab w:leader="none" w:pos="6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b w:val="1"/>
          <w:bCs w:val="1"/>
          <w:color w:val="auto"/>
        </w:rPr>
        <w:t>Authentication and Filing</w:t>
      </w:r>
      <w:r>
        <w:rPr>
          <w:rFonts w:ascii="Arial" w:cs="Arial" w:eastAsia="Arial" w:hAnsi="Arial"/>
          <w:sz w:val="18"/>
          <w:szCs w:val="18"/>
          <w:color w:val="auto"/>
        </w:rPr>
        <w:t>. A Director or Officer, representative or attorney of the Company may without further authority of the Directors affix</w:t>
      </w:r>
      <w:r>
        <w:rPr>
          <w:rFonts w:ascii="Arial" w:cs="Arial" w:eastAsia="Arial" w:hAnsi="Arial"/>
          <w:sz w:val="18"/>
          <w:szCs w:val="18"/>
          <w:b w:val="1"/>
          <w:bCs w:val="1"/>
          <w:color w:val="auto"/>
        </w:rPr>
        <w:t xml:space="preserve"> </w:t>
      </w:r>
      <w:r>
        <w:rPr>
          <w:rFonts w:ascii="Arial" w:cs="Arial" w:eastAsia="Arial" w:hAnsi="Arial"/>
          <w:sz w:val="18"/>
          <w:szCs w:val="18"/>
          <w:color w:val="auto"/>
        </w:rPr>
        <w:t>the Seal over his signature alone to any document required to be authenticated by him under seal or to be filed with the Registrar of Companies in the Cayman Islands or elsewhere wheresoever.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DISTRIBUTIONS</w:t>
      </w:r>
    </w:p>
    <w:p>
      <w:pPr>
        <w:spacing w:after="0" w:line="225"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b w:val="1"/>
          <w:bCs w:val="1"/>
          <w:color w:val="auto"/>
        </w:rPr>
        <w:t>Payment of Distributions</w:t>
      </w:r>
      <w:r>
        <w:rPr>
          <w:rFonts w:ascii="Arial" w:cs="Arial" w:eastAsia="Arial" w:hAnsi="Arial"/>
          <w:sz w:val="16"/>
          <w:szCs w:val="16"/>
          <w:color w:val="auto"/>
        </w:rPr>
        <w:t>. Subject to the Companies Act and this Article, the Directors may declare and pay out of the funds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lawfully available for such purpose a Distribution at a time and of an amount they think fit. No Distribution shall be paid except out of the realised and unrealised profits of the Company, and/or out of the share premium account and/ or as otherwise permitted by the Companies Act.</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3" w:name="page204"/>
    <w:bookmarkEnd w:id="203"/>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b w:val="1"/>
          <w:bCs w:val="1"/>
          <w:color w:val="auto"/>
        </w:rPr>
        <w:t>Ranking</w:t>
      </w:r>
      <w:r>
        <w:rPr>
          <w:rFonts w:ascii="Arial" w:cs="Arial" w:eastAsia="Arial" w:hAnsi="Arial"/>
          <w:sz w:val="18"/>
          <w:szCs w:val="18"/>
          <w:color w:val="auto"/>
        </w:rPr>
        <w:t>. Except as otherwise provided by the rights attached to Shares, all Distributions shall be declared and paid according to the par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that a Member holds. The Company may pay Distributions in proportion to the amount paid upon each Share where a larger amount is paid up on some Shares than on others. If any Share is issued on terms providing that it shall rank for Distributions as from a particular date, that Share shall rank for Distributions accordingly.</w:t>
      </w:r>
    </w:p>
    <w:p>
      <w:pPr>
        <w:spacing w:after="0" w:line="180" w:lineRule="exact"/>
        <w:rPr>
          <w:sz w:val="20"/>
          <w:szCs w:val="20"/>
          <w:color w:val="auto"/>
        </w:rPr>
      </w:pPr>
    </w:p>
    <w:p>
      <w:pPr>
        <w:ind w:left="660" w:right="420" w:hanging="647"/>
        <w:spacing w:after="0" w:line="282"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b w:val="1"/>
          <w:bCs w:val="1"/>
          <w:color w:val="auto"/>
        </w:rPr>
        <w:t>Deductions</w:t>
      </w:r>
      <w:r>
        <w:rPr>
          <w:rFonts w:ascii="Arial" w:cs="Arial" w:eastAsia="Arial" w:hAnsi="Arial"/>
          <w:sz w:val="18"/>
          <w:szCs w:val="18"/>
          <w:color w:val="auto"/>
        </w:rPr>
        <w:t>. The Directors may deduct from any Distribution payable to any Member all sums of money, if any, then payable by him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account of calls or otherwise.</w:t>
      </w:r>
    </w:p>
    <w:p>
      <w:pPr>
        <w:spacing w:after="0" w:line="16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b w:val="1"/>
          <w:bCs w:val="1"/>
          <w:color w:val="auto"/>
        </w:rPr>
        <w:t>Distribution in Kind</w:t>
      </w:r>
      <w:r>
        <w:rPr>
          <w:rFonts w:ascii="Arial" w:cs="Arial" w:eastAsia="Arial" w:hAnsi="Arial"/>
          <w:sz w:val="17"/>
          <w:szCs w:val="17"/>
          <w:color w:val="auto"/>
        </w:rPr>
        <w:t>. The Directors may declare that any Distribution be paid wholly or partly by the distribution of specific assets and in</w:t>
      </w:r>
      <w:r>
        <w:rPr>
          <w:rFonts w:ascii="Arial" w:cs="Arial" w:eastAsia="Arial" w:hAnsi="Arial"/>
          <w:sz w:val="17"/>
          <w:szCs w:val="17"/>
          <w:b w:val="1"/>
          <w:bCs w:val="1"/>
          <w:color w:val="auto"/>
        </w:rPr>
        <w:t xml:space="preserve"> </w:t>
      </w:r>
      <w:r>
        <w:rPr>
          <w:rFonts w:ascii="Arial" w:cs="Arial" w:eastAsia="Arial" w:hAnsi="Arial"/>
          <w:sz w:val="17"/>
          <w:szCs w:val="17"/>
          <w:color w:val="auto"/>
        </w:rPr>
        <w:t>particular of shares, debentures, or securities of any other company or in any one or more of such ways and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68"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b w:val="1"/>
          <w:bCs w:val="1"/>
          <w:color w:val="auto"/>
        </w:rPr>
        <w:t>Payment</w:t>
      </w:r>
      <w:r>
        <w:rPr>
          <w:rFonts w:ascii="Arial" w:cs="Arial" w:eastAsia="Arial" w:hAnsi="Arial"/>
          <w:sz w:val="17"/>
          <w:szCs w:val="17"/>
          <w:color w:val="auto"/>
        </w:rPr>
        <w:t>. Any Distribution payable in cash in respect of Shares may be paid by electronic funds transfer to the holder or by cheque or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Distributions payable in respect of the Shares held by them as joint holders.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6"/>
          <w:szCs w:val="16"/>
          <w:b w:val="1"/>
          <w:bCs w:val="1"/>
          <w:color w:val="auto"/>
        </w:rPr>
        <w:t>No Interest</w:t>
      </w:r>
      <w:r>
        <w:rPr>
          <w:rFonts w:ascii="Arial" w:cs="Arial" w:eastAsia="Arial" w:hAnsi="Arial"/>
          <w:sz w:val="16"/>
          <w:szCs w:val="16"/>
          <w:color w:val="auto"/>
        </w:rPr>
        <w:t>. No Distribution shall bear interest as against the Company and no distribution shall be paid on Treasury Shares.</w:t>
      </w:r>
    </w:p>
    <w:p>
      <w:pPr>
        <w:spacing w:after="0" w:line="225" w:lineRule="exact"/>
        <w:rPr>
          <w:sz w:val="20"/>
          <w:szCs w:val="20"/>
          <w:color w:val="auto"/>
        </w:rPr>
      </w:pPr>
    </w:p>
    <w:p>
      <w:pPr>
        <w:ind w:left="660" w:right="60" w:hanging="647"/>
        <w:spacing w:after="0" w:line="258" w:lineRule="auto"/>
        <w:tabs>
          <w:tab w:leader="none" w:pos="64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8"/>
          <w:szCs w:val="18"/>
          <w:b w:val="1"/>
          <w:bCs w:val="1"/>
          <w:color w:val="auto"/>
        </w:rPr>
        <w:t>Unclaimed Payments</w:t>
      </w:r>
      <w:r>
        <w:rPr>
          <w:rFonts w:ascii="Arial" w:cs="Arial" w:eastAsia="Arial" w:hAnsi="Arial"/>
          <w:sz w:val="18"/>
          <w:szCs w:val="18"/>
          <w:color w:val="auto"/>
        </w:rPr>
        <w:t>. Any Distribution which cannot be paid to a Member and/or which remains unclaimed after six months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declaration of such Distribution may, in the discretion of the Directors, be paid into a separate account in the Company’s name, provided that the Company shall not be constituted as a trustee in respect of that account and the Distribution shall remain as a debt due to the Member. Any Distribution which remains unclaimed after a period of six years from the date of declaration of such Distribution shall be forfeited and shall revert to the Company.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04" w:name="page205"/>
    <w:bookmarkEnd w:id="204"/>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CAPITALISATIONS</w:t>
      </w:r>
    </w:p>
    <w:p>
      <w:pPr>
        <w:spacing w:after="0" w:line="225" w:lineRule="exact"/>
        <w:rPr>
          <w:sz w:val="20"/>
          <w:szCs w:val="20"/>
          <w:color w:val="auto"/>
        </w:rPr>
      </w:pPr>
    </w:p>
    <w:p>
      <w:pPr>
        <w:ind w:left="660" w:right="60" w:hanging="647"/>
        <w:spacing w:after="0" w:line="256" w:lineRule="auto"/>
        <w:tabs>
          <w:tab w:leader="none" w:pos="6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b w:val="1"/>
          <w:bCs w:val="1"/>
          <w:color w:val="auto"/>
        </w:rPr>
        <w:t>Capitalisations</w:t>
      </w:r>
      <w:r>
        <w:rPr>
          <w:rFonts w:ascii="Arial" w:cs="Arial" w:eastAsia="Arial" w:hAnsi="Arial"/>
          <w:sz w:val="18"/>
          <w:szCs w:val="18"/>
          <w:color w:val="auto"/>
        </w:rPr>
        <w:t>. The Directors may capitalise any sum standing to the credit of any of the Company’s reserve accounts (including share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and capital redemption reserve) or to the credit of profit and loss account or otherwise available for distribution and appropriate such sum to Members in the proportions in which such sum would have been divisible amongst them had the same been a Distribution of profits by way of dividend and apply such sum on their behalf in paying up in full unissued Shares for issue, allotment and distribution credited as fully paid-up to and amongst them in the proportions aforesaid. In such event the Directors may make such provisions as they think fit in the case of Shares becoming distributable in fractions.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RECORD DATE</w:t>
      </w:r>
    </w:p>
    <w:p>
      <w:pPr>
        <w:spacing w:after="0" w:line="225" w:lineRule="exact"/>
        <w:rPr>
          <w:sz w:val="20"/>
          <w:szCs w:val="20"/>
          <w:color w:val="auto"/>
        </w:rPr>
      </w:pPr>
    </w:p>
    <w:p>
      <w:pPr>
        <w:ind w:left="660" w:right="320" w:hanging="647"/>
        <w:spacing w:after="0" w:line="258"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b w:val="1"/>
          <w:bCs w:val="1"/>
          <w:color w:val="auto"/>
        </w:rPr>
        <w:t>Record Date Determination</w:t>
      </w:r>
      <w:r>
        <w:rPr>
          <w:rFonts w:ascii="Arial" w:cs="Arial" w:eastAsia="Arial" w:hAnsi="Arial"/>
          <w:sz w:val="18"/>
          <w:szCs w:val="18"/>
          <w:color w:val="auto"/>
        </w:rPr>
        <w:t>. For the purpose of determining Members entitled to attend meetings, receive payment of any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capitalisation or for any other purpose, the Directors may provide that the Register of Members shall be closed for transfers for a stated period which shall not in any case exceed forty days. In lieu of, or apart from, closing the Register of Members, the Directors may fix in advance or arrears a date as the record date for any such determination of Members provided that the record date for a meeting may not be earlier than the date of notice of such meeting.</w:t>
      </w:r>
    </w:p>
    <w:p>
      <w:pPr>
        <w:spacing w:after="0" w:line="183" w:lineRule="exact"/>
        <w:rPr>
          <w:sz w:val="20"/>
          <w:szCs w:val="20"/>
          <w:color w:val="auto"/>
        </w:rPr>
      </w:pPr>
    </w:p>
    <w:p>
      <w:pPr>
        <w:ind w:left="660" w:right="80" w:hanging="647"/>
        <w:spacing w:after="0" w:line="314"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b w:val="1"/>
          <w:bCs w:val="1"/>
          <w:color w:val="auto"/>
        </w:rPr>
        <w:t>No Record Date Chosen</w:t>
      </w:r>
      <w:r>
        <w:rPr>
          <w:rFonts w:ascii="Arial" w:cs="Arial" w:eastAsia="Arial" w:hAnsi="Arial"/>
          <w:sz w:val="16"/>
          <w:szCs w:val="16"/>
          <w:color w:val="auto"/>
        </w:rPr>
        <w:t>. If the Register of Members is not so closed and no record date is fixed for the determination of Members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attend meetings, receive payment of a Distribution or capitalisation, the date on which the notice of the meeting is given or resolution of the Directors declaring such Distribution or capitalisation is adopted, as the case may be, shall be the record date for such determination of Members.</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REPRESENTATION</w:t>
      </w:r>
    </w:p>
    <w:p>
      <w:pPr>
        <w:spacing w:after="0" w:line="225"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b w:val="1"/>
          <w:bCs w:val="1"/>
          <w:color w:val="auto"/>
        </w:rPr>
        <w:t>Representation of Legal Persons</w:t>
      </w:r>
      <w:r>
        <w:rPr>
          <w:rFonts w:ascii="Arial" w:cs="Arial" w:eastAsia="Arial" w:hAnsi="Arial"/>
          <w:sz w:val="18"/>
          <w:szCs w:val="18"/>
          <w:color w:val="auto"/>
        </w:rPr>
        <w:t>. The right of any individual to speak for or represent a Member or a Director being a legal person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law of the jurisdiction where, and by the documents by which, such legal person is constituted or derives its existence but save where an objection has been raised by a Member or a Director, the Directors shall not be obliged to verify the rights of individuals purporting to speak for or represent legal persons. In case of doubt, the Directors may in good faith seek legal advice from any qualified person and unless and until a court of competent jurisdiction shall otherwise rule, the Directors may rely and act upon such advice without incurring any liability to any Member or the Company.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ACCOUNTS</w:t>
      </w:r>
    </w:p>
    <w:p>
      <w:pPr>
        <w:spacing w:after="0" w:line="225"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b w:val="1"/>
          <w:bCs w:val="1"/>
          <w:color w:val="auto"/>
        </w:rPr>
        <w:t>Accounts</w:t>
      </w:r>
      <w:r>
        <w:rPr>
          <w:rFonts w:ascii="Arial" w:cs="Arial" w:eastAsia="Arial" w:hAnsi="Arial"/>
          <w:sz w:val="16"/>
          <w:szCs w:val="16"/>
          <w:color w:val="auto"/>
        </w:rPr>
        <w:t>. The Company shall keep proper books of account with respect to (a) all sums of money received and expended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matters in respect of which the receipt and expenditure takes place; (b) all sales and purchases of goods by the Company; and (c) the assets and liabilities of the Company, that in each case, are sufficient to give a true and fair view of the Company’s affairs and to explain its transactions.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5" w:name="page206"/>
    <w:bookmarkEnd w:id="205"/>
    <w:p>
      <w:pPr>
        <w:ind w:left="660" w:right="140" w:hanging="647"/>
        <w:spacing w:after="0" w:line="261" w:lineRule="auto"/>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b w:val="1"/>
          <w:bCs w:val="1"/>
          <w:color w:val="auto"/>
        </w:rPr>
        <w:t>Inspection</w:t>
      </w:r>
      <w:r>
        <w:rPr>
          <w:rFonts w:ascii="Arial" w:cs="Arial" w:eastAsia="Arial" w:hAnsi="Arial"/>
          <w:sz w:val="18"/>
          <w:szCs w:val="18"/>
          <w:color w:val="auto"/>
        </w:rPr>
        <w:t>. The Directors shall from time to time determine whether and to what extent and at what times and places and under what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regulations the accounts and books of the Company or any of them shall be open to the inspection of Members not being Directors and no Member (not being a Director) shall have any right of inspecting any account or book or document of the Company except as conferred by the Companies Act or authorised by the Directors or by the Company in general meeting.</w:t>
      </w:r>
    </w:p>
    <w:p>
      <w:pPr>
        <w:spacing w:after="0" w:line="180" w:lineRule="exact"/>
        <w:rPr>
          <w:sz w:val="20"/>
          <w:szCs w:val="20"/>
          <w:color w:val="auto"/>
        </w:rPr>
      </w:pPr>
    </w:p>
    <w:p>
      <w:pPr>
        <w:ind w:left="660" w:right="200" w:hanging="647"/>
        <w:spacing w:after="0" w:line="312" w:lineRule="auto"/>
        <w:tabs>
          <w:tab w:leader="none" w:pos="64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7"/>
          <w:szCs w:val="17"/>
          <w:b w:val="1"/>
          <w:bCs w:val="1"/>
          <w:color w:val="auto"/>
        </w:rPr>
        <w:t>Financial Information</w:t>
      </w:r>
      <w:r>
        <w:rPr>
          <w:rFonts w:ascii="Arial" w:cs="Arial" w:eastAsia="Arial" w:hAnsi="Arial"/>
          <w:sz w:val="17"/>
          <w:szCs w:val="17"/>
          <w:color w:val="auto"/>
        </w:rPr>
        <w:t>. The Directors may from time to time cause to be prepared and to be laid before the Company in general meeting profit</w:t>
      </w:r>
      <w:r>
        <w:rPr>
          <w:rFonts w:ascii="Arial" w:cs="Arial" w:eastAsia="Arial" w:hAnsi="Arial"/>
          <w:sz w:val="17"/>
          <w:szCs w:val="17"/>
          <w:b w:val="1"/>
          <w:bCs w:val="1"/>
          <w:color w:val="auto"/>
        </w:rPr>
        <w:t xml:space="preserve"> </w:t>
      </w:r>
      <w:r>
        <w:rPr>
          <w:rFonts w:ascii="Arial" w:cs="Arial" w:eastAsia="Arial" w:hAnsi="Arial"/>
          <w:sz w:val="17"/>
          <w:szCs w:val="17"/>
          <w:color w:val="auto"/>
        </w:rPr>
        <w:t>and loss accounts, balance sheets, group accounts (if any) and such other reports and accounts as may be required by law.</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AUDIT</w:t>
      </w:r>
    </w:p>
    <w:p>
      <w:pPr>
        <w:spacing w:after="0" w:line="225" w:lineRule="exact"/>
        <w:rPr>
          <w:sz w:val="20"/>
          <w:szCs w:val="20"/>
          <w:color w:val="auto"/>
        </w:rPr>
      </w:pPr>
    </w:p>
    <w:p>
      <w:pPr>
        <w:ind w:left="660" w:right="240" w:hanging="647"/>
        <w:spacing w:after="0" w:line="282"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b w:val="1"/>
          <w:bCs w:val="1"/>
          <w:color w:val="auto"/>
        </w:rPr>
        <w:t>Auditor</w:t>
      </w:r>
      <w:r>
        <w:rPr>
          <w:rFonts w:ascii="Arial" w:cs="Arial" w:eastAsia="Arial" w:hAnsi="Arial"/>
          <w:sz w:val="18"/>
          <w:szCs w:val="18"/>
          <w:color w:val="auto"/>
        </w:rPr>
        <w:t>. The Directors may appoint an auditor of the Company who shall hold office until removed from office by resolution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fix his or their remuneration.</w:t>
      </w:r>
    </w:p>
    <w:p>
      <w:pPr>
        <w:spacing w:after="0" w:line="162" w:lineRule="exact"/>
        <w:rPr>
          <w:sz w:val="20"/>
          <w:szCs w:val="20"/>
          <w:color w:val="auto"/>
        </w:rPr>
      </w:pPr>
    </w:p>
    <w:p>
      <w:pPr>
        <w:ind w:left="660" w:right="40" w:hanging="647"/>
        <w:spacing w:after="0" w:line="347"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b w:val="1"/>
          <w:bCs w:val="1"/>
          <w:color w:val="auto"/>
        </w:rPr>
        <w:t>Access Right</w:t>
      </w:r>
      <w:r>
        <w:rPr>
          <w:rFonts w:ascii="Arial" w:cs="Arial" w:eastAsia="Arial" w:hAnsi="Arial"/>
          <w:sz w:val="16"/>
          <w:szCs w:val="16"/>
          <w:color w:val="auto"/>
        </w:rPr>
        <w:t>. Every auditor of the Company shall have a right of access at all times to the books and accounts and vouchers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entitled to require from the Directors and Officers such information and explanation as may be necessary for any audit.</w:t>
      </w:r>
    </w:p>
    <w:p>
      <w:pPr>
        <w:spacing w:after="0" w:line="116" w:lineRule="exact"/>
        <w:rPr>
          <w:sz w:val="20"/>
          <w:szCs w:val="20"/>
          <w:color w:val="auto"/>
        </w:rPr>
      </w:pPr>
    </w:p>
    <w:p>
      <w:pPr>
        <w:ind w:left="660" w:right="240" w:hanging="647"/>
        <w:spacing w:after="0" w:line="282" w:lineRule="auto"/>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b w:val="1"/>
          <w:bCs w:val="1"/>
          <w:color w:val="auto"/>
        </w:rPr>
        <w:t>Auditor Reports</w:t>
      </w:r>
      <w:r>
        <w:rPr>
          <w:rFonts w:ascii="Arial" w:cs="Arial" w:eastAsia="Arial" w:hAnsi="Arial"/>
          <w:sz w:val="18"/>
          <w:szCs w:val="18"/>
          <w:color w:val="auto"/>
        </w:rPr>
        <w:t>. Auditors shall, if so required by the Directors, make a report on the accounts of the Company during their tenure of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times as shall be required by the Directors or any meeting of the Members.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NOTICES</w:t>
      </w:r>
    </w:p>
    <w:p>
      <w:pPr>
        <w:spacing w:after="0" w:line="225" w:lineRule="exact"/>
        <w:rPr>
          <w:sz w:val="20"/>
          <w:szCs w:val="20"/>
          <w:color w:val="auto"/>
        </w:rPr>
      </w:pPr>
    </w:p>
    <w:p>
      <w:pPr>
        <w:ind w:left="660" w:right="40" w:hanging="647"/>
        <w:spacing w:after="0" w:line="303"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b w:val="1"/>
          <w:bCs w:val="1"/>
          <w:color w:val="auto"/>
        </w:rPr>
        <w:t>Calculation of Elapsed Time</w:t>
      </w:r>
      <w:r>
        <w:rPr>
          <w:rFonts w:ascii="Arial" w:cs="Arial" w:eastAsia="Arial" w:hAnsi="Arial"/>
          <w:sz w:val="16"/>
          <w:szCs w:val="16"/>
          <w:color w:val="auto"/>
        </w:rPr>
        <w:t>. Subject to the laws of the Cayman Islands, where any period of time is expressed as required for the giving of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or in any other case where some other action is required to be undertaken within or omitted from being taken during a specified period of time, the calculation of the requisite period of time will not include the day on which the notice is given (or deemed to be given) or the day on which the event giving rise to the need to take or omit action occurred, but shall include the day on which the period of time expires.</w:t>
      </w:r>
    </w:p>
    <w:p>
      <w:pPr>
        <w:spacing w:after="0" w:line="151" w:lineRule="exact"/>
        <w:rPr>
          <w:sz w:val="20"/>
          <w:szCs w:val="20"/>
          <w:color w:val="auto"/>
        </w:rPr>
      </w:pPr>
    </w:p>
    <w:p>
      <w:pPr>
        <w:ind w:left="660" w:hanging="647"/>
        <w:spacing w:after="0" w:line="258"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b w:val="1"/>
          <w:bCs w:val="1"/>
          <w:color w:val="auto"/>
        </w:rPr>
        <w:t>Delivery of Notices</w:t>
      </w:r>
      <w:r>
        <w:rPr>
          <w:rFonts w:ascii="Arial" w:cs="Arial" w:eastAsia="Arial" w:hAnsi="Arial"/>
          <w:sz w:val="18"/>
          <w:szCs w:val="18"/>
          <w:color w:val="auto"/>
        </w:rPr>
        <w:t>. Notices shall be in writing and may be given by the Company to any Member either personally or by sending it by courier,</w:t>
      </w:r>
      <w:r>
        <w:rPr>
          <w:rFonts w:ascii="Arial" w:cs="Arial" w:eastAsia="Arial" w:hAnsi="Arial"/>
          <w:sz w:val="18"/>
          <w:szCs w:val="18"/>
          <w:b w:val="1"/>
          <w:bCs w:val="1"/>
          <w:color w:val="auto"/>
        </w:rPr>
        <w:t xml:space="preserve"> </w:t>
      </w:r>
      <w:r>
        <w:rPr>
          <w:rFonts w:ascii="Arial" w:cs="Arial" w:eastAsia="Arial" w:hAnsi="Arial"/>
          <w:sz w:val="18"/>
          <w:szCs w:val="18"/>
          <w:color w:val="auto"/>
        </w:rPr>
        <w:t>post, fax or e-mail to him or to his address as shown in the Register of Members (or where the notice is given by e-mail by sending it to the e-mail address provided by such Member). Any notice, if posted from one country to another, is to be sent airmail. E-mail notices may be sent by e-mail text and/or by way of a document attached to an email in portable document format (PDF) or in Microsoft Word format and/or by any other method separately agreed between the Company and its Members.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6" w:name="page207"/>
    <w:bookmarkEnd w:id="206"/>
    <w:p>
      <w:pPr>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b w:val="1"/>
          <w:bCs w:val="1"/>
          <w:color w:val="auto"/>
        </w:rPr>
        <w:t>Deemed Receipt</w:t>
      </w:r>
      <w:r>
        <w:rPr>
          <w:rFonts w:ascii="Arial" w:cs="Arial" w:eastAsia="Arial" w:hAnsi="Arial"/>
          <w:sz w:val="16"/>
          <w:szCs w:val="16"/>
          <w:color w:val="auto"/>
        </w:rPr>
        <w:t>. Where a notice is sent by courier, service of the notice shall be deemed to be effected by delivery of the notice to a courier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pre-paying and posting a letter containing a notice, and shall be deemed to have been received on the fifth day (not including Saturdays or Sundays or public holidays) following the day on which the notice was posted. Where a notice is sent by fax, service of the notice shall be deemed to have been received on the same day that it was transmitted. Where a notice is given by e-mail service it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59" w:lineRule="exact"/>
        <w:rPr>
          <w:sz w:val="20"/>
          <w:szCs w:val="20"/>
          <w:color w:val="auto"/>
        </w:rPr>
      </w:pPr>
    </w:p>
    <w:p>
      <w:pPr>
        <w:ind w:left="660" w:right="200" w:hanging="647"/>
        <w:spacing w:after="0" w:line="266" w:lineRule="auto"/>
        <w:tabs>
          <w:tab w:leader="none" w:pos="6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b w:val="1"/>
          <w:bCs w:val="1"/>
          <w:color w:val="auto"/>
        </w:rPr>
        <w:t>Notices of General Meeting</w:t>
      </w:r>
      <w:r>
        <w:rPr>
          <w:rFonts w:ascii="Arial" w:cs="Arial" w:eastAsia="Arial" w:hAnsi="Arial"/>
          <w:sz w:val="18"/>
          <w:szCs w:val="18"/>
          <w:color w:val="auto"/>
        </w:rPr>
        <w:t>. Notice of every general meeting shall be given in any manner hereinbefore authorized to every person shown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in the Register of Members on the record date for such meeting except that in the case of joint holders the notice shall be sufficient if given to the joint holder first named in the Register of Members.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VOLUNTARY LIQUIDATION</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Subject to the Companies Act, the Company may by Special Resolution be wound up voluntarily.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WINDING UP</w:t>
      </w:r>
    </w:p>
    <w:p>
      <w:pPr>
        <w:spacing w:after="0" w:line="225" w:lineRule="exact"/>
        <w:rPr>
          <w:sz w:val="20"/>
          <w:szCs w:val="20"/>
          <w:color w:val="auto"/>
        </w:rPr>
      </w:pPr>
    </w:p>
    <w:p>
      <w:pPr>
        <w:ind w:left="660" w:right="80" w:hanging="647"/>
        <w:spacing w:after="0" w:line="273"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b w:val="1"/>
          <w:bCs w:val="1"/>
          <w:color w:val="auto"/>
        </w:rPr>
        <w:t>Distribution of Assets</w:t>
      </w:r>
      <w:r>
        <w:rPr>
          <w:rFonts w:ascii="Arial" w:cs="Arial" w:eastAsia="Arial" w:hAnsi="Arial"/>
          <w:sz w:val="17"/>
          <w:szCs w:val="17"/>
          <w:color w:val="auto"/>
        </w:rPr>
        <w:t>. If the Company shall be wound up, and the assets available for distribution amongst the Members shall be insufficient to</w:t>
      </w:r>
      <w:r>
        <w:rPr>
          <w:rFonts w:ascii="Arial" w:cs="Arial" w:eastAsia="Arial" w:hAnsi="Arial"/>
          <w:sz w:val="17"/>
          <w:szCs w:val="17"/>
          <w:b w:val="1"/>
          <w:bCs w:val="1"/>
          <w:color w:val="auto"/>
        </w:rPr>
        <w:t xml:space="preserve"> </w:t>
      </w:r>
      <w:r>
        <w:rPr>
          <w:rFonts w:ascii="Arial" w:cs="Arial" w:eastAsia="Arial" w:hAnsi="Arial"/>
          <w:sz w:val="17"/>
          <w:szCs w:val="17"/>
          <w:color w:val="auto"/>
        </w:rPr>
        <w:t>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72" w:lineRule="exact"/>
        <w:rPr>
          <w:sz w:val="20"/>
          <w:szCs w:val="20"/>
          <w:color w:val="auto"/>
        </w:rPr>
      </w:pPr>
    </w:p>
    <w:p>
      <w:pPr>
        <w:jc w:val="both"/>
        <w:ind w:left="660" w:right="360" w:hanging="647"/>
        <w:spacing w:after="0" w:line="274"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b w:val="1"/>
          <w:bCs w:val="1"/>
          <w:color w:val="auto"/>
        </w:rPr>
        <w:t>Valuation of Assets</w:t>
      </w:r>
      <w:r>
        <w:rPr>
          <w:rFonts w:ascii="Arial" w:cs="Arial" w:eastAsia="Arial" w:hAnsi="Arial"/>
          <w:sz w:val="17"/>
          <w:szCs w:val="17"/>
          <w:color w:val="auto"/>
        </w:rPr>
        <w:t>. If the Company shall be wound up the liquidator may, with the sanction of a Special Resolution and any other sanction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the Companies Act, divide amongst the Members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7" w:name="page208"/>
    <w:bookmarkEnd w:id="207"/>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CONTINUATION</w:t>
      </w:r>
    </w:p>
    <w:p>
      <w:pPr>
        <w:spacing w:after="0" w:line="229" w:lineRule="exact"/>
        <w:rPr>
          <w:sz w:val="20"/>
          <w:szCs w:val="20"/>
          <w:color w:val="auto"/>
        </w:rPr>
      </w:pPr>
    </w:p>
    <w:p>
      <w:pPr>
        <w:jc w:val="both"/>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Company may, subject to the provisions of the Companies Act and with the approval of a Special Resolution, transfer and be registered by way of continuation as a body corporate limited by shares under the laws of any jurisdiction outside the Cayman Islands and be de-registered in the Cayman Islands.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AMENDMENT OF THE MEMORANDUM AND ARTICLES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Subject to the Companies Act and the rights attaching to any class or series of Shares, the Company may by Special Resolution change its name or alter or amend these Articles and/ or the Memorandum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Sertus Nominees (Cayman)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Sertus Chambers, Governors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 5-204, 23 Lime Tree Bay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2547, 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66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Susan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this [  ] day of [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66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Burnette Pope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Sertus Chambers, Governors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 5-204, 23 Lime Tree Bay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2547, 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3.2</w:t>
      </w: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THE COMPANIES ACT (AS REVISED) OF THE CAYMAN ISLANDS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AMENDED AND RESTATED MEMORANDUM OF ASSOCIATION OF</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An Exempted Company Limited By Shares</w:t>
      </w:r>
    </w:p>
    <w:p>
      <w:pPr>
        <w:spacing w:after="0" w:line="225" w:lineRule="exact"/>
        <w:rPr>
          <w:sz w:val="20"/>
          <w:szCs w:val="20"/>
          <w:color w:val="auto"/>
        </w:rPr>
      </w:pPr>
    </w:p>
    <w:p>
      <w:pPr>
        <w:jc w:val="center"/>
        <w:ind w:left="340" w:right="240"/>
        <w:spacing w:after="0" w:line="277" w:lineRule="auto"/>
        <w:rPr>
          <w:sz w:val="20"/>
          <w:szCs w:val="20"/>
          <w:color w:val="auto"/>
        </w:rPr>
      </w:pPr>
      <w:r>
        <w:rPr>
          <w:rFonts w:ascii="Arial" w:cs="Arial" w:eastAsia="Arial" w:hAnsi="Arial"/>
          <w:sz w:val="18"/>
          <w:szCs w:val="18"/>
          <w:color w:val="auto"/>
        </w:rPr>
        <w:t>(adopted by a Special Resolution passed on September 29, 2023 and effective immediately prior to the completion of the initial public offering of the Company’s American Depositary Shares representing its Class B Ordinary Shares)</w:t>
      </w:r>
    </w:p>
    <w:p>
      <w:pPr>
        <w:spacing w:after="0" w:line="170" w:lineRule="exact"/>
        <w:rPr>
          <w:sz w:val="20"/>
          <w:szCs w:val="20"/>
          <w:color w:val="auto"/>
        </w:rPr>
      </w:pPr>
    </w:p>
    <w:p>
      <w:pPr>
        <w:ind w:left="500" w:hanging="492"/>
        <w:spacing w:after="0"/>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name of the Company is Trident Digital Tech Holdings Ltd.</w:t>
      </w:r>
    </w:p>
    <w:p>
      <w:pPr>
        <w:spacing w:after="0" w:line="225"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Registered Office of the Company is at the Office of Maples Corporate Services Limited, PO Box 309, Ugland House, Grand Cayman, KY1-1104, Cayman Islands or at such other place as the Directors may from time to time decide.</w:t>
      </w:r>
    </w:p>
    <w:p>
      <w:pPr>
        <w:spacing w:after="0" w:line="170"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70"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the Companies Act.</w:t>
      </w:r>
    </w:p>
    <w:p>
      <w:pPr>
        <w:spacing w:after="0" w:line="170" w:lineRule="exact"/>
        <w:rPr>
          <w:rFonts w:ascii="Arial" w:cs="Arial" w:eastAsia="Arial" w:hAnsi="Arial"/>
          <w:sz w:val="18"/>
          <w:szCs w:val="18"/>
          <w:color w:val="auto"/>
        </w:rPr>
      </w:pPr>
    </w:p>
    <w:p>
      <w:pPr>
        <w:ind w:left="500" w:right="160" w:hanging="492"/>
        <w:spacing w:after="0" w:line="259"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liability of each Shareholder is limited to the amount, if any, unpaid on the Shares held by such Shareholder.</w:t>
      </w:r>
    </w:p>
    <w:p>
      <w:pPr>
        <w:spacing w:after="0" w:line="225" w:lineRule="exact"/>
        <w:rPr>
          <w:rFonts w:ascii="Arial" w:cs="Arial" w:eastAsia="Arial" w:hAnsi="Arial"/>
          <w:sz w:val="18"/>
          <w:szCs w:val="18"/>
          <w:color w:val="auto"/>
        </w:rPr>
      </w:pPr>
    </w:p>
    <w:p>
      <w:pPr>
        <w:ind w:left="500" w:right="100" w:hanging="492"/>
        <w:spacing w:after="0" w:line="279" w:lineRule="auto"/>
        <w:tabs>
          <w:tab w:leader="none" w:pos="5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authorized share capital of the Company is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Articles.</w:t>
      </w:r>
    </w:p>
    <w:p>
      <w:pPr>
        <w:spacing w:after="0" w:line="171" w:lineRule="exact"/>
        <w:rPr>
          <w:rFonts w:ascii="Arial" w:cs="Arial" w:eastAsia="Arial" w:hAnsi="Arial"/>
          <w:sz w:val="17"/>
          <w:szCs w:val="17"/>
          <w:color w:val="auto"/>
        </w:rPr>
      </w:pPr>
    </w:p>
    <w:p>
      <w:pPr>
        <w:ind w:left="500" w:right="20"/>
        <w:spacing w:after="0" w:line="296" w:lineRule="auto"/>
        <w:rPr>
          <w:rFonts w:ascii="Arial" w:cs="Arial" w:eastAsia="Arial" w:hAnsi="Arial"/>
          <w:sz w:val="17"/>
          <w:szCs w:val="17"/>
          <w:color w:val="auto"/>
        </w:rPr>
      </w:pPr>
      <w:r>
        <w:rPr>
          <w:rFonts w:ascii="Arial" w:cs="Arial" w:eastAsia="Arial" w:hAnsi="Arial"/>
          <w:sz w:val="16"/>
          <w:szCs w:val="16"/>
          <w:color w:val="auto"/>
        </w:rPr>
        <w:t>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61" w:lineRule="exact"/>
        <w:rPr>
          <w:rFonts w:ascii="Arial" w:cs="Arial" w:eastAsia="Arial" w:hAnsi="Arial"/>
          <w:sz w:val="17"/>
          <w:szCs w:val="17"/>
          <w:color w:val="auto"/>
        </w:rPr>
      </w:pPr>
    </w:p>
    <w:p>
      <w:pPr>
        <w:ind w:left="500" w:right="140" w:hanging="492"/>
        <w:spacing w:after="0" w:line="277"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has the power contained in the Companies Act to deregister in the Cayman Islands and be registered by way of continuation in some other jurisdiction.</w:t>
      </w:r>
    </w:p>
    <w:p>
      <w:pPr>
        <w:spacing w:after="0" w:line="170" w:lineRule="exact"/>
        <w:rPr>
          <w:rFonts w:ascii="Arial" w:cs="Arial" w:eastAsia="Arial" w:hAnsi="Arial"/>
          <w:sz w:val="18"/>
          <w:szCs w:val="18"/>
          <w:color w:val="auto"/>
        </w:rPr>
      </w:pPr>
    </w:p>
    <w:p>
      <w:pPr>
        <w:ind w:left="500" w:right="400" w:hanging="492"/>
        <w:spacing w:after="0" w:line="277"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Capitalized terms that are not defined in this Amended and Restated Memorandum of Association bear the same meanings as those given in the Amended and Restated Articles of Association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9" w:name="page210"/>
    <w:bookmarkEnd w:id="209"/>
    <w:p>
      <w:pPr>
        <w:jc w:val="center"/>
        <w:ind w:right="400"/>
        <w:spacing w:after="0"/>
        <w:rPr>
          <w:sz w:val="20"/>
          <w:szCs w:val="20"/>
          <w:color w:val="auto"/>
        </w:rPr>
      </w:pPr>
      <w:r>
        <w:rPr>
          <w:rFonts w:ascii="Arial" w:cs="Arial" w:eastAsia="Arial" w:hAnsi="Arial"/>
          <w:sz w:val="18"/>
          <w:szCs w:val="18"/>
          <w:b w:val="1"/>
          <w:bCs w:val="1"/>
          <w:color w:val="auto"/>
        </w:rPr>
        <w:t>THE COMPANIES ACT (AS REVISED) OF THE CAYMAN ISLANDS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AMENDED AND RESTATED ARTICLES OF ASSOCIATION OF</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An Exempted Company Limited By Shares</w:t>
      </w:r>
    </w:p>
    <w:p>
      <w:pPr>
        <w:spacing w:after="0" w:line="225" w:lineRule="exact"/>
        <w:rPr>
          <w:sz w:val="20"/>
          <w:szCs w:val="20"/>
          <w:color w:val="auto"/>
        </w:rPr>
      </w:pPr>
    </w:p>
    <w:p>
      <w:pPr>
        <w:jc w:val="center"/>
        <w:ind w:left="340" w:right="240"/>
        <w:spacing w:after="0" w:line="277" w:lineRule="auto"/>
        <w:rPr>
          <w:sz w:val="20"/>
          <w:szCs w:val="20"/>
          <w:color w:val="auto"/>
        </w:rPr>
      </w:pPr>
      <w:r>
        <w:rPr>
          <w:rFonts w:ascii="Arial" w:cs="Arial" w:eastAsia="Arial" w:hAnsi="Arial"/>
          <w:sz w:val="18"/>
          <w:szCs w:val="18"/>
          <w:color w:val="auto"/>
        </w:rPr>
        <w:t>(adopted by a Special Resolution passed on September 29, 2023 and effective immediately prior to the completion of the initial public offering of the Company’s American Depositary Shares representing its Class B Ordinary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0"/>
              <w:spacing w:after="0"/>
              <w:rPr>
                <w:sz w:val="20"/>
                <w:szCs w:val="20"/>
                <w:color w:val="auto"/>
              </w:rPr>
            </w:pPr>
            <w:r>
              <w:rPr>
                <w:rFonts w:ascii="Arial" w:cs="Arial" w:eastAsia="Arial" w:hAnsi="Arial"/>
                <w:sz w:val="18"/>
                <w:szCs w:val="18"/>
                <w:b w:val="1"/>
                <w:bCs w:val="1"/>
                <w:color w:val="auto"/>
              </w:rPr>
              <w:t>“ADS”</w:t>
            </w:r>
          </w:p>
        </w:tc>
        <w:tc>
          <w:tcPr>
            <w:tcW w:w="8740" w:type="dxa"/>
            <w:vAlign w:val="bottom"/>
          </w:tcPr>
          <w:p>
            <w:pPr>
              <w:ind w:left="880"/>
              <w:spacing w:after="0"/>
              <w:rPr>
                <w:sz w:val="20"/>
                <w:szCs w:val="20"/>
                <w:color w:val="auto"/>
              </w:rPr>
            </w:pPr>
            <w:r>
              <w:rPr>
                <w:rFonts w:ascii="Arial" w:cs="Arial" w:eastAsia="Arial" w:hAnsi="Arial"/>
                <w:sz w:val="18"/>
                <w:szCs w:val="18"/>
                <w:color w:val="auto"/>
              </w:rPr>
              <w:t>means an American Depositary Share representing Class B Ordinary Shares;</w:t>
            </w:r>
          </w:p>
        </w:tc>
      </w:tr>
      <w:tr>
        <w:trPr>
          <w:trHeight w:val="418"/>
        </w:trPr>
        <w:tc>
          <w:tcPr>
            <w:tcW w:w="2500" w:type="dxa"/>
            <w:vAlign w:val="bottom"/>
          </w:tcPr>
          <w:p>
            <w:pPr>
              <w:ind w:left="800"/>
              <w:spacing w:after="0"/>
              <w:rPr>
                <w:sz w:val="20"/>
                <w:szCs w:val="20"/>
                <w:color w:val="auto"/>
              </w:rPr>
            </w:pPr>
            <w:r>
              <w:rPr>
                <w:rFonts w:ascii="Arial" w:cs="Arial" w:eastAsia="Arial" w:hAnsi="Arial"/>
                <w:sz w:val="18"/>
                <w:szCs w:val="18"/>
                <w:b w:val="1"/>
                <w:bCs w:val="1"/>
                <w:color w:val="auto"/>
              </w:rPr>
              <w:t>“Affiliate”</w:t>
            </w:r>
          </w:p>
        </w:tc>
        <w:tc>
          <w:tcPr>
            <w:tcW w:w="8740" w:type="dxa"/>
            <w:vAlign w:val="bottom"/>
          </w:tcPr>
          <w:p>
            <w:pPr>
              <w:ind w:left="880"/>
              <w:spacing w:after="0"/>
              <w:rPr>
                <w:sz w:val="20"/>
                <w:szCs w:val="20"/>
                <w:color w:val="auto"/>
              </w:rPr>
            </w:pPr>
            <w:r>
              <w:rPr>
                <w:rFonts w:ascii="Arial" w:cs="Arial" w:eastAsia="Arial" w:hAnsi="Arial"/>
                <w:sz w:val="18"/>
                <w:szCs w:val="18"/>
                <w:color w:val="auto"/>
              </w:rPr>
              <w:t>means in respect of a Person, any other Person that, directly or indirectly, through one or more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2"/>
              </w:rPr>
              <w:t>intermediaries, controls, is controlled by, or is under common control with, such Person, and (i) in the case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7"/>
              </w:rPr>
              <w:t>of a natural person, shall include, without limitation, such person’s spouse, parents, children, siblings,</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rPr>
              <w:t>mother-in-law, father-in-law, brothers-in-law and sisters-in-law, a trust for the benefit of any of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rPr>
              <w:t>foregoing, and a corporation, partnership or any other entity wholly or jointly owned by any of the</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4"/>
              </w:rPr>
              <w:t>foregoing, and (ii) in the case of an entity, shall include a partnership, a corporation or any other entity or</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4"/>
              </w:rPr>
              <w:t>any natural person which directly, or indirectly through one or more intermediaries, controls, is controlled</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4"/>
              </w:rPr>
              <w:t>by, or is under common control with, such entity. The term “control” shall mean the ownership, directly or</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8"/>
              </w:rPr>
              <w:t>indirectly, of shares possessing more than fifty percent (50%) of the voting power of the corporation,</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4"/>
              </w:rPr>
              <w:t>partnership or other entity (other than, in the case of a corporation, securities having such power only by</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7"/>
              </w:rPr>
              <w:t>reason of the happening of a contingency), or having the power to control the management or elect a</w:t>
            </w:r>
          </w:p>
        </w:tc>
      </w:tr>
      <w:tr>
        <w:trPr>
          <w:trHeight w:val="216"/>
        </w:trPr>
        <w:tc>
          <w:tcPr>
            <w:tcW w:w="2500" w:type="dxa"/>
            <w:vAlign w:val="bottom"/>
          </w:tcPr>
          <w:p>
            <w:pPr>
              <w:spacing w:after="0"/>
              <w:rPr>
                <w:sz w:val="18"/>
                <w:szCs w:val="18"/>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w w:val="96"/>
              </w:rPr>
              <w:t>majority of members to the board of directors or equivalent decision-making body of such corporation,</w:t>
            </w:r>
          </w:p>
        </w:tc>
      </w:tr>
      <w:tr>
        <w:trPr>
          <w:trHeight w:val="230"/>
        </w:trPr>
        <w:tc>
          <w:tcPr>
            <w:tcW w:w="250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rPr>
              <w:t>partnership or other entity;</w:t>
            </w:r>
          </w:p>
        </w:tc>
      </w:tr>
      <w:tr>
        <w:trPr>
          <w:trHeight w:val="682"/>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“Articles”</w:t>
            </w:r>
          </w:p>
        </w:tc>
        <w:tc>
          <w:tcPr>
            <w:tcW w:w="8060" w:type="dxa"/>
            <w:vAlign w:val="bottom"/>
          </w:tcPr>
          <w:p>
            <w:pPr>
              <w:ind w:left="200"/>
              <w:spacing w:after="0"/>
              <w:rPr>
                <w:sz w:val="20"/>
                <w:szCs w:val="20"/>
                <w:color w:val="auto"/>
              </w:rPr>
            </w:pPr>
            <w:r>
              <w:rPr>
                <w:rFonts w:ascii="Arial" w:cs="Arial" w:eastAsia="Arial" w:hAnsi="Arial"/>
                <w:sz w:val="18"/>
                <w:szCs w:val="18"/>
                <w:color w:val="auto"/>
              </w:rPr>
              <w:t>means these articles of association of the Company, as amended or substituted from time to time;</w:t>
            </w:r>
          </w:p>
        </w:tc>
      </w:tr>
      <w:tr>
        <w:trPr>
          <w:trHeight w:val="414"/>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and</w:t>
            </w:r>
            <w:r>
              <w:rPr>
                <w:rFonts w:ascii="Arial" w:cs="Arial" w:eastAsia="Arial" w:hAnsi="Arial"/>
                <w:sz w:val="18"/>
                <w:szCs w:val="18"/>
                <w:b w:val="1"/>
                <w:bCs w:val="1"/>
                <w:color w:val="auto"/>
              </w:rPr>
              <w:t xml:space="preserve"> “Board of</w:t>
            </w:r>
          </w:p>
        </w:tc>
        <w:tc>
          <w:tcPr>
            <w:tcW w:w="8060" w:type="dxa"/>
            <w:vAlign w:val="bottom"/>
          </w:tcPr>
          <w:p>
            <w:pPr>
              <w:ind w:left="200"/>
              <w:spacing w:after="0"/>
              <w:rPr>
                <w:sz w:val="20"/>
                <w:szCs w:val="20"/>
                <w:color w:val="auto"/>
              </w:rPr>
            </w:pPr>
            <w:r>
              <w:rPr>
                <w:rFonts w:ascii="Arial" w:cs="Arial" w:eastAsia="Arial" w:hAnsi="Arial"/>
                <w:sz w:val="18"/>
                <w:szCs w:val="18"/>
                <w:color w:val="auto"/>
                <w:w w:val="91"/>
              </w:rPr>
              <w:t>means the directors of the Company for the time being, or as the case may be, the directors assembled as a</w:t>
            </w:r>
          </w:p>
        </w:tc>
      </w:tr>
      <w:tr>
        <w:trPr>
          <w:trHeight w:val="234"/>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and</w:t>
            </w:r>
            <w:r>
              <w:rPr>
                <w:rFonts w:ascii="Arial" w:cs="Arial" w:eastAsia="Arial" w:hAnsi="Arial"/>
                <w:sz w:val="18"/>
                <w:szCs w:val="18"/>
                <w:b w:val="1"/>
                <w:bCs w:val="1"/>
                <w:color w:val="auto"/>
              </w:rPr>
              <w:t xml:space="preserve"> “Directors”</w:t>
            </w:r>
          </w:p>
        </w:tc>
        <w:tc>
          <w:tcPr>
            <w:tcW w:w="8060" w:type="dxa"/>
            <w:vAlign w:val="bottom"/>
          </w:tcPr>
          <w:p>
            <w:pPr>
              <w:ind w:left="200"/>
              <w:spacing w:after="0"/>
              <w:rPr>
                <w:sz w:val="20"/>
                <w:szCs w:val="20"/>
                <w:color w:val="auto"/>
              </w:rPr>
            </w:pPr>
            <w:r>
              <w:rPr>
                <w:rFonts w:ascii="Arial" w:cs="Arial" w:eastAsia="Arial" w:hAnsi="Arial"/>
                <w:sz w:val="18"/>
                <w:szCs w:val="18"/>
                <w:color w:val="auto"/>
              </w:rPr>
              <w:t>board or as a committee thereof;</w:t>
            </w:r>
          </w:p>
        </w:tc>
      </w:tr>
      <w:tr>
        <w:trPr>
          <w:trHeight w:val="432"/>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“Chairman”</w:t>
            </w:r>
          </w:p>
        </w:tc>
        <w:tc>
          <w:tcPr>
            <w:tcW w:w="8060" w:type="dxa"/>
            <w:vAlign w:val="bottom"/>
          </w:tcPr>
          <w:p>
            <w:pPr>
              <w:ind w:left="200"/>
              <w:spacing w:after="0"/>
              <w:rPr>
                <w:sz w:val="20"/>
                <w:szCs w:val="20"/>
                <w:color w:val="auto"/>
              </w:rPr>
            </w:pPr>
            <w:r>
              <w:rPr>
                <w:rFonts w:ascii="Arial" w:cs="Arial" w:eastAsia="Arial" w:hAnsi="Arial"/>
                <w:sz w:val="18"/>
                <w:szCs w:val="18"/>
                <w:color w:val="auto"/>
              </w:rPr>
              <w:t>means the chairman of the Board of Directors;</w:t>
            </w:r>
          </w:p>
        </w:tc>
      </w:tr>
      <w:tr>
        <w:trPr>
          <w:trHeight w:val="432"/>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“Class” or “Classes”</w:t>
            </w:r>
          </w:p>
        </w:tc>
        <w:tc>
          <w:tcPr>
            <w:tcW w:w="8060" w:type="dxa"/>
            <w:vAlign w:val="bottom"/>
          </w:tcPr>
          <w:p>
            <w:pPr>
              <w:ind w:left="200"/>
              <w:spacing w:after="0"/>
              <w:rPr>
                <w:sz w:val="20"/>
                <w:szCs w:val="20"/>
                <w:color w:val="auto"/>
              </w:rPr>
            </w:pPr>
            <w:r>
              <w:rPr>
                <w:rFonts w:ascii="Arial" w:cs="Arial" w:eastAsia="Arial" w:hAnsi="Arial"/>
                <w:sz w:val="18"/>
                <w:szCs w:val="18"/>
                <w:color w:val="auto"/>
              </w:rPr>
              <w:t>means any class or classes of Shares as may from time to time be issued by the Company;</w:t>
            </w:r>
          </w:p>
        </w:tc>
      </w:tr>
      <w:tr>
        <w:trPr>
          <w:trHeight w:val="418"/>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“Class A Ordinary Share”</w:t>
            </w:r>
          </w:p>
        </w:tc>
        <w:tc>
          <w:tcPr>
            <w:tcW w:w="8060" w:type="dxa"/>
            <w:vAlign w:val="bottom"/>
          </w:tcPr>
          <w:p>
            <w:pPr>
              <w:ind w:left="200"/>
              <w:spacing w:after="0"/>
              <w:rPr>
                <w:sz w:val="20"/>
                <w:szCs w:val="20"/>
                <w:color w:val="auto"/>
              </w:rPr>
            </w:pPr>
            <w:r>
              <w:rPr>
                <w:rFonts w:ascii="Arial" w:cs="Arial" w:eastAsia="Arial" w:hAnsi="Arial"/>
                <w:sz w:val="18"/>
                <w:szCs w:val="18"/>
                <w:color w:val="auto"/>
                <w:w w:val="90"/>
              </w:rPr>
              <w:t>means an Ordinary Share of a par value of US$0.00001 in the capital of the Company, designated as a Class</w:t>
            </w:r>
          </w:p>
        </w:tc>
      </w:tr>
      <w:tr>
        <w:trPr>
          <w:trHeight w:val="230"/>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 Ordinary Shares and having the rights provided for in these Articles;</w:t>
            </w:r>
          </w:p>
        </w:tc>
      </w:tr>
      <w:tr>
        <w:trPr>
          <w:trHeight w:val="418"/>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“Class B Ordinary Share”</w:t>
            </w:r>
          </w:p>
        </w:tc>
        <w:tc>
          <w:tcPr>
            <w:tcW w:w="8060" w:type="dxa"/>
            <w:vAlign w:val="bottom"/>
          </w:tcPr>
          <w:p>
            <w:pPr>
              <w:ind w:left="200"/>
              <w:spacing w:after="0"/>
              <w:rPr>
                <w:sz w:val="20"/>
                <w:szCs w:val="20"/>
                <w:color w:val="auto"/>
              </w:rPr>
            </w:pPr>
            <w:r>
              <w:rPr>
                <w:rFonts w:ascii="Arial" w:cs="Arial" w:eastAsia="Arial" w:hAnsi="Arial"/>
                <w:sz w:val="18"/>
                <w:szCs w:val="18"/>
                <w:color w:val="auto"/>
                <w:w w:val="90"/>
              </w:rPr>
              <w:t>means an Ordinary Share of a par value of US$0.00001 in the capital of the Company, designated as a Class</w:t>
            </w:r>
          </w:p>
        </w:tc>
      </w:tr>
      <w:tr>
        <w:trPr>
          <w:trHeight w:val="230"/>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B Ordinary Share and having the rights provided for in these Articles;</w:t>
            </w:r>
          </w:p>
        </w:tc>
      </w:tr>
      <w:tr>
        <w:trPr>
          <w:trHeight w:val="418"/>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“Commission”</w:t>
            </w:r>
          </w:p>
        </w:tc>
        <w:tc>
          <w:tcPr>
            <w:tcW w:w="8060" w:type="dxa"/>
            <w:vAlign w:val="bottom"/>
          </w:tcPr>
          <w:p>
            <w:pPr>
              <w:ind w:left="200"/>
              <w:spacing w:after="0"/>
              <w:rPr>
                <w:sz w:val="20"/>
                <w:szCs w:val="20"/>
                <w:color w:val="auto"/>
              </w:rPr>
            </w:pPr>
            <w:r>
              <w:rPr>
                <w:rFonts w:ascii="Arial" w:cs="Arial" w:eastAsia="Arial" w:hAnsi="Arial"/>
                <w:sz w:val="18"/>
                <w:szCs w:val="18"/>
                <w:color w:val="auto"/>
                <w:w w:val="90"/>
              </w:rPr>
              <w:t>means the Securities and Exchange Commission of the United States of America or any other federal agency</w:t>
            </w:r>
          </w:p>
        </w:tc>
      </w:tr>
      <w:tr>
        <w:trPr>
          <w:trHeight w:val="230"/>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for the time being administering the Securities Act;</w:t>
            </w:r>
          </w:p>
        </w:tc>
      </w:tr>
      <w:tr>
        <w:trPr>
          <w:trHeight w:val="418"/>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w w:val="99"/>
              </w:rPr>
              <w:t>“Communication Facilities”</w:t>
            </w:r>
          </w:p>
        </w:tc>
        <w:tc>
          <w:tcPr>
            <w:tcW w:w="8060" w:type="dxa"/>
            <w:vAlign w:val="bottom"/>
          </w:tcPr>
          <w:p>
            <w:pPr>
              <w:ind w:left="200"/>
              <w:spacing w:after="0"/>
              <w:rPr>
                <w:sz w:val="20"/>
                <w:szCs w:val="20"/>
                <w:color w:val="auto"/>
              </w:rPr>
            </w:pPr>
            <w:r>
              <w:rPr>
                <w:rFonts w:ascii="Arial" w:cs="Arial" w:eastAsia="Arial" w:hAnsi="Arial"/>
                <w:sz w:val="18"/>
                <w:szCs w:val="18"/>
                <w:color w:val="auto"/>
                <w:w w:val="94"/>
              </w:rPr>
              <w:t>means technology (including without limitation video, video-conferencing, internet or online conferencing</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w w:val="96"/>
              </w:rPr>
              <w:t>applications, telephone or tele-conferencing and/or any other video-communications, internet or online</w:t>
            </w:r>
          </w:p>
        </w:tc>
      </w:tr>
      <w:tr>
        <w:trPr>
          <w:trHeight w:val="216"/>
        </w:trPr>
        <w:tc>
          <w:tcPr>
            <w:tcW w:w="318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conferencing application or telecommunications facilities) by means of which all natural persons</w:t>
            </w:r>
          </w:p>
        </w:tc>
      </w:tr>
      <w:tr>
        <w:trPr>
          <w:trHeight w:val="230"/>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participating in a meeting are capable of hearing and being heard by each other;</w:t>
            </w:r>
          </w:p>
        </w:tc>
      </w:tr>
      <w:tr>
        <w:trPr>
          <w:trHeight w:val="432"/>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“Company”</w:t>
            </w:r>
          </w:p>
        </w:tc>
        <w:tc>
          <w:tcPr>
            <w:tcW w:w="8060" w:type="dxa"/>
            <w:vAlign w:val="bottom"/>
          </w:tcPr>
          <w:p>
            <w:pPr>
              <w:ind w:left="200"/>
              <w:spacing w:after="0"/>
              <w:rPr>
                <w:sz w:val="20"/>
                <w:szCs w:val="20"/>
                <w:color w:val="auto"/>
              </w:rPr>
            </w:pPr>
            <w:r>
              <w:rPr>
                <w:rFonts w:ascii="Arial" w:cs="Arial" w:eastAsia="Arial" w:hAnsi="Arial"/>
                <w:sz w:val="18"/>
                <w:szCs w:val="18"/>
                <w:color w:val="auto"/>
              </w:rPr>
              <w:t>means Trident Digital Tech Holdings Ltd, a Cayman Islands exempted company limited by shares;</w:t>
            </w:r>
          </w:p>
        </w:tc>
      </w:tr>
      <w:tr>
        <w:trPr>
          <w:trHeight w:val="418"/>
        </w:trPr>
        <w:tc>
          <w:tcPr>
            <w:tcW w:w="3180" w:type="dxa"/>
            <w:vAlign w:val="bottom"/>
          </w:tcPr>
          <w:p>
            <w:pPr>
              <w:ind w:left="800"/>
              <w:spacing w:after="0"/>
              <w:rPr>
                <w:sz w:val="20"/>
                <w:szCs w:val="20"/>
                <w:color w:val="auto"/>
              </w:rPr>
            </w:pPr>
            <w:r>
              <w:rPr>
                <w:rFonts w:ascii="Arial" w:cs="Arial" w:eastAsia="Arial" w:hAnsi="Arial"/>
                <w:sz w:val="18"/>
                <w:szCs w:val="18"/>
                <w:b w:val="1"/>
                <w:bCs w:val="1"/>
                <w:color w:val="auto"/>
              </w:rPr>
              <w:t>“Companies Act”</w:t>
            </w:r>
          </w:p>
        </w:tc>
        <w:tc>
          <w:tcPr>
            <w:tcW w:w="8060" w:type="dxa"/>
            <w:vAlign w:val="bottom"/>
          </w:tcPr>
          <w:p>
            <w:pPr>
              <w:ind w:left="200"/>
              <w:spacing w:after="0"/>
              <w:rPr>
                <w:sz w:val="20"/>
                <w:szCs w:val="20"/>
                <w:color w:val="auto"/>
              </w:rPr>
            </w:pPr>
            <w:r>
              <w:rPr>
                <w:rFonts w:ascii="Arial" w:cs="Arial" w:eastAsia="Arial" w:hAnsi="Arial"/>
                <w:sz w:val="18"/>
                <w:szCs w:val="18"/>
                <w:color w:val="auto"/>
                <w:w w:val="98"/>
              </w:rPr>
              <w:t>means the Companies Act (As Revised) of the Cayman Islands and any statutory amendment or re-</w:t>
            </w:r>
          </w:p>
        </w:tc>
      </w:tr>
      <w:tr>
        <w:trPr>
          <w:trHeight w:val="230"/>
        </w:trPr>
        <w:tc>
          <w:tcPr>
            <w:tcW w:w="318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enactment thereof;</w:t>
            </w:r>
          </w:p>
        </w:tc>
      </w:tr>
      <w:tr>
        <w:trPr>
          <w:trHeight w:val="682"/>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31"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“Company’s Website”</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means the main corporate/investor relations website of the Company, the address or domain name of which</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has been disclosed in any registration statement filed by the Company with the Commission in connection</w:t>
            </w: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with its initial public offering of ADSs, or which has otherwise been notified to Shareholders;</w:t>
            </w:r>
          </w:p>
        </w:tc>
      </w:tr>
      <w:tr>
        <w:trPr>
          <w:trHeight w:val="432"/>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w w:val="95"/>
              </w:rPr>
              <w:t>“Designated Stock Exchange”</w:t>
            </w:r>
          </w:p>
        </w:tc>
        <w:tc>
          <w:tcPr>
            <w:tcW w:w="7940" w:type="dxa"/>
            <w:vAlign w:val="bottom"/>
          </w:tcPr>
          <w:p>
            <w:pPr>
              <w:ind w:left="80"/>
              <w:spacing w:after="0"/>
              <w:rPr>
                <w:sz w:val="20"/>
                <w:szCs w:val="20"/>
                <w:color w:val="auto"/>
              </w:rPr>
            </w:pPr>
            <w:r>
              <w:rPr>
                <w:rFonts w:ascii="Arial" w:cs="Arial" w:eastAsia="Arial" w:hAnsi="Arial"/>
                <w:sz w:val="18"/>
                <w:szCs w:val="18"/>
                <w:color w:val="auto"/>
                <w:w w:val="99"/>
              </w:rPr>
              <w:t>means the stock exchange in the United States on which any Shares or ADSs are listed for trading;</w:t>
            </w:r>
          </w:p>
        </w:tc>
      </w:tr>
      <w:tr>
        <w:trPr>
          <w:trHeight w:val="414"/>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w w:val="99"/>
              </w:rPr>
              <w:t>“Designated Stock Exchange</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means the relevant code, rules and regulations, as amended, from time to time, applicable as a result of the</w:t>
            </w:r>
          </w:p>
        </w:tc>
      </w:tr>
      <w:tr>
        <w:trPr>
          <w:trHeight w:val="234"/>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Rules”</w:t>
            </w:r>
          </w:p>
        </w:tc>
        <w:tc>
          <w:tcPr>
            <w:tcW w:w="7940" w:type="dxa"/>
            <w:vAlign w:val="bottom"/>
          </w:tcPr>
          <w:p>
            <w:pPr>
              <w:ind w:left="80"/>
              <w:spacing w:after="0"/>
              <w:rPr>
                <w:sz w:val="20"/>
                <w:szCs w:val="20"/>
                <w:color w:val="auto"/>
              </w:rPr>
            </w:pPr>
            <w:r>
              <w:rPr>
                <w:rFonts w:ascii="Arial" w:cs="Arial" w:eastAsia="Arial" w:hAnsi="Arial"/>
                <w:sz w:val="18"/>
                <w:szCs w:val="18"/>
                <w:color w:val="auto"/>
              </w:rPr>
              <w:t>original and continued listing of any Shares or ADSs on the Designated Stock Exchange;</w:t>
            </w:r>
          </w:p>
        </w:tc>
      </w:tr>
      <w:tr>
        <w:trPr>
          <w:trHeight w:val="418"/>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“electronic”</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has the meaning given to it in the Electronic Transactions Act and any amendment thereto or re-enactments</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8"/>
              </w:rPr>
              <w:t>thereof for the time being in force and includes every other law incorporated therewith or substituted</w:t>
            </w: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therefor;</w:t>
            </w:r>
          </w:p>
        </w:tc>
      </w:tr>
      <w:tr>
        <w:trPr>
          <w:trHeight w:val="418"/>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“electronic communication”</w:t>
            </w:r>
          </w:p>
        </w:tc>
        <w:tc>
          <w:tcPr>
            <w:tcW w:w="7940" w:type="dxa"/>
            <w:vAlign w:val="bottom"/>
          </w:tcPr>
          <w:p>
            <w:pPr>
              <w:ind w:left="80"/>
              <w:spacing w:after="0"/>
              <w:rPr>
                <w:sz w:val="20"/>
                <w:szCs w:val="20"/>
                <w:color w:val="auto"/>
              </w:rPr>
            </w:pPr>
            <w:r>
              <w:rPr>
                <w:rFonts w:ascii="Arial" w:cs="Arial" w:eastAsia="Arial" w:hAnsi="Arial"/>
                <w:sz w:val="18"/>
                <w:szCs w:val="18"/>
                <w:color w:val="auto"/>
                <w:w w:val="89"/>
              </w:rPr>
              <w:t>means electronic posting to the Company’s Website, transmission to any number, address or internet website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or other electronic delivery methods as otherwise decided and approved by not less than two-thirds of the</w:t>
            </w: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vote of the Board;</w:t>
            </w:r>
          </w:p>
        </w:tc>
      </w:tr>
      <w:tr>
        <w:trPr>
          <w:trHeight w:val="418"/>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w w:val="96"/>
              </w:rPr>
              <w:t>“Electronic Transactions Act”</w:t>
            </w:r>
          </w:p>
        </w:tc>
        <w:tc>
          <w:tcPr>
            <w:tcW w:w="7940" w:type="dxa"/>
            <w:vAlign w:val="bottom"/>
          </w:tcPr>
          <w:p>
            <w:pPr>
              <w:ind w:left="80"/>
              <w:spacing w:after="0"/>
              <w:rPr>
                <w:sz w:val="20"/>
                <w:szCs w:val="20"/>
                <w:color w:val="auto"/>
              </w:rPr>
            </w:pPr>
            <w:r>
              <w:rPr>
                <w:rFonts w:ascii="Arial" w:cs="Arial" w:eastAsia="Arial" w:hAnsi="Arial"/>
                <w:sz w:val="18"/>
                <w:szCs w:val="18"/>
                <w:color w:val="auto"/>
                <w:w w:val="90"/>
              </w:rPr>
              <w:t>means the Electronic Transactions Act (As Revised) of the Cayman Islands and any statutory amendment or</w:t>
            </w: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re-enactment thereof;</w:t>
            </w:r>
          </w:p>
        </w:tc>
      </w:tr>
      <w:tr>
        <w:trPr>
          <w:trHeight w:val="418"/>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“electronic record”</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has the meaning given to it in the Electronic Transactions Act and any amendment thereto or re-enactments</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8"/>
              </w:rPr>
              <w:t>thereof for the time being in force and includes every other law incorporated therewith or substituted</w:t>
            </w: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therefor;</w:t>
            </w:r>
          </w:p>
        </w:tc>
      </w:tr>
      <w:tr>
        <w:trPr>
          <w:trHeight w:val="432"/>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w w:val="93"/>
              </w:rPr>
              <w:t>“Memorandum of Association”</w:t>
            </w:r>
          </w:p>
        </w:tc>
        <w:tc>
          <w:tcPr>
            <w:tcW w:w="7940" w:type="dxa"/>
            <w:vAlign w:val="bottom"/>
          </w:tcPr>
          <w:p>
            <w:pPr>
              <w:ind w:left="80"/>
              <w:spacing w:after="0"/>
              <w:rPr>
                <w:sz w:val="20"/>
                <w:szCs w:val="20"/>
                <w:color w:val="auto"/>
              </w:rPr>
            </w:pPr>
            <w:r>
              <w:rPr>
                <w:rFonts w:ascii="Arial" w:cs="Arial" w:eastAsia="Arial" w:hAnsi="Arial"/>
                <w:sz w:val="18"/>
                <w:szCs w:val="18"/>
                <w:color w:val="auto"/>
                <w:w w:val="96"/>
              </w:rPr>
              <w:t>means the memorandum of association of the Company, as amended or substituted from time to time;</w:t>
            </w:r>
          </w:p>
        </w:tc>
      </w:tr>
      <w:tr>
        <w:trPr>
          <w:trHeight w:val="432"/>
        </w:trPr>
        <w:tc>
          <w:tcPr>
            <w:tcW w:w="3300" w:type="dxa"/>
            <w:vAlign w:val="bottom"/>
          </w:tcPr>
          <w:p>
            <w:pPr>
              <w:ind w:left="800"/>
              <w:spacing w:after="0"/>
              <w:rPr>
                <w:sz w:val="20"/>
                <w:szCs w:val="20"/>
                <w:color w:val="auto"/>
              </w:rPr>
            </w:pPr>
            <w:r>
              <w:rPr>
                <w:rFonts w:ascii="Arial" w:cs="Arial" w:eastAsia="Arial" w:hAnsi="Arial"/>
                <w:sz w:val="18"/>
                <w:szCs w:val="18"/>
                <w:b w:val="1"/>
                <w:bCs w:val="1"/>
                <w:color w:val="auto"/>
              </w:rPr>
              <w:t>“Ordinary Resolution”</w:t>
            </w:r>
          </w:p>
        </w:tc>
        <w:tc>
          <w:tcPr>
            <w:tcW w:w="7940" w:type="dxa"/>
            <w:vAlign w:val="bottom"/>
          </w:tcPr>
          <w:p>
            <w:pPr>
              <w:ind w:left="80"/>
              <w:spacing w:after="0"/>
              <w:rPr>
                <w:sz w:val="20"/>
                <w:szCs w:val="20"/>
                <w:color w:val="auto"/>
              </w:rPr>
            </w:pPr>
            <w:r>
              <w:rPr>
                <w:rFonts w:ascii="Arial" w:cs="Arial" w:eastAsia="Arial" w:hAnsi="Arial"/>
                <w:sz w:val="18"/>
                <w:szCs w:val="18"/>
                <w:color w:val="auto"/>
              </w:rPr>
              <w:t>means a resolution:</w:t>
            </w: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(a)  passed by a simple majority of the votes cast by such Shareholders as, being entitled to do so, vote in</w:t>
            </w:r>
          </w:p>
        </w:tc>
      </w:tr>
      <w:tr>
        <w:trPr>
          <w:trHeight w:val="216"/>
        </w:trPr>
        <w:tc>
          <w:tcPr>
            <w:tcW w:w="330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w w:val="92"/>
              </w:rPr>
              <w:t>person or, where proxies are allowed, by proxy or, in the case of corporations, by their duly authorized</w:t>
            </w:r>
          </w:p>
        </w:tc>
      </w:tr>
      <w:tr>
        <w:trPr>
          <w:trHeight w:val="230"/>
        </w:trPr>
        <w:tc>
          <w:tcPr>
            <w:tcW w:w="3300" w:type="dxa"/>
            <w:vAlign w:val="bottom"/>
          </w:tcPr>
          <w:p>
            <w:pPr>
              <w:spacing w:after="0"/>
              <w:rPr>
                <w:sz w:val="20"/>
                <w:szCs w:val="20"/>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w w:val="98"/>
              </w:rPr>
              <w:t>representatives, at a general meeting of the Company held in accordance with these Articles; or</w:t>
            </w: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(b)  approved in writing by all of the Shareholders entitled to vote at a general meeting of the Company in</w:t>
            </w:r>
          </w:p>
        </w:tc>
      </w:tr>
      <w:tr>
        <w:trPr>
          <w:trHeight w:val="216"/>
        </w:trPr>
        <w:tc>
          <w:tcPr>
            <w:tcW w:w="330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w w:val="92"/>
              </w:rPr>
              <w:t>one or more instruments each signed by one or more of the Shareholders and the effective date of the</w:t>
            </w:r>
          </w:p>
        </w:tc>
      </w:tr>
      <w:tr>
        <w:trPr>
          <w:trHeight w:val="216"/>
        </w:trPr>
        <w:tc>
          <w:tcPr>
            <w:tcW w:w="330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w w:val="91"/>
              </w:rPr>
              <w:t>resolution so adopted shall be the date on which the instrument, or the last of such instruments, if more</w:t>
            </w:r>
          </w:p>
        </w:tc>
      </w:tr>
      <w:tr>
        <w:trPr>
          <w:trHeight w:val="230"/>
        </w:trPr>
        <w:tc>
          <w:tcPr>
            <w:tcW w:w="3300" w:type="dxa"/>
            <w:vAlign w:val="bottom"/>
          </w:tcPr>
          <w:p>
            <w:pPr>
              <w:spacing w:after="0"/>
              <w:rPr>
                <w:sz w:val="20"/>
                <w:szCs w:val="20"/>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than one, is executed;</w:t>
            </w:r>
          </w:p>
        </w:tc>
      </w:tr>
      <w:tr>
        <w:trPr>
          <w:trHeight w:val="682"/>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31" w:right="33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“Ordinary Share”</w:t>
            </w:r>
          </w:p>
        </w:tc>
        <w:tc>
          <w:tcPr>
            <w:tcW w:w="8400" w:type="dxa"/>
            <w:vAlign w:val="bottom"/>
          </w:tcPr>
          <w:p>
            <w:pPr>
              <w:ind w:left="540"/>
              <w:spacing w:after="0"/>
              <w:rPr>
                <w:sz w:val="20"/>
                <w:szCs w:val="20"/>
                <w:color w:val="auto"/>
              </w:rPr>
            </w:pPr>
            <w:r>
              <w:rPr>
                <w:rFonts w:ascii="Arial" w:cs="Arial" w:eastAsia="Arial" w:hAnsi="Arial"/>
                <w:sz w:val="18"/>
                <w:szCs w:val="18"/>
                <w:color w:val="auto"/>
              </w:rPr>
              <w:t>means a Class A Ordinary Share or a Class B Ordinary Share;</w:t>
            </w:r>
          </w:p>
        </w:tc>
      </w:tr>
      <w:tr>
        <w:trPr>
          <w:trHeight w:val="432"/>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“paid up”</w:t>
            </w:r>
          </w:p>
        </w:tc>
        <w:tc>
          <w:tcPr>
            <w:tcW w:w="8400" w:type="dxa"/>
            <w:vAlign w:val="bottom"/>
          </w:tcPr>
          <w:p>
            <w:pPr>
              <w:ind w:left="540"/>
              <w:spacing w:after="0"/>
              <w:rPr>
                <w:sz w:val="20"/>
                <w:szCs w:val="20"/>
                <w:color w:val="auto"/>
              </w:rPr>
            </w:pPr>
            <w:r>
              <w:rPr>
                <w:rFonts w:ascii="Arial" w:cs="Arial" w:eastAsia="Arial" w:hAnsi="Arial"/>
                <w:sz w:val="18"/>
                <w:szCs w:val="18"/>
                <w:color w:val="auto"/>
                <w:w w:val="93"/>
              </w:rPr>
              <w:t>means paid up as to the par value in respect of the issue of any Shares and includes credited as paid up;</w:t>
            </w:r>
          </w:p>
        </w:tc>
      </w:tr>
      <w:tr>
        <w:trPr>
          <w:trHeight w:val="418"/>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“Person”</w:t>
            </w:r>
          </w:p>
        </w:tc>
        <w:tc>
          <w:tcPr>
            <w:tcW w:w="8400" w:type="dxa"/>
            <w:vAlign w:val="bottom"/>
          </w:tcPr>
          <w:p>
            <w:pPr>
              <w:ind w:left="540"/>
              <w:spacing w:after="0"/>
              <w:rPr>
                <w:sz w:val="20"/>
                <w:szCs w:val="20"/>
                <w:color w:val="auto"/>
              </w:rPr>
            </w:pPr>
            <w:r>
              <w:rPr>
                <w:rFonts w:ascii="Arial" w:cs="Arial" w:eastAsia="Arial" w:hAnsi="Arial"/>
                <w:sz w:val="18"/>
                <w:szCs w:val="18"/>
                <w:color w:val="auto"/>
                <w:w w:val="91"/>
              </w:rPr>
              <w:t>means any natural person, firm, company, joint venture, partnership, corporation, association or other entity</w:t>
            </w:r>
          </w:p>
        </w:tc>
      </w:tr>
      <w:tr>
        <w:trPr>
          <w:trHeight w:val="230"/>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rPr>
              <w:t>(whether or not having a separate legal personality) or any of them as the context so requires;</w:t>
            </w:r>
          </w:p>
        </w:tc>
      </w:tr>
      <w:tr>
        <w:trPr>
          <w:trHeight w:val="418"/>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“Present”</w:t>
            </w:r>
          </w:p>
        </w:tc>
        <w:tc>
          <w:tcPr>
            <w:tcW w:w="8400" w:type="dxa"/>
            <w:vAlign w:val="bottom"/>
          </w:tcPr>
          <w:p>
            <w:pPr>
              <w:ind w:left="540"/>
              <w:spacing w:after="0"/>
              <w:rPr>
                <w:sz w:val="20"/>
                <w:szCs w:val="20"/>
                <w:color w:val="auto"/>
              </w:rPr>
            </w:pPr>
            <w:r>
              <w:rPr>
                <w:rFonts w:ascii="Arial" w:cs="Arial" w:eastAsia="Arial" w:hAnsi="Arial"/>
                <w:sz w:val="18"/>
                <w:szCs w:val="18"/>
                <w:color w:val="auto"/>
                <w:w w:val="88"/>
              </w:rPr>
              <w:t>means in respect of any Person, such Person’s presence at a general meeting of Shareholders (or any meeting</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2"/>
              </w:rPr>
              <w:t>of the holders of any Class of Shares), which may be satisfied by means of such Person or, if a corporation</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2"/>
              </w:rPr>
              <w:t>or other non-natural Person, its duly authorized representative (or, in the case of any Shareholder, a proxy</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8"/>
              </w:rPr>
              <w:t>which has been validly appointed by such Shareholder in accordance with these Articles), being: (a)</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6"/>
              </w:rPr>
              <w:t>physically present at the venue specified in the notice convening the meeting; or (b) in the case of any</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4"/>
              </w:rPr>
              <w:t>meeting at which Communication Facilities are permitted in accordance with these Articles, including any</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7"/>
              </w:rPr>
              <w:t>Virtual Meeting, connected by means of the use of such Communication Facilities in accordance with</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6"/>
              </w:rPr>
              <w:t>procedures specified in the notice convening such general meeting; and “Presence” shall be construed</w:t>
            </w:r>
          </w:p>
        </w:tc>
      </w:tr>
      <w:tr>
        <w:trPr>
          <w:trHeight w:val="230"/>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rPr>
              <w:t>accordingly;</w:t>
            </w:r>
          </w:p>
        </w:tc>
      </w:tr>
      <w:tr>
        <w:trPr>
          <w:trHeight w:val="432"/>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“Register”</w:t>
            </w:r>
          </w:p>
        </w:tc>
        <w:tc>
          <w:tcPr>
            <w:tcW w:w="8400" w:type="dxa"/>
            <w:vAlign w:val="bottom"/>
          </w:tcPr>
          <w:p>
            <w:pPr>
              <w:ind w:left="540"/>
              <w:spacing w:after="0"/>
              <w:rPr>
                <w:sz w:val="20"/>
                <w:szCs w:val="20"/>
                <w:color w:val="auto"/>
              </w:rPr>
            </w:pPr>
            <w:r>
              <w:rPr>
                <w:rFonts w:ascii="Arial" w:cs="Arial" w:eastAsia="Arial" w:hAnsi="Arial"/>
                <w:sz w:val="18"/>
                <w:szCs w:val="18"/>
                <w:color w:val="auto"/>
                <w:w w:val="99"/>
              </w:rPr>
              <w:t>means the register of Members of the Company maintained in accordance with the Companies Act;</w:t>
            </w:r>
          </w:p>
        </w:tc>
      </w:tr>
      <w:tr>
        <w:trPr>
          <w:trHeight w:val="432"/>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“Registered Office”</w:t>
            </w:r>
          </w:p>
        </w:tc>
        <w:tc>
          <w:tcPr>
            <w:tcW w:w="8400" w:type="dxa"/>
            <w:vAlign w:val="bottom"/>
          </w:tcPr>
          <w:p>
            <w:pPr>
              <w:ind w:left="540"/>
              <w:spacing w:after="0"/>
              <w:rPr>
                <w:sz w:val="20"/>
                <w:szCs w:val="20"/>
                <w:color w:val="auto"/>
              </w:rPr>
            </w:pPr>
            <w:r>
              <w:rPr>
                <w:rFonts w:ascii="Arial" w:cs="Arial" w:eastAsia="Arial" w:hAnsi="Arial"/>
                <w:sz w:val="18"/>
                <w:szCs w:val="18"/>
                <w:color w:val="auto"/>
              </w:rPr>
              <w:t>means the registered office of the Company as required by the Companies Act;</w:t>
            </w:r>
          </w:p>
        </w:tc>
      </w:tr>
      <w:tr>
        <w:trPr>
          <w:trHeight w:val="432"/>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“Seal”</w:t>
            </w:r>
          </w:p>
        </w:tc>
        <w:tc>
          <w:tcPr>
            <w:tcW w:w="8400" w:type="dxa"/>
            <w:vAlign w:val="bottom"/>
          </w:tcPr>
          <w:p>
            <w:pPr>
              <w:ind w:left="540"/>
              <w:spacing w:after="0"/>
              <w:rPr>
                <w:sz w:val="20"/>
                <w:szCs w:val="20"/>
                <w:color w:val="auto"/>
              </w:rPr>
            </w:pPr>
            <w:r>
              <w:rPr>
                <w:rFonts w:ascii="Arial" w:cs="Arial" w:eastAsia="Arial" w:hAnsi="Arial"/>
                <w:sz w:val="18"/>
                <w:szCs w:val="18"/>
                <w:color w:val="auto"/>
              </w:rPr>
              <w:t>means the common seal of the Company (if adopted) including any facsimile thereof;</w:t>
            </w:r>
          </w:p>
        </w:tc>
      </w:tr>
      <w:tr>
        <w:trPr>
          <w:trHeight w:val="432"/>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“Secretary”</w:t>
            </w:r>
          </w:p>
        </w:tc>
        <w:tc>
          <w:tcPr>
            <w:tcW w:w="8400" w:type="dxa"/>
            <w:vAlign w:val="bottom"/>
          </w:tcPr>
          <w:p>
            <w:pPr>
              <w:ind w:left="540"/>
              <w:spacing w:after="0"/>
              <w:rPr>
                <w:sz w:val="20"/>
                <w:szCs w:val="20"/>
                <w:color w:val="auto"/>
              </w:rPr>
            </w:pPr>
            <w:r>
              <w:rPr>
                <w:rFonts w:ascii="Arial" w:cs="Arial" w:eastAsia="Arial" w:hAnsi="Arial"/>
                <w:sz w:val="18"/>
                <w:szCs w:val="18"/>
                <w:color w:val="auto"/>
                <w:w w:val="91"/>
              </w:rPr>
              <w:t>means any Person appointed by the Directors to perform any of the duties of the secretary of the Company;</w:t>
            </w:r>
          </w:p>
        </w:tc>
      </w:tr>
      <w:tr>
        <w:trPr>
          <w:trHeight w:val="418"/>
        </w:trPr>
        <w:tc>
          <w:tcPr>
            <w:tcW w:w="2840" w:type="dxa"/>
            <w:vAlign w:val="bottom"/>
          </w:tcPr>
          <w:p>
            <w:pPr>
              <w:ind w:left="800"/>
              <w:spacing w:after="0"/>
              <w:rPr>
                <w:sz w:val="20"/>
                <w:szCs w:val="20"/>
                <w:color w:val="auto"/>
              </w:rPr>
            </w:pPr>
            <w:r>
              <w:rPr>
                <w:rFonts w:ascii="Arial" w:cs="Arial" w:eastAsia="Arial" w:hAnsi="Arial"/>
                <w:sz w:val="18"/>
                <w:szCs w:val="18"/>
                <w:b w:val="1"/>
                <w:bCs w:val="1"/>
                <w:color w:val="auto"/>
              </w:rPr>
              <w:t>“Securities Act”</w:t>
            </w:r>
          </w:p>
        </w:tc>
        <w:tc>
          <w:tcPr>
            <w:tcW w:w="8400" w:type="dxa"/>
            <w:vAlign w:val="bottom"/>
          </w:tcPr>
          <w:p>
            <w:pPr>
              <w:ind w:left="540"/>
              <w:spacing w:after="0"/>
              <w:rPr>
                <w:sz w:val="20"/>
                <w:szCs w:val="20"/>
                <w:color w:val="auto"/>
              </w:rPr>
            </w:pPr>
            <w:r>
              <w:rPr>
                <w:rFonts w:ascii="Arial" w:cs="Arial" w:eastAsia="Arial" w:hAnsi="Arial"/>
                <w:sz w:val="18"/>
                <w:szCs w:val="18"/>
                <w:color w:val="auto"/>
                <w:w w:val="90"/>
              </w:rPr>
              <w:t>means the Securities Act of 1933 of the United States of America, as amended, or any similar federal statute</w:t>
            </w:r>
          </w:p>
        </w:tc>
      </w:tr>
      <w:tr>
        <w:trPr>
          <w:trHeight w:val="230"/>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Arial" w:cs="Arial" w:eastAsia="Arial" w:hAnsi="Arial"/>
                <w:sz w:val="18"/>
                <w:szCs w:val="18"/>
                <w:color w:val="auto"/>
                <w:w w:val="93"/>
              </w:rPr>
              <w:t>and the rules and regulations of the Commission thereunder, all as the same shall be in effect at the time;</w:t>
            </w:r>
          </w:p>
        </w:tc>
      </w:tr>
      <w:tr>
        <w:trPr>
          <w:trHeight w:val="682"/>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31" w:right="33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“Share”</w:t>
            </w:r>
          </w:p>
        </w:tc>
        <w:tc>
          <w:tcPr>
            <w:tcW w:w="8040" w:type="dxa"/>
            <w:vAlign w:val="bottom"/>
          </w:tcPr>
          <w:p>
            <w:pPr>
              <w:ind w:left="180"/>
              <w:spacing w:after="0"/>
              <w:rPr>
                <w:sz w:val="20"/>
                <w:szCs w:val="20"/>
                <w:color w:val="auto"/>
              </w:rPr>
            </w:pPr>
            <w:r>
              <w:rPr>
                <w:rFonts w:ascii="Arial" w:cs="Arial" w:eastAsia="Arial" w:hAnsi="Arial"/>
                <w:sz w:val="18"/>
                <w:szCs w:val="18"/>
                <w:color w:val="auto"/>
                <w:w w:val="91"/>
              </w:rPr>
              <w:t>means a share in the share capital of the Company. All references to “Shares” herein shall be deemed to be</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w w:val="94"/>
              </w:rPr>
              <w:t>Shares of any or all Classes as the context may require. For the avoidance of doubt in these Articles the</w:t>
            </w:r>
          </w:p>
        </w:tc>
      </w:tr>
      <w:tr>
        <w:trPr>
          <w:trHeight w:val="230"/>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expression “Share” shall include a fraction of a Share;</w:t>
            </w:r>
          </w:p>
        </w:tc>
      </w:tr>
      <w:tr>
        <w:trPr>
          <w:trHeight w:val="432"/>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w w:val="99"/>
              </w:rPr>
              <w:t>“Shareholder” or “Member”</w:t>
            </w:r>
          </w:p>
        </w:tc>
        <w:tc>
          <w:tcPr>
            <w:tcW w:w="8040" w:type="dxa"/>
            <w:vAlign w:val="bottom"/>
          </w:tcPr>
          <w:p>
            <w:pPr>
              <w:ind w:left="180"/>
              <w:spacing w:after="0"/>
              <w:rPr>
                <w:sz w:val="20"/>
                <w:szCs w:val="20"/>
                <w:color w:val="auto"/>
              </w:rPr>
            </w:pPr>
            <w:r>
              <w:rPr>
                <w:rFonts w:ascii="Arial" w:cs="Arial" w:eastAsia="Arial" w:hAnsi="Arial"/>
                <w:sz w:val="18"/>
                <w:szCs w:val="18"/>
                <w:color w:val="auto"/>
              </w:rPr>
              <w:t>means a Person who is registered as the holder of one or more Shares in the Register;</w:t>
            </w:r>
          </w:p>
        </w:tc>
      </w:tr>
      <w:tr>
        <w:trPr>
          <w:trHeight w:val="432"/>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“Share Premium Account”</w:t>
            </w:r>
          </w:p>
        </w:tc>
        <w:tc>
          <w:tcPr>
            <w:tcW w:w="8040" w:type="dxa"/>
            <w:vAlign w:val="bottom"/>
          </w:tcPr>
          <w:p>
            <w:pPr>
              <w:ind w:left="180"/>
              <w:spacing w:after="0"/>
              <w:rPr>
                <w:sz w:val="20"/>
                <w:szCs w:val="20"/>
                <w:color w:val="auto"/>
              </w:rPr>
            </w:pPr>
            <w:r>
              <w:rPr>
                <w:rFonts w:ascii="Arial" w:cs="Arial" w:eastAsia="Arial" w:hAnsi="Arial"/>
                <w:sz w:val="18"/>
                <w:szCs w:val="18"/>
                <w:color w:val="auto"/>
                <w:w w:val="93"/>
              </w:rPr>
              <w:t>means the share premium account established in accordance with these Articles and the Companies Act;</w:t>
            </w:r>
          </w:p>
        </w:tc>
      </w:tr>
      <w:tr>
        <w:trPr>
          <w:trHeight w:val="418"/>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“signed”</w:t>
            </w:r>
          </w:p>
        </w:tc>
        <w:tc>
          <w:tcPr>
            <w:tcW w:w="8040" w:type="dxa"/>
            <w:vAlign w:val="bottom"/>
          </w:tcPr>
          <w:p>
            <w:pPr>
              <w:ind w:left="180"/>
              <w:spacing w:after="0"/>
              <w:rPr>
                <w:sz w:val="20"/>
                <w:szCs w:val="20"/>
                <w:color w:val="auto"/>
              </w:rPr>
            </w:pPr>
            <w:r>
              <w:rPr>
                <w:rFonts w:ascii="Arial" w:cs="Arial" w:eastAsia="Arial" w:hAnsi="Arial"/>
                <w:sz w:val="18"/>
                <w:szCs w:val="18"/>
                <w:color w:val="auto"/>
                <w:w w:val="94"/>
              </w:rPr>
              <w:t>means bearing a signature or representation of a signature affixed by mechanical means or an electronic</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w w:val="94"/>
              </w:rPr>
              <w:t>symbol or process attached to or logically associated with an electronic communication and executed or</w:t>
            </w:r>
          </w:p>
        </w:tc>
      </w:tr>
      <w:tr>
        <w:trPr>
          <w:trHeight w:val="230"/>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adopted by a Person with the intent to sign the electronic communication;</w:t>
            </w:r>
          </w:p>
        </w:tc>
      </w:tr>
      <w:tr>
        <w:trPr>
          <w:trHeight w:val="418"/>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“Special Resolution”</w:t>
            </w:r>
          </w:p>
        </w:tc>
        <w:tc>
          <w:tcPr>
            <w:tcW w:w="8040" w:type="dxa"/>
            <w:vAlign w:val="bottom"/>
          </w:tcPr>
          <w:p>
            <w:pPr>
              <w:ind w:left="180"/>
              <w:spacing w:after="0"/>
              <w:rPr>
                <w:sz w:val="20"/>
                <w:szCs w:val="20"/>
                <w:color w:val="auto"/>
              </w:rPr>
            </w:pPr>
            <w:r>
              <w:rPr>
                <w:rFonts w:ascii="Arial" w:cs="Arial" w:eastAsia="Arial" w:hAnsi="Arial"/>
                <w:sz w:val="18"/>
                <w:szCs w:val="18"/>
                <w:color w:val="auto"/>
                <w:w w:val="99"/>
              </w:rPr>
              <w:t>means a special resolution of the Company passed in accordance with the Companies Act, being a</w:t>
            </w:r>
          </w:p>
        </w:tc>
      </w:tr>
      <w:tr>
        <w:trPr>
          <w:trHeight w:val="230"/>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resolution:</w:t>
            </w:r>
          </w:p>
        </w:tc>
      </w:tr>
      <w:tr>
        <w:trPr>
          <w:trHeight w:val="418"/>
        </w:trPr>
        <w:tc>
          <w:tcPr>
            <w:tcW w:w="3200" w:type="dxa"/>
            <w:vAlign w:val="bottom"/>
          </w:tcPr>
          <w:p>
            <w:pPr>
              <w:spacing w:after="0"/>
              <w:rPr>
                <w:sz w:val="24"/>
                <w:szCs w:val="24"/>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w w:val="89"/>
              </w:rPr>
              <w:t>(a)  passed by not less than two-thirds of the votes cast by such Shareholders as, being entitled to do so, vote</w:t>
            </w:r>
          </w:p>
        </w:tc>
      </w:tr>
      <w:tr>
        <w:trPr>
          <w:trHeight w:val="216"/>
        </w:trPr>
        <w:tc>
          <w:tcPr>
            <w:tcW w:w="320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rPr>
              <w:t>in person or, where proxies are allowed, by proxy or, in the case of corporations, by their duly</w:t>
            </w:r>
          </w:p>
        </w:tc>
      </w:tr>
      <w:tr>
        <w:trPr>
          <w:trHeight w:val="216"/>
        </w:trPr>
        <w:tc>
          <w:tcPr>
            <w:tcW w:w="320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w w:val="99"/>
              </w:rPr>
              <w:t>authorized representatives, at a general meeting of the Company of which notice specifying the</w:t>
            </w:r>
          </w:p>
        </w:tc>
      </w:tr>
      <w:tr>
        <w:trPr>
          <w:trHeight w:val="230"/>
        </w:trPr>
        <w:tc>
          <w:tcPr>
            <w:tcW w:w="3200" w:type="dxa"/>
            <w:vAlign w:val="bottom"/>
          </w:tcPr>
          <w:p>
            <w:pPr>
              <w:spacing w:after="0"/>
              <w:rPr>
                <w:sz w:val="20"/>
                <w:szCs w:val="20"/>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rPr>
              <w:t>intention to propose the resolution as a special resolution has been duly given; or</w:t>
            </w:r>
          </w:p>
        </w:tc>
      </w:tr>
      <w:tr>
        <w:trPr>
          <w:trHeight w:val="418"/>
        </w:trPr>
        <w:tc>
          <w:tcPr>
            <w:tcW w:w="3200" w:type="dxa"/>
            <w:vAlign w:val="bottom"/>
          </w:tcPr>
          <w:p>
            <w:pPr>
              <w:spacing w:after="0"/>
              <w:rPr>
                <w:sz w:val="24"/>
                <w:szCs w:val="24"/>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w w:val="93"/>
              </w:rPr>
              <w:t>(b)  approved in writing by all of the Shareholders entitled to vote at a general meeting of the Company in</w:t>
            </w:r>
          </w:p>
        </w:tc>
      </w:tr>
      <w:tr>
        <w:trPr>
          <w:trHeight w:val="216"/>
        </w:trPr>
        <w:tc>
          <w:tcPr>
            <w:tcW w:w="320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w w:val="92"/>
              </w:rPr>
              <w:t>one or more instruments each signed by one or more of the Shareholders and the effective date of the</w:t>
            </w:r>
          </w:p>
        </w:tc>
      </w:tr>
      <w:tr>
        <w:trPr>
          <w:trHeight w:val="216"/>
        </w:trPr>
        <w:tc>
          <w:tcPr>
            <w:tcW w:w="320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w w:val="90"/>
              </w:rPr>
              <w:t>special resolution so adopted shall be the date on which the instrument or the last of such instruments, if</w:t>
            </w:r>
          </w:p>
        </w:tc>
      </w:tr>
      <w:tr>
        <w:trPr>
          <w:trHeight w:val="230"/>
        </w:trPr>
        <w:tc>
          <w:tcPr>
            <w:tcW w:w="3200" w:type="dxa"/>
            <w:vAlign w:val="bottom"/>
          </w:tcPr>
          <w:p>
            <w:pPr>
              <w:spacing w:after="0"/>
              <w:rPr>
                <w:sz w:val="20"/>
                <w:szCs w:val="20"/>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rPr>
              <w:t>more than one, is executed;</w:t>
            </w:r>
          </w:p>
        </w:tc>
      </w:tr>
      <w:tr>
        <w:trPr>
          <w:trHeight w:val="432"/>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“Treasury Share”</w:t>
            </w:r>
          </w:p>
        </w:tc>
        <w:tc>
          <w:tcPr>
            <w:tcW w:w="8040" w:type="dxa"/>
            <w:vAlign w:val="bottom"/>
          </w:tcPr>
          <w:p>
            <w:pPr>
              <w:ind w:left="180"/>
              <w:spacing w:after="0"/>
              <w:rPr>
                <w:sz w:val="20"/>
                <w:szCs w:val="20"/>
                <w:color w:val="auto"/>
              </w:rPr>
            </w:pPr>
            <w:r>
              <w:rPr>
                <w:rFonts w:ascii="Arial" w:cs="Arial" w:eastAsia="Arial" w:hAnsi="Arial"/>
                <w:sz w:val="18"/>
                <w:szCs w:val="18"/>
                <w:color w:val="auto"/>
                <w:w w:val="90"/>
              </w:rPr>
              <w:t>means a Share held in the name of the Company as a treasury share in accordance with the Companies Act;</w:t>
            </w:r>
          </w:p>
        </w:tc>
      </w:tr>
      <w:tr>
        <w:trPr>
          <w:trHeight w:val="418"/>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“United States”</w:t>
            </w:r>
          </w:p>
        </w:tc>
        <w:tc>
          <w:tcPr>
            <w:tcW w:w="8040" w:type="dxa"/>
            <w:vAlign w:val="bottom"/>
          </w:tcPr>
          <w:p>
            <w:pPr>
              <w:ind w:left="180"/>
              <w:spacing w:after="0"/>
              <w:rPr>
                <w:sz w:val="20"/>
                <w:szCs w:val="20"/>
                <w:color w:val="auto"/>
              </w:rPr>
            </w:pPr>
            <w:r>
              <w:rPr>
                <w:rFonts w:ascii="Arial" w:cs="Arial" w:eastAsia="Arial" w:hAnsi="Arial"/>
                <w:sz w:val="18"/>
                <w:szCs w:val="18"/>
                <w:color w:val="auto"/>
                <w:w w:val="93"/>
              </w:rPr>
              <w:t>means the United States of America, its territories, its possessions and all areas subject to its jurisdiction;</w:t>
            </w:r>
          </w:p>
        </w:tc>
      </w:tr>
      <w:tr>
        <w:trPr>
          <w:trHeight w:val="230"/>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and</w:t>
            </w:r>
          </w:p>
        </w:tc>
      </w:tr>
      <w:tr>
        <w:trPr>
          <w:trHeight w:val="418"/>
        </w:trPr>
        <w:tc>
          <w:tcPr>
            <w:tcW w:w="3200" w:type="dxa"/>
            <w:vAlign w:val="bottom"/>
          </w:tcPr>
          <w:p>
            <w:pPr>
              <w:ind w:left="800"/>
              <w:spacing w:after="0"/>
              <w:rPr>
                <w:sz w:val="20"/>
                <w:szCs w:val="20"/>
                <w:color w:val="auto"/>
              </w:rPr>
            </w:pPr>
            <w:r>
              <w:rPr>
                <w:rFonts w:ascii="Arial" w:cs="Arial" w:eastAsia="Arial" w:hAnsi="Arial"/>
                <w:sz w:val="18"/>
                <w:szCs w:val="18"/>
                <w:b w:val="1"/>
                <w:bCs w:val="1"/>
                <w:color w:val="auto"/>
              </w:rPr>
              <w:t>“Virtual Meeting”</w:t>
            </w:r>
          </w:p>
        </w:tc>
        <w:tc>
          <w:tcPr>
            <w:tcW w:w="8040" w:type="dxa"/>
            <w:vAlign w:val="bottom"/>
          </w:tcPr>
          <w:p>
            <w:pPr>
              <w:ind w:left="180"/>
              <w:spacing w:after="0"/>
              <w:rPr>
                <w:sz w:val="20"/>
                <w:szCs w:val="20"/>
                <w:color w:val="auto"/>
              </w:rPr>
            </w:pPr>
            <w:r>
              <w:rPr>
                <w:rFonts w:ascii="Arial" w:cs="Arial" w:eastAsia="Arial" w:hAnsi="Arial"/>
                <w:sz w:val="18"/>
                <w:szCs w:val="18"/>
                <w:color w:val="auto"/>
                <w:w w:val="93"/>
              </w:rPr>
              <w:t>means any general meeting of the Shareholders (or any meeting of the holders of any Class of Shares) at</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w w:val="93"/>
              </w:rPr>
              <w:t>which the Shareholders (and any other permitted participants of such meeting, including without limitation</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the chairman of the meeting and any Directors) are permitted to be Present solely by means of</w:t>
            </w:r>
          </w:p>
        </w:tc>
      </w:tr>
      <w:tr>
        <w:trPr>
          <w:trHeight w:val="230"/>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Communication Facilities.</w:t>
            </w:r>
          </w:p>
        </w:tc>
      </w:tr>
      <w:tr>
        <w:trPr>
          <w:trHeight w:val="682"/>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31" w:right="339" w:bottom="1440" w:gutter="0" w:footer="0" w:header="0"/>
        </w:sectPr>
      </w:pPr>
    </w:p>
    <w:bookmarkStart w:id="214" w:name="page215"/>
    <w:bookmarkEnd w:id="214"/>
    <w:p>
      <w:pPr>
        <w:ind w:left="652" w:hanging="652"/>
        <w:spacing w:after="0"/>
        <w:tabs>
          <w:tab w:leader="none" w:pos="6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any Person as the context may require;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7"/>
          <w:szCs w:val="17"/>
          <w:color w:val="auto"/>
        </w:rPr>
      </w:pPr>
      <w:r>
        <w:rPr>
          <w:rFonts w:ascii="Arial" w:cs="Arial" w:eastAsia="Arial" w:hAnsi="Arial"/>
          <w:sz w:val="17"/>
          <w:szCs w:val="17"/>
          <w:color w:val="auto"/>
        </w:rPr>
        <w:t>reference to a dollar or dollars (or US$) and to a cent or cents is reference to dollars and cents of the United States of America;</w:t>
      </w:r>
    </w:p>
    <w:p>
      <w:pPr>
        <w:spacing w:after="0" w:line="236" w:lineRule="exact"/>
        <w:rPr>
          <w:rFonts w:ascii="Arial" w:cs="Arial" w:eastAsia="Arial" w:hAnsi="Arial"/>
          <w:sz w:val="17"/>
          <w:szCs w:val="17"/>
          <w:color w:val="auto"/>
        </w:rPr>
      </w:pPr>
    </w:p>
    <w:p>
      <w:pPr>
        <w:ind w:left="1292" w:hanging="644"/>
        <w:spacing w:after="0"/>
        <w:tabs>
          <w:tab w:leader="none" w:pos="1292" w:val="left"/>
        </w:tabs>
        <w:numPr>
          <w:ilvl w:val="1"/>
          <w:numId w:val="213"/>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re-enactment thereof for the time being in force;</w:t>
      </w:r>
    </w:p>
    <w:p>
      <w:pPr>
        <w:spacing w:after="0" w:line="236"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70" w:lineRule="exact"/>
        <w:rPr>
          <w:rFonts w:ascii="Arial" w:cs="Arial" w:eastAsia="Arial" w:hAnsi="Arial"/>
          <w:sz w:val="18"/>
          <w:szCs w:val="18"/>
          <w:color w:val="auto"/>
        </w:rPr>
      </w:pPr>
    </w:p>
    <w:p>
      <w:pPr>
        <w:jc w:val="both"/>
        <w:ind w:left="1292" w:right="160" w:hanging="644"/>
        <w:spacing w:after="0" w:line="263" w:lineRule="auto"/>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requirements as to delivery under the Articles include delivery in the form of an electronic record or an electronic communication;</w:t>
      </w:r>
    </w:p>
    <w:p>
      <w:pPr>
        <w:spacing w:after="0" w:line="248" w:lineRule="exact"/>
        <w:rPr>
          <w:rFonts w:ascii="Arial" w:cs="Arial" w:eastAsia="Arial" w:hAnsi="Arial"/>
          <w:sz w:val="16"/>
          <w:szCs w:val="16"/>
          <w:color w:val="auto"/>
        </w:rPr>
      </w:pPr>
    </w:p>
    <w:p>
      <w:pPr>
        <w:ind w:left="1292" w:right="240" w:hanging="644"/>
        <w:spacing w:after="0" w:line="277" w:lineRule="auto"/>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225"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Companies Act shall, if not inconsistent with the subject or context, bear the same meaning in these Articles.</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5" w:right="359" w:bottom="1440" w:gutter="0" w:footer="0" w:header="0"/>
        </w:sectPr>
      </w:pPr>
    </w:p>
    <w:bookmarkStart w:id="215" w:name="page216"/>
    <w:bookmarkEnd w:id="215"/>
    <w:p>
      <w:pPr>
        <w:jc w:val="center"/>
        <w:ind w:right="-91"/>
        <w:spacing w:after="0"/>
        <w:rPr>
          <w:sz w:val="20"/>
          <w:szCs w:val="20"/>
          <w:color w:val="auto"/>
        </w:rPr>
      </w:pPr>
      <w:r>
        <w:rPr>
          <w:rFonts w:ascii="Arial" w:cs="Arial" w:eastAsia="Arial" w:hAnsi="Arial"/>
          <w:sz w:val="18"/>
          <w:szCs w:val="18"/>
          <w:b w:val="1"/>
          <w:bCs w:val="1"/>
          <w:color w:val="auto"/>
        </w:rPr>
        <w:t>PRELIMINARY</w:t>
      </w:r>
    </w:p>
    <w:p>
      <w:pPr>
        <w:spacing w:after="0" w:line="229" w:lineRule="exact"/>
        <w:rPr>
          <w:sz w:val="20"/>
          <w:szCs w:val="20"/>
          <w:color w:val="auto"/>
        </w:rPr>
      </w:pPr>
    </w:p>
    <w:p>
      <w:pPr>
        <w:ind w:left="652" w:hanging="652"/>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business of the Company may be conducted as the Directors see fit.</w:t>
      </w:r>
    </w:p>
    <w:p>
      <w:pPr>
        <w:spacing w:after="0" w:line="225" w:lineRule="exact"/>
        <w:rPr>
          <w:rFonts w:ascii="Arial" w:cs="Arial" w:eastAsia="Arial" w:hAnsi="Arial"/>
          <w:sz w:val="18"/>
          <w:szCs w:val="18"/>
          <w:color w:val="auto"/>
        </w:rPr>
      </w:pPr>
    </w:p>
    <w:p>
      <w:pPr>
        <w:ind w:left="652" w:right="240" w:hanging="652"/>
        <w:spacing w:after="0" w:line="263"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83" w:lineRule="exact"/>
        <w:rPr>
          <w:rFonts w:ascii="Arial" w:cs="Arial" w:eastAsia="Arial" w:hAnsi="Arial"/>
          <w:sz w:val="18"/>
          <w:szCs w:val="18"/>
          <w:color w:val="auto"/>
        </w:rPr>
      </w:pPr>
    </w:p>
    <w:p>
      <w:pPr>
        <w:ind w:left="652" w:right="60" w:hanging="652"/>
        <w:spacing w:after="0" w:line="263"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83"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652" w:right="180" w:hanging="652"/>
        <w:spacing w:after="0" w:line="277" w:lineRule="auto"/>
        <w:tabs>
          <w:tab w:leader="none" w:pos="6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70" w:lineRule="exact"/>
        <w:rPr>
          <w:rFonts w:ascii="Arial" w:cs="Arial" w:eastAsia="Arial" w:hAnsi="Arial"/>
          <w:sz w:val="18"/>
          <w:szCs w:val="18"/>
          <w:color w:val="auto"/>
        </w:rPr>
      </w:pPr>
    </w:p>
    <w:p>
      <w:pPr>
        <w:ind w:left="1292" w:right="40" w:hanging="644"/>
        <w:spacing w:after="0" w:line="263" w:lineRule="auto"/>
        <w:tabs>
          <w:tab w:leader="none" w:pos="12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83" w:lineRule="exact"/>
        <w:rPr>
          <w:rFonts w:ascii="Arial" w:cs="Arial" w:eastAsia="Arial" w:hAnsi="Arial"/>
          <w:sz w:val="18"/>
          <w:szCs w:val="18"/>
          <w:color w:val="auto"/>
        </w:rPr>
      </w:pPr>
    </w:p>
    <w:p>
      <w:pPr>
        <w:ind w:left="1292" w:right="60" w:hanging="644"/>
        <w:spacing w:after="0" w:line="257" w:lineRule="auto"/>
        <w:tabs>
          <w:tab w:leader="none" w:pos="12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7" w:lineRule="exact"/>
        <w:rPr>
          <w:rFonts w:ascii="Arial" w:cs="Arial" w:eastAsia="Arial" w:hAnsi="Arial"/>
          <w:sz w:val="18"/>
          <w:szCs w:val="18"/>
          <w:color w:val="auto"/>
        </w:rPr>
      </w:pPr>
    </w:p>
    <w:p>
      <w:pPr>
        <w:ind w:left="1292" w:hanging="644"/>
        <w:spacing w:after="0"/>
        <w:tabs>
          <w:tab w:leader="none" w:pos="12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grant options with respect to Shares and issue warrants or similar instruments with respect thereto.</w:t>
      </w:r>
    </w:p>
    <w:p>
      <w:pPr>
        <w:spacing w:after="0" w:line="225" w:lineRule="exact"/>
        <w:rPr>
          <w:rFonts w:ascii="Arial" w:cs="Arial" w:eastAsia="Arial" w:hAnsi="Arial"/>
          <w:sz w:val="18"/>
          <w:szCs w:val="18"/>
          <w:color w:val="auto"/>
        </w:rPr>
      </w:pPr>
    </w:p>
    <w:p>
      <w:pPr>
        <w:ind w:left="652" w:hanging="652"/>
        <w:spacing w:after="0" w:line="270" w:lineRule="auto"/>
        <w:tabs>
          <w:tab w:leader="none" w:pos="65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18,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0"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designation of such series, the number of preferred shares to constitute such series and the subscription price thereof if different from the par value thereof;</w:t>
      </w:r>
    </w:p>
    <w:p>
      <w:pPr>
        <w:spacing w:after="0" w:line="38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904" w:right="439" w:bottom="1440" w:gutter="0" w:footer="0" w:header="0"/>
        </w:sectPr>
      </w:pPr>
    </w:p>
    <w:bookmarkStart w:id="216" w:name="page217"/>
    <w:bookmarkEnd w:id="216"/>
    <w:p>
      <w:pPr>
        <w:ind w:left="644" w:right="120" w:hanging="644"/>
        <w:spacing w:after="0" w:line="277"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have voting rights, in addition to any voting rights provided by law, and, if so, the terms of such voting rights, which may be general or limited;</w:t>
      </w:r>
    </w:p>
    <w:p>
      <w:pPr>
        <w:spacing w:after="0" w:line="170"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83" w:lineRule="exact"/>
        <w:rPr>
          <w:rFonts w:ascii="Arial" w:cs="Arial" w:eastAsia="Arial" w:hAnsi="Arial"/>
          <w:sz w:val="18"/>
          <w:szCs w:val="18"/>
          <w:color w:val="auto"/>
        </w:rPr>
      </w:pPr>
    </w:p>
    <w:p>
      <w:pPr>
        <w:ind w:left="644" w:right="700" w:hanging="644"/>
        <w:spacing w:after="0" w:line="277"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subject to redemption by the Company, and, if so, the times, prices and other conditions of such redemption;</w:t>
      </w:r>
    </w:p>
    <w:p>
      <w:pPr>
        <w:spacing w:after="0" w:line="170" w:lineRule="exact"/>
        <w:rPr>
          <w:rFonts w:ascii="Arial" w:cs="Arial" w:eastAsia="Arial" w:hAnsi="Arial"/>
          <w:sz w:val="18"/>
          <w:szCs w:val="18"/>
          <w:color w:val="auto"/>
        </w:rPr>
      </w:pPr>
    </w:p>
    <w:p>
      <w:pPr>
        <w:ind w:left="644" w:right="300" w:hanging="644"/>
        <w:spacing w:after="0" w:line="311" w:lineRule="auto"/>
        <w:tabs>
          <w:tab w:leader="none" w:pos="64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48" w:lineRule="exact"/>
        <w:rPr>
          <w:rFonts w:ascii="Arial" w:cs="Arial" w:eastAsia="Arial" w:hAnsi="Arial"/>
          <w:sz w:val="16"/>
          <w:szCs w:val="16"/>
          <w:color w:val="auto"/>
        </w:rPr>
      </w:pPr>
    </w:p>
    <w:p>
      <w:pPr>
        <w:ind w:left="644" w:right="60" w:hanging="644"/>
        <w:spacing w:after="0" w:line="286" w:lineRule="auto"/>
        <w:tabs>
          <w:tab w:leader="none" w:pos="64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65" w:lineRule="exact"/>
        <w:rPr>
          <w:rFonts w:ascii="Arial" w:cs="Arial" w:eastAsia="Arial" w:hAnsi="Arial"/>
          <w:sz w:val="17"/>
          <w:szCs w:val="17"/>
          <w:color w:val="auto"/>
        </w:rPr>
      </w:pPr>
    </w:p>
    <w:p>
      <w:pPr>
        <w:ind w:left="644" w:right="60" w:hanging="644"/>
        <w:spacing w:after="0" w:line="263"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83"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83" w:lineRule="exact"/>
        <w:rPr>
          <w:rFonts w:ascii="Arial" w:cs="Arial" w:eastAsia="Arial" w:hAnsi="Arial"/>
          <w:sz w:val="18"/>
          <w:szCs w:val="18"/>
          <w:color w:val="auto"/>
        </w:rPr>
      </w:pPr>
    </w:p>
    <w:p>
      <w:pPr>
        <w:ind w:left="644" w:right="600" w:hanging="644"/>
        <w:spacing w:after="0" w:line="342" w:lineRule="auto"/>
        <w:tabs>
          <w:tab w:leader="none" w:pos="64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23" w:lineRule="exact"/>
        <w:rPr>
          <w:rFonts w:ascii="Arial" w:cs="Arial" w:eastAsia="Arial" w:hAnsi="Arial"/>
          <w:sz w:val="16"/>
          <w:szCs w:val="16"/>
          <w:color w:val="auto"/>
        </w:rPr>
      </w:pPr>
    </w:p>
    <w:p>
      <w:pPr>
        <w:ind w:left="644" w:right="640" w:hanging="644"/>
        <w:spacing w:after="0" w:line="277" w:lineRule="auto"/>
        <w:tabs>
          <w:tab w:leader="none" w:pos="6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 and any qualifications, limitations and restrictions thereof;</w:t>
      </w:r>
    </w:p>
    <w:p>
      <w:pPr>
        <w:spacing w:after="0" w:line="170"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and, for such purposes, the Directors may reserve an appropriate number of Shares for the time being unissued. The Company shall not issue Shares to bearer.</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7" w:name="page218"/>
    <w:bookmarkEnd w:id="217"/>
    <w:p>
      <w:pPr>
        <w:ind w:left="652" w:right="60" w:hanging="652"/>
        <w:spacing w:after="0" w:line="259" w:lineRule="auto"/>
        <w:tabs>
          <w:tab w:leader="none" w:pos="6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may insofar as may be permitted by law, pay a commission to any Person in consideration of his or her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Directors may refuse to accept any application for Shares, and may accept any application in whole or in part, for any reason or for no reason.</w:t>
      </w:r>
    </w:p>
    <w:p>
      <w:pPr>
        <w:spacing w:after="0" w:line="244" w:lineRule="exact"/>
        <w:rPr>
          <w:rFonts w:ascii="Arial" w:cs="Arial" w:eastAsia="Arial" w:hAnsi="Arial"/>
          <w:sz w:val="16"/>
          <w:szCs w:val="16"/>
          <w:color w:val="auto"/>
        </w:rPr>
      </w:pPr>
    </w:p>
    <w:p>
      <w:pPr>
        <w:ind w:left="2832"/>
        <w:spacing w:after="0"/>
        <w:rPr>
          <w:rFonts w:ascii="Arial" w:cs="Arial" w:eastAsia="Arial" w:hAnsi="Arial"/>
          <w:sz w:val="16"/>
          <w:szCs w:val="16"/>
          <w:color w:val="auto"/>
        </w:rPr>
      </w:pPr>
      <w:r>
        <w:rPr>
          <w:rFonts w:ascii="Arial" w:cs="Arial" w:eastAsia="Arial" w:hAnsi="Arial"/>
          <w:sz w:val="18"/>
          <w:szCs w:val="18"/>
          <w:b w:val="1"/>
          <w:bCs w:val="1"/>
          <w:color w:val="auto"/>
        </w:rPr>
        <w:t>CLASS A ORDINARY SHARES AND CLASS B ORDINARY SHARES</w:t>
      </w:r>
    </w:p>
    <w:p>
      <w:pPr>
        <w:spacing w:after="0" w:line="229" w:lineRule="exact"/>
        <w:rPr>
          <w:rFonts w:ascii="Arial" w:cs="Arial" w:eastAsia="Arial" w:hAnsi="Arial"/>
          <w:sz w:val="16"/>
          <w:szCs w:val="16"/>
          <w:color w:val="auto"/>
        </w:rPr>
      </w:pPr>
    </w:p>
    <w:p>
      <w:pPr>
        <w:jc w:val="both"/>
        <w:ind w:left="652" w:right="40" w:hanging="652"/>
        <w:spacing w:after="0" w:line="259" w:lineRule="auto"/>
        <w:tabs>
          <w:tab w:leader="none" w:pos="6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Holders of Class A Ordinary Shares and Class B Ordinary Shares shall at all times vote together as one class on all resolutions submitted to a vote by the Members. Each Class A Ordinary Share shall entitle the holder thereof to sixty (60) votes on all matters subject to vote at general meetings of the Company, and each Class B Ordinary Share shall entitle the holder thereof to one (1) vote on all matters subject to vote at general meetings of the Company.</w:t>
      </w:r>
    </w:p>
    <w:p>
      <w:pPr>
        <w:spacing w:after="0" w:line="186" w:lineRule="exact"/>
        <w:rPr>
          <w:rFonts w:ascii="Arial" w:cs="Arial" w:eastAsia="Arial" w:hAnsi="Arial"/>
          <w:sz w:val="18"/>
          <w:szCs w:val="18"/>
          <w:color w:val="auto"/>
        </w:rPr>
      </w:pPr>
    </w:p>
    <w:p>
      <w:pPr>
        <w:ind w:left="652" w:right="400" w:hanging="652"/>
        <w:spacing w:after="0" w:line="263" w:lineRule="auto"/>
        <w:tabs>
          <w:tab w:leader="none" w:pos="6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Class A Ordinary Share is convertible into one (1) Class B Ordinary Share at any time at the option of the holder thereof. The right to convert shall be exercisable by the holder of the Class A Ordinary Share delivering a written notice to the Company that such holder elects to convert a specified number of Class A Ordinary Shares into Class B Ordinary Shares.</w:t>
      </w:r>
    </w:p>
    <w:p>
      <w:pPr>
        <w:spacing w:after="0" w:line="183" w:lineRule="exact"/>
        <w:rPr>
          <w:rFonts w:ascii="Arial" w:cs="Arial" w:eastAsia="Arial" w:hAnsi="Arial"/>
          <w:sz w:val="18"/>
          <w:szCs w:val="18"/>
          <w:color w:val="auto"/>
        </w:rPr>
      </w:pPr>
    </w:p>
    <w:p>
      <w:pPr>
        <w:ind w:left="652" w:hanging="652"/>
        <w:spacing w:after="0" w:line="293" w:lineRule="auto"/>
        <w:tabs>
          <w:tab w:leader="none" w:pos="65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conversion of Class A Ordinary Shares into Class B Ordinary Shares pursuant to these Articles shall be effected by means of the re-designation of each relevant Class A Ordinary Share as a Class B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A Ordinary Shares as Class B Ordinary Shares at the relevant time.</w:t>
      </w:r>
    </w:p>
    <w:p>
      <w:pPr>
        <w:spacing w:after="0" w:line="164" w:lineRule="exact"/>
        <w:rPr>
          <w:rFonts w:ascii="Arial" w:cs="Arial" w:eastAsia="Arial" w:hAnsi="Arial"/>
          <w:sz w:val="16"/>
          <w:szCs w:val="16"/>
          <w:color w:val="auto"/>
        </w:rPr>
      </w:pPr>
    </w:p>
    <w:p>
      <w:pPr>
        <w:ind w:left="652" w:right="100" w:hanging="652"/>
        <w:spacing w:after="0" w:line="277" w:lineRule="auto"/>
        <w:tabs>
          <w:tab w:leader="none" w:pos="6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number of Class A Ordinary Shares held by a holder thereof will be automatically and immediately converted into an equal number of Class B Ordinary Shares upon the occurrence of any of the following:</w:t>
      </w:r>
    </w:p>
    <w:p>
      <w:pPr>
        <w:spacing w:after="0" w:line="170" w:lineRule="exact"/>
        <w:rPr>
          <w:rFonts w:ascii="Arial" w:cs="Arial" w:eastAsia="Arial" w:hAnsi="Arial"/>
          <w:sz w:val="18"/>
          <w:szCs w:val="18"/>
          <w:color w:val="auto"/>
        </w:rPr>
      </w:pPr>
    </w:p>
    <w:p>
      <w:pPr>
        <w:ind w:left="1292" w:right="20" w:hanging="644"/>
        <w:spacing w:after="0" w:line="259" w:lineRule="auto"/>
        <w:tabs>
          <w:tab w:leader="none" w:pos="129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direct or indirect sale, transfer, assignment or disposition of such number of Class A Ordinary Shares by the holder thereof or the direct or indirect transfer or assignment of the voting power attached to such number of Class A Ordinary Shares through voting proxy or otherwise to any person that is neither an Affiliate of such holder nor another holder of Class A Ordinary Shares or an Affiliate of such another holder;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8" w:name="page219"/>
    <w:bookmarkEnd w:id="218"/>
    <w:p>
      <w:pPr>
        <w:ind w:left="1292" w:right="20"/>
        <w:spacing w:after="0" w:line="293" w:lineRule="auto"/>
        <w:rPr>
          <w:sz w:val="20"/>
          <w:szCs w:val="20"/>
          <w:color w:val="auto"/>
        </w:rPr>
      </w:pPr>
      <w:r>
        <w:rPr>
          <w:rFonts w:ascii="Arial" w:cs="Arial" w:eastAsia="Arial" w:hAnsi="Arial"/>
          <w:sz w:val="16"/>
          <w:szCs w:val="16"/>
          <w:color w:val="auto"/>
        </w:rPr>
        <w:t>for the avoidance of doubt, the creation of any pledge, charge, encumbrance or other third party right of whatever description on any of Class A Ordinary Shares to secure contractual or legal obligations shall not be deemed as a sale, transfer, assignment or disposition under this clause (a) unless and until any such pledge, charge, encumbrance or other third party right is enforced and results in a third party, which is neither an Affiliate of such holder nor another holder of Class A Ordinary Shares or an Affiliate of such another holder, holding directly or indirectly beneficial ownership or voting power through voting proxy or otherwise to the related Class A Ordinary Shares, in which case all the related Class A Ordinary Shares shall be automatically converted into the same number of Class B Ordinary Shares; or</w:t>
      </w:r>
    </w:p>
    <w:p>
      <w:pPr>
        <w:spacing w:after="0" w:line="164" w:lineRule="exact"/>
        <w:rPr>
          <w:sz w:val="20"/>
          <w:szCs w:val="20"/>
          <w:color w:val="auto"/>
        </w:rPr>
      </w:pPr>
    </w:p>
    <w:p>
      <w:pPr>
        <w:ind w:left="1292" w:right="20" w:hanging="644"/>
        <w:spacing w:after="0" w:line="257" w:lineRule="auto"/>
        <w:tabs>
          <w:tab w:leader="none" w:pos="129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that is an entity to any person that is neither an Affiliate of such holder nor another holder of Class A Ordinary Shares or an Affiliate of such holder;</w:t>
      </w:r>
    </w:p>
    <w:p>
      <w:pPr>
        <w:spacing w:after="0" w:line="187" w:lineRule="exact"/>
        <w:rPr>
          <w:rFonts w:ascii="Arial" w:cs="Arial" w:eastAsia="Arial" w:hAnsi="Arial"/>
          <w:sz w:val="18"/>
          <w:szCs w:val="18"/>
          <w:color w:val="auto"/>
        </w:rPr>
      </w:pPr>
    </w:p>
    <w:p>
      <w:pPr>
        <w:ind w:left="1292"/>
        <w:spacing w:after="0" w:line="293" w:lineRule="auto"/>
        <w:rPr>
          <w:rFonts w:ascii="Arial" w:cs="Arial" w:eastAsia="Arial" w:hAnsi="Arial"/>
          <w:sz w:val="18"/>
          <w:szCs w:val="18"/>
          <w:color w:val="auto"/>
        </w:rPr>
      </w:pPr>
      <w:r>
        <w:rPr>
          <w:rFonts w:ascii="Arial" w:cs="Arial" w:eastAsia="Arial" w:hAnsi="Arial"/>
          <w:sz w:val="16"/>
          <w:szCs w:val="16"/>
          <w:color w:val="auto"/>
        </w:rPr>
        <w:t>for the avoidance of doubt, the creation of any pledge, charge, encumbrance or other third party right of whatever description on the issued and outstanding voting securities or the assets of a holder of Class A Ordinary Shares that is an entity to secure contractual or legal obligations shall not be deemed as a sale, transfer, assignment or disposition under this clause (b) unless and until any such pledge, charge, encumbrance or other third party right is enforced and results in a third party, which is neither an Affiliate of such holder nor another holder of Class A Ordinary Shares or an Affiliate of such another holder, holding directly or indirectly beneficial ownership or voting power through voting proxy or otherwise to the related issued and outstanding voting securities or the assets.</w:t>
      </w:r>
    </w:p>
    <w:p>
      <w:pPr>
        <w:spacing w:after="0" w:line="164" w:lineRule="exact"/>
        <w:rPr>
          <w:rFonts w:ascii="Arial" w:cs="Arial" w:eastAsia="Arial" w:hAnsi="Arial"/>
          <w:sz w:val="18"/>
          <w:szCs w:val="18"/>
          <w:color w:val="auto"/>
        </w:rPr>
      </w:pPr>
    </w:p>
    <w:p>
      <w:pPr>
        <w:ind w:left="652" w:hanging="652"/>
        <w:spacing w:after="0"/>
        <w:tabs>
          <w:tab w:leader="none" w:pos="6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Class B Ordinary Shares are not convertible into Class A Ordinary Shares under any circumstances.</w:t>
      </w:r>
    </w:p>
    <w:p>
      <w:pPr>
        <w:spacing w:after="0" w:line="225" w:lineRule="exact"/>
        <w:rPr>
          <w:rFonts w:ascii="Arial" w:cs="Arial" w:eastAsia="Arial" w:hAnsi="Arial"/>
          <w:sz w:val="18"/>
          <w:szCs w:val="18"/>
          <w:color w:val="auto"/>
        </w:rPr>
      </w:pPr>
    </w:p>
    <w:p>
      <w:pPr>
        <w:ind w:left="652" w:right="580" w:hanging="652"/>
        <w:spacing w:after="0" w:line="342" w:lineRule="auto"/>
        <w:tabs>
          <w:tab w:leader="none" w:pos="65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Save and except for voting rights and conversion rights as set out in Articles 12 to 16 (inclusive), Class A Ordinary Shares and the Class B Ordinary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another and shall have the same rights, preferences, privileges and restrictions.</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MODIFICATION OF RIGHTS</w:t>
      </w:r>
    </w:p>
    <w:p>
      <w:pPr>
        <w:spacing w:after="0" w:line="229" w:lineRule="exact"/>
        <w:rPr>
          <w:sz w:val="20"/>
          <w:szCs w:val="20"/>
          <w:color w:val="auto"/>
        </w:rPr>
      </w:pPr>
    </w:p>
    <w:p>
      <w:pPr>
        <w:ind w:left="652" w:right="80" w:hanging="652"/>
        <w:spacing w:after="0" w:line="269" w:lineRule="auto"/>
        <w:tabs>
          <w:tab w:leader="none" w:pos="65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at least two-thirds (2/3) of the issued Shares of that Class or with the sanction of an Ordinary Resolution passed at a separate meeting of the holders of the Shares of that Class. To every such separate meeting all the provisions of these Articles relating to general meetings of the Company or to the proceedings thereat shall, </w:t>
      </w:r>
      <w:r>
        <w:rPr>
          <w:rFonts w:ascii="Arial" w:cs="Arial" w:eastAsia="Arial" w:hAnsi="Arial"/>
          <w:sz w:val="17"/>
          <w:szCs w:val="17"/>
          <w:i w:val="1"/>
          <w:iCs w:val="1"/>
          <w:color w:val="auto"/>
        </w:rPr>
        <w:t>mutatis mutandis</w:t>
      </w:r>
      <w:r>
        <w:rPr>
          <w:rFonts w:ascii="Arial" w:cs="Arial" w:eastAsia="Arial" w:hAnsi="Arial"/>
          <w:sz w:val="17"/>
          <w:szCs w:val="17"/>
          <w:color w:val="auto"/>
        </w:rPr>
        <w:t>, apply, except that the necessary quorum shall be one or more Persons holding or representing by proxy at least one-third (1/3)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3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9" w:name="page220"/>
    <w:bookmarkEnd w:id="219"/>
    <w:p>
      <w:pPr>
        <w:ind w:left="652" w:right="20" w:hanging="652"/>
        <w:spacing w:after="0" w:line="275" w:lineRule="auto"/>
        <w:tabs>
          <w:tab w:leader="none" w:pos="65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CERTIFICATES</w:t>
      </w:r>
    </w:p>
    <w:p>
      <w:pPr>
        <w:spacing w:after="0" w:line="229" w:lineRule="exact"/>
        <w:rPr>
          <w:sz w:val="20"/>
          <w:szCs w:val="20"/>
          <w:color w:val="auto"/>
        </w:rPr>
      </w:pPr>
    </w:p>
    <w:p>
      <w:pPr>
        <w:ind w:left="652" w:hanging="652"/>
        <w:spacing w:after="0" w:line="273" w:lineRule="auto"/>
        <w:tabs>
          <w:tab w:leader="none" w:pos="65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77" w:lineRule="exact"/>
        <w:rPr>
          <w:rFonts w:ascii="Arial" w:cs="Arial" w:eastAsia="Arial" w:hAnsi="Arial"/>
          <w:sz w:val="17"/>
          <w:szCs w:val="17"/>
          <w:color w:val="auto"/>
        </w:rPr>
      </w:pPr>
    </w:p>
    <w:p>
      <w:pPr>
        <w:ind w:left="652" w:hanging="652"/>
        <w:spacing w:after="0"/>
        <w:tabs>
          <w:tab w:leader="none" w:pos="6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225" w:lineRule="exact"/>
        <w:rPr>
          <w:rFonts w:ascii="Arial" w:cs="Arial" w:eastAsia="Arial" w:hAnsi="Arial"/>
          <w:sz w:val="18"/>
          <w:szCs w:val="18"/>
          <w:color w:val="auto"/>
        </w:rPr>
      </w:pPr>
    </w:p>
    <w:p>
      <w:pPr>
        <w:ind w:left="652" w:right="280" w:hanging="652"/>
        <w:spacing w:after="0" w:line="263" w:lineRule="auto"/>
        <w:tabs>
          <w:tab w:leader="none" w:pos="6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83" w:lineRule="exact"/>
        <w:rPr>
          <w:rFonts w:ascii="Arial" w:cs="Arial" w:eastAsia="Arial" w:hAnsi="Arial"/>
          <w:sz w:val="18"/>
          <w:szCs w:val="18"/>
          <w:color w:val="auto"/>
        </w:rPr>
      </w:pPr>
    </w:p>
    <w:p>
      <w:pPr>
        <w:ind w:left="652" w:right="140" w:hanging="652"/>
        <w:spacing w:after="0" w:line="259" w:lineRule="auto"/>
        <w:tabs>
          <w:tab w:leader="none" w:pos="6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0" w:name="page221"/>
    <w:bookmarkEnd w:id="220"/>
    <w:p>
      <w:pPr>
        <w:ind w:left="652" w:right="500" w:hanging="652"/>
        <w:spacing w:after="0" w:line="277" w:lineRule="auto"/>
        <w:tabs>
          <w:tab w:leader="none" w:pos="6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ind w:left="652" w:right="100" w:hanging="652"/>
        <w:spacing w:after="0" w:line="257" w:lineRule="auto"/>
        <w:tabs>
          <w:tab w:leader="none" w:pos="65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8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LIEN</w:t>
      </w:r>
    </w:p>
    <w:p>
      <w:pPr>
        <w:spacing w:after="0" w:line="229" w:lineRule="exact"/>
        <w:rPr>
          <w:sz w:val="20"/>
          <w:szCs w:val="20"/>
          <w:color w:val="auto"/>
        </w:rPr>
      </w:pPr>
    </w:p>
    <w:p>
      <w:pPr>
        <w:ind w:left="652" w:right="20" w:hanging="652"/>
        <w:spacing w:after="0" w:line="255" w:lineRule="auto"/>
        <w:tabs>
          <w:tab w:leader="none" w:pos="6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him/her or his/her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92" w:lineRule="exact"/>
        <w:rPr>
          <w:rFonts w:ascii="Arial" w:cs="Arial" w:eastAsia="Arial" w:hAnsi="Arial"/>
          <w:sz w:val="18"/>
          <w:szCs w:val="18"/>
          <w:color w:val="auto"/>
        </w:rPr>
      </w:pPr>
    </w:p>
    <w:p>
      <w:pPr>
        <w:jc w:val="both"/>
        <w:ind w:left="652" w:right="100" w:hanging="652"/>
        <w:spacing w:after="0" w:line="301" w:lineRule="auto"/>
        <w:tabs>
          <w:tab w:leader="none" w:pos="65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or her death or bankruptcy.</w:t>
      </w:r>
    </w:p>
    <w:p>
      <w:pPr>
        <w:spacing w:after="0" w:line="157" w:lineRule="exact"/>
        <w:rPr>
          <w:rFonts w:ascii="Arial" w:cs="Arial" w:eastAsia="Arial" w:hAnsi="Arial"/>
          <w:sz w:val="16"/>
          <w:szCs w:val="16"/>
          <w:color w:val="auto"/>
        </w:rPr>
      </w:pPr>
    </w:p>
    <w:p>
      <w:pPr>
        <w:ind w:left="652" w:right="20" w:hanging="652"/>
        <w:spacing w:after="0" w:line="311" w:lineRule="auto"/>
        <w:tabs>
          <w:tab w:leader="none" w:pos="65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or her title to the Shares be affected by any irregularity or invalidity in the proceedings in reference to the sale.</w:t>
      </w:r>
    </w:p>
    <w:p>
      <w:pPr>
        <w:spacing w:after="0" w:line="148" w:lineRule="exact"/>
        <w:rPr>
          <w:rFonts w:ascii="Arial" w:cs="Arial" w:eastAsia="Arial" w:hAnsi="Arial"/>
          <w:sz w:val="16"/>
          <w:szCs w:val="16"/>
          <w:color w:val="auto"/>
        </w:rPr>
      </w:pPr>
    </w:p>
    <w:p>
      <w:pPr>
        <w:ind w:left="652" w:hanging="652"/>
        <w:spacing w:after="0" w:line="259" w:lineRule="auto"/>
        <w:tabs>
          <w:tab w:leader="none" w:pos="6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ind w:left="652" w:right="80" w:hanging="652"/>
        <w:spacing w:after="0" w:line="259" w:lineRule="auto"/>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1" w:name="page222"/>
    <w:bookmarkEnd w:id="221"/>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225"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83" w:lineRule="exact"/>
        <w:rPr>
          <w:rFonts w:ascii="Arial" w:cs="Arial" w:eastAsia="Arial" w:hAnsi="Arial"/>
          <w:sz w:val="18"/>
          <w:szCs w:val="18"/>
          <w:color w:val="auto"/>
        </w:rPr>
      </w:pPr>
    </w:p>
    <w:p>
      <w:pPr>
        <w:ind w:left="660" w:right="100" w:hanging="652"/>
        <w:spacing w:after="0" w:line="263"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83"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70"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OF SHARES</w:t>
      </w:r>
    </w:p>
    <w:p>
      <w:pPr>
        <w:spacing w:after="0" w:line="229" w:lineRule="exact"/>
        <w:rPr>
          <w:sz w:val="20"/>
          <w:szCs w:val="20"/>
          <w:color w:val="auto"/>
        </w:rPr>
      </w:pPr>
    </w:p>
    <w:p>
      <w:pPr>
        <w:ind w:left="660" w:right="20" w:hanging="652"/>
        <w:spacing w:after="0" w:line="263" w:lineRule="auto"/>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8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52" w:right="180" w:hanging="652"/>
        <w:spacing w:after="0" w:line="277" w:lineRule="auto"/>
        <w:tabs>
          <w:tab w:leader="none" w:pos="6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70" w:lineRule="exact"/>
        <w:rPr>
          <w:rFonts w:ascii="Arial" w:cs="Arial" w:eastAsia="Arial" w:hAnsi="Arial"/>
          <w:sz w:val="18"/>
          <w:szCs w:val="18"/>
          <w:color w:val="auto"/>
        </w:rPr>
      </w:pPr>
    </w:p>
    <w:p>
      <w:pPr>
        <w:ind w:left="652" w:right="40" w:hanging="652"/>
        <w:spacing w:after="0" w:line="286" w:lineRule="auto"/>
        <w:tabs>
          <w:tab w:leader="none" w:pos="6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or her liability shall cease if and when the Company receives payment in full of the amount unpaid on the Shares forfeited.</w:t>
      </w:r>
    </w:p>
    <w:p>
      <w:pPr>
        <w:spacing w:after="0" w:line="165" w:lineRule="exact"/>
        <w:rPr>
          <w:rFonts w:ascii="Arial" w:cs="Arial" w:eastAsia="Arial" w:hAnsi="Arial"/>
          <w:sz w:val="17"/>
          <w:szCs w:val="17"/>
          <w:color w:val="auto"/>
        </w:rPr>
      </w:pPr>
    </w:p>
    <w:p>
      <w:pPr>
        <w:ind w:left="652" w:right="480" w:hanging="652"/>
        <w:spacing w:after="0" w:line="277" w:lineRule="auto"/>
        <w:tabs>
          <w:tab w:leader="none" w:pos="6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70" w:lineRule="exact"/>
        <w:rPr>
          <w:rFonts w:ascii="Arial" w:cs="Arial" w:eastAsia="Arial" w:hAnsi="Arial"/>
          <w:sz w:val="18"/>
          <w:szCs w:val="18"/>
          <w:color w:val="auto"/>
        </w:rPr>
      </w:pPr>
    </w:p>
    <w:p>
      <w:pPr>
        <w:ind w:left="652" w:right="40" w:hanging="652"/>
        <w:spacing w:after="0" w:line="279" w:lineRule="auto"/>
        <w:tabs>
          <w:tab w:leader="none" w:pos="6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w:t>
      </w:r>
    </w:p>
    <w:p>
      <w:pPr>
        <w:spacing w:after="0" w:line="171" w:lineRule="exact"/>
        <w:rPr>
          <w:rFonts w:ascii="Arial" w:cs="Arial" w:eastAsia="Arial" w:hAnsi="Arial"/>
          <w:sz w:val="17"/>
          <w:szCs w:val="17"/>
          <w:color w:val="auto"/>
        </w:rPr>
      </w:pPr>
    </w:p>
    <w:p>
      <w:pPr>
        <w:ind w:left="652" w:right="40" w:hanging="652"/>
        <w:spacing w:after="0" w:line="263" w:lineRule="auto"/>
        <w:tabs>
          <w:tab w:leader="none" w:pos="6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652" w:hanging="652"/>
        <w:spacing w:after="0" w:line="296" w:lineRule="auto"/>
        <w:tabs>
          <w:tab w:leader="none" w:pos="65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3" w:name="page224"/>
    <w:bookmarkEnd w:id="223"/>
    <w:p>
      <w:pPr>
        <w:ind w:left="1300" w:right="620" w:hanging="1292"/>
        <w:spacing w:after="0" w:line="277" w:lineRule="auto"/>
        <w:tabs>
          <w:tab w:leader="none" w:pos="6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(a)The Directors may in their absolute discretion decline to register any transfer of Shares which is not fully paid up or on which the Company has a lien.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Directors may also decline to register any transfer of any Share unless:</w:t>
      </w:r>
    </w:p>
    <w:p>
      <w:pPr>
        <w:spacing w:after="0" w:line="225" w:lineRule="exact"/>
        <w:rPr>
          <w:rFonts w:ascii="Arial" w:cs="Arial" w:eastAsia="Arial" w:hAnsi="Arial"/>
          <w:sz w:val="18"/>
          <w:szCs w:val="18"/>
          <w:color w:val="auto"/>
        </w:rPr>
      </w:pPr>
    </w:p>
    <w:p>
      <w:pPr>
        <w:ind w:left="1960" w:right="60" w:hanging="656"/>
        <w:spacing w:after="0" w:line="308" w:lineRule="auto"/>
        <w:tabs>
          <w:tab w:leader="none" w:pos="196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does not exceed four;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70" w:lineRule="exact"/>
        <w:rPr>
          <w:rFonts w:ascii="Arial" w:cs="Arial" w:eastAsia="Arial" w:hAnsi="Arial"/>
          <w:sz w:val="18"/>
          <w:szCs w:val="18"/>
          <w:color w:val="auto"/>
        </w:rPr>
      </w:pPr>
    </w:p>
    <w:p>
      <w:pPr>
        <w:ind w:left="660" w:right="160" w:hanging="652"/>
        <w:spacing w:after="0" w:line="301" w:lineRule="auto"/>
        <w:tabs>
          <w:tab w:leader="none" w:pos="6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57" w:lineRule="exact"/>
        <w:rPr>
          <w:rFonts w:ascii="Arial" w:cs="Arial" w:eastAsia="Arial" w:hAnsi="Arial"/>
          <w:sz w:val="16"/>
          <w:szCs w:val="16"/>
          <w:color w:val="auto"/>
        </w:rPr>
      </w:pPr>
    </w:p>
    <w:p>
      <w:pPr>
        <w:ind w:left="660" w:right="320" w:hanging="652"/>
        <w:spacing w:after="0" w:line="263"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right="200" w:hanging="652"/>
        <w:spacing w:after="0" w:line="286"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65" w:lineRule="exact"/>
        <w:rPr>
          <w:rFonts w:ascii="Arial" w:cs="Arial" w:eastAsia="Arial" w:hAnsi="Arial"/>
          <w:sz w:val="17"/>
          <w:szCs w:val="17"/>
          <w:color w:val="auto"/>
        </w:rPr>
      </w:pPr>
    </w:p>
    <w:p>
      <w:pPr>
        <w:ind w:left="660" w:hanging="652"/>
        <w:spacing w:after="0" w:line="257"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7" w:lineRule="exact"/>
        <w:rPr>
          <w:rFonts w:ascii="Arial" w:cs="Arial" w:eastAsia="Arial" w:hAnsi="Arial"/>
          <w:sz w:val="18"/>
          <w:szCs w:val="18"/>
          <w:color w:val="auto"/>
        </w:rPr>
      </w:pPr>
    </w:p>
    <w:p>
      <w:pPr>
        <w:ind w:left="660" w:right="60" w:hanging="652"/>
        <w:spacing w:after="0" w:line="293" w:lineRule="auto"/>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herself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center"/>
        <w:ind w:right="-11"/>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29" w:lineRule="exact"/>
        <w:rPr>
          <w:sz w:val="20"/>
          <w:szCs w:val="20"/>
          <w:color w:val="auto"/>
        </w:rPr>
      </w:pPr>
    </w:p>
    <w:p>
      <w:pPr>
        <w:ind w:left="652" w:right="980" w:hanging="652"/>
        <w:spacing w:after="0" w:line="308" w:lineRule="auto"/>
        <w:tabs>
          <w:tab w:leader="none" w:pos="65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Company shall be entitled to charge a fee not exceeding one U.S. dollar (US$1.00) on the registration of every probate, letters of administration, certificate of death or marriage, power of attorney, notice in lieu of destrings, or other instrument.</w:t>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ALTERATION OF SHARE CAPITAL</w:t>
      </w:r>
    </w:p>
    <w:p>
      <w:pPr>
        <w:spacing w:after="0" w:line="229" w:lineRule="exact"/>
        <w:rPr>
          <w:sz w:val="20"/>
          <w:szCs w:val="20"/>
          <w:color w:val="auto"/>
        </w:rPr>
      </w:pPr>
    </w:p>
    <w:p>
      <w:pPr>
        <w:ind w:left="652" w:hanging="652"/>
        <w:spacing w:after="0" w:line="277" w:lineRule="auto"/>
        <w:tabs>
          <w:tab w:leader="none" w:pos="6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increase the share capital by such sum, to be divided into Shares of such Classes and amount, as the resolution shall prescribe.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increase its share capital by new Shares of such amount as it thinks expedient;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225" w:lineRule="exact"/>
        <w:rPr>
          <w:rFonts w:ascii="Arial" w:cs="Arial" w:eastAsia="Arial" w:hAnsi="Arial"/>
          <w:sz w:val="18"/>
          <w:szCs w:val="18"/>
          <w:color w:val="auto"/>
        </w:rPr>
      </w:pPr>
    </w:p>
    <w:p>
      <w:pPr>
        <w:ind w:left="1292" w:right="140" w:hanging="644"/>
        <w:spacing w:after="0" w:line="263" w:lineRule="auto"/>
        <w:tabs>
          <w:tab w:leader="none" w:pos="12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83" w:lineRule="exact"/>
        <w:rPr>
          <w:rFonts w:ascii="Arial" w:cs="Arial" w:eastAsia="Arial" w:hAnsi="Arial"/>
          <w:sz w:val="18"/>
          <w:szCs w:val="18"/>
          <w:color w:val="auto"/>
        </w:rPr>
      </w:pPr>
    </w:p>
    <w:p>
      <w:pPr>
        <w:ind w:left="1292" w:right="100" w:hanging="644"/>
        <w:spacing w:after="0" w:line="277" w:lineRule="auto"/>
        <w:tabs>
          <w:tab w:leader="none" w:pos="12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70" w:lineRule="exact"/>
        <w:rPr>
          <w:rFonts w:ascii="Arial" w:cs="Arial" w:eastAsia="Arial" w:hAnsi="Arial"/>
          <w:sz w:val="18"/>
          <w:szCs w:val="18"/>
          <w:color w:val="auto"/>
        </w:rPr>
      </w:pPr>
    </w:p>
    <w:p>
      <w:pPr>
        <w:ind w:left="652" w:right="80" w:hanging="652"/>
        <w:spacing w:after="0" w:line="277" w:lineRule="auto"/>
        <w:tabs>
          <w:tab w:leader="none" w:pos="6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authorized by the Companies Act.</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REDEMPTION, PURCHASE AND SURRENDER OF SHARES</w:t>
      </w:r>
    </w:p>
    <w:p>
      <w:pPr>
        <w:spacing w:after="0" w:line="229" w:lineRule="exact"/>
        <w:rPr>
          <w:sz w:val="20"/>
          <w:szCs w:val="20"/>
          <w:color w:val="auto"/>
        </w:rPr>
      </w:pPr>
    </w:p>
    <w:p>
      <w:pPr>
        <w:ind w:left="652" w:hanging="652"/>
        <w:spacing w:after="0"/>
        <w:tabs>
          <w:tab w:leader="none" w:pos="6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these Articles, the Company may:</w:t>
      </w:r>
    </w:p>
    <w:p>
      <w:pPr>
        <w:spacing w:after="0" w:line="225" w:lineRule="exact"/>
        <w:rPr>
          <w:rFonts w:ascii="Arial" w:cs="Arial" w:eastAsia="Arial" w:hAnsi="Arial"/>
          <w:sz w:val="18"/>
          <w:szCs w:val="18"/>
          <w:color w:val="auto"/>
        </w:rPr>
      </w:pPr>
    </w:p>
    <w:p>
      <w:pPr>
        <w:ind w:left="1292" w:right="140" w:hanging="644"/>
        <w:spacing w:after="0" w:line="263" w:lineRule="auto"/>
        <w:tabs>
          <w:tab w:leader="none" w:pos="129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83" w:lineRule="exact"/>
        <w:rPr>
          <w:rFonts w:ascii="Arial" w:cs="Arial" w:eastAsia="Arial" w:hAnsi="Arial"/>
          <w:sz w:val="18"/>
          <w:szCs w:val="18"/>
          <w:color w:val="auto"/>
        </w:rPr>
      </w:pPr>
    </w:p>
    <w:p>
      <w:pPr>
        <w:ind w:left="1292" w:right="220" w:hanging="644"/>
        <w:spacing w:after="0" w:line="277" w:lineRule="auto"/>
        <w:tabs>
          <w:tab w:leader="none" w:pos="129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and terms as have been approved by the Board or by the Members by Ordinary Resolution, or are otherwise authorized by these Articles; and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25" w:name="page226"/>
    <w:bookmarkEnd w:id="225"/>
    <w:p>
      <w:pPr>
        <w:ind w:left="1292" w:hanging="644"/>
        <w:spacing w:after="0" w:line="277" w:lineRule="auto"/>
        <w:tabs>
          <w:tab w:leader="none" w:pos="129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permitted by the Companies Act, including out of capital.</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70" w:lineRule="exact"/>
        <w:rPr>
          <w:rFonts w:ascii="Arial" w:cs="Arial" w:eastAsia="Arial" w:hAnsi="Arial"/>
          <w:sz w:val="18"/>
          <w:szCs w:val="18"/>
          <w:color w:val="auto"/>
        </w:rPr>
      </w:pPr>
    </w:p>
    <w:p>
      <w:pPr>
        <w:ind w:left="652" w:right="500" w:hanging="652"/>
        <w:spacing w:after="0" w:line="308" w:lineRule="auto"/>
        <w:tabs>
          <w:tab w:leader="none" w:pos="65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Directors may accept the surrender for no consideration of any fully paid Share.</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left="652" w:hanging="652"/>
        <w:spacing w:after="0"/>
        <w:tabs>
          <w:tab w:leader="none" w:pos="65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48" w:lineRule="exact"/>
        <w:rPr>
          <w:rFonts w:ascii="Arial" w:cs="Arial" w:eastAsia="Arial" w:hAnsi="Arial"/>
          <w:sz w:val="16"/>
          <w:szCs w:val="16"/>
          <w:color w:val="auto"/>
        </w:rPr>
      </w:pPr>
    </w:p>
    <w:p>
      <w:pPr>
        <w:ind w:left="652" w:right="500" w:hanging="652"/>
        <w:spacing w:after="0" w:line="277" w:lineRule="auto"/>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652" w:hanging="652"/>
        <w:spacing w:after="0"/>
        <w:tabs>
          <w:tab w:leader="none" w:pos="6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25" w:lineRule="exact"/>
        <w:rPr>
          <w:rFonts w:ascii="Arial" w:cs="Arial" w:eastAsia="Arial" w:hAnsi="Arial"/>
          <w:sz w:val="18"/>
          <w:szCs w:val="18"/>
          <w:color w:val="auto"/>
        </w:rPr>
      </w:pPr>
    </w:p>
    <w:p>
      <w:pPr>
        <w:ind w:left="1292" w:right="420" w:hanging="1292"/>
        <w:spacing w:after="0" w:line="263" w:lineRule="auto"/>
        <w:tabs>
          <w:tab w:leader="none" w:pos="6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225" w:lineRule="exact"/>
        <w:rPr>
          <w:rFonts w:ascii="Arial" w:cs="Arial" w:eastAsia="Arial" w:hAnsi="Arial"/>
          <w:sz w:val="18"/>
          <w:szCs w:val="18"/>
          <w:color w:val="auto"/>
        </w:rPr>
      </w:pPr>
    </w:p>
    <w:p>
      <w:pPr>
        <w:ind w:left="1292" w:right="320" w:hanging="1292"/>
        <w:spacing w:after="0" w:line="277" w:lineRule="auto"/>
        <w:tabs>
          <w:tab w:leader="none" w:pos="6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(a)Chairman or a majority of the Directors may call general meetings, and they shall on a Shareholders’ requisition forthwith proceed to convene an extraordinary general meeting of the Company.</w:t>
      </w:r>
    </w:p>
    <w:p>
      <w:pPr>
        <w:spacing w:after="0" w:line="170" w:lineRule="exact"/>
        <w:rPr>
          <w:rFonts w:ascii="Arial" w:cs="Arial" w:eastAsia="Arial" w:hAnsi="Arial"/>
          <w:sz w:val="18"/>
          <w:szCs w:val="18"/>
          <w:color w:val="auto"/>
        </w:rPr>
      </w:pPr>
    </w:p>
    <w:p>
      <w:pPr>
        <w:ind w:left="1292" w:right="140" w:hanging="644"/>
        <w:spacing w:after="0" w:line="263" w:lineRule="auto"/>
        <w:tabs>
          <w:tab w:leader="none" w:pos="12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83" w:lineRule="exact"/>
        <w:rPr>
          <w:rFonts w:ascii="Arial" w:cs="Arial" w:eastAsia="Arial" w:hAnsi="Arial"/>
          <w:sz w:val="18"/>
          <w:szCs w:val="18"/>
          <w:color w:val="auto"/>
        </w:rPr>
      </w:pPr>
    </w:p>
    <w:p>
      <w:pPr>
        <w:ind w:left="1292" w:right="40" w:hanging="644"/>
        <w:spacing w:after="0" w:line="277" w:lineRule="auto"/>
        <w:tabs>
          <w:tab w:leader="none" w:pos="12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3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6" w:name="page227"/>
    <w:bookmarkEnd w:id="226"/>
    <w:p>
      <w:pPr>
        <w:ind w:left="1292" w:right="120" w:hanging="644"/>
        <w:spacing w:after="0" w:line="257" w:lineRule="auto"/>
        <w:tabs>
          <w:tab w:leader="none" w:pos="12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forty-five (45) calendar days, the requisitionists, or any of them representing more than one-half (1/2) of the total voting rights of all of them, may themselves convene a general meeting, but any meeting so convened shall not be held after the expiration of three calendar months after the expiration of the said forty-five (45) calendar days.</w:t>
      </w:r>
    </w:p>
    <w:p>
      <w:pPr>
        <w:spacing w:after="0" w:line="187" w:lineRule="exact"/>
        <w:rPr>
          <w:rFonts w:ascii="Arial" w:cs="Arial" w:eastAsia="Arial" w:hAnsi="Arial"/>
          <w:sz w:val="18"/>
          <w:szCs w:val="18"/>
          <w:color w:val="auto"/>
        </w:rPr>
      </w:pPr>
    </w:p>
    <w:p>
      <w:pPr>
        <w:ind w:left="1292" w:right="200" w:hanging="644"/>
        <w:spacing w:after="0" w:line="277" w:lineRule="auto"/>
        <w:tabs>
          <w:tab w:leader="none" w:pos="12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ind w:left="652" w:hanging="652"/>
        <w:spacing w:after="0" w:line="255" w:lineRule="auto"/>
        <w:tabs>
          <w:tab w:leader="none" w:pos="6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least seven (7) calendar days’ notice shall be given for any general meeting. Every notice shall be exclusive of the day on which it is given or deemed to be given and of the day for which it is given and shall specify the place (except in the case of a Virtual Meeting),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92" w:lineRule="exact"/>
        <w:rPr>
          <w:rFonts w:ascii="Arial" w:cs="Arial" w:eastAsia="Arial" w:hAnsi="Arial"/>
          <w:sz w:val="18"/>
          <w:szCs w:val="18"/>
          <w:color w:val="auto"/>
        </w:rPr>
      </w:pPr>
    </w:p>
    <w:p>
      <w:pPr>
        <w:ind w:left="1292" w:hanging="644"/>
        <w:spacing w:after="0"/>
        <w:tabs>
          <w:tab w:leader="none" w:pos="12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Shareholders (or their proxies) entitled to attend and vote thereat; and</w:t>
      </w:r>
    </w:p>
    <w:p>
      <w:pPr>
        <w:spacing w:after="0" w:line="225" w:lineRule="exact"/>
        <w:rPr>
          <w:rFonts w:ascii="Arial" w:cs="Arial" w:eastAsia="Arial" w:hAnsi="Arial"/>
          <w:sz w:val="18"/>
          <w:szCs w:val="18"/>
          <w:color w:val="auto"/>
        </w:rPr>
      </w:pPr>
    </w:p>
    <w:p>
      <w:pPr>
        <w:ind w:left="1292" w:right="200" w:hanging="644"/>
        <w:spacing w:after="0" w:line="277" w:lineRule="auto"/>
        <w:tabs>
          <w:tab w:leader="none" w:pos="12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two-thirds (2/3) of the Shareholders having a right to attend and vote at the meeting and Present at the meeting.</w:t>
      </w:r>
    </w:p>
    <w:p>
      <w:pPr>
        <w:spacing w:after="0" w:line="170" w:lineRule="exact"/>
        <w:rPr>
          <w:rFonts w:ascii="Arial" w:cs="Arial" w:eastAsia="Arial" w:hAnsi="Arial"/>
          <w:sz w:val="18"/>
          <w:szCs w:val="18"/>
          <w:color w:val="auto"/>
        </w:rPr>
      </w:pPr>
    </w:p>
    <w:p>
      <w:pPr>
        <w:ind w:left="652" w:right="460" w:hanging="652"/>
        <w:spacing w:after="0" w:line="277" w:lineRule="auto"/>
        <w:tabs>
          <w:tab w:leader="none" w:pos="6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ind w:left="652" w:right="80" w:hanging="652"/>
        <w:spacing w:after="0" w:line="259" w:lineRule="auto"/>
        <w:tabs>
          <w:tab w:leader="none" w:pos="6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one-third (1/3) of all votes attaching to all Shares in issue and entitled to vote at such general meeting Present shall be a quorum for all purposes.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shall be dissolved.</w:t>
      </w:r>
    </w:p>
    <w:p>
      <w:pPr>
        <w:spacing w:after="0" w:line="225" w:lineRule="exact"/>
        <w:rPr>
          <w:rFonts w:ascii="Arial" w:cs="Arial" w:eastAsia="Arial" w:hAnsi="Arial"/>
          <w:sz w:val="18"/>
          <w:szCs w:val="18"/>
          <w:color w:val="auto"/>
        </w:rPr>
      </w:pPr>
    </w:p>
    <w:p>
      <w:pPr>
        <w:ind w:left="652" w:hanging="652"/>
        <w:spacing w:after="0" w:line="273" w:lineRule="auto"/>
        <w:tabs>
          <w:tab w:leader="none" w:pos="65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If the Directors wish to make this facility available for a specific general meeting or all general meetings of the Company, Presence at the relevant general meeting of the Company may be by means of Communication Facilities. Without limiting the generality of the foregoing, the Directors may determine that any general meeting may be held as a Virtual Meeting. The notice of any general meeting at which Communication Facilities may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7" w:name="page228"/>
    <w:bookmarkEnd w:id="227"/>
    <w:p>
      <w:pPr>
        <w:ind w:left="652" w:right="20" w:hanging="652"/>
        <w:spacing w:after="0" w:line="259" w:lineRule="auto"/>
        <w:tabs>
          <w:tab w:leader="none" w:pos="6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Chairman, if any, shall preside as chairman at every general meeting of the Company. If there is no such Chairman, or if at any general meeting he is not Present within fifteen minutes after the time appointed for holding the meeting or is unwilling to act as chairman of the meeting, any Director or Person nominated by the Directors Present at the meeting shall preside as chairman of that meeting, failing which the Shareholders Present shall choose any Person Present to be chairman of that meeting.</w:t>
      </w:r>
    </w:p>
    <w:p>
      <w:pPr>
        <w:spacing w:after="0" w:line="186" w:lineRule="exact"/>
        <w:rPr>
          <w:rFonts w:ascii="Arial" w:cs="Arial" w:eastAsia="Arial" w:hAnsi="Arial"/>
          <w:sz w:val="18"/>
          <w:szCs w:val="18"/>
          <w:color w:val="auto"/>
        </w:rPr>
      </w:pPr>
    </w:p>
    <w:p>
      <w:pPr>
        <w:ind w:left="652" w:right="320" w:hanging="652"/>
        <w:spacing w:after="0" w:line="342" w:lineRule="auto"/>
        <w:tabs>
          <w:tab w:leader="none" w:pos="6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p>
      <w:pPr>
        <w:spacing w:after="0" w:line="123"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70.1</w:t>
      </w:r>
      <w:r>
        <w:rPr>
          <w:rFonts w:ascii="Arial" w:cs="Arial" w:eastAsia="Arial" w:hAnsi="Arial"/>
          <w:sz w:val="16"/>
          <w:szCs w:val="16"/>
          <w:color w:val="auto"/>
        </w:rPr>
        <w:t>The chairman of the meeting shall be deemed to be Present at the meeting; and</w:t>
      </w:r>
    </w:p>
    <w:p>
      <w:pPr>
        <w:spacing w:after="0" w:line="225" w:lineRule="exact"/>
        <w:rPr>
          <w:rFonts w:ascii="Arial" w:cs="Arial" w:eastAsia="Arial" w:hAnsi="Arial"/>
          <w:sz w:val="16"/>
          <w:szCs w:val="16"/>
          <w:color w:val="auto"/>
        </w:rPr>
      </w:pPr>
    </w:p>
    <w:p>
      <w:pPr>
        <w:ind w:left="1292" w:hanging="648"/>
        <w:spacing w:after="0" w:line="257" w:lineRule="auto"/>
        <w:rPr>
          <w:rFonts w:ascii="Arial" w:cs="Arial" w:eastAsia="Arial" w:hAnsi="Arial"/>
          <w:sz w:val="16"/>
          <w:szCs w:val="16"/>
          <w:color w:val="auto"/>
        </w:rPr>
      </w:pPr>
      <w:r>
        <w:rPr>
          <w:rFonts w:ascii="Arial" w:cs="Arial" w:eastAsia="Arial" w:hAnsi="Arial"/>
          <w:sz w:val="18"/>
          <w:szCs w:val="18"/>
          <w:color w:val="auto"/>
        </w:rPr>
        <w:t>70.2If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7" w:lineRule="exact"/>
        <w:rPr>
          <w:rFonts w:ascii="Arial" w:cs="Arial" w:eastAsia="Arial" w:hAnsi="Arial"/>
          <w:sz w:val="16"/>
          <w:szCs w:val="16"/>
          <w:color w:val="auto"/>
        </w:rPr>
      </w:pPr>
    </w:p>
    <w:p>
      <w:pPr>
        <w:ind w:left="652" w:right="160" w:hanging="652"/>
        <w:spacing w:after="0" w:line="296" w:lineRule="auto"/>
        <w:tabs>
          <w:tab w:leader="none" w:pos="6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chairman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61" w:lineRule="exact"/>
        <w:rPr>
          <w:rFonts w:ascii="Arial" w:cs="Arial" w:eastAsia="Arial" w:hAnsi="Arial"/>
          <w:sz w:val="16"/>
          <w:szCs w:val="16"/>
          <w:color w:val="auto"/>
        </w:rPr>
      </w:pPr>
    </w:p>
    <w:p>
      <w:pPr>
        <w:ind w:left="652" w:right="360" w:hanging="652"/>
        <w:spacing w:after="0" w:line="263" w:lineRule="auto"/>
        <w:tabs>
          <w:tab w:leader="none" w:pos="6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83" w:lineRule="exact"/>
        <w:rPr>
          <w:rFonts w:ascii="Arial" w:cs="Arial" w:eastAsia="Arial" w:hAnsi="Arial"/>
          <w:sz w:val="18"/>
          <w:szCs w:val="18"/>
          <w:color w:val="auto"/>
        </w:rPr>
      </w:pPr>
    </w:p>
    <w:p>
      <w:pPr>
        <w:ind w:left="652" w:right="40" w:hanging="652"/>
        <w:spacing w:after="0" w:line="255" w:lineRule="auto"/>
        <w:tabs>
          <w:tab w:leader="none" w:pos="6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holding not less than ten percent (10%) of the votes attaching to the Shares Present,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favor of, or against, that resolution.</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8" w:name="page229"/>
    <w:bookmarkEnd w:id="228"/>
    <w:p>
      <w:pPr>
        <w:ind w:left="652" w:right="100" w:hanging="652"/>
        <w:spacing w:after="0" w:line="277" w:lineRule="auto"/>
        <w:tabs>
          <w:tab w:leader="none" w:pos="6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70" w:lineRule="exact"/>
        <w:rPr>
          <w:rFonts w:ascii="Arial" w:cs="Arial" w:eastAsia="Arial" w:hAnsi="Arial"/>
          <w:sz w:val="18"/>
          <w:szCs w:val="18"/>
          <w:color w:val="auto"/>
        </w:rPr>
      </w:pPr>
    </w:p>
    <w:p>
      <w:pPr>
        <w:ind w:left="652" w:hanging="652"/>
        <w:spacing w:after="0" w:line="263" w:lineRule="auto"/>
        <w:tabs>
          <w:tab w:leader="none" w:pos="6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83"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VOTES OF SHAREHOLDERS</w:t>
      </w:r>
    </w:p>
    <w:p>
      <w:pPr>
        <w:spacing w:after="0" w:line="229" w:lineRule="exact"/>
        <w:rPr>
          <w:sz w:val="20"/>
          <w:szCs w:val="20"/>
          <w:color w:val="auto"/>
        </w:rPr>
      </w:pPr>
    </w:p>
    <w:p>
      <w:pPr>
        <w:ind w:left="652" w:right="80" w:hanging="652"/>
        <w:spacing w:after="0" w:line="286" w:lineRule="auto"/>
        <w:tabs>
          <w:tab w:leader="none" w:pos="65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sixty (60) votes for each Class A Ordinary Share and one (1) vote for each Class B Ordinary Share of which he is the holder.</w:t>
      </w:r>
    </w:p>
    <w:p>
      <w:pPr>
        <w:spacing w:after="0" w:line="165" w:lineRule="exact"/>
        <w:rPr>
          <w:rFonts w:ascii="Arial" w:cs="Arial" w:eastAsia="Arial" w:hAnsi="Arial"/>
          <w:sz w:val="17"/>
          <w:szCs w:val="17"/>
          <w:color w:val="auto"/>
        </w:rPr>
      </w:pPr>
    </w:p>
    <w:p>
      <w:pPr>
        <w:ind w:left="652" w:hanging="652"/>
        <w:spacing w:after="0" w:line="263" w:lineRule="auto"/>
        <w:tabs>
          <w:tab w:leader="none" w:pos="6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83" w:lineRule="exact"/>
        <w:rPr>
          <w:rFonts w:ascii="Arial" w:cs="Arial" w:eastAsia="Arial" w:hAnsi="Arial"/>
          <w:sz w:val="18"/>
          <w:szCs w:val="18"/>
          <w:color w:val="auto"/>
        </w:rPr>
      </w:pPr>
    </w:p>
    <w:p>
      <w:pPr>
        <w:ind w:left="652" w:right="200" w:hanging="652"/>
        <w:spacing w:after="0" w:line="286" w:lineRule="auto"/>
        <w:tabs>
          <w:tab w:leader="none" w:pos="65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Shares carrying the right to vote that are held by a Shareholder of unsound mind, or in respect of whom an order has been made by any court having jurisdiction in lunacy, may be voted, whether on a show of hands or on a poll, by his or her committee, or other Person in the nature of a committee appointed by that court, and any such committee or other Person may vote in respect of such Shares by proxy.</w:t>
      </w:r>
    </w:p>
    <w:p>
      <w:pPr>
        <w:spacing w:after="0" w:line="165" w:lineRule="exact"/>
        <w:rPr>
          <w:rFonts w:ascii="Arial" w:cs="Arial" w:eastAsia="Arial" w:hAnsi="Arial"/>
          <w:sz w:val="17"/>
          <w:szCs w:val="17"/>
          <w:color w:val="auto"/>
        </w:rPr>
      </w:pPr>
    </w:p>
    <w:p>
      <w:pPr>
        <w:ind w:left="652" w:right="100" w:hanging="652"/>
        <w:spacing w:after="0" w:line="277" w:lineRule="auto"/>
        <w:tabs>
          <w:tab w:leader="none" w:pos="6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jc w:val="both"/>
        <w:ind w:left="652" w:right="180" w:hanging="652"/>
        <w:spacing w:after="0" w:line="259" w:lineRule="auto"/>
        <w:tabs>
          <w:tab w:leader="none" w:pos="6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Shareholder, other than a recognized clearing house (or its nominee(s)) or depositary (or its nominee(s)), may only appoint one proxy on a show of hand. The instrument appointing a proxy shall be in writing under the hand of the appointor or of his or her attorney duly authorized in writing or, if the appointor is a corporation, either under Seal or under the hand of an officer or attorney duly authorized. A proxy need not be a Shareholder.</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29" w:name="page230"/>
    <w:bookmarkEnd w:id="229"/>
    <w:p>
      <w:pPr>
        <w:ind w:left="652" w:hanging="652"/>
        <w:spacing w:after="0"/>
        <w:tabs>
          <w:tab w:leader="none" w:pos="6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225"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70" w:lineRule="exact"/>
        <w:rPr>
          <w:rFonts w:ascii="Arial" w:cs="Arial" w:eastAsia="Arial" w:hAnsi="Arial"/>
          <w:sz w:val="18"/>
          <w:szCs w:val="18"/>
          <w:color w:val="auto"/>
        </w:rPr>
      </w:pPr>
    </w:p>
    <w:p>
      <w:pPr>
        <w:ind w:left="1292" w:right="620" w:hanging="644"/>
        <w:spacing w:after="0" w:line="277" w:lineRule="auto"/>
        <w:tabs>
          <w:tab w:leader="none" w:pos="12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not less than 48 hours before the time for holding the meeting or adjourned meeting at which the person named in the instrument proposes to vote; or</w:t>
      </w:r>
    </w:p>
    <w:p>
      <w:pPr>
        <w:spacing w:after="0" w:line="170" w:lineRule="exact"/>
        <w:rPr>
          <w:rFonts w:ascii="Arial" w:cs="Arial" w:eastAsia="Arial" w:hAnsi="Arial"/>
          <w:sz w:val="18"/>
          <w:szCs w:val="18"/>
          <w:color w:val="auto"/>
        </w:rPr>
      </w:pPr>
    </w:p>
    <w:p>
      <w:pPr>
        <w:ind w:left="1292" w:right="240" w:hanging="644"/>
        <w:spacing w:after="0" w:line="277" w:lineRule="auto"/>
        <w:tabs>
          <w:tab w:leader="none" w:pos="12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70" w:lineRule="exact"/>
        <w:rPr>
          <w:rFonts w:ascii="Arial" w:cs="Arial" w:eastAsia="Arial" w:hAnsi="Arial"/>
          <w:sz w:val="18"/>
          <w:szCs w:val="18"/>
          <w:color w:val="auto"/>
        </w:rPr>
      </w:pPr>
    </w:p>
    <w:p>
      <w:pPr>
        <w:ind w:left="1292" w:right="120" w:hanging="644"/>
        <w:spacing w:after="0" w:line="277" w:lineRule="auto"/>
        <w:tabs>
          <w:tab w:leader="none" w:pos="12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70" w:lineRule="exact"/>
        <w:rPr>
          <w:sz w:val="20"/>
          <w:szCs w:val="20"/>
          <w:color w:val="auto"/>
        </w:rPr>
      </w:pPr>
    </w:p>
    <w:p>
      <w:pPr>
        <w:ind w:left="652"/>
        <w:spacing w:after="0" w:line="275" w:lineRule="auto"/>
        <w:rPr>
          <w:sz w:val="20"/>
          <w:szCs w:val="20"/>
          <w:color w:val="auto"/>
        </w:rPr>
      </w:pPr>
      <w:r>
        <w:rPr>
          <w:rFonts w:ascii="Arial" w:cs="Arial" w:eastAsia="Arial" w:hAnsi="Arial"/>
          <w:sz w:val="17"/>
          <w:szCs w:val="17"/>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or her discretion direct that an instrument of proxy shall be deemed to have been duly deposited. An instrument of proxy that is not deposited in the manner permitted shall be invalid.</w:t>
      </w:r>
    </w:p>
    <w:p>
      <w:pPr>
        <w:spacing w:after="0" w:line="176" w:lineRule="exact"/>
        <w:rPr>
          <w:sz w:val="20"/>
          <w:szCs w:val="20"/>
          <w:color w:val="auto"/>
        </w:rPr>
      </w:pPr>
    </w:p>
    <w:p>
      <w:pPr>
        <w:ind w:left="652" w:hanging="652"/>
        <w:spacing w:after="0"/>
        <w:tabs>
          <w:tab w:leader="none" w:pos="6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25" w:lineRule="exact"/>
        <w:rPr>
          <w:rFonts w:ascii="Arial" w:cs="Arial" w:eastAsia="Arial" w:hAnsi="Arial"/>
          <w:sz w:val="18"/>
          <w:szCs w:val="18"/>
          <w:color w:val="auto"/>
        </w:rPr>
      </w:pPr>
    </w:p>
    <w:p>
      <w:pPr>
        <w:ind w:left="652" w:right="60" w:hanging="652"/>
        <w:spacing w:after="0" w:line="263" w:lineRule="auto"/>
        <w:tabs>
          <w:tab w:leader="none" w:pos="6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29" w:lineRule="exact"/>
        <w:rPr>
          <w:sz w:val="20"/>
          <w:szCs w:val="20"/>
          <w:color w:val="auto"/>
        </w:rPr>
      </w:pPr>
    </w:p>
    <w:p>
      <w:pPr>
        <w:ind w:left="652" w:right="20" w:hanging="652"/>
        <w:spacing w:after="0" w:line="259" w:lineRule="auto"/>
        <w:tabs>
          <w:tab w:leader="none" w:pos="65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200" w:lineRule="exact"/>
        <w:rPr>
          <w:sz w:val="20"/>
          <w:szCs w:val="20"/>
          <w:color w:val="auto"/>
        </w:rPr>
      </w:pP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DEPOSITARY AND CLEARING HOUSES</w:t>
      </w:r>
    </w:p>
    <w:p>
      <w:pPr>
        <w:spacing w:after="0" w:line="229" w:lineRule="exact"/>
        <w:rPr>
          <w:sz w:val="20"/>
          <w:szCs w:val="20"/>
          <w:color w:val="auto"/>
        </w:rPr>
      </w:pPr>
    </w:p>
    <w:p>
      <w:pPr>
        <w:ind w:left="660" w:right="240" w:hanging="652"/>
        <w:spacing w:after="0" w:line="291"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 on a show of hands.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1300" w:right="180" w:hanging="1292"/>
        <w:spacing w:after="0" w:line="277" w:lineRule="auto"/>
        <w:tabs>
          <w:tab w:leader="none" w:pos="6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70" w:lineRule="exact"/>
        <w:rPr>
          <w:rFonts w:ascii="Arial" w:cs="Arial" w:eastAsia="Arial" w:hAnsi="Arial"/>
          <w:sz w:val="18"/>
          <w:szCs w:val="18"/>
          <w:color w:val="auto"/>
        </w:rPr>
      </w:pPr>
    </w:p>
    <w:p>
      <w:pPr>
        <w:ind w:left="1300" w:right="280" w:hanging="644"/>
        <w:spacing w:after="0" w:line="25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of Directors shall elect and appoint a Chairman by a majority of the Directors then in office, and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7"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may, by the affirmative vote of a simple majority of the Directors present and voting at a Board meeting, or the Company may by Ordinary Resolution appoint any person to be a Director.</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 Director shall hold office until the expiration of his or her term or his or her successor shall have been elected and qualified, or until his or her office is otherwise vacated.</w:t>
      </w:r>
    </w:p>
    <w:p>
      <w:pPr>
        <w:spacing w:after="0" w:line="170" w:lineRule="exact"/>
        <w:rPr>
          <w:rFonts w:ascii="Arial" w:cs="Arial" w:eastAsia="Arial" w:hAnsi="Arial"/>
          <w:sz w:val="18"/>
          <w:szCs w:val="18"/>
          <w:color w:val="auto"/>
        </w:rPr>
      </w:pPr>
    </w:p>
    <w:p>
      <w:pPr>
        <w:ind w:left="660" w:hanging="652"/>
        <w:spacing w:after="0" w:line="291" w:lineRule="auto"/>
        <w:tabs>
          <w:tab w:leader="none" w:pos="6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 Director may be removed from office by Ordinary Resolution (except with regard to the removal of the Chairman, who may only be removed from office by Special Resolution) of the Company, notwithstanding anything in these Articles or in any agreement between the Company and such Director (but without prejudice to any claim for damages under such agreement).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or her removal. A vacancy on the Board created by the removal of a Director under the previous sentence may be filled by Ordinary Resolution or by the affirmative vote of a simple majority of the remaining Directors present and voting at a Board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ind w:left="652" w:right="40" w:hanging="652"/>
        <w:spacing w:after="0" w:line="263" w:lineRule="auto"/>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83"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remuneration of the Directors may be determined by the Directors or by Ordinary Resolution.</w:t>
      </w:r>
    </w:p>
    <w:p>
      <w:pPr>
        <w:spacing w:after="0" w:line="225" w:lineRule="exact"/>
        <w:rPr>
          <w:rFonts w:ascii="Arial" w:cs="Arial" w:eastAsia="Arial" w:hAnsi="Arial"/>
          <w:sz w:val="18"/>
          <w:szCs w:val="18"/>
          <w:color w:val="auto"/>
        </w:rPr>
      </w:pPr>
    </w:p>
    <w:p>
      <w:pPr>
        <w:ind w:left="652" w:right="40" w:hanging="652"/>
        <w:spacing w:after="0" w:line="259" w:lineRule="auto"/>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ALTERNATE DIRECTOR OR PROXY</w:t>
      </w:r>
    </w:p>
    <w:p>
      <w:pPr>
        <w:spacing w:after="0" w:line="229" w:lineRule="exact"/>
        <w:rPr>
          <w:sz w:val="20"/>
          <w:szCs w:val="20"/>
          <w:color w:val="auto"/>
        </w:rPr>
      </w:pPr>
    </w:p>
    <w:p>
      <w:pPr>
        <w:ind w:left="652" w:hanging="652"/>
        <w:spacing w:after="0" w:line="270" w:lineRule="auto"/>
        <w:tabs>
          <w:tab w:leader="none" w:pos="65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Director may in writing appoint another Person to be his or her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or her is not personally present and where he or she is a Director to have a separate vote on behalf of the Director he or she is representing in addition to his or her own vote. A Director may at any time in writing revoke the appointment of an alternate appointed by him or her. Such alternate shall be deemed for all purposes to be a Director and shall not be deemed to be the agent of the Director appointing him or her. The remuneration of such alternate shall be payable out of the remuneration of the Director appointing him or her and the proportion thereof shall be agreed between them.</w:t>
      </w:r>
    </w:p>
    <w:p>
      <w:pPr>
        <w:spacing w:after="0" w:line="180" w:lineRule="exact"/>
        <w:rPr>
          <w:rFonts w:ascii="Arial" w:cs="Arial" w:eastAsia="Arial" w:hAnsi="Arial"/>
          <w:sz w:val="17"/>
          <w:szCs w:val="17"/>
          <w:color w:val="auto"/>
        </w:rPr>
      </w:pPr>
    </w:p>
    <w:p>
      <w:pPr>
        <w:ind w:left="652" w:right="160" w:hanging="652"/>
        <w:spacing w:after="0" w:line="296" w:lineRule="auto"/>
        <w:tabs>
          <w:tab w:leader="none" w:pos="65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Director may appoint any Person, whether or not a Director, to be the proxy of that Director to attend and vote on his or her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29" w:lineRule="exact"/>
        <w:rPr>
          <w:sz w:val="20"/>
          <w:szCs w:val="20"/>
          <w:color w:val="auto"/>
        </w:rPr>
      </w:pPr>
    </w:p>
    <w:p>
      <w:pPr>
        <w:ind w:left="660" w:right="200" w:hanging="652"/>
        <w:spacing w:after="0" w:line="259"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86"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members to the office of managing director upon like terms, but any such appointment shall ipso facto terminate if any managing director ceases for any cause to be a Director, or if the Company by Ordinary Resolution resolves that his or her tenure of office be terminated.</w:t>
      </w:r>
    </w:p>
    <w:p>
      <w:pPr>
        <w:spacing w:after="0" w:line="178" w:lineRule="exact"/>
        <w:rPr>
          <w:rFonts w:ascii="Arial" w:cs="Arial" w:eastAsia="Arial" w:hAnsi="Arial"/>
          <w:sz w:val="17"/>
          <w:szCs w:val="17"/>
          <w:color w:val="auto"/>
        </w:rPr>
      </w:pPr>
    </w:p>
    <w:p>
      <w:pPr>
        <w:jc w:val="both"/>
        <w:ind w:left="660" w:right="140" w:hanging="652"/>
        <w:spacing w:after="0" w:line="311" w:lineRule="auto"/>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48" w:lineRule="exact"/>
        <w:rPr>
          <w:rFonts w:ascii="Arial" w:cs="Arial" w:eastAsia="Arial" w:hAnsi="Arial"/>
          <w:sz w:val="16"/>
          <w:szCs w:val="16"/>
          <w:color w:val="auto"/>
        </w:rPr>
      </w:pPr>
    </w:p>
    <w:p>
      <w:pPr>
        <w:ind w:left="660" w:right="480" w:hanging="652"/>
        <w:spacing w:after="0" w:line="342" w:lineRule="auto"/>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23" w:lineRule="exact"/>
        <w:rPr>
          <w:rFonts w:ascii="Arial" w:cs="Arial" w:eastAsia="Arial" w:hAnsi="Arial"/>
          <w:sz w:val="16"/>
          <w:szCs w:val="16"/>
          <w:color w:val="auto"/>
        </w:rPr>
      </w:pPr>
    </w:p>
    <w:p>
      <w:pPr>
        <w:ind w:left="660" w:right="60" w:hanging="652"/>
        <w:spacing w:after="0" w:line="291" w:lineRule="auto"/>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 or 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660" w:right="420" w:hanging="652"/>
        <w:spacing w:after="0" w:line="308"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46" w:lineRule="exact"/>
        <w:rPr>
          <w:rFonts w:ascii="Arial" w:cs="Arial" w:eastAsia="Arial" w:hAnsi="Arial"/>
          <w:sz w:val="17"/>
          <w:szCs w:val="17"/>
          <w:color w:val="auto"/>
        </w:rPr>
      </w:pPr>
    </w:p>
    <w:p>
      <w:pPr>
        <w:ind w:left="660" w:hanging="652"/>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83" w:lineRule="exact"/>
        <w:rPr>
          <w:rFonts w:ascii="Arial" w:cs="Arial" w:eastAsia="Arial" w:hAnsi="Arial"/>
          <w:sz w:val="18"/>
          <w:szCs w:val="18"/>
          <w:color w:val="auto"/>
        </w:rPr>
      </w:pPr>
    </w:p>
    <w:p>
      <w:pPr>
        <w:ind w:left="660" w:right="60" w:hanging="652"/>
        <w:spacing w:after="0" w:line="255"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92"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such delegates as aforesaid may be authorized by the Directors to sub-delegate all or any of the powers, authorities, and discretion for the time being vested in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 OF DIRECTORS</w:t>
      </w:r>
    </w:p>
    <w:p>
      <w:pPr>
        <w:spacing w:after="0" w:line="229" w:lineRule="exact"/>
        <w:rPr>
          <w:sz w:val="20"/>
          <w:szCs w:val="20"/>
          <w:color w:val="auto"/>
        </w:rPr>
      </w:pPr>
    </w:p>
    <w:p>
      <w:pPr>
        <w:jc w:val="both"/>
        <w:ind w:left="660" w:right="440" w:hanging="652"/>
        <w:spacing w:after="0" w:line="311" w:lineRule="auto"/>
        <w:tabs>
          <w:tab w:leader="none" w:pos="6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SEAL</w:t>
      </w:r>
    </w:p>
    <w:p>
      <w:pPr>
        <w:spacing w:after="0" w:line="229" w:lineRule="exact"/>
        <w:rPr>
          <w:sz w:val="20"/>
          <w:szCs w:val="20"/>
          <w:color w:val="auto"/>
        </w:rPr>
      </w:pPr>
    </w:p>
    <w:p>
      <w:pPr>
        <w:ind w:left="660" w:right="80" w:hanging="652"/>
        <w:spacing w:after="0" w:line="301" w:lineRule="auto"/>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57" w:lineRule="exact"/>
        <w:rPr>
          <w:rFonts w:ascii="Arial" w:cs="Arial" w:eastAsia="Arial" w:hAnsi="Arial"/>
          <w:sz w:val="16"/>
          <w:szCs w:val="16"/>
          <w:color w:val="auto"/>
        </w:rPr>
      </w:pPr>
    </w:p>
    <w:p>
      <w:pPr>
        <w:ind w:left="660" w:right="40" w:hanging="652"/>
        <w:spacing w:after="0" w:line="291" w:lineRule="auto"/>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left="652" w:right="540" w:hanging="652"/>
        <w:spacing w:after="0" w:line="263" w:lineRule="auto"/>
        <w:tabs>
          <w:tab w:leader="none" w:pos="6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DISQUALIFICATION OF DIRECTORS</w:t>
      </w:r>
    </w:p>
    <w:p>
      <w:pPr>
        <w:spacing w:after="0" w:line="229" w:lineRule="exact"/>
        <w:rPr>
          <w:sz w:val="20"/>
          <w:szCs w:val="20"/>
          <w:color w:val="auto"/>
        </w:rPr>
      </w:pPr>
    </w:p>
    <w:p>
      <w:pPr>
        <w:ind w:left="652" w:hanging="652"/>
        <w:spacing w:after="0"/>
        <w:tabs>
          <w:tab w:leader="none" w:pos="6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or her creditors;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dies or is found to be or becomes of unsound mind;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resigns his or her office by notice in writing to the Company;</w:t>
      </w:r>
    </w:p>
    <w:p>
      <w:pPr>
        <w:spacing w:after="0" w:line="225" w:lineRule="exact"/>
        <w:rPr>
          <w:rFonts w:ascii="Arial" w:cs="Arial" w:eastAsia="Arial" w:hAnsi="Arial"/>
          <w:sz w:val="18"/>
          <w:szCs w:val="18"/>
          <w:color w:val="auto"/>
        </w:rPr>
      </w:pPr>
    </w:p>
    <w:p>
      <w:pPr>
        <w:ind w:left="1292" w:right="140" w:hanging="644"/>
        <w:spacing w:after="0" w:line="277" w:lineRule="auto"/>
        <w:tabs>
          <w:tab w:leader="none" w:pos="12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three (3) consecutive meetings and the Board resolves that his or her office be vacated;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these Articles.</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ind w:left="652" w:right="140" w:hanging="652"/>
        <w:spacing w:after="0" w:line="257" w:lineRule="auto"/>
        <w:tabs>
          <w:tab w:leader="none" w:pos="65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Directors may meet together (either within or outside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or her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7" w:lineRule="exact"/>
        <w:rPr>
          <w:rFonts w:ascii="Arial" w:cs="Arial" w:eastAsia="Arial" w:hAnsi="Arial"/>
          <w:sz w:val="18"/>
          <w:szCs w:val="18"/>
          <w:color w:val="auto"/>
        </w:rPr>
      </w:pPr>
    </w:p>
    <w:p>
      <w:pPr>
        <w:ind w:left="652" w:right="180" w:hanging="652"/>
        <w:spacing w:after="0" w:line="286" w:lineRule="auto"/>
        <w:tabs>
          <w:tab w:leader="none" w:pos="65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65" w:lineRule="exact"/>
        <w:rPr>
          <w:rFonts w:ascii="Arial" w:cs="Arial" w:eastAsia="Arial" w:hAnsi="Arial"/>
          <w:sz w:val="17"/>
          <w:szCs w:val="17"/>
          <w:color w:val="auto"/>
        </w:rPr>
      </w:pPr>
    </w:p>
    <w:p>
      <w:pPr>
        <w:ind w:left="652" w:hanging="652"/>
        <w:spacing w:after="0" w:line="257" w:lineRule="auto"/>
        <w:tabs>
          <w:tab w:leader="none" w:pos="65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Directors, and unless so fixed, the quorum shall be a majority of Directors then in office, including the Chairman; provided, however, a quorum shall nevertheless exist at a meeting at which a quorum would exist but for the fact that the Chairman is voluntarily absent from the meeting and notifies the Board of his or her decision to be absent from that meeting, before or at the meeting. A Director represented by proxy or by an alternate Director at any meeting shall be deemed to be present for the purposes of determining whether or not a quorum is present.</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5" w:name="page236"/>
    <w:bookmarkEnd w:id="235"/>
    <w:p>
      <w:pPr>
        <w:ind w:left="652" w:right="20" w:hanging="652"/>
        <w:spacing w:after="0" w:line="290" w:lineRule="auto"/>
        <w:tabs>
          <w:tab w:leader="none" w:pos="65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 Director who is in any way, whether directly or indirectly, interested in a contract or transaction or proposed contract or transaction with the Company shall declare the nature of his or her interest at a meeting of the Directors. A general notice given to the Directors by any Director to the effect that he or she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or she may be interested therein and if he does so his or her vote shall be counted and he or she may be counted in the quorum at any meeting of the Directors at which any such contract or transaction or proposed contract or transaction shall come before the meeting for consideration.</w:t>
      </w:r>
    </w:p>
    <w:p>
      <w:pPr>
        <w:spacing w:after="0" w:line="165" w:lineRule="exact"/>
        <w:rPr>
          <w:rFonts w:ascii="Arial" w:cs="Arial" w:eastAsia="Arial" w:hAnsi="Arial"/>
          <w:sz w:val="16"/>
          <w:szCs w:val="16"/>
          <w:color w:val="auto"/>
        </w:rPr>
      </w:pPr>
    </w:p>
    <w:p>
      <w:pPr>
        <w:ind w:left="652" w:hanging="652"/>
        <w:spacing w:after="0" w:line="289" w:lineRule="auto"/>
        <w:tabs>
          <w:tab w:leader="none" w:pos="65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business partner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w:t>
      </w:r>
    </w:p>
    <w:p>
      <w:pPr>
        <w:spacing w:after="0" w:line="166" w:lineRule="exact"/>
        <w:rPr>
          <w:rFonts w:ascii="Arial" w:cs="Arial" w:eastAsia="Arial" w:hAnsi="Arial"/>
          <w:sz w:val="16"/>
          <w:szCs w:val="16"/>
          <w:color w:val="auto"/>
        </w:rPr>
      </w:pPr>
    </w:p>
    <w:p>
      <w:pPr>
        <w:ind w:left="652" w:right="80" w:hanging="652"/>
        <w:spacing w:after="0" w:line="263" w:lineRule="auto"/>
        <w:tabs>
          <w:tab w:leader="none" w:pos="6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Director may act by himself or herself or through his or her firm in a professional capacity for the Company, and he/she or his/her firm shall be entitled to remuneration for professional services as if he or she were not a Director; provided that nothing herein contained shall authorize a Director or his or her firm to act as auditor to the Company.</w:t>
      </w:r>
    </w:p>
    <w:p>
      <w:pPr>
        <w:spacing w:after="0" w:line="183" w:lineRule="exact"/>
        <w:rPr>
          <w:rFonts w:ascii="Arial" w:cs="Arial" w:eastAsia="Arial" w:hAnsi="Arial"/>
          <w:sz w:val="18"/>
          <w:szCs w:val="18"/>
          <w:color w:val="auto"/>
        </w:rPr>
      </w:pPr>
    </w:p>
    <w:p>
      <w:pPr>
        <w:ind w:left="652" w:hanging="652"/>
        <w:spacing w:after="0"/>
        <w:tabs>
          <w:tab w:leader="none" w:pos="6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Directors shall cause minutes to be made for the purpose of recording:</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236" w:name="page237"/>
    <w:bookmarkEnd w:id="236"/>
    <w:p>
      <w:pPr>
        <w:ind w:left="652" w:right="800" w:hanging="652"/>
        <w:spacing w:after="0" w:line="342" w:lineRule="auto"/>
        <w:tabs>
          <w:tab w:leader="none" w:pos="65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23" w:lineRule="exact"/>
        <w:rPr>
          <w:rFonts w:ascii="Arial" w:cs="Arial" w:eastAsia="Arial" w:hAnsi="Arial"/>
          <w:sz w:val="16"/>
          <w:szCs w:val="16"/>
          <w:color w:val="auto"/>
        </w:rPr>
      </w:pPr>
    </w:p>
    <w:p>
      <w:pPr>
        <w:ind w:left="652" w:right="80" w:hanging="652"/>
        <w:spacing w:after="0" w:line="275" w:lineRule="auto"/>
        <w:tabs>
          <w:tab w:leader="none" w:pos="6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w:t>
      </w:r>
    </w:p>
    <w:p>
      <w:pPr>
        <w:spacing w:after="0" w:line="176" w:lineRule="exact"/>
        <w:rPr>
          <w:rFonts w:ascii="Arial" w:cs="Arial" w:eastAsia="Arial" w:hAnsi="Arial"/>
          <w:sz w:val="17"/>
          <w:szCs w:val="17"/>
          <w:color w:val="auto"/>
        </w:rPr>
      </w:pPr>
    </w:p>
    <w:p>
      <w:pPr>
        <w:ind w:left="652" w:right="200" w:hanging="652"/>
        <w:spacing w:after="0" w:line="263" w:lineRule="auto"/>
        <w:tabs>
          <w:tab w:leader="none" w:pos="6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83" w:lineRule="exact"/>
        <w:rPr>
          <w:rFonts w:ascii="Arial" w:cs="Arial" w:eastAsia="Arial" w:hAnsi="Arial"/>
          <w:sz w:val="18"/>
          <w:szCs w:val="18"/>
          <w:color w:val="auto"/>
        </w:rPr>
      </w:pPr>
    </w:p>
    <w:p>
      <w:pPr>
        <w:ind w:left="652" w:right="40" w:hanging="652"/>
        <w:spacing w:after="0" w:line="286" w:lineRule="auto"/>
        <w:tabs>
          <w:tab w:leader="none" w:pos="6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members to be chairman of the meeting.</w:t>
      </w:r>
    </w:p>
    <w:p>
      <w:pPr>
        <w:spacing w:after="0" w:line="165" w:lineRule="exact"/>
        <w:rPr>
          <w:rFonts w:ascii="Arial" w:cs="Arial" w:eastAsia="Arial" w:hAnsi="Arial"/>
          <w:sz w:val="17"/>
          <w:szCs w:val="17"/>
          <w:color w:val="auto"/>
        </w:rPr>
      </w:pPr>
    </w:p>
    <w:p>
      <w:pPr>
        <w:ind w:left="652" w:right="140" w:hanging="652"/>
        <w:spacing w:after="0" w:line="263" w:lineRule="auto"/>
        <w:tabs>
          <w:tab w:leader="none" w:pos="6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83" w:lineRule="exact"/>
        <w:rPr>
          <w:rFonts w:ascii="Arial" w:cs="Arial" w:eastAsia="Arial" w:hAnsi="Arial"/>
          <w:sz w:val="18"/>
          <w:szCs w:val="18"/>
          <w:color w:val="auto"/>
        </w:rPr>
      </w:pPr>
    </w:p>
    <w:p>
      <w:pPr>
        <w:jc w:val="both"/>
        <w:ind w:left="652" w:hanging="652"/>
        <w:spacing w:after="0" w:line="286" w:lineRule="auto"/>
        <w:tabs>
          <w:tab w:leader="none" w:pos="6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PRESUMPTION OF ASSENT</w:t>
      </w:r>
    </w:p>
    <w:p>
      <w:pPr>
        <w:spacing w:after="0" w:line="229" w:lineRule="exact"/>
        <w:rPr>
          <w:sz w:val="20"/>
          <w:szCs w:val="20"/>
          <w:color w:val="auto"/>
        </w:rPr>
      </w:pPr>
    </w:p>
    <w:p>
      <w:pPr>
        <w:ind w:left="652" w:right="60" w:hanging="652"/>
        <w:spacing w:after="0" w:line="257" w:lineRule="auto"/>
        <w:tabs>
          <w:tab w:leader="none" w:pos="6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Director who is present at a meeting of the Board of Directors at which an action on any Company matter is taken shall be presumed to have assented to the action taken unless his or her dissent shall be entered in the minutes of the meeting or unless he or she shall file his or her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7" w:name="page238"/>
    <w:bookmarkEnd w:id="237"/>
    <w:p>
      <w:pPr>
        <w:jc w:val="center"/>
        <w:ind w:right="-31"/>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52" w:right="160" w:hanging="652"/>
        <w:spacing w:after="0" w:line="263"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83" w:lineRule="exact"/>
        <w:rPr>
          <w:rFonts w:ascii="Arial" w:cs="Arial" w:eastAsia="Arial" w:hAnsi="Arial"/>
          <w:sz w:val="18"/>
          <w:szCs w:val="18"/>
          <w:color w:val="auto"/>
        </w:rPr>
      </w:pPr>
    </w:p>
    <w:p>
      <w:pPr>
        <w:ind w:left="652" w:right="160" w:hanging="652"/>
        <w:spacing w:after="0" w:line="277"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70" w:lineRule="exact"/>
        <w:rPr>
          <w:rFonts w:ascii="Arial" w:cs="Arial" w:eastAsia="Arial" w:hAnsi="Arial"/>
          <w:sz w:val="18"/>
          <w:szCs w:val="18"/>
          <w:color w:val="auto"/>
        </w:rPr>
      </w:pPr>
    </w:p>
    <w:p>
      <w:pPr>
        <w:ind w:left="652" w:right="80" w:hanging="652"/>
        <w:spacing w:after="0" w:line="257"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7" w:lineRule="exact"/>
        <w:rPr>
          <w:rFonts w:ascii="Arial" w:cs="Arial" w:eastAsia="Arial" w:hAnsi="Arial"/>
          <w:sz w:val="18"/>
          <w:szCs w:val="18"/>
          <w:color w:val="auto"/>
        </w:rPr>
      </w:pPr>
    </w:p>
    <w:p>
      <w:pPr>
        <w:ind w:left="652" w:hanging="652"/>
        <w:spacing w:after="0" w:line="296" w:lineRule="auto"/>
        <w:tabs>
          <w:tab w:leader="none" w:pos="65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Any dividend payable in cash to the holder of Shares may be paid in any manner determined by the Directors. If paid by cheque it will be sent by mail addressed to the holder at his or her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her or their risk and payment of the cheque or warrant by the bank on which it is drawn shall constitute a good discharge to the Company.</w:t>
      </w:r>
    </w:p>
    <w:p>
      <w:pPr>
        <w:spacing w:after="0" w:line="161" w:lineRule="exact"/>
        <w:rPr>
          <w:rFonts w:ascii="Arial" w:cs="Arial" w:eastAsia="Arial" w:hAnsi="Arial"/>
          <w:sz w:val="16"/>
          <w:szCs w:val="16"/>
          <w:color w:val="auto"/>
        </w:rPr>
      </w:pPr>
    </w:p>
    <w:p>
      <w:pPr>
        <w:ind w:left="652" w:right="60" w:hanging="652"/>
        <w:spacing w:after="0" w:line="279" w:lineRule="auto"/>
        <w:tabs>
          <w:tab w:leader="none" w:pos="65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1" w:lineRule="exact"/>
        <w:rPr>
          <w:rFonts w:ascii="Arial" w:cs="Arial" w:eastAsia="Arial" w:hAnsi="Arial"/>
          <w:sz w:val="17"/>
          <w:szCs w:val="17"/>
          <w:color w:val="auto"/>
        </w:rPr>
      </w:pPr>
    </w:p>
    <w:p>
      <w:pPr>
        <w:ind w:left="652" w:right="60" w:hanging="652"/>
        <w:spacing w:after="0" w:line="259"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86"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effective receipts for any dividend or other moneys payable on or in respect of the Share.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225" w:lineRule="exact"/>
        <w:rPr>
          <w:rFonts w:ascii="Arial" w:cs="Arial" w:eastAsia="Arial" w:hAnsi="Arial"/>
          <w:sz w:val="18"/>
          <w:szCs w:val="18"/>
          <w:color w:val="auto"/>
        </w:rPr>
      </w:pPr>
    </w:p>
    <w:p>
      <w:pPr>
        <w:ind w:left="652" w:right="560" w:hanging="652"/>
        <w:spacing w:after="0" w:line="277" w:lineRule="auto"/>
        <w:tabs>
          <w:tab w:leader="none" w:pos="6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3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38" w:name="page239"/>
    <w:bookmarkEnd w:id="238"/>
    <w:p>
      <w:pPr>
        <w:jc w:val="center"/>
        <w:ind w:right="-11"/>
        <w:spacing w:after="0"/>
        <w:rPr>
          <w:sz w:val="20"/>
          <w:szCs w:val="20"/>
          <w:color w:val="auto"/>
        </w:rPr>
      </w:pPr>
      <w:r>
        <w:rPr>
          <w:rFonts w:ascii="Arial" w:cs="Arial" w:eastAsia="Arial" w:hAnsi="Arial"/>
          <w:sz w:val="18"/>
          <w:szCs w:val="18"/>
          <w:b w:val="1"/>
          <w:bCs w:val="1"/>
          <w:color w:val="auto"/>
        </w:rPr>
        <w:t>ACCOUNTS, AUDIT AND ANNUAL RETURN AND DECLARATION</w:t>
      </w:r>
    </w:p>
    <w:p>
      <w:pPr>
        <w:spacing w:after="0" w:line="229" w:lineRule="exact"/>
        <w:rPr>
          <w:sz w:val="20"/>
          <w:szCs w:val="20"/>
          <w:color w:val="auto"/>
        </w:rPr>
      </w:pPr>
    </w:p>
    <w:p>
      <w:pPr>
        <w:ind w:left="652" w:hanging="652"/>
        <w:spacing w:after="0"/>
        <w:tabs>
          <w:tab w:leader="none" w:pos="65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books of account relating to the Company’s affairs shall be kept in such manner as may be determined from time to time by the Directors.</w:t>
      </w:r>
    </w:p>
    <w:p>
      <w:pPr>
        <w:spacing w:after="0" w:line="248" w:lineRule="exact"/>
        <w:rPr>
          <w:rFonts w:ascii="Arial" w:cs="Arial" w:eastAsia="Arial" w:hAnsi="Arial"/>
          <w:sz w:val="16"/>
          <w:szCs w:val="16"/>
          <w:color w:val="auto"/>
        </w:rPr>
      </w:pPr>
    </w:p>
    <w:p>
      <w:pPr>
        <w:ind w:left="652" w:right="120" w:hanging="652"/>
        <w:spacing w:after="0" w:line="277"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books of account shall be kept at the Registered Office, or at such other place or places as the Directors think fit, and shall always be open to the inspection of the Directors.</w:t>
      </w:r>
    </w:p>
    <w:p>
      <w:pPr>
        <w:spacing w:after="0" w:line="170" w:lineRule="exact"/>
        <w:rPr>
          <w:rFonts w:ascii="Arial" w:cs="Arial" w:eastAsia="Arial" w:hAnsi="Arial"/>
          <w:sz w:val="18"/>
          <w:szCs w:val="18"/>
          <w:color w:val="auto"/>
        </w:rPr>
      </w:pPr>
    </w:p>
    <w:p>
      <w:pPr>
        <w:ind w:left="652" w:right="60" w:hanging="652"/>
        <w:spacing w:after="0" w:line="259"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86"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their remuneration.</w:t>
      </w:r>
    </w:p>
    <w:p>
      <w:pPr>
        <w:spacing w:after="0" w:line="170" w:lineRule="exact"/>
        <w:rPr>
          <w:rFonts w:ascii="Arial" w:cs="Arial" w:eastAsia="Arial" w:hAnsi="Arial"/>
          <w:sz w:val="18"/>
          <w:szCs w:val="18"/>
          <w:color w:val="auto"/>
        </w:rPr>
      </w:pPr>
    </w:p>
    <w:p>
      <w:pPr>
        <w:ind w:left="652" w:right="180" w:hanging="652"/>
        <w:spacing w:after="0" w:line="263"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83" w:lineRule="exact"/>
        <w:rPr>
          <w:rFonts w:ascii="Arial" w:cs="Arial" w:eastAsia="Arial" w:hAnsi="Arial"/>
          <w:sz w:val="18"/>
          <w:szCs w:val="18"/>
          <w:color w:val="auto"/>
        </w:rPr>
      </w:pPr>
    </w:p>
    <w:p>
      <w:pPr>
        <w:ind w:left="652" w:right="140" w:hanging="652"/>
        <w:spacing w:after="0" w:line="263"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83"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CAPITALIZATION OF RESERVES</w:t>
      </w:r>
    </w:p>
    <w:p>
      <w:pPr>
        <w:spacing w:after="0" w:line="229" w:lineRule="exact"/>
        <w:rPr>
          <w:sz w:val="20"/>
          <w:szCs w:val="20"/>
          <w:color w:val="auto"/>
        </w:rPr>
      </w:pPr>
    </w:p>
    <w:p>
      <w:pPr>
        <w:ind w:left="792" w:hanging="644"/>
        <w:spacing w:after="0"/>
        <w:tabs>
          <w:tab w:leader="none" w:pos="79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the Companies Act, the Directors may:</w:t>
      </w:r>
    </w:p>
    <w:p>
      <w:pPr>
        <w:spacing w:after="0" w:line="225" w:lineRule="exact"/>
        <w:rPr>
          <w:rFonts w:ascii="Arial" w:cs="Arial" w:eastAsia="Arial" w:hAnsi="Arial"/>
          <w:sz w:val="18"/>
          <w:szCs w:val="18"/>
          <w:color w:val="auto"/>
        </w:rPr>
      </w:pPr>
    </w:p>
    <w:p>
      <w:pPr>
        <w:ind w:left="1292" w:right="260" w:hanging="644"/>
        <w:spacing w:after="0" w:line="277" w:lineRule="auto"/>
        <w:tabs>
          <w:tab w:leader="none" w:pos="12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resolve to capitalize an amount standing to the credit of reserves (including a Share Premium Account, capital redemption reserve and profit and loss account), which is available for distribution;</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39" w:name="page240"/>
    <w:bookmarkEnd w:id="239"/>
    <w:p>
      <w:pPr>
        <w:ind w:left="1292" w:right="220" w:hanging="644"/>
        <w:spacing w:after="0" w:line="277" w:lineRule="auto"/>
        <w:tabs>
          <w:tab w:leader="none" w:pos="129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70" w:lineRule="exact"/>
        <w:rPr>
          <w:rFonts w:ascii="Arial" w:cs="Arial" w:eastAsia="Arial" w:hAnsi="Arial"/>
          <w:sz w:val="18"/>
          <w:szCs w:val="18"/>
          <w:color w:val="auto"/>
        </w:rPr>
      </w:pPr>
    </w:p>
    <w:p>
      <w:pPr>
        <w:ind w:left="1952" w:hanging="656"/>
        <w:spacing w:after="0"/>
        <w:tabs>
          <w:tab w:leader="none" w:pos="195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225" w:lineRule="exact"/>
        <w:rPr>
          <w:rFonts w:ascii="Arial" w:cs="Arial" w:eastAsia="Arial" w:hAnsi="Arial"/>
          <w:sz w:val="18"/>
          <w:szCs w:val="18"/>
          <w:color w:val="auto"/>
        </w:rPr>
      </w:pPr>
    </w:p>
    <w:p>
      <w:pPr>
        <w:ind w:left="1952" w:hanging="656"/>
        <w:spacing w:after="0"/>
        <w:tabs>
          <w:tab w:leader="none" w:pos="195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652"/>
        <w:spacing w:after="0" w:line="311" w:lineRule="auto"/>
        <w:rPr>
          <w:sz w:val="20"/>
          <w:szCs w:val="20"/>
          <w:color w:val="auto"/>
        </w:rPr>
      </w:pPr>
      <w:r>
        <w:rPr>
          <w:rFonts w:ascii="Arial" w:cs="Arial" w:eastAsia="Arial" w:hAnsi="Arial"/>
          <w:sz w:val="16"/>
          <w:szCs w:val="16"/>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49" w:lineRule="exact"/>
        <w:rPr>
          <w:sz w:val="20"/>
          <w:szCs w:val="20"/>
          <w:color w:val="auto"/>
        </w:rPr>
      </w:pPr>
    </w:p>
    <w:p>
      <w:pPr>
        <w:ind w:left="1292" w:right="180" w:hanging="644"/>
        <w:spacing w:after="0" w:line="342" w:lineRule="auto"/>
        <w:tabs>
          <w:tab w:leader="none" w:pos="129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23" w:lineRule="exact"/>
        <w:rPr>
          <w:rFonts w:ascii="Arial" w:cs="Arial" w:eastAsia="Arial" w:hAnsi="Arial"/>
          <w:sz w:val="16"/>
          <w:szCs w:val="16"/>
          <w:color w:val="auto"/>
        </w:rPr>
      </w:pPr>
    </w:p>
    <w:p>
      <w:pPr>
        <w:ind w:left="1292" w:hanging="644"/>
        <w:spacing w:after="0"/>
        <w:tabs>
          <w:tab w:leader="none" w:pos="129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authorize a Person to enter (on behalf of all the Shareholders concerned) into an agreement with the Company providing for either:</w:t>
      </w:r>
    </w:p>
    <w:p>
      <w:pPr>
        <w:spacing w:after="0" w:line="236" w:lineRule="exact"/>
        <w:rPr>
          <w:rFonts w:ascii="Arial" w:cs="Arial" w:eastAsia="Arial" w:hAnsi="Arial"/>
          <w:sz w:val="17"/>
          <w:szCs w:val="17"/>
          <w:color w:val="auto"/>
        </w:rPr>
      </w:pPr>
    </w:p>
    <w:p>
      <w:pPr>
        <w:ind w:left="1952" w:right="160" w:hanging="656"/>
        <w:spacing w:after="0" w:line="277" w:lineRule="auto"/>
        <w:tabs>
          <w:tab w:leader="none" w:pos="195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allotment to the Shareholders respectively, credited as fully paid, of Shares or debentures to which they may be entitled on the capitalization, or</w:t>
      </w:r>
    </w:p>
    <w:p>
      <w:pPr>
        <w:spacing w:after="0" w:line="170" w:lineRule="exact"/>
        <w:rPr>
          <w:rFonts w:ascii="Arial" w:cs="Arial" w:eastAsia="Arial" w:hAnsi="Arial"/>
          <w:sz w:val="18"/>
          <w:szCs w:val="18"/>
          <w:color w:val="auto"/>
        </w:rPr>
      </w:pPr>
    </w:p>
    <w:p>
      <w:pPr>
        <w:ind w:left="1952" w:right="240" w:hanging="656"/>
        <w:spacing w:after="0" w:line="308" w:lineRule="auto"/>
        <w:tabs>
          <w:tab w:leader="none" w:pos="1952"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292" w:hanging="644"/>
        <w:spacing w:after="0"/>
        <w:tabs>
          <w:tab w:leader="none" w:pos="129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the resolution.</w:t>
      </w:r>
    </w:p>
    <w:p>
      <w:pPr>
        <w:spacing w:after="0" w:line="225" w:lineRule="exact"/>
        <w:rPr>
          <w:rFonts w:ascii="Arial" w:cs="Arial" w:eastAsia="Arial" w:hAnsi="Arial"/>
          <w:sz w:val="18"/>
          <w:szCs w:val="18"/>
          <w:color w:val="auto"/>
        </w:rPr>
      </w:pPr>
    </w:p>
    <w:p>
      <w:pPr>
        <w:ind w:left="652" w:right="40" w:hanging="652"/>
        <w:spacing w:after="0" w:line="286" w:lineRule="auto"/>
        <w:tabs>
          <w:tab w:leader="none" w:pos="65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Notwithstanding any provisions in these Articles and subject to the Companies Act, the Directors may resolve to capitalize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65" w:lineRule="exact"/>
        <w:rPr>
          <w:rFonts w:ascii="Arial" w:cs="Arial" w:eastAsia="Arial" w:hAnsi="Arial"/>
          <w:sz w:val="17"/>
          <w:szCs w:val="17"/>
          <w:color w:val="auto"/>
        </w:rPr>
      </w:pPr>
    </w:p>
    <w:p>
      <w:pPr>
        <w:jc w:val="both"/>
        <w:ind w:left="1292" w:right="100" w:hanging="644"/>
        <w:spacing w:after="0" w:line="263" w:lineRule="auto"/>
        <w:tabs>
          <w:tab w:leader="none" w:pos="129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4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240" w:name="page241"/>
    <w:bookmarkEnd w:id="240"/>
    <w:p>
      <w:pPr>
        <w:jc w:val="both"/>
        <w:ind w:left="1292" w:right="40" w:hanging="644"/>
        <w:spacing w:after="0" w:line="286" w:lineRule="auto"/>
        <w:tabs>
          <w:tab w:leader="none" w:pos="129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65" w:lineRule="exact"/>
        <w:rPr>
          <w:rFonts w:ascii="Arial" w:cs="Arial" w:eastAsia="Arial" w:hAnsi="Arial"/>
          <w:sz w:val="17"/>
          <w:szCs w:val="17"/>
          <w:color w:val="auto"/>
        </w:rPr>
      </w:pPr>
    </w:p>
    <w:p>
      <w:pPr>
        <w:ind w:left="1292" w:hanging="644"/>
        <w:spacing w:after="0" w:line="259" w:lineRule="auto"/>
        <w:tabs>
          <w:tab w:leader="none" w:pos="12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SHARE PREMIUM ACCOUNT</w:t>
      </w:r>
    </w:p>
    <w:p>
      <w:pPr>
        <w:spacing w:after="0" w:line="229" w:lineRule="exact"/>
        <w:rPr>
          <w:sz w:val="20"/>
          <w:szCs w:val="20"/>
          <w:color w:val="auto"/>
        </w:rPr>
      </w:pPr>
    </w:p>
    <w:p>
      <w:pPr>
        <w:ind w:left="652" w:right="180" w:hanging="652"/>
        <w:spacing w:after="0" w:line="277" w:lineRule="auto"/>
        <w:tabs>
          <w:tab w:leader="none" w:pos="65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70" w:lineRule="exact"/>
        <w:rPr>
          <w:rFonts w:ascii="Arial" w:cs="Arial" w:eastAsia="Arial" w:hAnsi="Arial"/>
          <w:sz w:val="18"/>
          <w:szCs w:val="18"/>
          <w:color w:val="auto"/>
        </w:rPr>
      </w:pPr>
    </w:p>
    <w:p>
      <w:pPr>
        <w:ind w:left="652" w:right="100" w:hanging="652"/>
        <w:spacing w:after="0" w:line="263" w:lineRule="auto"/>
        <w:tabs>
          <w:tab w:leader="none" w:pos="65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52" w:right="20" w:hanging="652"/>
        <w:spacing w:after="0" w:line="272" w:lineRule="auto"/>
        <w:tabs>
          <w:tab w:leader="none" w:pos="652"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or her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77" w:lineRule="exact"/>
        <w:rPr>
          <w:rFonts w:ascii="Arial" w:cs="Arial" w:eastAsia="Arial" w:hAnsi="Arial"/>
          <w:sz w:val="17"/>
          <w:szCs w:val="17"/>
          <w:color w:val="auto"/>
        </w:rPr>
      </w:pPr>
    </w:p>
    <w:p>
      <w:pPr>
        <w:ind w:left="652" w:hanging="652"/>
        <w:spacing w:after="0"/>
        <w:tabs>
          <w:tab w:leader="none" w:pos="6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Notices sent from one country to another shall be sent or forwarded by prepaid airmail or a recognized courier service.</w:t>
      </w:r>
    </w:p>
    <w:p>
      <w:pPr>
        <w:spacing w:after="0" w:line="225"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2"/>
        </w:numPr>
        <w:rPr>
          <w:rFonts w:ascii="Arial" w:cs="Arial" w:eastAsia="Arial" w:hAnsi="Arial"/>
          <w:sz w:val="17"/>
          <w:szCs w:val="17"/>
          <w:color w:val="auto"/>
        </w:rPr>
      </w:pPr>
      <w:r>
        <w:rPr>
          <w:rFonts w:ascii="Arial" w:cs="Arial" w:eastAsia="Arial" w:hAnsi="Arial"/>
          <w:sz w:val="17"/>
          <w:szCs w:val="17"/>
          <w:color w:val="auto"/>
        </w:rPr>
        <w:t>post, shall be deemed to have been served five (5) calendar days after the time when the letter containing the same is posted;</w:t>
      </w: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41" w:name="page242"/>
    <w:bookmarkEnd w:id="241"/>
    <w:p>
      <w:pPr>
        <w:ind w:left="1292" w:right="900" w:hanging="644"/>
        <w:spacing w:after="0" w:line="277" w:lineRule="auto"/>
        <w:tabs>
          <w:tab w:leader="none" w:pos="12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70" w:lineRule="exact"/>
        <w:rPr>
          <w:rFonts w:ascii="Arial" w:cs="Arial" w:eastAsia="Arial" w:hAnsi="Arial"/>
          <w:sz w:val="18"/>
          <w:szCs w:val="18"/>
          <w:color w:val="auto"/>
        </w:rPr>
      </w:pPr>
    </w:p>
    <w:p>
      <w:pPr>
        <w:ind w:left="1292" w:right="140" w:hanging="644"/>
        <w:spacing w:after="0" w:line="277" w:lineRule="auto"/>
        <w:tabs>
          <w:tab w:leader="none" w:pos="12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recognized courier service, shall be deemed to have been served 48 hours after the time when the letter containing the same is delivered to the courier service; or</w:t>
      </w:r>
    </w:p>
    <w:p>
      <w:pPr>
        <w:spacing w:after="0" w:line="170" w:lineRule="exact"/>
        <w:rPr>
          <w:rFonts w:ascii="Arial" w:cs="Arial" w:eastAsia="Arial" w:hAnsi="Arial"/>
          <w:sz w:val="18"/>
          <w:szCs w:val="18"/>
          <w:color w:val="auto"/>
        </w:rPr>
      </w:pPr>
    </w:p>
    <w:p>
      <w:pPr>
        <w:ind w:left="1292" w:right="220" w:hanging="644"/>
        <w:spacing w:after="0" w:line="308" w:lineRule="auto"/>
        <w:tabs>
          <w:tab w:leader="none" w:pos="12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46" w:lineRule="exact"/>
        <w:rPr>
          <w:sz w:val="20"/>
          <w:szCs w:val="20"/>
          <w:color w:val="auto"/>
        </w:rPr>
      </w:pPr>
    </w:p>
    <w:p>
      <w:pPr>
        <w:ind w:left="652" w:right="720"/>
        <w:spacing w:after="0" w:line="277"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70" w:lineRule="exact"/>
        <w:rPr>
          <w:sz w:val="20"/>
          <w:szCs w:val="20"/>
          <w:color w:val="auto"/>
        </w:rPr>
      </w:pPr>
    </w:p>
    <w:p>
      <w:pPr>
        <w:ind w:left="652" w:hanging="652"/>
        <w:spacing w:after="0" w:line="255" w:lineRule="auto"/>
        <w:tabs>
          <w:tab w:leader="none" w:pos="65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92" w:lineRule="exact"/>
        <w:rPr>
          <w:rFonts w:ascii="Arial" w:cs="Arial" w:eastAsia="Arial" w:hAnsi="Arial"/>
          <w:sz w:val="18"/>
          <w:szCs w:val="18"/>
          <w:color w:val="auto"/>
        </w:rPr>
      </w:pPr>
    </w:p>
    <w:p>
      <w:pPr>
        <w:ind w:left="652" w:hanging="652"/>
        <w:spacing w:after="0"/>
        <w:tabs>
          <w:tab w:leader="none" w:pos="65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Notice of every general meeting of the Company shall be given to:</w:t>
      </w:r>
    </w:p>
    <w:p>
      <w:pPr>
        <w:spacing w:after="0" w:line="225" w:lineRule="exact"/>
        <w:rPr>
          <w:rFonts w:ascii="Arial" w:cs="Arial" w:eastAsia="Arial" w:hAnsi="Arial"/>
          <w:sz w:val="18"/>
          <w:szCs w:val="18"/>
          <w:color w:val="auto"/>
        </w:rPr>
      </w:pPr>
    </w:p>
    <w:p>
      <w:pPr>
        <w:ind w:left="1292" w:right="480" w:hanging="644"/>
        <w:spacing w:after="0" w:line="277" w:lineRule="auto"/>
        <w:tabs>
          <w:tab w:leader="none" w:pos="129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170" w:lineRule="exact"/>
        <w:rPr>
          <w:rFonts w:ascii="Arial" w:cs="Arial" w:eastAsia="Arial" w:hAnsi="Arial"/>
          <w:sz w:val="18"/>
          <w:szCs w:val="18"/>
          <w:color w:val="auto"/>
        </w:rPr>
      </w:pPr>
    </w:p>
    <w:p>
      <w:pPr>
        <w:ind w:left="1292" w:right="180" w:hanging="644"/>
        <w:spacing w:after="0" w:line="277" w:lineRule="auto"/>
        <w:tabs>
          <w:tab w:leader="none" w:pos="129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Shareholder, who but for his or her death or bankruptcy would be entitled to receive notice of the meeting.</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INFORMATION</w:t>
      </w:r>
    </w:p>
    <w:p>
      <w:pPr>
        <w:spacing w:after="0" w:line="229" w:lineRule="exact"/>
        <w:rPr>
          <w:sz w:val="20"/>
          <w:szCs w:val="20"/>
          <w:color w:val="auto"/>
        </w:rPr>
      </w:pPr>
    </w:p>
    <w:p>
      <w:pPr>
        <w:ind w:left="652" w:right="20" w:hanging="652"/>
        <w:spacing w:after="0" w:line="259" w:lineRule="auto"/>
        <w:tabs>
          <w:tab w:leader="none" w:pos="65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86" w:lineRule="exact"/>
        <w:rPr>
          <w:rFonts w:ascii="Arial" w:cs="Arial" w:eastAsia="Arial" w:hAnsi="Arial"/>
          <w:sz w:val="18"/>
          <w:szCs w:val="18"/>
          <w:color w:val="auto"/>
        </w:rPr>
      </w:pPr>
    </w:p>
    <w:p>
      <w:pPr>
        <w:jc w:val="both"/>
        <w:ind w:left="652" w:right="520" w:hanging="652"/>
        <w:spacing w:after="0" w:line="263" w:lineRule="auto"/>
        <w:tabs>
          <w:tab w:leader="none" w:pos="65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42" w:name="page243"/>
    <w:bookmarkEnd w:id="242"/>
    <w:p>
      <w:pPr>
        <w:jc w:val="center"/>
        <w:ind w:right="-11"/>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left="652" w:hanging="652"/>
        <w:spacing w:after="0" w:line="290" w:lineRule="auto"/>
        <w:tabs>
          <w:tab w:leader="none" w:pos="65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65" w:lineRule="exact"/>
        <w:rPr>
          <w:rFonts w:ascii="Arial" w:cs="Arial" w:eastAsia="Arial" w:hAnsi="Arial"/>
          <w:sz w:val="16"/>
          <w:szCs w:val="16"/>
          <w:color w:val="auto"/>
        </w:rPr>
      </w:pPr>
    </w:p>
    <w:p>
      <w:pPr>
        <w:ind w:left="652" w:hanging="652"/>
        <w:spacing w:after="0"/>
        <w:tabs>
          <w:tab w:leader="none" w:pos="65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 Indemnified Person shall be liable: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225" w:lineRule="exact"/>
        <w:rPr>
          <w:rFonts w:ascii="Arial" w:cs="Arial" w:eastAsia="Arial" w:hAnsi="Arial"/>
          <w:sz w:val="18"/>
          <w:szCs w:val="18"/>
          <w:color w:val="auto"/>
        </w:rPr>
      </w:pPr>
    </w:p>
    <w:p>
      <w:pPr>
        <w:ind w:left="1292" w:right="180" w:hanging="644"/>
        <w:spacing w:after="0" w:line="277" w:lineRule="auto"/>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170" w:lineRule="exact"/>
        <w:rPr>
          <w:rFonts w:ascii="Arial" w:cs="Arial" w:eastAsia="Arial" w:hAnsi="Arial"/>
          <w:sz w:val="18"/>
          <w:szCs w:val="18"/>
          <w:color w:val="auto"/>
        </w:rPr>
      </w:pPr>
    </w:p>
    <w:p>
      <w:pPr>
        <w:ind w:left="1292" w:right="480" w:hanging="644"/>
        <w:spacing w:after="0" w:line="277" w:lineRule="auto"/>
        <w:tabs>
          <w:tab w:leader="none" w:pos="12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FINANCIAL YEAR</w:t>
      </w:r>
    </w:p>
    <w:p>
      <w:pPr>
        <w:spacing w:after="0" w:line="233" w:lineRule="exact"/>
        <w:rPr>
          <w:sz w:val="20"/>
          <w:szCs w:val="20"/>
          <w:color w:val="auto"/>
        </w:rPr>
      </w:pPr>
    </w:p>
    <w:p>
      <w:pPr>
        <w:ind w:left="652" w:right="180" w:hanging="652"/>
        <w:spacing w:after="0" w:line="186" w:lineRule="auto"/>
        <w:tabs>
          <w:tab w:leader="none" w:pos="652" w:val="left"/>
        </w:tabs>
        <w:numPr>
          <w:ilvl w:val="0"/>
          <w:numId w:val="277"/>
        </w:numPr>
        <w:rPr>
          <w:rFonts w:ascii="Arial" w:cs="Arial" w:eastAsia="Arial" w:hAnsi="Arial"/>
          <w:sz w:val="36"/>
          <w:szCs w:val="36"/>
          <w:color w:val="auto"/>
          <w:vertAlign w:val="superscript"/>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 each calendar year and shall begin on January 1st in each calendar year.</w:t>
      </w: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3" w:name="page244"/>
    <w:bookmarkEnd w:id="243"/>
    <w:p>
      <w:pPr>
        <w:jc w:val="center"/>
        <w:ind w:right="-51"/>
        <w:spacing w:after="0"/>
        <w:rPr>
          <w:sz w:val="20"/>
          <w:szCs w:val="20"/>
          <w:color w:val="auto"/>
        </w:rPr>
      </w:pPr>
      <w:r>
        <w:rPr>
          <w:rFonts w:ascii="Arial" w:cs="Arial" w:eastAsia="Arial" w:hAnsi="Arial"/>
          <w:sz w:val="18"/>
          <w:szCs w:val="18"/>
          <w:b w:val="1"/>
          <w:bCs w:val="1"/>
          <w:color w:val="auto"/>
        </w:rPr>
        <w:t>NON-RECOGNITION OF TRUSTS</w:t>
      </w:r>
    </w:p>
    <w:p>
      <w:pPr>
        <w:spacing w:after="0" w:line="229" w:lineRule="exact"/>
        <w:rPr>
          <w:sz w:val="20"/>
          <w:szCs w:val="20"/>
          <w:color w:val="auto"/>
        </w:rPr>
      </w:pPr>
    </w:p>
    <w:p>
      <w:pPr>
        <w:jc w:val="both"/>
        <w:ind w:left="652" w:right="40" w:hanging="652"/>
        <w:spacing w:after="0" w:line="259" w:lineRule="auto"/>
        <w:tabs>
          <w:tab w:leader="none" w:pos="65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8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ind w:left="652" w:right="120" w:hanging="652"/>
        <w:spacing w:after="0" w:line="273" w:lineRule="auto"/>
        <w:tabs>
          <w:tab w:leader="none" w:pos="65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77" w:lineRule="exact"/>
        <w:rPr>
          <w:rFonts w:ascii="Arial" w:cs="Arial" w:eastAsia="Arial" w:hAnsi="Arial"/>
          <w:sz w:val="17"/>
          <w:szCs w:val="17"/>
          <w:color w:val="auto"/>
        </w:rPr>
      </w:pPr>
    </w:p>
    <w:p>
      <w:pPr>
        <w:ind w:left="652" w:right="40" w:hanging="652"/>
        <w:spacing w:after="0" w:line="272" w:lineRule="auto"/>
        <w:tabs>
          <w:tab w:leader="none" w:pos="65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AMENDMENT OF ARTICLES OF ASSOCIATION</w:t>
      </w:r>
    </w:p>
    <w:p>
      <w:pPr>
        <w:spacing w:after="0" w:line="229" w:lineRule="exact"/>
        <w:rPr>
          <w:sz w:val="20"/>
          <w:szCs w:val="20"/>
          <w:color w:val="auto"/>
        </w:rPr>
      </w:pPr>
    </w:p>
    <w:p>
      <w:pPr>
        <w:ind w:left="652" w:right="100" w:hanging="652"/>
        <w:spacing w:after="0" w:line="277" w:lineRule="auto"/>
        <w:tabs>
          <w:tab w:leader="none" w:pos="65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Subject to the Companies Act, the Company may at any time and from time to time by Special Resolution alter or amend these Articles in whole or in part.</w:t>
      </w:r>
    </w:p>
    <w:p>
      <w:pPr>
        <w:spacing w:after="0" w:line="166"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CLOSING OF REGISTER OR FIXING RECORD DATE</w:t>
      </w:r>
    </w:p>
    <w:p>
      <w:pPr>
        <w:spacing w:after="0" w:line="229" w:lineRule="exact"/>
        <w:rPr>
          <w:sz w:val="20"/>
          <w:szCs w:val="20"/>
          <w:color w:val="auto"/>
        </w:rPr>
      </w:pPr>
    </w:p>
    <w:p>
      <w:pPr>
        <w:ind w:left="652" w:hanging="652"/>
        <w:spacing w:after="0" w:line="259" w:lineRule="auto"/>
        <w:tabs>
          <w:tab w:leader="none" w:pos="6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86" w:lineRule="exact"/>
        <w:rPr>
          <w:rFonts w:ascii="Arial" w:cs="Arial" w:eastAsia="Arial" w:hAnsi="Arial"/>
          <w:sz w:val="18"/>
          <w:szCs w:val="18"/>
          <w:color w:val="auto"/>
        </w:rPr>
      </w:pPr>
    </w:p>
    <w:p>
      <w:pPr>
        <w:ind w:left="652" w:right="340" w:hanging="652"/>
        <w:spacing w:after="0" w:line="279" w:lineRule="auto"/>
        <w:tabs>
          <w:tab w:leader="none" w:pos="65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244" w:name="page245"/>
    <w:bookmarkEnd w:id="244"/>
    <w:p>
      <w:pPr>
        <w:ind w:left="652" w:hanging="652"/>
        <w:spacing w:after="0" w:line="296" w:lineRule="auto"/>
        <w:tabs>
          <w:tab w:leader="none" w:pos="65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REGISTRATION BY WAY OF CONTINUATION</w:t>
      </w:r>
    </w:p>
    <w:p>
      <w:pPr>
        <w:spacing w:after="0" w:line="229" w:lineRule="exact"/>
        <w:rPr>
          <w:sz w:val="20"/>
          <w:szCs w:val="20"/>
          <w:color w:val="auto"/>
        </w:rPr>
      </w:pPr>
    </w:p>
    <w:p>
      <w:pPr>
        <w:ind w:left="652" w:right="240" w:hanging="652"/>
        <w:spacing w:after="0" w:line="275" w:lineRule="auto"/>
        <w:tabs>
          <w:tab w:leader="none" w:pos="65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ind w:left="652" w:right="80" w:hanging="652"/>
        <w:spacing w:after="0" w:line="259" w:lineRule="auto"/>
        <w:tabs>
          <w:tab w:leader="none" w:pos="6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MERGERS AND CONSOLIDATIONS</w:t>
      </w:r>
    </w:p>
    <w:p>
      <w:pPr>
        <w:spacing w:after="0" w:line="229" w:lineRule="exact"/>
        <w:rPr>
          <w:sz w:val="20"/>
          <w:szCs w:val="20"/>
          <w:color w:val="auto"/>
        </w:rPr>
      </w:pPr>
    </w:p>
    <w:p>
      <w:pPr>
        <w:ind w:left="652" w:right="260" w:hanging="652"/>
        <w:spacing w:after="0" w:line="274" w:lineRule="auto"/>
        <w:tabs>
          <w:tab w:leader="none" w:pos="65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jc w:val="center"/>
        <w:ind w:right="-11"/>
        <w:spacing w:after="0"/>
        <w:rPr>
          <w:sz w:val="20"/>
          <w:szCs w:val="20"/>
          <w:color w:val="auto"/>
        </w:rPr>
      </w:pPr>
      <w:r>
        <w:rPr>
          <w:rFonts w:ascii="Arial" w:cs="Arial" w:eastAsia="Arial" w:hAnsi="Arial"/>
          <w:sz w:val="18"/>
          <w:szCs w:val="18"/>
          <w:b w:val="1"/>
          <w:bCs w:val="1"/>
          <w:color w:val="auto"/>
        </w:rPr>
        <w:t>EXCLUSIVE FORUM</w:t>
      </w:r>
    </w:p>
    <w:p>
      <w:pPr>
        <w:spacing w:after="0" w:line="211" w:lineRule="exact"/>
        <w:rPr>
          <w:sz w:val="20"/>
          <w:szCs w:val="20"/>
          <w:color w:val="auto"/>
        </w:rPr>
      </w:pPr>
    </w:p>
    <w:p>
      <w:pPr>
        <w:ind w:left="652" w:right="40" w:hanging="652"/>
        <w:spacing w:after="0" w:line="272" w:lineRule="auto"/>
        <w:tabs>
          <w:tab w:leader="none" w:pos="6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recognized under the laws of the United States from time to time).</w:t>
      </w:r>
    </w:p>
    <w:p>
      <w:pPr>
        <w:spacing w:after="0" w:line="177" w:lineRule="exact"/>
        <w:rPr>
          <w:rFonts w:ascii="Arial" w:cs="Arial" w:eastAsia="Arial" w:hAnsi="Arial"/>
          <w:sz w:val="17"/>
          <w:szCs w:val="17"/>
          <w:color w:val="auto"/>
        </w:rPr>
      </w:pPr>
    </w:p>
    <w:p>
      <w:pPr>
        <w:ind w:left="652" w:hanging="652"/>
        <w:spacing w:after="0" w:line="269" w:lineRule="auto"/>
        <w:tabs>
          <w:tab w:leader="none" w:pos="6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ADSs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Dated as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13"/>
          </w:tcPr>
          <w:p>
            <w:pPr>
              <w:ind w:left="200"/>
              <w:spacing w:after="0"/>
              <w:rPr>
                <w:sz w:val="20"/>
                <w:szCs w:val="20"/>
                <w:color w:val="auto"/>
              </w:rPr>
            </w:pPr>
            <w:r>
              <w:rPr>
                <w:rFonts w:ascii="Arial" w:cs="Arial" w:eastAsia="Arial" w:hAnsi="Arial"/>
                <w:sz w:val="18"/>
                <w:szCs w:val="18"/>
                <w:color w:val="auto"/>
              </w:rPr>
              <w:t>TABLE OF CONTENTS</w:t>
            </w:r>
          </w:p>
        </w:tc>
        <w:tc>
          <w:tcPr>
            <w:tcW w:w="800" w:type="dxa"/>
            <w:vAlign w:val="bottom"/>
          </w:tcPr>
          <w:p>
            <w:pPr>
              <w:spacing w:after="0"/>
              <w:rPr>
                <w:sz w:val="20"/>
                <w:szCs w:val="20"/>
                <w:color w:val="auto"/>
              </w:rPr>
            </w:pPr>
          </w:p>
        </w:tc>
      </w:tr>
      <w:tr>
        <w:trPr>
          <w:trHeight w:val="216"/>
        </w:trPr>
        <w:tc>
          <w:tcPr>
            <w:tcW w:w="14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440" w:type="dxa"/>
            <w:vAlign w:val="bottom"/>
            <w:gridSpan w:val="54"/>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“ADS Record Date”</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“Affiliate”</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 xml:space="preserve">“American Depositary Receipt(s)”, “ADR(s)” </w:t>
            </w:r>
            <w:r>
              <w:rPr>
                <w:rFonts w:ascii="Arial" w:cs="Arial" w:eastAsia="Arial" w:hAnsi="Arial"/>
                <w:sz w:val="18"/>
                <w:szCs w:val="18"/>
                <w:color w:val="auto"/>
              </w:rPr>
              <w:t>and</w:t>
            </w:r>
            <w:r>
              <w:rPr>
                <w:rFonts w:ascii="Arial" w:cs="Arial" w:eastAsia="Arial" w:hAnsi="Arial"/>
                <w:sz w:val="18"/>
                <w:szCs w:val="18"/>
                <w:b w:val="1"/>
                <w:bCs w:val="1"/>
                <w:color w:val="auto"/>
              </w:rPr>
              <w:t xml:space="preserve"> “Receipt(s)”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1</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and</w:t>
            </w:r>
            <w:r>
              <w:rPr>
                <w:rFonts w:ascii="Arial" w:cs="Arial" w:eastAsia="Arial" w:hAnsi="Arial"/>
                <w:sz w:val="18"/>
                <w:szCs w:val="18"/>
                <w:b w:val="1"/>
                <w:bCs w:val="1"/>
                <w:color w:val="auto"/>
              </w:rPr>
              <w:t xml:space="preserve"> “ADS(s)”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“Articles of Association”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“Beneficial Owner”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2</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“Certificated ADS(s)”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“Citibank”</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“Commission”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“Company”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“Custodian”</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“Deliver”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“Deposit Agreement”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“Depositary”</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3</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“Deposited Property”</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“Deposited Securities”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 xml:space="preserve">“Dollars”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1.18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“DTC”</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1.19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“DTC Participant”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“Exchange Act”</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“Foreign Currency”</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“Full Entitlement ADR(s)”, “Full Entitlement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“Full Entitlement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“Holder(s)”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1.24</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“Partial Entitlement ADR(s)”, “Partial Entitlement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“Partial Entitlement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1.25</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“Principal Office”</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1.26</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“Registrar”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1.27</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“Restricted Securities”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1.28</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“Restricted ADR(s)”, “Restricted ADS(s)” </w:t>
            </w:r>
            <w:r>
              <w:rPr>
                <w:rFonts w:ascii="Arial" w:cs="Arial" w:eastAsia="Arial" w:hAnsi="Arial"/>
                <w:sz w:val="18"/>
                <w:szCs w:val="18"/>
                <w:color w:val="auto"/>
              </w:rPr>
              <w:t>and</w:t>
            </w:r>
            <w:r>
              <w:rPr>
                <w:rFonts w:ascii="Arial" w:cs="Arial" w:eastAsia="Arial" w:hAnsi="Arial"/>
                <w:sz w:val="18"/>
                <w:szCs w:val="18"/>
                <w:b w:val="1"/>
                <w:bCs w:val="1"/>
                <w:color w:val="auto"/>
              </w:rPr>
              <w:t xml:space="preserve"> “Restricted Shares”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1.29</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“Securities Act”</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1.30</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“Share Registrar”</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“Shares”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1.32</w:t>
            </w:r>
          </w:p>
        </w:tc>
        <w:tc>
          <w:tcPr>
            <w:tcW w:w="908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“Uncertificated ADS(s)”</w:t>
            </w:r>
          </w:p>
        </w:tc>
        <w:tc>
          <w:tcPr>
            <w:tcW w:w="800" w:type="dxa"/>
            <w:vAlign w:val="bottom"/>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1.33</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rPr>
              <w:t>“United States” and “U.S.”</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14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2"/>
        </w:trPr>
        <w:tc>
          <w:tcPr>
            <w:tcW w:w="10440" w:type="dxa"/>
            <w:vAlign w:val="bottom"/>
            <w:gridSpan w:val="54"/>
          </w:tcPr>
          <w:p>
            <w:pPr>
              <w:spacing w:after="0" w:line="201" w:lineRule="exact"/>
              <w:rPr>
                <w:sz w:val="20"/>
                <w:szCs w:val="20"/>
                <w:color w:val="auto"/>
              </w:rPr>
            </w:pPr>
            <w:r>
              <w:rPr>
                <w:rFonts w:ascii="Arial" w:cs="Arial" w:eastAsia="Arial" w:hAnsi="Arial"/>
                <w:sz w:val="18"/>
                <w:szCs w:val="18"/>
                <w:color w:val="auto"/>
              </w:rPr>
              <w:t>ARTICLE II APPOINTMENT OF DEPOSITARY; FORM OF RECEIPTS; DEPOSIT OF SHARES; EXECUTION AND DELIVERY,</w:t>
            </w:r>
          </w:p>
        </w:tc>
        <w:tc>
          <w:tcPr>
            <w:tcW w:w="8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6</w:t>
            </w:r>
          </w:p>
        </w:tc>
      </w:tr>
      <w:tr>
        <w:trPr>
          <w:trHeight w:val="230"/>
        </w:trPr>
        <w:tc>
          <w:tcPr>
            <w:tcW w:w="10440" w:type="dxa"/>
            <w:vAlign w:val="bottom"/>
            <w:gridSpan w:val="54"/>
          </w:tcPr>
          <w:p>
            <w:pPr>
              <w:spacing w:after="0"/>
              <w:rPr>
                <w:sz w:val="20"/>
                <w:szCs w:val="20"/>
                <w:color w:val="auto"/>
              </w:rPr>
            </w:pPr>
            <w:r>
              <w:rPr>
                <w:rFonts w:ascii="Arial" w:cs="Arial" w:eastAsia="Arial" w:hAnsi="Arial"/>
                <w:sz w:val="18"/>
                <w:szCs w:val="18"/>
                <w:color w:val="auto"/>
              </w:rPr>
              <w:t>TRANSFER AND SURRENDER OF RECEIPTS</w:t>
            </w:r>
          </w:p>
        </w:tc>
        <w:tc>
          <w:tcPr>
            <w:tcW w:w="80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w:t>
            </w:r>
          </w:p>
        </w:tc>
        <w:tc>
          <w:tcPr>
            <w:tcW w:w="9080" w:type="dxa"/>
            <w:vAlign w:val="bottom"/>
            <w:gridSpan w:val="53"/>
          </w:tcPr>
          <w:p>
            <w:pPr>
              <w:spacing w:after="0" w:line="176" w:lineRule="exact"/>
              <w:rPr>
                <w:sz w:val="20"/>
                <w:szCs w:val="20"/>
                <w:color w:val="auto"/>
              </w:rPr>
            </w:pPr>
            <w:r>
              <w:rPr>
                <w:rFonts w:ascii="Arial" w:cs="Arial" w:eastAsia="Arial" w:hAnsi="Arial"/>
                <w:sz w:val="18"/>
                <w:szCs w:val="18"/>
                <w:b w:val="1"/>
                <w:bCs w:val="1"/>
                <w:color w:val="auto"/>
                <w:w w:val="93"/>
              </w:rPr>
              <w:t xml:space="preserve">Appointment of Depositary. </w:t>
            </w:r>
            <w:r>
              <w:rPr>
                <w:rFonts w:ascii="Arial" w:cs="Arial" w:eastAsia="Arial" w:hAnsi="Arial"/>
                <w:sz w:val="18"/>
                <w:szCs w:val="18"/>
                <w:color w:val="auto"/>
                <w:w w:val="93"/>
              </w:rPr>
              <w:t>The Company hereby appoints the Depositary as depositary for the Deposited Property and</w:t>
            </w:r>
          </w:p>
        </w:tc>
        <w:tc>
          <w:tcPr>
            <w:tcW w:w="8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2100" w:type="dxa"/>
            <w:vAlign w:val="bottom"/>
            <w:gridSpan w:val="32"/>
            <w:shd w:val="clear" w:color="auto" w:fill="000000"/>
          </w:tcPr>
          <w:p>
            <w:pPr>
              <w:spacing w:after="0" w:line="20" w:lineRule="exact"/>
              <w:rPr>
                <w:sz w:val="1"/>
                <w:szCs w:val="1"/>
                <w:color w:val="auto"/>
              </w:rPr>
            </w:pPr>
          </w:p>
        </w:tc>
        <w:tc>
          <w:tcPr>
            <w:tcW w:w="6980" w:type="dxa"/>
            <w:vAlign w:val="bottom"/>
            <w:gridSpan w:val="2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080" w:type="dxa"/>
            <w:vAlign w:val="bottom"/>
            <w:gridSpan w:val="53"/>
          </w:tcPr>
          <w:p>
            <w:pPr>
              <w:spacing w:after="0"/>
              <w:rPr>
                <w:sz w:val="20"/>
                <w:szCs w:val="20"/>
                <w:color w:val="auto"/>
              </w:rPr>
            </w:pPr>
            <w:r>
              <w:rPr>
                <w:rFonts w:ascii="Arial" w:cs="Arial" w:eastAsia="Arial" w:hAnsi="Arial"/>
                <w:sz w:val="18"/>
                <w:szCs w:val="18"/>
                <w:color w:val="auto"/>
                <w:w w:val="95"/>
              </w:rPr>
              <w:t>hereby authorizes and directs the Depositary to act in accordance with the terms and conditions set forth in the Deposit</w:t>
            </w:r>
          </w:p>
        </w:tc>
        <w:tc>
          <w:tcPr>
            <w:tcW w:w="80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080" w:type="dxa"/>
            <w:vAlign w:val="bottom"/>
            <w:gridSpan w:val="53"/>
          </w:tcPr>
          <w:p>
            <w:pPr>
              <w:spacing w:after="0"/>
              <w:rPr>
                <w:sz w:val="20"/>
                <w:szCs w:val="20"/>
                <w:color w:val="auto"/>
              </w:rPr>
            </w:pPr>
            <w:r>
              <w:rPr>
                <w:rFonts w:ascii="Arial" w:cs="Arial" w:eastAsia="Arial" w:hAnsi="Arial"/>
                <w:sz w:val="18"/>
                <w:szCs w:val="18"/>
                <w:color w:val="auto"/>
                <w:w w:val="97"/>
              </w:rPr>
              <w:t>Agreement and the applicable ADRs. Each Holder and each Beneficial Owner, upon acceptance of any ADSs (or any</w:t>
            </w:r>
          </w:p>
        </w:tc>
        <w:tc>
          <w:tcPr>
            <w:tcW w:w="8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080" w:type="dxa"/>
            <w:vAlign w:val="bottom"/>
            <w:gridSpan w:val="53"/>
          </w:tcPr>
          <w:p>
            <w:pPr>
              <w:spacing w:after="0"/>
              <w:rPr>
                <w:sz w:val="20"/>
                <w:szCs w:val="20"/>
                <w:color w:val="auto"/>
              </w:rPr>
            </w:pPr>
            <w:r>
              <w:rPr>
                <w:rFonts w:ascii="Arial" w:cs="Arial" w:eastAsia="Arial" w:hAnsi="Arial"/>
                <w:sz w:val="18"/>
                <w:szCs w:val="18"/>
                <w:color w:val="auto"/>
                <w:w w:val="97"/>
              </w:rPr>
              <w:t>interest therein) issued in accordance with the terms and conditions of the Deposit Agreement shall be deemed for all</w:t>
            </w:r>
          </w:p>
        </w:tc>
        <w:tc>
          <w:tcPr>
            <w:tcW w:w="800" w:type="dxa"/>
            <w:vAlign w:val="bottom"/>
          </w:tcPr>
          <w:p>
            <w:pPr>
              <w:spacing w:after="0"/>
              <w:rPr>
                <w:sz w:val="20"/>
                <w:szCs w:val="20"/>
                <w:color w:val="auto"/>
              </w:rPr>
            </w:pPr>
          </w:p>
        </w:tc>
      </w:tr>
    </w:tbl>
    <w:p>
      <w:pPr>
        <w:ind w:left="1360" w:right="1000"/>
        <w:spacing w:after="0" w:line="270" w:lineRule="auto"/>
        <w:rPr>
          <w:sz w:val="20"/>
          <w:szCs w:val="20"/>
          <w:color w:val="auto"/>
        </w:rPr>
      </w:pPr>
      <w:r>
        <w:rPr>
          <w:rFonts w:ascii="Arial" w:cs="Arial" w:eastAsia="Arial" w:hAnsi="Arial"/>
          <w:sz w:val="17"/>
          <w:szCs w:val="17"/>
          <w:color w:val="auto"/>
        </w:rPr>
        <w:t>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27"/>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Section 2.2</w:t>
            </w:r>
          </w:p>
        </w:tc>
        <w:tc>
          <w:tcPr>
            <w:tcW w:w="2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Form and Transferability of ADSs</w:t>
            </w:r>
          </w:p>
        </w:tc>
        <w:tc>
          <w:tcPr>
            <w:tcW w:w="6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w:t>
            </w: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2.3</w:t>
            </w:r>
          </w:p>
        </w:tc>
        <w:tc>
          <w:tcPr>
            <w:tcW w:w="91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1"/>
              </w:rPr>
              <w:t xml:space="preserve">Deposit of Shares. </w:t>
            </w:r>
            <w:r>
              <w:rPr>
                <w:rFonts w:ascii="Arial" w:cs="Arial" w:eastAsia="Arial" w:hAnsi="Arial"/>
                <w:sz w:val="18"/>
                <w:szCs w:val="18"/>
                <w:color w:val="auto"/>
                <w:w w:val="91"/>
              </w:rPr>
              <w:t>Subject to the terms and conditions of the Deposit Agreement and applicable law, Shares or evidence of</w:t>
            </w:r>
          </w:p>
        </w:tc>
        <w:tc>
          <w:tcPr>
            <w:tcW w:w="74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8</w:t>
            </w: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20"/>
        <w:spacing w:after="0" w:line="283" w:lineRule="auto"/>
        <w:rPr>
          <w:sz w:val="20"/>
          <w:szCs w:val="20"/>
          <w:color w:val="auto"/>
        </w:rPr>
      </w:pP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 Shares represented</w:t>
      </w:r>
      <w:r>
        <w:rPr>
          <w:rFonts w:ascii="Arial" w:cs="Arial" w:eastAsia="Arial" w:hAnsi="Arial"/>
          <w:sz w:val="16"/>
          <w:szCs w:val="16"/>
          <w:color w:val="auto"/>
        </w:rPr>
        <w:t xml:space="preserve"> </w:t>
      </w:r>
      <w:r>
        <w:rPr>
          <w:rFonts w:ascii="Arial" w:cs="Arial" w:eastAsia="Arial" w:hAnsi="Arial"/>
          <w:sz w:val="16"/>
          <w:szCs w:val="16"/>
          <w:i w:val="1"/>
          <w:iCs w:val="1"/>
          <w:color w:val="auto"/>
        </w:rPr>
        <w:t>by certificates issued in registered form</w:t>
      </w:r>
      <w:r>
        <w:rPr>
          <w:rFonts w:ascii="Arial" w:cs="Arial" w:eastAsia="Arial" w:hAnsi="Arial"/>
          <w:sz w:val="16"/>
          <w:szCs w:val="16"/>
          <w:color w:val="auto"/>
        </w:rPr>
        <w:t>, appropriate instruments of transfer or endorsement, in a form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satisfactory to 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w:t>
      </w:r>
    </w:p>
    <w:p>
      <w:pPr>
        <w:spacing w:after="0" w:line="1" w:lineRule="exact"/>
        <w:rPr>
          <w:sz w:val="20"/>
          <w:szCs w:val="20"/>
          <w:color w:val="auto"/>
        </w:rPr>
      </w:pPr>
    </w:p>
    <w:p>
      <w:pPr>
        <w:ind w:left="1360" w:right="900"/>
        <w:spacing w:after="0" w:line="268" w:lineRule="auto"/>
        <w:rPr>
          <w:sz w:val="20"/>
          <w:szCs w:val="20"/>
          <w:color w:val="auto"/>
        </w:rPr>
      </w:pPr>
      <w:r>
        <w:rPr>
          <w:rFonts w:ascii="Arial" w:cs="Arial" w:eastAsia="Arial" w:hAnsi="Arial"/>
          <w:sz w:val="17"/>
          <w:szCs w:val="17"/>
          <w:color w:val="auto"/>
        </w:rPr>
        <w:t>(D)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48" w:name="page249"/>
    <w:bookmarkEnd w:id="248"/>
    <w:p>
      <w:pPr>
        <w:ind w:left="960" w:hanging="1349"/>
        <w:spacing w:after="0" w:line="276" w:lineRule="auto"/>
        <w:tabs>
          <w:tab w:leader="none" w:pos="9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7"/>
          <w:szCs w:val="17"/>
          <w:b w:val="1"/>
          <w:bCs w:val="1"/>
          <w:u w:val="single" w:color="auto"/>
          <w:color w:val="auto"/>
        </w:rPr>
        <w:t>Registration and Safekeeping of Deposited Securities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Depositary shall instruct the Custodian upon each Delivery of 9</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registered Shares being deposited hereunder with the Custodian (or other Deposited Securities pursuant to 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132320" cy="28803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r>
    </w:p>
    <w:p>
      <w:pPr>
        <w:ind w:left="960" w:right="500"/>
        <w:spacing w:after="0" w:line="284" w:lineRule="auto"/>
        <w:rPr>
          <w:sz w:val="20"/>
          <w:szCs w:val="20"/>
          <w:color w:val="auto"/>
        </w:rPr>
      </w:pPr>
      <w:r>
        <w:rPr>
          <w:rFonts w:ascii="Arial" w:cs="Arial" w:eastAsia="Arial" w:hAnsi="Arial"/>
          <w:sz w:val="16"/>
          <w:szCs w:val="16"/>
          <w:color w:val="auto"/>
        </w:rPr>
        <w:t>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931" w:right="7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2.5</w:t>
            </w: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Issuance of ADSs</w:t>
            </w:r>
            <w:r>
              <w:rPr>
                <w:rFonts w:ascii="Arial" w:cs="Arial" w:eastAsia="Arial" w:hAnsi="Arial"/>
                <w:sz w:val="18"/>
                <w:szCs w:val="18"/>
                <w:color w:val="auto"/>
              </w:rPr>
              <w:t>. The Depositary has made arrangements with the Custodian for the Custodian to confirm to the</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w:t>
            </w:r>
          </w:p>
        </w:tc>
      </w:tr>
      <w:tr>
        <w:trPr>
          <w:trHeight w:val="20"/>
        </w:trPr>
        <w:tc>
          <w:tcPr>
            <w:tcW w:w="13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Depositary upon receipt of a deposit of Shares (i) that a deposit of Shares has been made pursuant to Section 2.3, (ii) that</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such Deposited Securities have been recorded in the name of the Depositary, the Custodian or a nominee of either on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shareholders’ register maintained by or on behalf of the Company by the Share Registrar or on the books of the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book-entry settlement entity, (iii) that all required documents have been received, and (iv) the person(s) to whom or upon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whose order ADSs are deliverable in respect thereof and the number of ADSs to be so delivered. Such notification may be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made by letter, cable, telex, SWIFT message or, at the risk and expense of the person making the deposit, by facsimile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other means of electronic transmission. Upon receiving such notice from the Custodian, the Depositary, subject to the terms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and conditions of the Deposit Agreement and applicable law, shall issue the ADSs representing the Shares so deposited to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upon the order of the person(s) named in the notice delivered to the Depositary and, if applicable, shall execute and deliver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at its Principal Office Receipt(s) registered in the name(s) requested by such person(s) and evidencing the aggregate number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of ADSs to which such person(s) is/are entitled, but, in each case, only upon payment to the Depositary of the ADS fees and</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6"/>
              </w:rPr>
              <w:t>charges of the Depositary for accepting a deposit of Shares and issuing ADSs (as set forth in Section 5.9 and Exhibit B</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hereto) and all taxes and governmental charges and fees payable in connection with such deposit and the transfer of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Shares and the issuance of the ADS(s). Upon receipt of satisfactory instructions from ADS Holders and payment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applicable taxes and the ADS fees and charges of the Depositary for the issuance, cancellation and conversion of ADSs (as</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5"/>
              </w:rPr>
              <w:t>set forth in Section 5.9 and Exhibit B hereto), the Depositary shall also, subject to the applicable terms and conditions of,</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720" w:type="dxa"/>
            <w:vAlign w:val="bottom"/>
            <w:gridSpan w:val="3"/>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7"/>
              </w:rPr>
              <w:t>and contemplated in, the Deposit Agreement and applicable law, issue new ADSs in connection with the conversion of</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7"/>
              </w:rPr>
              <w:t>existing ADSs of one series for ADSs of another series (e.g. in connection with the conversion of Restricted ADSs into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freely transferable ADSs and the conversion of Partial Entitlement ADSs into Full Entitlement ADSs), in which case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shall (i) only issue such number of new ADSs of one series as equals the number of existing ADSs cancelled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the corresponding series, and (ii) only process such ADS conversion to the extent the Depositary has to the extent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instructed the Custodian to transfer the corresponding Shares from and into the applicable custody accounts maintained for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8"/>
              </w:rPr>
              <w:t>the applicable ADS series. The Depositary shall only issue ADSs in whole numbers and deliver, if applicable, ADR(s)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evidencing whole numbers of ADSs</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2.6</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Transfer, Combination and Split-up of ADRs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10</w:t>
            </w:r>
          </w:p>
        </w:tc>
      </w:tr>
      <w:tr>
        <w:trPr>
          <w:trHeight w:val="20"/>
        </w:trPr>
        <w:tc>
          <w:tcPr>
            <w:tcW w:w="1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2.7</w:t>
            </w: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6"/>
              </w:rPr>
              <w:t xml:space="preserve">Surrender of ADSs and Withdrawal of Deposited Securities. </w:t>
            </w:r>
            <w:r>
              <w:rPr>
                <w:rFonts w:ascii="Arial" w:cs="Arial" w:eastAsia="Arial" w:hAnsi="Arial"/>
                <w:sz w:val="18"/>
                <w:szCs w:val="18"/>
                <w:color w:val="auto"/>
                <w:w w:val="96"/>
              </w:rPr>
              <w:t>The Holder of ADSs shall be entitled to Delivery (at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Custodian’s designated office) of the Deposited Securities at the time represented by the ADSs upon satisfaction of each of</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the following conditions: (i) the Holder (or a duly-authorized attorney of the Holder) has duly Delivered ADSs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Depositary at its Principal Office (and if applicable, the ADRs evidencing such ADSs) for the purpose of withdrawal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Deposited Securities represented thereby, (ii) if applicable and so required by the Depositary, the ADRs Delivered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for such purpose have been properly endorsed in blank or are accompanied by proper instruments of transfer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blank (including signature guarantees in accordance with standard securities industry practice), (iii) if so required by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Depositary, the Holder of the ADSs has executed and delivered to the Depositary a written order directing the Depositary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cause the Deposited Securities being withdrawn to be Delivered to or upon the written order of the person(s) designated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such order, and (iv) all applicable ADS fees and charges of, and expenses incurred by, the Depositary and all applicable</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w w:val="94"/>
              </w:rPr>
              <w:t xml:space="preserve">taxes and governmental charges (as are set forth in Section 5.9 and Exhibit B) have been paid, </w:t>
            </w:r>
            <w:r>
              <w:rPr>
                <w:rFonts w:ascii="Arial" w:cs="Arial" w:eastAsia="Arial" w:hAnsi="Arial"/>
                <w:sz w:val="18"/>
                <w:szCs w:val="18"/>
                <w:i w:val="1"/>
                <w:iCs w:val="1"/>
                <w:color w:val="auto"/>
                <w:w w:val="94"/>
              </w:rPr>
              <w:t>subject, however, in each</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680" w:type="dxa"/>
            <w:vAlign w:val="bottom"/>
            <w:gridSpan w:val="2"/>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w w:val="93"/>
              </w:rPr>
              <w:t>case</w:t>
            </w:r>
            <w:r>
              <w:rPr>
                <w:rFonts w:ascii="Arial" w:cs="Arial" w:eastAsia="Arial" w:hAnsi="Arial"/>
                <w:sz w:val="18"/>
                <w:szCs w:val="18"/>
                <w:color w:val="auto"/>
                <w:w w:val="93"/>
              </w:rPr>
              <w:t>, to the terms and conditions of the ADRs evidencing the surrendered ADSs, of the Deposit Agreement, of the Articles</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of Association, and of any applicable laws and the rules of the applicable book-entry settlement entity, and to any provisions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of or governing the Deposited Securities, in each case as in effect at the time thereof</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2.8</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Limitations on Execution and Delivery, Transfer, etc. of ADSs; Suspension of Delivery, Transfer, etc.</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12</w:t>
            </w:r>
          </w:p>
        </w:tc>
      </w:tr>
      <w:tr>
        <w:trPr>
          <w:trHeight w:val="21"/>
        </w:trPr>
        <w:tc>
          <w:tcPr>
            <w:tcW w:w="13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2.9</w:t>
            </w:r>
          </w:p>
        </w:tc>
        <w:tc>
          <w:tcPr>
            <w:tcW w:w="91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Lost ADRs, etc. </w:t>
            </w:r>
            <w:r>
              <w:rPr>
                <w:rFonts w:ascii="Arial" w:cs="Arial" w:eastAsia="Arial" w:hAnsi="Arial"/>
                <w:sz w:val="18"/>
                <w:szCs w:val="18"/>
                <w:color w:val="auto"/>
                <w:w w:val="94"/>
              </w:rPr>
              <w:t>In case any ADR shall be mutilated, destroyed, lost, or stolen, the Depositary shall execute and deliver a</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780" w:type="dxa"/>
            <w:vAlign w:val="bottom"/>
            <w:gridSpan w:val="4"/>
            <w:shd w:val="clear" w:color="auto" w:fill="CCEEFF"/>
          </w:tcPr>
          <w:p>
            <w:pPr>
              <w:spacing w:after="0" w:line="20" w:lineRule="exact"/>
              <w:rPr>
                <w:sz w:val="1"/>
                <w:szCs w:val="1"/>
                <w:color w:val="auto"/>
              </w:rPr>
            </w:pPr>
          </w:p>
        </w:tc>
        <w:tc>
          <w:tcPr>
            <w:tcW w:w="322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 xml:space="preserve">new ADR of like tenor at the expense of the Holder (a) </w:t>
            </w:r>
            <w:r>
              <w:rPr>
                <w:rFonts w:ascii="Arial" w:cs="Arial" w:eastAsia="Arial" w:hAnsi="Arial"/>
                <w:sz w:val="18"/>
                <w:szCs w:val="18"/>
                <w:i w:val="1"/>
                <w:iCs w:val="1"/>
                <w:color w:val="auto"/>
                <w:w w:val="94"/>
              </w:rPr>
              <w:t>in the case of a mutilated ADR,</w:t>
            </w:r>
            <w:r>
              <w:rPr>
                <w:rFonts w:ascii="Arial" w:cs="Arial" w:eastAsia="Arial" w:hAnsi="Arial"/>
                <w:sz w:val="18"/>
                <w:szCs w:val="18"/>
                <w:color w:val="auto"/>
                <w:w w:val="94"/>
              </w:rPr>
              <w:t xml:space="preserve"> in exchange of and substitution for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 xml:space="preserve">such mutilated ADR upon cancellation thereof, or (b) </w:t>
            </w:r>
            <w:r>
              <w:rPr>
                <w:rFonts w:ascii="Arial" w:cs="Arial" w:eastAsia="Arial" w:hAnsi="Arial"/>
                <w:sz w:val="18"/>
                <w:szCs w:val="18"/>
                <w:i w:val="1"/>
                <w:iCs w:val="1"/>
                <w:color w:val="auto"/>
                <w:w w:val="99"/>
              </w:rPr>
              <w:t>in the case of a destroyed, lost or stolen ADR,</w:t>
            </w:r>
            <w:r>
              <w:rPr>
                <w:rFonts w:ascii="Arial" w:cs="Arial" w:eastAsia="Arial" w:hAnsi="Arial"/>
                <w:sz w:val="18"/>
                <w:szCs w:val="18"/>
                <w:color w:val="auto"/>
                <w:w w:val="99"/>
              </w:rPr>
              <w:t xml:space="preserve"> in lieu of and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substitution for such destroyed, lost, or stolen ADR, after the Holder thereof (i) has submitted to the Depositary a written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request for such exchange and substitution before the Depositary has notice that the ADR has been acquired by a bona fide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purchaser, (ii) has provided such security or indemnity (including an indemnity bond) as may be required by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1"/>
              </w:rPr>
              <w:t>to save it and any of its agents harmless, and (iii) has satisfied any other reasonable requirements imposed by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including, without limitation, evidence reasonably satisfactory to the Depositary of such destruction, loss or theft of such</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ADR, the authenticity thereof and the Holder’s ownership thereof</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2.10</w:t>
            </w:r>
          </w:p>
        </w:tc>
        <w:tc>
          <w:tcPr>
            <w:tcW w:w="9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w w:val="93"/>
              </w:rPr>
              <w:t xml:space="preserve">Cancellation and Destruction of Surrendered ADRs; Maintenance of Records. </w:t>
            </w:r>
            <w:r>
              <w:rPr>
                <w:rFonts w:ascii="Arial" w:cs="Arial" w:eastAsia="Arial" w:hAnsi="Arial"/>
                <w:sz w:val="18"/>
                <w:szCs w:val="18"/>
                <w:color w:val="auto"/>
                <w:w w:val="93"/>
              </w:rPr>
              <w:t>All ADRs surrendered to the Depositary</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tcPr>
          <w:p>
            <w:pPr>
              <w:spacing w:after="0" w:line="20" w:lineRule="exact"/>
              <w:rPr>
                <w:sz w:val="1"/>
                <w:szCs w:val="1"/>
                <w:color w:val="auto"/>
              </w:rPr>
            </w:pPr>
          </w:p>
        </w:tc>
        <w:tc>
          <w:tcPr>
            <w:tcW w:w="5940" w:type="dxa"/>
            <w:vAlign w:val="bottom"/>
            <w:gridSpan w:val="5"/>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w w:val="92"/>
              </w:rPr>
              <w:t>shall be canceled by the Depositary. Canceled ADRs shall not be entitled to any benefits under the Deposit Agreement or be</w:t>
            </w:r>
          </w:p>
        </w:tc>
        <w:tc>
          <w:tcPr>
            <w:tcW w:w="720" w:type="dxa"/>
            <w:vAlign w:val="bottom"/>
          </w:tcPr>
          <w:p>
            <w:pPr>
              <w:spacing w:after="0"/>
              <w:rPr>
                <w:sz w:val="20"/>
                <w:szCs w:val="20"/>
                <w:color w:val="auto"/>
              </w:rPr>
            </w:pPr>
          </w:p>
        </w:tc>
      </w:tr>
    </w:tbl>
    <w:p>
      <w:pPr>
        <w:ind w:left="1360" w:right="1260"/>
        <w:spacing w:after="0" w:line="253" w:lineRule="auto"/>
        <w:rPr>
          <w:sz w:val="20"/>
          <w:szCs w:val="20"/>
          <w:color w:val="auto"/>
        </w:rPr>
      </w:pPr>
      <w:r>
        <w:rPr>
          <w:rFonts w:ascii="Arial" w:cs="Arial" w:eastAsia="Arial" w:hAnsi="Arial"/>
          <w:sz w:val="18"/>
          <w:szCs w:val="18"/>
          <w:color w:val="auto"/>
        </w:rPr>
        <w:t>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8"/>
          <w:szCs w:val="18"/>
          <w:i w:val="1"/>
          <w:iCs w:val="1"/>
          <w:color w:val="auto"/>
        </w:rPr>
        <w:t>e.g.</w:t>
      </w:r>
      <w:r>
        <w:rPr>
          <w:rFonts w:ascii="Arial" w:cs="Arial" w:eastAsia="Arial" w:hAnsi="Arial"/>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2.11</w:t>
            </w: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Escheatment. </w:t>
            </w:r>
            <w:r>
              <w:rPr>
                <w:rFonts w:ascii="Arial" w:cs="Arial" w:eastAsia="Arial" w:hAnsi="Arial"/>
                <w:sz w:val="18"/>
                <w:szCs w:val="18"/>
                <w:color w:val="auto"/>
                <w:w w:val="99"/>
              </w:rPr>
              <w:t>In the event any unclaimed property relating to the ADSs, for any reason, is in the possession of the</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0"/>
        </w:trPr>
        <w:tc>
          <w:tcPr>
            <w:tcW w:w="1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Depositary and has not been claimed by the Holder thereof or cannot be delivered to the Holder thereof through usual</w:t>
            </w:r>
          </w:p>
        </w:tc>
        <w:tc>
          <w:tcPr>
            <w:tcW w:w="76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channels, the Depositary shall, upon expiration of any applicable statutory period relating to abandoned property laws,</w:t>
            </w:r>
          </w:p>
        </w:tc>
        <w:tc>
          <w:tcPr>
            <w:tcW w:w="76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escheat such unclaimed property to the relevant authorities in accordance with the laws of each of the relevant States of the</w:t>
            </w:r>
          </w:p>
        </w:tc>
        <w:tc>
          <w:tcPr>
            <w:tcW w:w="76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2.12</w:t>
            </w:r>
          </w:p>
        </w:tc>
        <w:tc>
          <w:tcPr>
            <w:tcW w:w="91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2"/>
              </w:rPr>
              <w:t xml:space="preserve">Partial Entitlement ADSs. </w:t>
            </w:r>
            <w:r>
              <w:rPr>
                <w:rFonts w:ascii="Arial" w:cs="Arial" w:eastAsia="Arial" w:hAnsi="Arial"/>
                <w:sz w:val="18"/>
                <w:szCs w:val="18"/>
                <w:color w:val="auto"/>
                <w:w w:val="92"/>
              </w:rPr>
              <w:t>In the event any Shares are deposited which (i) entitle the holders thereof to receive a per-share</w:t>
            </w:r>
          </w:p>
        </w:tc>
        <w:tc>
          <w:tcPr>
            <w:tcW w:w="7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13</w:t>
            </w: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3" w:lineRule="auto"/>
        <w:rPr>
          <w:sz w:val="20"/>
          <w:szCs w:val="20"/>
          <w:color w:val="auto"/>
        </w:rPr>
      </w:pP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2" w:name="page253"/>
    <w:bookmarkEnd w:id="252"/>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Notwithstanding any other provision of the Deposit Agreement, the Depositary may, at 14</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any time and from time to time, issue ADSs that are not evidenced by ADRs (such ADSs, the “</w:t>
      </w:r>
      <w:r>
        <w:rPr>
          <w:rFonts w:ascii="Arial" w:cs="Arial" w:eastAsia="Arial" w:hAnsi="Arial"/>
          <w:sz w:val="17"/>
          <w:szCs w:val="17"/>
          <w:u w:val="single" w:color="auto"/>
          <w:color w:val="auto"/>
        </w:rPr>
        <w:t>Uncertificated ADS(s)</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67208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ind w:left="1000" w:right="560"/>
        <w:spacing w:after="0" w:line="282" w:lineRule="auto"/>
        <w:rPr>
          <w:sz w:val="20"/>
          <w:szCs w:val="20"/>
          <w:color w:val="auto"/>
        </w:rPr>
      </w:pPr>
      <w:r>
        <w:rPr>
          <w:rFonts w:ascii="Arial" w:cs="Arial" w:eastAsia="Arial" w:hAnsi="Arial"/>
          <w:sz w:val="16"/>
          <w:szCs w:val="16"/>
          <w:color w:val="auto"/>
        </w:rPr>
        <w:t>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2.14</w:t>
            </w: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Restricted ADSs. </w:t>
            </w:r>
            <w:r>
              <w:rPr>
                <w:rFonts w:ascii="Arial" w:cs="Arial" w:eastAsia="Arial" w:hAnsi="Arial"/>
                <w:sz w:val="18"/>
                <w:szCs w:val="18"/>
                <w:color w:val="auto"/>
                <w:w w:val="95"/>
              </w:rPr>
              <w:t>The Depositary shall, at the request and expense of the Company, establish procedures enabling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deposit hereunder of Shares that are Restricted Securities in order to enable the holder of such Shares to hold its ownership</w:t>
            </w:r>
          </w:p>
        </w:tc>
        <w:tc>
          <w:tcPr>
            <w:tcW w:w="72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8"/>
            <w:shd w:val="clear" w:color="auto" w:fill="CCEEFF"/>
          </w:tcPr>
          <w:p>
            <w:pPr>
              <w:spacing w:after="0" w:line="190" w:lineRule="exact"/>
              <w:rPr>
                <w:sz w:val="20"/>
                <w:szCs w:val="20"/>
                <w:color w:val="auto"/>
              </w:rPr>
            </w:pPr>
            <w:r>
              <w:rPr>
                <w:rFonts w:ascii="Arial" w:cs="Arial" w:eastAsia="Arial" w:hAnsi="Arial"/>
                <w:sz w:val="18"/>
                <w:szCs w:val="18"/>
                <w:color w:val="auto"/>
                <w:w w:val="92"/>
              </w:rPr>
              <w:t>interests in such Restricted Securities in the form of ADSs issued under the terms hereof (such Shares, “Restricted Shares”).</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Upon receipt of a written request from the Company to accept Restricted Shares for deposit hereunder, the Depositary agrees</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to establish procedures permitting the deposit of such Restricted Shares and the issuance of ADSs representing the right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receive, subject to the terms of the Deposit Agreement and the applicable ADR (if issued as a Certificated ADS), such</w:t>
            </w:r>
          </w:p>
        </w:tc>
        <w:tc>
          <w:tcPr>
            <w:tcW w:w="72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60" w:type="dxa"/>
            <w:vAlign w:val="bottom"/>
            <w:gridSpan w:val="8"/>
            <w:shd w:val="clear" w:color="auto" w:fill="CCEEFF"/>
          </w:tcPr>
          <w:p>
            <w:pPr>
              <w:spacing w:after="0" w:line="190" w:lineRule="exact"/>
              <w:rPr>
                <w:sz w:val="20"/>
                <w:szCs w:val="20"/>
                <w:color w:val="auto"/>
              </w:rPr>
            </w:pPr>
            <w:r>
              <w:rPr>
                <w:rFonts w:ascii="Arial" w:cs="Arial" w:eastAsia="Arial" w:hAnsi="Arial"/>
                <w:sz w:val="18"/>
                <w:szCs w:val="18"/>
                <w:color w:val="auto"/>
                <w:w w:val="97"/>
              </w:rPr>
              <w:t>deposited Restricted Shares (such ADSs, the “Restricted ADSs,” and the ADRs evidencing such Restricted ADSs, the</w:t>
            </w:r>
          </w:p>
        </w:tc>
        <w:tc>
          <w:tcPr>
            <w:tcW w:w="72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916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auto"/>
                <w:w w:val="94"/>
              </w:rPr>
              <w:t>“Restricted ADRs”). Notwithstanding anything contained in this Section 2.14, the Depositary and the Company may, to the</w:t>
            </w:r>
          </w:p>
        </w:tc>
        <w:tc>
          <w:tcPr>
            <w:tcW w:w="720" w:type="dxa"/>
            <w:vAlign w:val="bottom"/>
            <w:shd w:val="clear" w:color="auto" w:fill="CCEEFF"/>
          </w:tcPr>
          <w:p>
            <w:pPr>
              <w:spacing w:after="0"/>
              <w:rPr>
                <w:sz w:val="17"/>
                <w:szCs w:val="17"/>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gridSpan w:val="3"/>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916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auto"/>
                <w:w w:val="95"/>
              </w:rPr>
              <w:t>extent not prohibited by law, agree to issue the Restricted ADSs in uncertificated form (“Uncertificated Restricted ADSs”)</w:t>
            </w:r>
          </w:p>
        </w:tc>
        <w:tc>
          <w:tcPr>
            <w:tcW w:w="720" w:type="dxa"/>
            <w:vAlign w:val="bottom"/>
            <w:shd w:val="clear" w:color="auto" w:fill="CCEEFF"/>
          </w:tcPr>
          <w:p>
            <w:pPr>
              <w:spacing w:after="0"/>
              <w:rPr>
                <w:sz w:val="17"/>
                <w:szCs w:val="17"/>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400" w:type="dxa"/>
            <w:vAlign w:val="bottom"/>
            <w:gridSpan w:val="5"/>
            <w:shd w:val="clear" w:color="auto" w:fill="CCEEFF"/>
          </w:tcPr>
          <w:p>
            <w:pPr>
              <w:spacing w:after="0" w:line="20" w:lineRule="exact"/>
              <w:rPr>
                <w:sz w:val="1"/>
                <w:szCs w:val="1"/>
                <w:color w:val="auto"/>
              </w:rPr>
            </w:pPr>
          </w:p>
        </w:tc>
        <w:tc>
          <w:tcPr>
            <w:tcW w:w="2340" w:type="dxa"/>
            <w:vAlign w:val="bottom"/>
            <w:tcBorders>
              <w:righ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upon such terms and conditions as the Company and the Depositary may deem necessary and appropriate. The Company</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shall assist the Depositary in the establishment of such procedures and agrees that it shall take all steps necessary and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reasonably satisfactory to the Depositary to ensure that the establishment of such procedures does not violate the provisions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of the Securities Act or any other applicable laws. The depositors of such Restricted Shares and the Holders of the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ADSs may be required prior to the deposit of such Restricted Shares, the transfer of the Restricted ADRs and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ADSs or the withdrawal of the Restricted Shares represented by Restricted ADSs to provide such written certifications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agreements as the Depositary or the Company may require. The Company shall provide to the Depositary in writing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legend(s) to be affixed to the Restricted ADRs (if the Restricted ADSs are to be issued as Certificated ADSs), or to be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included in the statements issued from time to time to Holders of Uncertificated ADSs (if issued as Uncertificated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ADSs), which legends shall (i) be in a form reasonably satisfactory to the Depositary and (ii) contain the specific</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circumstances under which the Restricted ADSs, and, if applicable, the Restricted ADRs evidencing the Restricted ADSs,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may be transferred or the Restricted Shares withdrawn. The Restricted ADSs issued upon the deposit of Restricted Shares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shall be separately identified on the books of the Depositary and the Restricted Shares so deposited shall, to the extent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required by law, be held separate and distinct from the other Deposited Securities held hereunder. The Restricted ADSs shall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not be eligible for inclusion in any book-entry settlement system, including, without limitation, DTC (unless (x) otherwise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agreed by the Company and the Depositary, (y) the inclusion of Restricted ADSs is acceptable to the applicable clearing</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system, and (z) the terms of such inclusion are generally accepted by the Commission for Restricted Securities of that type),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and shall not in any way be fungible with the ADSs issued under the terms hereof that are not Restricted ADSs.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Restricted ADSs, and, if applicable, the Restricted ADRs evidencing the Restricted ADSs, shall be transferable only by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Holder thereof upon delivery to the Depositary of (i) all documentation otherwise contemplated by the Deposit Agreement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 xml:space="preserve">and (ii) an opinion of counsel reasonably satisfactory to the Depositary setting forth, </w:t>
            </w:r>
            <w:r>
              <w:rPr>
                <w:rFonts w:ascii="Arial" w:cs="Arial" w:eastAsia="Arial" w:hAnsi="Arial"/>
                <w:sz w:val="18"/>
                <w:szCs w:val="18"/>
                <w:i w:val="1"/>
                <w:iCs w:val="1"/>
                <w:color w:val="auto"/>
                <w:w w:val="95"/>
              </w:rPr>
              <w:t>inter alia</w:t>
            </w:r>
            <w:r>
              <w:rPr>
                <w:rFonts w:ascii="Arial" w:cs="Arial" w:eastAsia="Arial" w:hAnsi="Arial"/>
                <w:sz w:val="18"/>
                <w:szCs w:val="18"/>
                <w:color w:val="auto"/>
                <w:w w:val="95"/>
              </w:rPr>
              <w:t>, the conditions upon which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the Restricted ADSs presented, and, if applicable, the Restricted ADRs evidencing the Restricted ADSs, are transferable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the Holder thereof under applicable securities laws and the transfer restrictions contained in the legend applicable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Restricted ADSs presented for transfer. Except as set forth in this Section 2.14 and except as required by applicable law,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Restricted ADSs and the Restricted ADRs evidencing Restricted ADSs shall be treated as ADSs and ADRs issued and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outstanding under the terms of the Deposit Agreement. In the event that, in determining the rights and obligations of parties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hereto with respect to any Restricted ADSs, any conflict arises between (a) the terms of the Deposit Agreement (other than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this Section 2.14) and (b) the terms of (i) this Section 2.14 or (ii) the applicable Restricted ADR, the terms and conditions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set forth in this Section 2.14 and of the Restricted ADR shall be controlling and shall govern the rights and obligations of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parties to the Deposit Agreement pertaining to the deposited Restricted Shares, the Restricted ADSs and Restricted ADRs</w:t>
            </w:r>
          </w:p>
        </w:tc>
        <w:tc>
          <w:tcPr>
            <w:tcW w:w="720" w:type="dxa"/>
            <w:vAlign w:val="bottom"/>
            <w:shd w:val="clear" w:color="auto" w:fill="CCEEFF"/>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9160" w:type="dxa"/>
            <w:vAlign w:val="bottom"/>
            <w:gridSpan w:val="8"/>
          </w:tcPr>
          <w:p>
            <w:pPr>
              <w:spacing w:after="0" w:line="201" w:lineRule="exact"/>
              <w:rPr>
                <w:sz w:val="20"/>
                <w:szCs w:val="20"/>
                <w:color w:val="auto"/>
              </w:rPr>
            </w:pPr>
            <w:r>
              <w:rPr>
                <w:rFonts w:ascii="Arial" w:cs="Arial" w:eastAsia="Arial" w:hAnsi="Arial"/>
                <w:sz w:val="18"/>
                <w:szCs w:val="18"/>
                <w:color w:val="auto"/>
                <w:w w:val="94"/>
              </w:rPr>
              <w:t>If the Restricted ADRs, the Restricted ADSs and the Restricted Shares cease to be Restricted Securities, the Depositary,</w:t>
            </w:r>
          </w:p>
        </w:tc>
        <w:tc>
          <w:tcPr>
            <w:tcW w:w="72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18"/>
                <w:szCs w:val="18"/>
                <w:color w:val="auto"/>
              </w:rPr>
            </w:pPr>
          </w:p>
        </w:tc>
        <w:tc>
          <w:tcPr>
            <w:tcW w:w="9160" w:type="dxa"/>
            <w:vAlign w:val="bottom"/>
            <w:gridSpan w:val="8"/>
          </w:tcPr>
          <w:p>
            <w:pPr>
              <w:spacing w:after="0"/>
              <w:rPr>
                <w:sz w:val="20"/>
                <w:szCs w:val="20"/>
                <w:color w:val="auto"/>
              </w:rPr>
            </w:pPr>
            <w:r>
              <w:rPr>
                <w:rFonts w:ascii="Arial" w:cs="Arial" w:eastAsia="Arial" w:hAnsi="Arial"/>
                <w:sz w:val="18"/>
                <w:szCs w:val="18"/>
                <w:color w:val="auto"/>
              </w:rPr>
              <w:t xml:space="preserve">upon receipt of (x) an opinion of counsel reasonably satisfactory to the Depositary setting forth, </w:t>
            </w:r>
            <w:r>
              <w:rPr>
                <w:rFonts w:ascii="Arial" w:cs="Arial" w:eastAsia="Arial" w:hAnsi="Arial"/>
                <w:sz w:val="18"/>
                <w:szCs w:val="18"/>
                <w:i w:val="1"/>
                <w:iCs w:val="1"/>
                <w:color w:val="auto"/>
              </w:rPr>
              <w:t>inter alia</w:t>
            </w:r>
            <w:r>
              <w:rPr>
                <w:rFonts w:ascii="Arial" w:cs="Arial" w:eastAsia="Arial" w:hAnsi="Arial"/>
                <w:sz w:val="18"/>
                <w:szCs w:val="18"/>
                <w:color w:val="auto"/>
              </w:rPr>
              <w:t>, that the</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8"/>
          </w:tcPr>
          <w:p>
            <w:pPr>
              <w:spacing w:after="0"/>
              <w:rPr>
                <w:sz w:val="20"/>
                <w:szCs w:val="20"/>
                <w:color w:val="auto"/>
              </w:rPr>
            </w:pPr>
            <w:r>
              <w:rPr>
                <w:rFonts w:ascii="Arial" w:cs="Arial" w:eastAsia="Arial" w:hAnsi="Arial"/>
                <w:sz w:val="18"/>
                <w:szCs w:val="18"/>
                <w:color w:val="auto"/>
                <w:w w:val="92"/>
              </w:rPr>
              <w:t>Restricted ADRs, the Restricted ADSs and the Restricted Shares are not as of such time, or in connection with a transaction,</w:t>
            </w:r>
          </w:p>
        </w:tc>
        <w:tc>
          <w:tcPr>
            <w:tcW w:w="720" w:type="dxa"/>
            <w:vAlign w:val="bottom"/>
          </w:tcPr>
          <w:p>
            <w:pPr>
              <w:spacing w:after="0"/>
              <w:rPr>
                <w:sz w:val="20"/>
                <w:szCs w:val="20"/>
                <w:color w:val="auto"/>
              </w:rPr>
            </w:pPr>
          </w:p>
        </w:tc>
      </w:tr>
    </w:tbl>
    <w:p>
      <w:pPr>
        <w:ind w:left="1360" w:right="900"/>
        <w:spacing w:after="0" w:line="284" w:lineRule="auto"/>
        <w:rPr>
          <w:sz w:val="20"/>
          <w:szCs w:val="20"/>
          <w:color w:val="auto"/>
        </w:rPr>
      </w:pPr>
      <w:r>
        <w:rPr>
          <w:rFonts w:ascii="Arial" w:cs="Arial" w:eastAsia="Arial" w:hAnsi="Arial"/>
          <w:sz w:val="16"/>
          <w:szCs w:val="16"/>
          <w:color w:val="auto"/>
        </w:rPr>
        <w:t xml:space="preserve">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III CERTAIN OBLIGATIONS OF HOLDERS AND BENEFICIAL OWNERS OF ADSs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3.1</w:t>
            </w:r>
          </w:p>
        </w:tc>
        <w:tc>
          <w:tcPr>
            <w:tcW w:w="9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 xml:space="preserve">Proofs, Certificates and Other Information. </w:t>
            </w:r>
            <w:r>
              <w:rPr>
                <w:rFonts w:ascii="Arial" w:cs="Arial" w:eastAsia="Arial" w:hAnsi="Arial"/>
                <w:sz w:val="18"/>
                <w:szCs w:val="18"/>
                <w:color w:val="auto"/>
                <w:w w:val="96"/>
              </w:rPr>
              <w:t>Any person presenting Shares for deposit, any Holder and any Beneficial</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16</w:t>
            </w:r>
          </w:p>
        </w:tc>
      </w:tr>
      <w:tr>
        <w:trPr>
          <w:trHeight w:val="20"/>
        </w:trPr>
        <w:tc>
          <w:tcPr>
            <w:tcW w:w="1360" w:type="dxa"/>
            <w:vAlign w:val="bottom"/>
            <w:shd w:val="clear" w:color="auto" w:fill="CCEEFF"/>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Owner may be required, and every Holder and Beneficial Owner agrees, from time to time to provide to the Depositary and</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the Custodian such proof of citizenship or residence, taxpayer status, payment of all applicable taxes or other governmental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charges, exchange control approval, legal or beneficial ownership of ADSs and Deposited Property, compliance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laws, the terms of the Deposit Agreement or the ADR(s) evidencing the ADSs and the provisions of,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governing, the Deposited Property, to execute such certifications and to make such representations and warranties, and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provide such other information and documentation (or, in the case of Shares in registered form presented for deposit, such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information relating to the registration on the books of the Company or of the Share Registrar) as the Depositary or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Custodian may deem necessary or proper or as the Company may reasonably require by written request to the Depositary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consistent with its obligations under the Deposit Agreement and the applicable ADR(s). The Depositary and the Registrar,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as applicable may withhold the execution or delivery or registration of transfer of any ADR or ADS or the distribution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sale of any dividend or distribution of rights or of the proceeds thereof or, to the extent not limited by the terms of Section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7.8(a), the delivery of any Deposited Property until such proof or other information is filed or such certifications are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executed, or such representations and warranties are made, or such other documentation or information provided, in each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case to the Depositary’s, the Registrar’s and the Company’s satisfaction. The Depositary shall provide the Company, in a</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timely manner, with copies or originals if necessary and appropriate of (i) any such proofs of citizenship or residence,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taxpayer status, or exchange control approval or copies of written representations and warranties which it receives from</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Holders and Beneficial Owners, and (ii) any other information or documents which the Company may reasonably request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and which the Depositary shall request and receive from any Holder or Beneficial Owner or any person presenting Shares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for deposit or ADSs for cancellation, transfer or withdrawal. Nothing herein shall obligate the Depositary to (i) obtain any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information for the Company if not provided by the Holders or Beneficial Owners, or (ii) verify or vouch for the accuracy of</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information so provided by the Holders or Beneficial Owners</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3.2</w:t>
            </w:r>
          </w:p>
        </w:tc>
        <w:tc>
          <w:tcPr>
            <w:tcW w:w="9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9"/>
              </w:rPr>
              <w:t xml:space="preserve">Liability for Taxes and Other Charges. </w:t>
            </w:r>
            <w:r>
              <w:rPr>
                <w:rFonts w:ascii="Arial" w:cs="Arial" w:eastAsia="Arial" w:hAnsi="Arial"/>
                <w:sz w:val="18"/>
                <w:szCs w:val="18"/>
                <w:color w:val="auto"/>
                <w:w w:val="99"/>
              </w:rPr>
              <w:t>Any tax or other governmental charge payable by the Custodian or by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17</w:t>
            </w:r>
          </w:p>
        </w:tc>
      </w:tr>
      <w:tr>
        <w:trPr>
          <w:trHeight w:val="20"/>
        </w:trPr>
        <w:tc>
          <w:tcPr>
            <w:tcW w:w="13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4"/>
              </w:rPr>
              <w:t>Depositary with respect to any Deposited Property, ADSs or ADRs shall be payable by the Holders and Beneficial Owners</w:t>
            </w:r>
          </w:p>
        </w:tc>
        <w:tc>
          <w:tcPr>
            <w:tcW w:w="720" w:type="dxa"/>
            <w:vAlign w:val="bottom"/>
          </w:tcPr>
          <w:p>
            <w:pPr>
              <w:spacing w:after="0"/>
              <w:rPr>
                <w:sz w:val="20"/>
                <w:szCs w:val="20"/>
                <w:color w:val="auto"/>
              </w:rPr>
            </w:pPr>
          </w:p>
        </w:tc>
      </w:tr>
    </w:tbl>
    <w:p>
      <w:pPr>
        <w:ind w:left="1360" w:right="900"/>
        <w:spacing w:after="0" w:line="266" w:lineRule="auto"/>
        <w:rPr>
          <w:sz w:val="20"/>
          <w:szCs w:val="20"/>
          <w:color w:val="auto"/>
        </w:rPr>
      </w:pPr>
      <w:r>
        <w:rPr>
          <w:rFonts w:ascii="Arial" w:cs="Arial" w:eastAsia="Arial" w:hAnsi="Arial"/>
          <w:sz w:val="17"/>
          <w:szCs w:val="17"/>
          <w:color w:val="auto"/>
        </w:rPr>
        <w:t>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3.3</w:t>
            </w: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1"/>
              </w:rPr>
              <w:t xml:space="preserve">Representations and Warranties on Deposit of Shares. </w:t>
            </w:r>
            <w:r>
              <w:rPr>
                <w:rFonts w:ascii="Arial" w:cs="Arial" w:eastAsia="Arial" w:hAnsi="Arial"/>
                <w:sz w:val="18"/>
                <w:szCs w:val="18"/>
                <w:color w:val="auto"/>
                <w:w w:val="91"/>
              </w:rPr>
              <w:t>Each person depositing Shares under the Deposit Agreement shall</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r>
      <w:tr>
        <w:trPr>
          <w:trHeight w:val="20"/>
        </w:trPr>
        <w:tc>
          <w:tcPr>
            <w:tcW w:w="136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be deemed thereby to represent and warrant that (i) such Shares and the certificates therefor are duly authorized, validly</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issued, fully paid, non-assessable and legally obtained by such person, (ii) all preemptive (and similar) rights, if any,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respect to such Shares have been validly waived or exercised, (iii) the person making such deposit is duly authorized so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do, (iv) the Shares presented for deposit are free and clear of any lien, encumbrance, security interest, charge, mortgage 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adverse claim, (v) the Shares presented for deposit are not, and the ADSs issuable upon such deposit will not be, Restricted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Securities (except as contemplated in Section 2.14), and (vi) the Shares presented for deposit have not been stripped of any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rights or entitlements. Such representations and warranties shall survive the deposit and withdrawal of Shares, the issuance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and cancellation of ADSs in respect thereof and the transfer of such ADSs. If any such representations or warranties are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false in any way, the Company and the Depositary shall be authorized, at the cost and expense of the person depositing</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to take any and all actions necessary to correct the consequences thereof</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3.4</w:t>
            </w:r>
          </w:p>
        </w:tc>
        <w:tc>
          <w:tcPr>
            <w:tcW w:w="9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5"/>
              </w:rPr>
              <w:t>Compliance with Information Requests</w:t>
            </w:r>
            <w:r>
              <w:rPr>
                <w:rFonts w:ascii="Arial" w:cs="Arial" w:eastAsia="Arial" w:hAnsi="Arial"/>
                <w:sz w:val="18"/>
                <w:szCs w:val="18"/>
                <w:color w:val="auto"/>
                <w:w w:val="95"/>
              </w:rPr>
              <w:t>. Notwithstanding any other provision of the Deposit Agreement or any ADR(s),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18</w:t>
            </w: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each Holder and Beneficial Owner agrees to comply with requests from the Company pursuant to applicable law, the rules</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and requirements of any stock exchange on which the Shares or ADSs are, or will be, registered, traded or listed or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 xml:space="preserve">Articles of Association,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1"/>
              </w:rPr>
              <w:t>Beneficial Owner owns ADSs (and Shares as the case may be) and regarding the identity of any other person(s) interested in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such ADSs and the nature of such interest and various other matters, whether or not they are Holders and/or Beneficial</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Owners at the time of such request. The Depositary shall use its reasonable efforts to forward, upon the request of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1"/>
              </w:rPr>
              <w:t>Company and at the Company’s expense, any such request from the Company to the Holders and to forward to the Company</w:t>
            </w:r>
          </w:p>
        </w:tc>
        <w:tc>
          <w:tcPr>
            <w:tcW w:w="720" w:type="dxa"/>
            <w:vAlign w:val="bottom"/>
          </w:tcPr>
          <w:p>
            <w:pPr>
              <w:spacing w:after="0"/>
              <w:rPr>
                <w:sz w:val="18"/>
                <w:szCs w:val="18"/>
                <w:color w:val="auto"/>
              </w:rPr>
            </w:pPr>
          </w:p>
        </w:tc>
      </w:tr>
      <w:tr>
        <w:trPr>
          <w:trHeight w:val="212"/>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any such responses to such requests received by the Depositary</w:t>
            </w:r>
          </w:p>
        </w:tc>
        <w:tc>
          <w:tcPr>
            <w:tcW w:w="72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Section 3.5</w:t>
            </w:r>
          </w:p>
        </w:tc>
        <w:tc>
          <w:tcPr>
            <w:tcW w:w="91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5"/>
              </w:rPr>
              <w:t xml:space="preserve">Ownership Restrictions </w:t>
            </w:r>
            <w:r>
              <w:rPr>
                <w:rFonts w:ascii="Arial" w:cs="Arial" w:eastAsia="Arial" w:hAnsi="Arial"/>
                <w:sz w:val="18"/>
                <w:szCs w:val="18"/>
                <w:color w:val="auto"/>
                <w:w w:val="95"/>
              </w:rPr>
              <w:t>Notwithstanding any other provision contained in the Deposit Agreement or any ADR(s) to the</w:t>
            </w:r>
          </w:p>
        </w:tc>
        <w:tc>
          <w:tcPr>
            <w:tcW w:w="720" w:type="dxa"/>
            <w:vAlign w:val="bottom"/>
          </w:tcPr>
          <w:p>
            <w:pPr>
              <w:jc w:val="right"/>
              <w:ind w:right="270"/>
              <w:spacing w:after="0" w:line="194" w:lineRule="exact"/>
              <w:rPr>
                <w:sz w:val="20"/>
                <w:szCs w:val="20"/>
                <w:color w:val="auto"/>
              </w:rPr>
            </w:pPr>
            <w:r>
              <w:rPr>
                <w:rFonts w:ascii="Arial" w:cs="Arial" w:eastAsia="Arial" w:hAnsi="Arial"/>
                <w:sz w:val="18"/>
                <w:szCs w:val="18"/>
                <w:color w:val="auto"/>
              </w:rPr>
              <w:t>18</w:t>
            </w: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contrary, the Company may restrict transfers of the Shares where such transfer might result in ownership of Shares</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exceeding limits imposed by applicable law or the Articles of Association of the Company. The Company may also restrict,</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2"/>
              </w:rPr>
              <w:t>in such manner as it deems appropriate, transfers of the ADSs where such transfer may result in the total number of Shares</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2"/>
              </w:rPr>
              <w:t>represented by the ADSs owned by a single Holder or Beneficial Owner to exceed any such limits. The Company may, in its</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sole discretion but subject to applicable law, instruct the Depositary to take action with respect to the ownership interest of</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6459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ind w:left="1360" w:right="920"/>
        <w:spacing w:after="0" w:line="270" w:lineRule="auto"/>
        <w:rPr>
          <w:sz w:val="20"/>
          <w:szCs w:val="20"/>
          <w:color w:val="auto"/>
        </w:rPr>
      </w:pPr>
      <w:r>
        <w:rPr>
          <w:rFonts w:ascii="Arial" w:cs="Arial" w:eastAsia="Arial" w:hAnsi="Arial"/>
          <w:sz w:val="17"/>
          <w:szCs w:val="17"/>
          <w:color w:val="auto"/>
        </w:rPr>
        <w:t>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3.6</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Reporting Obligations and Regulatory Approvals. </w:t>
            </w:r>
            <w:r>
              <w:rPr>
                <w:rFonts w:ascii="Arial" w:cs="Arial" w:eastAsia="Arial" w:hAnsi="Arial"/>
                <w:sz w:val="18"/>
                <w:szCs w:val="18"/>
                <w:color w:val="auto"/>
                <w:w w:val="95"/>
              </w:rPr>
              <w:t>Applicable laws and regulations may require holders and beneficial</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r>
      <w:tr>
        <w:trPr>
          <w:trHeight w:val="20"/>
        </w:trPr>
        <w:tc>
          <w:tcPr>
            <w:tcW w:w="13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owners of Shares, including the Holders and Beneficial Owners of ADSs, to satisfy reporting requirements and obtain</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approvals in certain circumstances. Holders and Beneficial Owners of ADSs are solely responsible for</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determining and complying with such reporting requirements and obtaining such approvals. Each Holder and each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Beneficial Owner hereby agrees to make such determination, file such reports, and obtain such approvals to the extent and in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the form required by applicable laws and regulations as in effect from time to time. Neither the Depositary, the Custodian,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the Company or any of their respective agents or affiliates shall be required to take any actions whatsoever on behalf of</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Holders or Beneficial Owners to determine or satisfy such reporting requirements or obtain such regulatory approvals under</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laws and regulations</w:t>
            </w:r>
          </w:p>
        </w:tc>
        <w:tc>
          <w:tcPr>
            <w:tcW w:w="720" w:type="dxa"/>
            <w:vAlign w:val="bottom"/>
            <w:shd w:val="clear" w:color="auto" w:fill="CCEEFF"/>
          </w:tcPr>
          <w:p>
            <w:pPr>
              <w:spacing w:after="0"/>
              <w:rPr>
                <w:sz w:val="20"/>
                <w:szCs w:val="20"/>
                <w:color w:val="auto"/>
              </w:rPr>
            </w:pPr>
          </w:p>
        </w:tc>
      </w:tr>
      <w:tr>
        <w:trPr>
          <w:trHeight w:val="216"/>
        </w:trPr>
        <w:tc>
          <w:tcPr>
            <w:tcW w:w="280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IV THE DEPOSITED SECURITIES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4.1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Cash Distributions. </w:t>
            </w:r>
            <w:r>
              <w:rPr>
                <w:rFonts w:ascii="Arial" w:cs="Arial" w:eastAsia="Arial" w:hAnsi="Arial"/>
                <w:sz w:val="18"/>
                <w:szCs w:val="18"/>
                <w:color w:val="auto"/>
                <w:w w:val="93"/>
              </w:rPr>
              <w:t>Whenever the Company intends to make a distribution of a cash dividend or other cash distribution in</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19</w:t>
            </w:r>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360" w:right="920"/>
        <w:spacing w:after="0" w:line="283" w:lineRule="auto"/>
        <w:rPr>
          <w:sz w:val="20"/>
          <w:szCs w:val="20"/>
          <w:color w:val="auto"/>
        </w:rPr>
      </w:pPr>
      <w:r>
        <w:rPr>
          <w:rFonts w:ascii="Arial" w:cs="Arial" w:eastAsia="Arial" w:hAnsi="Arial"/>
          <w:sz w:val="16"/>
          <w:szCs w:val="16"/>
          <w:color w:val="auto"/>
        </w:rPr>
        <w:t xml:space="preserve">respect of any Deposited Securities, the Company shall give notice thereof to the Depositary at least twenty (20)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7" w:name="page258"/>
    <w:bookmarkEnd w:id="257"/>
    <w:p>
      <w:pPr>
        <w:ind w:left="1000" w:hanging="1349"/>
        <w:spacing w:after="0" w:line="261" w:lineRule="auto"/>
        <w:tabs>
          <w:tab w:leader="none" w:pos="9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8"/>
          <w:szCs w:val="18"/>
          <w:b w:val="1"/>
          <w:bCs w:val="1"/>
          <w:u w:val="single" w:color="auto"/>
          <w:color w:val="auto"/>
        </w:rPr>
        <w:t>Distribution in Shares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Whenever the Company intends to make a distribution that consists of a dividend in, or free 20</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distribution of, Shares, the Company shall give notice thereof to the Depositary at least twenty (20) days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-273685</wp:posOffset>
            </wp:positionV>
            <wp:extent cx="7132320" cy="3977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ind w:left="1000" w:right="540"/>
        <w:spacing w:after="0" w:line="283" w:lineRule="auto"/>
        <w:rPr>
          <w:sz w:val="20"/>
          <w:szCs w:val="20"/>
          <w:color w:val="auto"/>
        </w:rPr>
      </w:pPr>
      <w:r>
        <w:rPr>
          <w:rFonts w:ascii="Arial" w:cs="Arial" w:eastAsia="Arial" w:hAnsi="Arial"/>
          <w:sz w:val="16"/>
          <w:szCs w:val="16"/>
          <w:color w:val="auto"/>
        </w:rPr>
        <w:t xml:space="preserve">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258" w:name="page259"/>
    <w:bookmarkEnd w:id="258"/>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7"/>
          <w:szCs w:val="17"/>
          <w:b w:val="1"/>
          <w:bCs w:val="1"/>
          <w:u w:val="single" w:color="auto"/>
          <w:color w:val="auto"/>
        </w:rPr>
        <w:t>Elective Distributions in Cash or Shares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Whenever the Company intends to make a distribution payable at the election of 21</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holders of Deposited Securities in cash or in additional Shares, the Company shall give notice thereof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4114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000" w:right="540"/>
        <w:spacing w:after="0" w:line="281" w:lineRule="auto"/>
        <w:rPr>
          <w:sz w:val="20"/>
          <w:szCs w:val="20"/>
          <w:color w:val="auto"/>
        </w:rPr>
      </w:pPr>
      <w:r>
        <w:rPr>
          <w:rFonts w:ascii="Arial" w:cs="Arial" w:eastAsia="Arial" w:hAnsi="Arial"/>
          <w:sz w:val="16"/>
          <w:szCs w:val="16"/>
          <w:color w:val="auto"/>
        </w:rPr>
        <w:t xml:space="preserve">at least sixty (60)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w:t>
      </w:r>
    </w:p>
    <w:p>
      <w:pPr>
        <w:spacing w:after="0" w:line="8" w:lineRule="exact"/>
        <w:rPr>
          <w:sz w:val="20"/>
          <w:szCs w:val="20"/>
          <w:color w:val="auto"/>
        </w:rPr>
      </w:pPr>
    </w:p>
    <w:p>
      <w:pPr>
        <w:ind w:left="1000" w:right="540" w:hanging="2"/>
        <w:spacing w:after="0" w:line="267" w:lineRule="auto"/>
        <w:tabs>
          <w:tab w:leader="none" w:pos="129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4.4</w:t>
            </w: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Distribution of Rights to Purchase Additional ADSs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4.5</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Distributions Other Than Cash, Shares or Rights to Purchase Shares</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23</w:t>
            </w:r>
          </w:p>
        </w:tc>
      </w:tr>
      <w:tr>
        <w:trPr>
          <w:trHeight w:val="21"/>
        </w:trPr>
        <w:tc>
          <w:tcPr>
            <w:tcW w:w="13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4.6</w:t>
            </w:r>
          </w:p>
        </w:tc>
        <w:tc>
          <w:tcPr>
            <w:tcW w:w="91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Distributions with Respect to Deposited Securities in Bearer Form. </w:t>
            </w:r>
            <w:r>
              <w:rPr>
                <w:rFonts w:ascii="Arial" w:cs="Arial" w:eastAsia="Arial" w:hAnsi="Arial"/>
                <w:sz w:val="18"/>
                <w:szCs w:val="18"/>
                <w:color w:val="auto"/>
                <w:w w:val="94"/>
              </w:rPr>
              <w:t>Subject to the terms of this Article IV, distributions</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24</w:t>
            </w:r>
          </w:p>
        </w:tc>
      </w:tr>
      <w:tr>
        <w:trPr>
          <w:trHeight w:val="20"/>
        </w:trPr>
        <w:tc>
          <w:tcPr>
            <w:tcW w:w="1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140" w:type="dxa"/>
            <w:vAlign w:val="bottom"/>
            <w:gridSpan w:val="2"/>
            <w:shd w:val="clear" w:color="auto" w:fill="000000"/>
          </w:tcPr>
          <w:p>
            <w:pPr>
              <w:spacing w:after="0" w:line="20" w:lineRule="exact"/>
              <w:rPr>
                <w:sz w:val="1"/>
                <w:szCs w:val="1"/>
                <w:color w:val="auto"/>
              </w:rPr>
            </w:pPr>
          </w:p>
        </w:tc>
        <w:tc>
          <w:tcPr>
            <w:tcW w:w="408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in respect of Deposited Securities that are held by the Depositary or the Custodian in bearer form shall be made to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Depositary for the account of the respective Holders of ADS(s) with respect to which any such distribution is made upon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due presentation by the Depositary or the Custodian to the Company of any relevant coupons, talons, or certificates.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Company shall promptly notify the Depositary of such distributions. The Depositary or the Custodian shall promptly present</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such coupons, talons or certificates, as the case may be, in connection with any such distribution</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4.7</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3"/>
              </w:rPr>
              <w:t xml:space="preserve">Redemption. </w:t>
            </w:r>
            <w:r>
              <w:rPr>
                <w:rFonts w:ascii="Arial" w:cs="Arial" w:eastAsia="Arial" w:hAnsi="Arial"/>
                <w:sz w:val="18"/>
                <w:szCs w:val="18"/>
                <w:color w:val="auto"/>
                <w:w w:val="93"/>
              </w:rPr>
              <w:t>If the Company intends to exercise any right of redemption in respect of any of the Deposited Securities,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24</w:t>
            </w: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5" w:lineRule="auto"/>
        <w:rPr>
          <w:sz w:val="20"/>
          <w:szCs w:val="20"/>
          <w:color w:val="auto"/>
        </w:rPr>
      </w:pPr>
      <w:r>
        <w:rPr>
          <w:rFonts w:ascii="Arial" w:cs="Arial" w:eastAsia="Arial" w:hAnsi="Arial"/>
          <w:sz w:val="16"/>
          <w:szCs w:val="16"/>
          <w:color w:val="auto"/>
        </w:rPr>
        <w:t>Company 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4.8</w:t>
            </w: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Conversion of Foreign Currency. </w:t>
            </w:r>
            <w:r>
              <w:rPr>
                <w:rFonts w:ascii="Arial" w:cs="Arial" w:eastAsia="Arial" w:hAnsi="Arial"/>
                <w:sz w:val="18"/>
                <w:szCs w:val="18"/>
                <w:color w:val="auto"/>
                <w:w w:val="94"/>
              </w:rPr>
              <w:t>Whenever the Depositary or the Custodian shall receive Foreign Currency, by way of</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r>
      <w:tr>
        <w:trPr>
          <w:trHeight w:val="20"/>
        </w:trPr>
        <w:tc>
          <w:tcPr>
            <w:tcW w:w="136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dividends or other distributions or the net proceeds from the sale of Deposited Property, which in the judgment of the</w:t>
            </w:r>
          </w:p>
        </w:tc>
        <w:tc>
          <w:tcPr>
            <w:tcW w:w="78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Depositary can at such time be converted on a practicable basis, by sale or in any other manner that it may determine in</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accordance with applicable law, into Dollars transferable to the United States and distributable to the Holders entitled</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thereto, the Depositary shall convert or cause to be converted, by sale or in any other manner that it may reasonably</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determine, such Foreign Currency into Dollars, and shall distribute such Dollars (net of the fees and charges set forth in the</w:t>
            </w:r>
          </w:p>
        </w:tc>
        <w:tc>
          <w:tcPr>
            <w:tcW w:w="78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0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w w:val="94"/>
              </w:rPr>
              <w:t>Fee Schedule attached hereto as Exhibit B, and applicable taxes withheld) in accordance with the terms of the applicable</w:t>
            </w:r>
          </w:p>
        </w:tc>
        <w:tc>
          <w:tcPr>
            <w:tcW w:w="78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sections of the Deposit Agreement. The Depositary and/or its agent (which may be a division, branch or Affiliate of the</w:t>
            </w:r>
          </w:p>
        </w:tc>
        <w:tc>
          <w:tcPr>
            <w:tcW w:w="78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Depositary) may act as principal for any conversion of Foreign Currency. If the Depositary shall have distributed warrants</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or other instruments that entitle the holders thereof to such Dollars, the Depositary shall distribute such Dollars to the</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holders of such warrants and/or instruments upon surrender thereof for cancellation, in either case without liability for</w:t>
            </w:r>
          </w:p>
        </w:tc>
        <w:tc>
          <w:tcPr>
            <w:tcW w:w="78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interest thereon. Such distribution may be made upon an averaged or other practicable basis without regard to any</w:t>
            </w:r>
          </w:p>
        </w:tc>
        <w:tc>
          <w:tcPr>
            <w:tcW w:w="78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distinctions among Holders on account of any application of exchange restrictions or otherwise</w:t>
            </w:r>
          </w:p>
        </w:tc>
        <w:tc>
          <w:tcPr>
            <w:tcW w:w="78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4.9</w:t>
            </w:r>
          </w:p>
        </w:tc>
        <w:tc>
          <w:tcPr>
            <w:tcW w:w="9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9"/>
              </w:rPr>
              <w:t xml:space="preserve">Fixing of ADS Record Date. </w:t>
            </w:r>
            <w:r>
              <w:rPr>
                <w:rFonts w:ascii="Arial" w:cs="Arial" w:eastAsia="Arial" w:hAnsi="Arial"/>
                <w:sz w:val="18"/>
                <w:szCs w:val="18"/>
                <w:color w:val="auto"/>
                <w:w w:val="99"/>
              </w:rPr>
              <w:t>Whenever (a) the Depositary shall receive notice of the fixing of a record date by the</w:t>
            </w:r>
          </w:p>
        </w:tc>
        <w:tc>
          <w:tcPr>
            <w:tcW w:w="78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26</w:t>
            </w: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6" w:lineRule="auto"/>
        <w:rPr>
          <w:sz w:val="20"/>
          <w:szCs w:val="20"/>
          <w:color w:val="auto"/>
        </w:rPr>
      </w:pPr>
      <w:r>
        <w:rPr>
          <w:rFonts w:ascii="Arial" w:cs="Arial" w:eastAsia="Arial" w:hAnsi="Arial"/>
          <w:sz w:val="16"/>
          <w:szCs w:val="16"/>
          <w:color w:val="auto"/>
        </w:rPr>
        <w:t>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4.10</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Voting of Deposited Securities. </w:t>
            </w:r>
            <w:r>
              <w:rPr>
                <w:rFonts w:ascii="Arial" w:cs="Arial" w:eastAsia="Arial" w:hAnsi="Arial"/>
                <w:sz w:val="18"/>
                <w:szCs w:val="18"/>
                <w:color w:val="auto"/>
                <w:w w:val="97"/>
              </w:rPr>
              <w:t>As soon as practicable after receipt of notice of any meeting at which the holders of</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w:t>
            </w:r>
          </w:p>
        </w:tc>
      </w:tr>
      <w:tr>
        <w:trPr>
          <w:trHeight w:val="20"/>
        </w:trPr>
        <w:tc>
          <w:tcPr>
            <w:tcW w:w="136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Deposited Securities are entitled to vote, or of solicitation of consents or proxies from holders of Deposited Securities, the</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Depositary shall fix the ADS Record Date in respect of such meeting or solicitation of consent or proxy in accordance with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Section 4.9. The Depositary shall, if requested by the Company in writing in a timely manner (the Depositary having no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obligation to take any further action if the request shall not have been received by the Depositary at least thirty (30) days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prior to the date of such vote or meeting), at the Company’s expense and provided no U.S. legal prohibitions exist, distribute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to Holders as of the ADS Record Date: (a) such notice of meeting or solicitation of consent or proxy, (b) a statement that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Holders at the close of business on the ADS Record Date will be entitled, subject to any applicable law, the provisions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 Agreement, the Articles of Association and the provisions of or governing the Deposited Securities (which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provisions, if any, shall be summarized in pertinent part by the Company), to instruct the Depositary as to the exercise of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voting rights, if any, pertaining to the Deposited Securities represented by such Holder’s ADSs, and (c) a brief statement as</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the manner in which such voting instructions may be given</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4.11</w:t>
            </w:r>
          </w:p>
        </w:tc>
        <w:tc>
          <w:tcPr>
            <w:tcW w:w="9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2"/>
              </w:rPr>
              <w:t xml:space="preserve">Changes Affecting Deposited Securities. </w:t>
            </w:r>
            <w:r>
              <w:rPr>
                <w:rFonts w:ascii="Arial" w:cs="Arial" w:eastAsia="Arial" w:hAnsi="Arial"/>
                <w:sz w:val="18"/>
                <w:szCs w:val="18"/>
                <w:color w:val="auto"/>
                <w:w w:val="92"/>
              </w:rPr>
              <w:t>Upon any change in nominal or par value, split-up, cancellation, consolidation or</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28</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4" w:lineRule="auto"/>
        <w:rPr>
          <w:sz w:val="20"/>
          <w:szCs w:val="20"/>
          <w:color w:val="auto"/>
        </w:rPr>
      </w:pPr>
      <w:r>
        <w:rPr>
          <w:rFonts w:ascii="Arial" w:cs="Arial" w:eastAsia="Arial" w:hAnsi="Arial"/>
          <w:sz w:val="16"/>
          <w:szCs w:val="16"/>
          <w:color w:val="auto"/>
        </w:rPr>
        <w:t>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4.12</w:t>
            </w: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 xml:space="preserve">Available Information. </w:t>
            </w:r>
            <w:r>
              <w:rPr>
                <w:rFonts w:ascii="Arial" w:cs="Arial" w:eastAsia="Arial" w:hAnsi="Arial"/>
                <w:sz w:val="18"/>
                <w:szCs w:val="18"/>
                <w:color w:val="auto"/>
              </w:rPr>
              <w:t>The Company is subject to the periodic reporting requirements of the Exchange Act and,</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r>
      <w:tr>
        <w:trPr>
          <w:trHeight w:val="20"/>
        </w:trPr>
        <w:tc>
          <w:tcPr>
            <w:tcW w:w="1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accordingly, is required to file or furnish certain reports with the Commission. These reports can be retrieved from the</w:t>
            </w:r>
          </w:p>
        </w:tc>
        <w:tc>
          <w:tcPr>
            <w:tcW w:w="74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w w:val="94"/>
              </w:rPr>
              <w:t>Commission’s website (www.sec.gov) and can be inspected and copied at the public reference facilities maintained by the</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6"/>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Commission located (as of the date of the Deposit Agreement) at 100 F Street, N.E., Washington D.C. 20549</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4.13</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The Depositary shall make available for inspection by Holders at its Principal Office any reports and</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5"/>
              </w:rPr>
              <w:t>communications, including any proxy soliciting materials, received from the Company which are both (a) received by the</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Depositary, the Custodian, or the nominee of either of them as the holder of the Deposited Property and (b) made generally</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2"/>
              </w:rPr>
              <w:t>available to the holders of such Deposited Property by the Company. The Depositary shall also provide or make available to</w:t>
            </w:r>
          </w:p>
        </w:tc>
        <w:tc>
          <w:tcPr>
            <w:tcW w:w="7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Holders copies of such reports when furnished by the Company pursuant to Section 5.6</w:t>
            </w:r>
          </w:p>
        </w:tc>
        <w:tc>
          <w:tcPr>
            <w:tcW w:w="740" w:type="dxa"/>
            <w:vAlign w:val="bottom"/>
          </w:tcPr>
          <w:p>
            <w:pPr>
              <w:spacing w:after="0"/>
              <w:rPr>
                <w:sz w:val="20"/>
                <w:szCs w:val="20"/>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4.14</w:t>
            </w:r>
          </w:p>
        </w:tc>
        <w:tc>
          <w:tcPr>
            <w:tcW w:w="9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 xml:space="preserve">List of Holders. </w:t>
            </w:r>
            <w:r>
              <w:rPr>
                <w:rFonts w:ascii="Arial" w:cs="Arial" w:eastAsia="Arial" w:hAnsi="Arial"/>
                <w:sz w:val="18"/>
                <w:szCs w:val="18"/>
                <w:color w:val="auto"/>
                <w:w w:val="93"/>
              </w:rPr>
              <w:t>Promptly upon written request by the Company, the Depositary shall furnish to it a list, as of a recent date,</w:t>
            </w:r>
          </w:p>
        </w:tc>
        <w:tc>
          <w:tcPr>
            <w:tcW w:w="74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0" w:type="dxa"/>
            <w:vAlign w:val="bottom"/>
            <w:gridSpan w:val="3"/>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of the names, addresses and holdings of ADSs of all Holders</w:t>
            </w:r>
          </w:p>
        </w:tc>
        <w:tc>
          <w:tcPr>
            <w:tcW w:w="74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4.15</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w w:val="96"/>
              </w:rPr>
              <w:t xml:space="preserve">Taxation. </w:t>
            </w:r>
            <w:r>
              <w:rPr>
                <w:rFonts w:ascii="Arial" w:cs="Arial" w:eastAsia="Arial" w:hAnsi="Arial"/>
                <w:sz w:val="18"/>
                <w:szCs w:val="18"/>
                <w:color w:val="auto"/>
                <w:w w:val="96"/>
              </w:rPr>
              <w:t>The Depositary will, and will instruct the Custodian to, forward to the Company or its agents such information</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29</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40"/>
        <w:spacing w:after="0" w:line="285" w:lineRule="auto"/>
        <w:rPr>
          <w:sz w:val="20"/>
          <w:szCs w:val="20"/>
          <w:color w:val="auto"/>
        </w:rPr>
      </w:pPr>
      <w:r>
        <w:rPr>
          <w:rFonts w:ascii="Arial" w:cs="Arial" w:eastAsia="Arial" w:hAnsi="Arial"/>
          <w:sz w:val="16"/>
          <w:szCs w:val="16"/>
          <w:color w:val="auto"/>
        </w:rPr>
        <w:t>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6"/>
        </w:trPr>
        <w:tc>
          <w:tcPr>
            <w:tcW w:w="10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5.1</w:t>
            </w:r>
          </w:p>
        </w:tc>
        <w:tc>
          <w:tcPr>
            <w:tcW w:w="9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Maintenance of Office and Transfer Books by the Registrar. </w:t>
            </w:r>
            <w:r>
              <w:rPr>
                <w:rFonts w:ascii="Arial" w:cs="Arial" w:eastAsia="Arial" w:hAnsi="Arial"/>
                <w:sz w:val="18"/>
                <w:szCs w:val="18"/>
                <w:color w:val="auto"/>
                <w:w w:val="94"/>
              </w:rPr>
              <w:t>Until termination of the Deposit Agreement in accordance</w:t>
            </w:r>
          </w:p>
        </w:tc>
        <w:tc>
          <w:tcPr>
            <w:tcW w:w="7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30</w:t>
            </w:r>
          </w:p>
        </w:tc>
      </w:tr>
      <w:tr>
        <w:trPr>
          <w:trHeight w:val="20"/>
        </w:trPr>
        <w:tc>
          <w:tcPr>
            <w:tcW w:w="1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with its terms, the Registrar shall maintain in the Borough of Manhattan, the City of New York, an office and facilities for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the issuance and delivery of ADSs, the acceptance for surrender of ADS(s) for the purpose of withdrawal of Deposited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Securities, the registration of issuances, cancellations, transfers, combinations and split-ups of ADS(s) and, if applicable, to</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countersign ADRs evidencing the ADSs so issued, transferred, combined or split-up, in each case in accordance with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provisions of the Deposit Agreement</w:t>
            </w:r>
          </w:p>
        </w:tc>
        <w:tc>
          <w:tcPr>
            <w:tcW w:w="72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5.2</w:t>
            </w:r>
          </w:p>
        </w:tc>
        <w:tc>
          <w:tcPr>
            <w:tcW w:w="9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 xml:space="preserve">Exoneration. </w:t>
            </w:r>
            <w:r>
              <w:rPr>
                <w:rFonts w:ascii="Arial" w:cs="Arial" w:eastAsia="Arial" w:hAnsi="Arial"/>
                <w:sz w:val="18"/>
                <w:szCs w:val="18"/>
                <w:color w:val="auto"/>
                <w:w w:val="96"/>
              </w:rPr>
              <w:t>Notwithstanding anything contained in the Deposit Agreement or any ADR, neither the Depositary nor the</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31</w:t>
            </w: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Company shall be obligated to do or perform any act or thing which is inconsistent with the provisions of the Deposit</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Agreement or incur any liability (to the extent not limited by Section 7.8(b)) (i) if the Depositary, the Custodian,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Company or their respective agents shall be prevented or forbidden from, hindered or delayed in, doing or performing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act or thing required or contemplated by the terms of the Deposit Agreement, by reason of any provision of any present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future law or regulation of the United States, the Cayman Islands or any other country, or of any other governmental</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authority or regulatory authority or stock exchange, or on account of potential criminal or civil penalties or restraint, or by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reason of any provision, present or future, of the Articles of Association or any provision of or governing any Deposited</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Securities, or by reason of any act of God or other event or circumstance beyond its control (including, without limitation,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fire, flood, earthquake, tornado, hurricane, tsunami, explosion, or other natural disaster, nationalization, expropriation,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currency restriction, work stoppage, strikes, civil unrest, act of war (whether declared or not) or terrorism, revolution,</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rebellion, embargo, computer failure, failure of public infrastructure (including communication or utility failure), failure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common carriers, nuclear, cyber or biochemical incident, any pandemic, epidemic or other prevalent disease or illness with</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an actual or probable threat to human life, any quarantine order or travel restriction imposed by a governmental authority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other competent public health authority, or the failure or unavailability of the United States Federal Reserve Bank (or other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7"/>
              </w:rPr>
              <w:t>central banking system) or DTC (or other clearing system)), (ii) by reason of any exercise of, or failure to exercise,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5"/>
              </w:rPr>
              <w:t>discretion provided for in the Deposit Agreement or in the Articles of Association or provisions of or governing Deposited</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Securities, (iii) for any action or inaction in reliance upon the advice of or information from legal counsel, accountants,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person presenting Shares for deposit, any Holder, any Beneficial Owner or authorized representative thereof, or any other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person believed by it in good faith to be competent to give such advice or information, (iv) for the inability by a Holder or</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9"/>
              </w:rPr>
              <w:t>Beneficial Owner to benefit from any distribution, offering, right or other benefit which is made available to holders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4"/>
              </w:rPr>
              <w:t>Deposited Securities but is not, under the terms of the Deposit Agreement, made available to Holders of ADSs, (v) for any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3"/>
              </w:rPr>
              <w:t>action or inaction of any clearing or settlement system (and any participant thereof) for the Deposited Property or the ADSs,</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or (vi) for any consequential or punitive damages (including lost profits) for any breach of the terms of the Deposit</w:t>
            </w:r>
          </w:p>
        </w:tc>
        <w:tc>
          <w:tcPr>
            <w:tcW w:w="720" w:type="dxa"/>
            <w:vAlign w:val="bottom"/>
          </w:tcPr>
          <w:p>
            <w:pPr>
              <w:spacing w:after="0"/>
              <w:rPr>
                <w:sz w:val="18"/>
                <w:szCs w:val="18"/>
                <w:color w:val="auto"/>
              </w:rPr>
            </w:pPr>
          </w:p>
        </w:tc>
      </w:tr>
      <w:tr>
        <w:trPr>
          <w:trHeight w:val="212"/>
        </w:trPr>
        <w:tc>
          <w:tcPr>
            <w:tcW w:w="1360" w:type="dxa"/>
            <w:vAlign w:val="bottom"/>
          </w:tcPr>
          <w:p>
            <w:pPr>
              <w:spacing w:after="0"/>
              <w:rPr>
                <w:sz w:val="18"/>
                <w:szCs w:val="18"/>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rPr>
              <w:t>Agreement</w:t>
            </w:r>
          </w:p>
        </w:tc>
        <w:tc>
          <w:tcPr>
            <w:tcW w:w="72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Section 5.3</w:t>
            </w:r>
          </w:p>
        </w:tc>
        <w:tc>
          <w:tcPr>
            <w:tcW w:w="91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2"/>
              </w:rPr>
              <w:t xml:space="preserve">Standard of Care. </w:t>
            </w:r>
            <w:r>
              <w:rPr>
                <w:rFonts w:ascii="Arial" w:cs="Arial" w:eastAsia="Arial" w:hAnsi="Arial"/>
                <w:sz w:val="18"/>
                <w:szCs w:val="18"/>
                <w:color w:val="auto"/>
                <w:w w:val="92"/>
              </w:rPr>
              <w:t>The Company and the Depositary assume no obligation and shall not be subject to any liability under the</w:t>
            </w:r>
          </w:p>
        </w:tc>
        <w:tc>
          <w:tcPr>
            <w:tcW w:w="720" w:type="dxa"/>
            <w:vAlign w:val="bottom"/>
          </w:tcPr>
          <w:p>
            <w:pPr>
              <w:jc w:val="right"/>
              <w:ind w:right="270"/>
              <w:spacing w:after="0" w:line="194" w:lineRule="exact"/>
              <w:rPr>
                <w:sz w:val="20"/>
                <w:szCs w:val="20"/>
                <w:color w:val="auto"/>
              </w:rPr>
            </w:pPr>
            <w:r>
              <w:rPr>
                <w:rFonts w:ascii="Arial" w:cs="Arial" w:eastAsia="Arial" w:hAnsi="Arial"/>
                <w:sz w:val="18"/>
                <w:szCs w:val="18"/>
                <w:color w:val="auto"/>
              </w:rPr>
              <w:t>32</w:t>
            </w: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auto"/>
                <w:w w:val="96"/>
              </w:rPr>
              <w:t>Deposit Agreement or any ADRs to any Holder(s) or Beneficial Owner(s), except that the Company and the Depositary</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360" w:right="940"/>
        <w:spacing w:after="0" w:line="260" w:lineRule="auto"/>
        <w:rPr>
          <w:sz w:val="20"/>
          <w:szCs w:val="20"/>
          <w:color w:val="auto"/>
        </w:rPr>
      </w:pPr>
      <w:r>
        <w:rPr>
          <w:rFonts w:ascii="Arial" w:cs="Arial" w:eastAsia="Arial" w:hAnsi="Arial"/>
          <w:sz w:val="18"/>
          <w:szCs w:val="18"/>
          <w:color w:val="auto"/>
        </w:rPr>
        <w:t>agree to perform their respective obligations specifically set forth in the Deposit Agreement or the applicable ADRs without negligence or bad faith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5.4</w:t>
            </w: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 xml:space="preserve">Resignation and Removal of the Depositary; Appointment of Successor Depositary. </w:t>
            </w:r>
            <w:r>
              <w:rPr>
                <w:rFonts w:ascii="Arial" w:cs="Arial" w:eastAsia="Arial" w:hAnsi="Arial"/>
                <w:sz w:val="18"/>
                <w:szCs w:val="18"/>
                <w:color w:val="auto"/>
                <w:w w:val="93"/>
              </w:rPr>
              <w:t>The Depositary may at any time</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r>
      <w:tr>
        <w:trPr>
          <w:trHeight w:val="20"/>
        </w:trPr>
        <w:tc>
          <w:tcPr>
            <w:tcW w:w="13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resign as Depositary hereunder by written notice of resignation delivered to the Company, such resignation to be effective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on the earlier of (i) the 90th day after delivery thereof to the Company (whereupon the Depositary shall be entitled to take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actions contemplated in Section 6.2), or (ii) the appointment by the Company of a successor depositary and its</w:t>
            </w:r>
          </w:p>
        </w:tc>
        <w:tc>
          <w:tcPr>
            <w:tcW w:w="74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acceptance of such appointment as hereinafter provided</w:t>
            </w:r>
          </w:p>
        </w:tc>
        <w:tc>
          <w:tcPr>
            <w:tcW w:w="74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5.5</w:t>
            </w:r>
          </w:p>
        </w:tc>
        <w:tc>
          <w:tcPr>
            <w:tcW w:w="91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 xml:space="preserve">The Custodian. </w:t>
            </w:r>
            <w:r>
              <w:rPr>
                <w:rFonts w:ascii="Arial" w:cs="Arial" w:eastAsia="Arial" w:hAnsi="Arial"/>
                <w:sz w:val="18"/>
                <w:szCs w:val="18"/>
                <w:color w:val="auto"/>
                <w:w w:val="96"/>
              </w:rPr>
              <w:t>The Depositary has initially appointed Citibank, N.A. – Hong Kong as Custodian for the purpose of the</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33</w:t>
            </w: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Deposit Agreement. The Custodian or its successors in acting hereunder shall be authorized to act as custodian in the</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6"/>
              </w:rPr>
              <w:t>Cayman Islands and shall be subject at all times and in all respects to the direction of the Depositary for the Deposited</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7"/>
              </w:rPr>
              <w:t>Property for which the Custodian acts as custodian and shall be responsible solely to it. If any Custodian resigns or is</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discharged from its duties hereunder with respect to any Deposited Property and no other Custodian has previously been</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8"/>
              </w:rPr>
              <w:t>appointed hereunder, the Depositary shall promptly appoint a substitute custodian. The Depositary shall require such</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resigning or discharged Custodian to Deliver, or cause the Delivery of, the Deposited Property held by it, together with all</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such records maintained by it as Custodian with respect to such Deposited Property as the Depositary may request, to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4"/>
              </w:rPr>
              <w:t>Custodian designated by the Depositary. Whenever the Depositary determines, in its discretion, that it is appropriate to do</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2"/>
              </w:rPr>
              <w:t>so, it may appoint an additional custodian with respect to any Deposited Property, or discharge the Custodian with respect to</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1"/>
              </w:rPr>
              <w:t>any Deposited Property and appoint a substitute custodian, which shall thereafter be Custodian hereunder with respect to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Deposited Property. Immediately upon any such change, the Depositary shall give notice thereof in writing to all Holders of</w:t>
            </w:r>
          </w:p>
        </w:tc>
        <w:tc>
          <w:tcPr>
            <w:tcW w:w="740" w:type="dxa"/>
            <w:vAlign w:val="bottom"/>
          </w:tcPr>
          <w:p>
            <w:pPr>
              <w:spacing w:after="0"/>
              <w:rPr>
                <w:sz w:val="18"/>
                <w:szCs w:val="18"/>
                <w:color w:val="auto"/>
              </w:rPr>
            </w:pPr>
          </w:p>
        </w:tc>
      </w:tr>
      <w:tr>
        <w:trPr>
          <w:trHeight w:val="212"/>
        </w:trPr>
        <w:tc>
          <w:tcPr>
            <w:tcW w:w="136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ADSs, each other Custodian and the Company</w:t>
            </w:r>
          </w:p>
        </w:tc>
        <w:tc>
          <w:tcPr>
            <w:tcW w:w="74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8"/>
                <w:szCs w:val="18"/>
                <w:b w:val="1"/>
                <w:bCs w:val="1"/>
                <w:color w:val="auto"/>
              </w:rPr>
              <w:t>Section 5.6</w:t>
            </w:r>
          </w:p>
        </w:tc>
        <w:tc>
          <w:tcPr>
            <w:tcW w:w="9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4"/>
              </w:rPr>
              <w:t xml:space="preserve">Notices and Reports. </w:t>
            </w:r>
            <w:r>
              <w:rPr>
                <w:rFonts w:ascii="Arial" w:cs="Arial" w:eastAsia="Arial" w:hAnsi="Arial"/>
                <w:sz w:val="18"/>
                <w:szCs w:val="18"/>
                <w:color w:val="auto"/>
                <w:w w:val="94"/>
              </w:rPr>
              <w:t>On or before the first date on which the Company gives notice, by publication or otherwise, of any</w:t>
            </w:r>
          </w:p>
        </w:tc>
        <w:tc>
          <w:tcPr>
            <w:tcW w:w="740" w:type="dxa"/>
            <w:vAlign w:val="bottom"/>
          </w:tcPr>
          <w:p>
            <w:pPr>
              <w:jc w:val="right"/>
              <w:ind w:right="270"/>
              <w:spacing w:after="0" w:line="194" w:lineRule="exact"/>
              <w:rPr>
                <w:sz w:val="20"/>
                <w:szCs w:val="20"/>
                <w:color w:val="auto"/>
              </w:rPr>
            </w:pPr>
            <w:r>
              <w:rPr>
                <w:rFonts w:ascii="Arial" w:cs="Arial" w:eastAsia="Arial" w:hAnsi="Arial"/>
                <w:sz w:val="18"/>
                <w:szCs w:val="18"/>
                <w:color w:val="auto"/>
              </w:rPr>
              <w:t>34</w:t>
            </w:r>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w w:val="93"/>
              </w:rPr>
              <w:t>meeting of holders of Shares or other Deposited Securities, or of any adjourned meeting of such holders, or of the taking of</w:t>
            </w: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0972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ind w:left="1360" w:right="920"/>
        <w:spacing w:after="0" w:line="270" w:lineRule="auto"/>
        <w:rPr>
          <w:sz w:val="20"/>
          <w:szCs w:val="20"/>
          <w:color w:val="auto"/>
        </w:rPr>
      </w:pPr>
      <w:r>
        <w:rPr>
          <w:rFonts w:ascii="Arial" w:cs="Arial" w:eastAsia="Arial" w:hAnsi="Arial"/>
          <w:sz w:val="17"/>
          <w:szCs w:val="17"/>
          <w:color w:val="auto"/>
        </w:rPr>
        <w:t>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5" w:name="page266"/>
    <w:bookmarkEnd w:id="265"/>
    <w:p>
      <w:pPr>
        <w:ind w:left="1000" w:hanging="1349"/>
        <w:spacing w:after="0" w:line="276" w:lineRule="auto"/>
        <w:tabs>
          <w:tab w:leader="none" w:pos="9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7"/>
          <w:szCs w:val="17"/>
          <w:b w:val="1"/>
          <w:bCs w:val="1"/>
          <w:u w:val="single" w:color="auto"/>
          <w:color w:val="auto"/>
        </w:rPr>
        <w:t>Issuance of Additional Shares, ADSs etc</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Company agrees that in the event it or any of its Affiliates proposes (i) an 35</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issuance, sale or distribution of additional Shares, (ii) an offering of rights to subscribe for Shares or other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-273050</wp:posOffset>
            </wp:positionV>
            <wp:extent cx="7132320" cy="4114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ind w:left="1000" w:right="560"/>
        <w:spacing w:after="0" w:line="281" w:lineRule="auto"/>
        <w:rPr>
          <w:sz w:val="20"/>
          <w:szCs w:val="20"/>
          <w:color w:val="auto"/>
        </w:rPr>
      </w:pPr>
      <w:r>
        <w:rPr>
          <w:rFonts w:ascii="Arial" w:cs="Arial" w:eastAsia="Arial" w:hAnsi="Arial"/>
          <w:sz w:val="16"/>
          <w:szCs w:val="16"/>
          <w:color w:val="auto"/>
        </w:rPr>
        <w:t>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w:t>
      </w:r>
    </w:p>
    <w:p>
      <w:pPr>
        <w:spacing w:after="0" w:line="12" w:lineRule="exact"/>
        <w:rPr>
          <w:sz w:val="20"/>
          <w:szCs w:val="20"/>
          <w:color w:val="auto"/>
        </w:rPr>
      </w:pPr>
    </w:p>
    <w:p>
      <w:pPr>
        <w:ind w:left="1000" w:right="680" w:hanging="2"/>
        <w:spacing w:after="0" w:line="250" w:lineRule="auto"/>
        <w:tabs>
          <w:tab w:leader="none" w:pos="121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3"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9060" w:type="dxa"/>
            <w:vAlign w:val="bottom"/>
          </w:tcPr>
          <w:p>
            <w:pPr>
              <w:spacing w:after="0"/>
              <w:rPr>
                <w:sz w:val="20"/>
                <w:szCs w:val="20"/>
                <w:color w:val="auto"/>
              </w:rPr>
            </w:pPr>
            <w:r>
              <w:rPr>
                <w:rFonts w:ascii="Arial" w:cs="Arial" w:eastAsia="Arial" w:hAnsi="Arial"/>
                <w:sz w:val="18"/>
                <w:szCs w:val="18"/>
                <w:color w:val="auto"/>
                <w:w w:val="93"/>
              </w:rPr>
              <w:t>Notwithstanding anything else contained in the Deposit Agreement, nothing in the Deposit Agreement shall be deemed to</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bl>
    <w:p>
      <w:pPr>
        <w:ind w:left="1000"/>
        <w:spacing w:after="0"/>
        <w:rPr>
          <w:sz w:val="20"/>
          <w:szCs w:val="20"/>
          <w:color w:val="auto"/>
        </w:rPr>
      </w:pPr>
      <w:r>
        <w:rPr>
          <w:rFonts w:ascii="Arial" w:cs="Arial" w:eastAsia="Arial" w:hAnsi="Arial"/>
          <w:sz w:val="18"/>
          <w:szCs w:val="18"/>
          <w:color w:val="auto"/>
        </w:rPr>
        <w:t>obligate the Company to file any registration statement in respect of any proposed transaction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31" w:right="69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5.8</w:t>
            </w: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Indemnification. </w:t>
            </w:r>
            <w:r>
              <w:rPr>
                <w:rFonts w:ascii="Arial" w:cs="Arial" w:eastAsia="Arial" w:hAnsi="Arial"/>
                <w:sz w:val="18"/>
                <w:szCs w:val="18"/>
                <w:color w:val="auto"/>
                <w:w w:val="97"/>
              </w:rPr>
              <w:t>The Depositary agrees to indemnify the Company and its directors, officers, employees, agents and</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r>
      <w:tr>
        <w:trPr>
          <w:trHeight w:val="20"/>
        </w:trPr>
        <w:tc>
          <w:tcPr>
            <w:tcW w:w="1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Affiliates against, and hold each of them harmless from, any direct loss, liability, tax, charge or expense of any kind</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whatsoever (including, but not limited to, the reasonable fees and expenses of counsel) which may arise out of acts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performed or omitted by the Depositary and/or the Custodian (for as long as the Custodian is a branch of Citibank) under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terms hereof due to the negligence or bad faith of the Depositary and/or the Custodian (for as long as the Custodian is a</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branch of Citibank)</w:t>
            </w:r>
          </w:p>
        </w:tc>
        <w:tc>
          <w:tcPr>
            <w:tcW w:w="72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5.9</w:t>
            </w:r>
          </w:p>
        </w:tc>
        <w:tc>
          <w:tcPr>
            <w:tcW w:w="9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5"/>
              </w:rPr>
              <w:t>ADS Fees and Charges</w:t>
            </w:r>
            <w:r>
              <w:rPr>
                <w:rFonts w:ascii="Arial" w:cs="Arial" w:eastAsia="Arial" w:hAnsi="Arial"/>
                <w:sz w:val="18"/>
                <w:szCs w:val="18"/>
                <w:color w:val="auto"/>
                <w:w w:val="95"/>
              </w:rPr>
              <w:t>. The Company, the Holders, the Beneficial Owners, persons depositing Shares or withdrawing</w:t>
            </w:r>
          </w:p>
        </w:tc>
        <w:tc>
          <w:tcPr>
            <w:tcW w:w="72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36</w:t>
            </w:r>
          </w:p>
        </w:tc>
      </w:tr>
      <w:tr>
        <w:trPr>
          <w:trHeight w:val="20"/>
        </w:trPr>
        <w:tc>
          <w:tcPr>
            <w:tcW w:w="136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2"/>
              </w:rPr>
              <w:t>Deposited Securities in connection with the issuance and cancellation of ADSs, and persons receiving ADSs upon issuance</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or whose ADSs are being cancelled shall be required to pay the Depositary’s fees and related charges (some of which may</w:t>
            </w:r>
          </w:p>
        </w:tc>
        <w:tc>
          <w:tcPr>
            <w:tcW w:w="720" w:type="dxa"/>
            <w:vAlign w:val="bottom"/>
          </w:tcPr>
          <w:p>
            <w:pPr>
              <w:spacing w:after="0"/>
              <w:rPr>
                <w:sz w:val="18"/>
                <w:szCs w:val="18"/>
                <w:color w:val="auto"/>
              </w:rPr>
            </w:pPr>
          </w:p>
        </w:tc>
      </w:tr>
      <w:tr>
        <w:trPr>
          <w:trHeight w:val="190"/>
        </w:trPr>
        <w:tc>
          <w:tcPr>
            <w:tcW w:w="1360" w:type="dxa"/>
            <w:vAlign w:val="bottom"/>
          </w:tcPr>
          <w:p>
            <w:pPr>
              <w:spacing w:after="0"/>
              <w:rPr>
                <w:sz w:val="16"/>
                <w:szCs w:val="16"/>
                <w:color w:val="auto"/>
              </w:rPr>
            </w:pPr>
          </w:p>
        </w:tc>
        <w:tc>
          <w:tcPr>
            <w:tcW w:w="9160" w:type="dxa"/>
            <w:vAlign w:val="bottom"/>
            <w:gridSpan w:val="5"/>
          </w:tcPr>
          <w:p>
            <w:pPr>
              <w:spacing w:after="0" w:line="190" w:lineRule="exact"/>
              <w:rPr>
                <w:sz w:val="20"/>
                <w:szCs w:val="20"/>
                <w:color w:val="auto"/>
              </w:rPr>
            </w:pPr>
            <w:r>
              <w:rPr>
                <w:rFonts w:ascii="Arial" w:cs="Arial" w:eastAsia="Arial" w:hAnsi="Arial"/>
                <w:sz w:val="18"/>
                <w:szCs w:val="18"/>
                <w:color w:val="auto"/>
                <w:w w:val="95"/>
              </w:rPr>
              <w:t>be cumulative) identified as payable by them respectively in the Fee Schedule attached hereto as Exhibit B. All ADS fees</w:t>
            </w:r>
          </w:p>
        </w:tc>
        <w:tc>
          <w:tcPr>
            <w:tcW w:w="7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2"/>
              </w:rPr>
              <w:t>and charges so payable may be deducted from distributions or must be remitted to the Depositary, or its designee, and may,</w:t>
            </w:r>
          </w:p>
        </w:tc>
        <w:tc>
          <w:tcPr>
            <w:tcW w:w="7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at any time and from time to time, be changed by agreement between the Depositary and the Company, but, in the case of</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6"/>
              </w:rPr>
              <w:t>ADS fees and charges payable by Holders and Beneficial Owners, only in the manner contemplated in Section 6.1. The</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rPr>
              <w:t>Depositary shall provide, without charge, a copy of its latest ADS fee schedule to anyone upon request</w:t>
            </w:r>
          </w:p>
        </w:tc>
        <w:tc>
          <w:tcPr>
            <w:tcW w:w="720" w:type="dxa"/>
            <w:vAlign w:val="bottom"/>
          </w:tcPr>
          <w:p>
            <w:pPr>
              <w:spacing w:after="0"/>
              <w:rPr>
                <w:sz w:val="20"/>
                <w:szCs w:val="20"/>
                <w:color w:val="auto"/>
              </w:rPr>
            </w:pPr>
          </w:p>
        </w:tc>
      </w:tr>
      <w:tr>
        <w:trPr>
          <w:trHeight w:val="202"/>
        </w:trPr>
        <w:tc>
          <w:tcPr>
            <w:tcW w:w="1360" w:type="dxa"/>
            <w:vAlign w:val="bottom"/>
            <w:shd w:val="clear" w:color="auto" w:fill="CCEEFF"/>
          </w:tcPr>
          <w:p>
            <w:pPr>
              <w:spacing w:after="0"/>
              <w:rPr>
                <w:sz w:val="17"/>
                <w:szCs w:val="17"/>
                <w:color w:val="auto"/>
              </w:rPr>
            </w:pPr>
          </w:p>
        </w:tc>
        <w:tc>
          <w:tcPr>
            <w:tcW w:w="9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ADS fees and charges for (i) the issuance of ADSs and (ii) the cancellation of ADSs will be payable by the person for whom</w:t>
            </w:r>
          </w:p>
        </w:tc>
        <w:tc>
          <w:tcPr>
            <w:tcW w:w="72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37</w:t>
            </w: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the ADSs are so issued by the Depositary (in the case of ADS issuances) and by the person for whom ADSs are being</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cancelled (in the case of ADS cancellations). In the case of ADSs issued by the Depositary into DTC or presented to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Depositary via DTC, the ADS issuance and cancellation fees and charges will be payable by the DTC Participant(s)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receiving the ADSs from the Depositary or the DTC Participant(s) holding the ADSs being cancelled, as the case may be, 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behalf of the Beneficial Owner(s) and will be charged by the DTC Participant(s) to the account(s) of the applicable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Beneficial Owner(s) in accordance with the procedures and practices of the DTC Participant(s) as in effect at the time. ADS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1"/>
              </w:rPr>
              <w:t>fees and charges in respect of distributions and the ADS service fee are payable by Holders as of the applicable ADS Record</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Date established by the Depositary. In the case of distributions of cash, the amount of the applicable ADS fees and charges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is deducted from the funds being distributed. In the case of (i) distributions other than cash and (ii) the ADS service fee,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applicable Holders as of the ADS Record Date established by the Depositary will be invoiced for the amount of the ADS</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fees and charges and such ADS fees may be deducted from distributions made to Holders. For ADSs held through DTC,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ADS fees and charges for distributions other than cash and the ADS service fee may be deducted from distributions made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through DTC, and may be charged to the DTC Participants in accordance with the procedures and practices prescribed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DTC from time to time and the DTC Participants in turn charge the amount of such ADS fees and charges to the Beneficial</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Owners for whom they hold ADSs. In the case of (i) registration of ADS transfers, the ADS transfer fee will be payable by</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the ADS Holder whose ADSs are being transferred or by the person to whom the ADSs are transferred, and (ii) conversion</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of ADSs of one series for ADSs of another series (which may entail the cancellation, issuance and transfer of ADSs and the</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conversion of ADSs from one series to another series), the applicable ADS issuance, cancellation, transfer and conversion</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fees will be payable by the Holder whose ADSs are converted or by the person to whom the converted ADSs are delivered</w:t>
            </w:r>
          </w:p>
        </w:tc>
        <w:tc>
          <w:tcPr>
            <w:tcW w:w="720" w:type="dxa"/>
            <w:vAlign w:val="bottom"/>
            <w:shd w:val="clear" w:color="auto" w:fill="CCEEFF"/>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9160" w:type="dxa"/>
            <w:vAlign w:val="bottom"/>
            <w:gridSpan w:val="5"/>
          </w:tcPr>
          <w:p>
            <w:pPr>
              <w:spacing w:after="0" w:line="201" w:lineRule="exact"/>
              <w:rPr>
                <w:sz w:val="20"/>
                <w:szCs w:val="20"/>
                <w:color w:val="auto"/>
              </w:rPr>
            </w:pPr>
            <w:r>
              <w:rPr>
                <w:rFonts w:ascii="Arial" w:cs="Arial" w:eastAsia="Arial" w:hAnsi="Arial"/>
                <w:sz w:val="18"/>
                <w:szCs w:val="18"/>
                <w:color w:val="auto"/>
                <w:w w:val="93"/>
              </w:rPr>
              <w:t>The Depositary may reimburse the Company for certain expenses incurred by the Company in respect of the ADR program</w:t>
            </w:r>
          </w:p>
        </w:tc>
        <w:tc>
          <w:tcPr>
            <w:tcW w:w="72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37</w:t>
            </w: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5"/>
              </w:rPr>
              <w:t>established pursuant to the Deposit Agreement, by making available a portion of the ADS fees charged in respect of the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4"/>
              </w:rPr>
              <w:t>ADR program or otherwise, upon such terms and conditions as the Company and the Depositary agree from time to time.</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7"/>
              </w:rPr>
              <w:t>The Company shall pay to the Depositary such fees and charges, and reimburse the Depositary for such out-of-pocket</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8"/>
              </w:rPr>
              <w:t>expenses, as the Depositary and the Company may agree from time to time. Responsibility for payment of such fees,</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4"/>
              </w:rPr>
              <w:t>charges and reimbursements may from time to time be changed by agreement between the Company and the Depositary.</w:t>
            </w:r>
          </w:p>
        </w:tc>
        <w:tc>
          <w:tcPr>
            <w:tcW w:w="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7"/>
              </w:rPr>
              <w:t>Unless otherwise agreed, the Depositary shall present its statement for such fees, charges and reimbursements to the</w:t>
            </w:r>
          </w:p>
        </w:tc>
        <w:tc>
          <w:tcPr>
            <w:tcW w:w="7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60" w:type="dxa"/>
            <w:vAlign w:val="bottom"/>
            <w:gridSpan w:val="5"/>
          </w:tcPr>
          <w:p>
            <w:pPr>
              <w:spacing w:after="0"/>
              <w:rPr>
                <w:sz w:val="20"/>
                <w:szCs w:val="20"/>
                <w:color w:val="auto"/>
              </w:rPr>
            </w:pPr>
            <w:r>
              <w:rPr>
                <w:rFonts w:ascii="Arial" w:cs="Arial" w:eastAsia="Arial" w:hAnsi="Arial"/>
                <w:sz w:val="18"/>
                <w:szCs w:val="18"/>
                <w:color w:val="auto"/>
                <w:w w:val="93"/>
              </w:rPr>
              <w:t>Company once every three months. The charges and expenses of the Custodian are for the sole account of the Depositary</w:t>
            </w:r>
          </w:p>
        </w:tc>
        <w:tc>
          <w:tcPr>
            <w:tcW w:w="720" w:type="dxa"/>
            <w:vAlign w:val="bottom"/>
          </w:tcPr>
          <w:p>
            <w:pPr>
              <w:spacing w:after="0"/>
              <w:rPr>
                <w:sz w:val="20"/>
                <w:szCs w:val="20"/>
                <w:color w:val="auto"/>
              </w:rPr>
            </w:pPr>
          </w:p>
        </w:tc>
      </w:tr>
      <w:tr>
        <w:trPr>
          <w:trHeight w:val="202"/>
        </w:trPr>
        <w:tc>
          <w:tcPr>
            <w:tcW w:w="1360" w:type="dxa"/>
            <w:vAlign w:val="bottom"/>
            <w:shd w:val="clear" w:color="auto" w:fill="CCEEFF"/>
          </w:tcPr>
          <w:p>
            <w:pPr>
              <w:spacing w:after="0"/>
              <w:rPr>
                <w:sz w:val="17"/>
                <w:szCs w:val="17"/>
                <w:color w:val="auto"/>
              </w:rPr>
            </w:pPr>
          </w:p>
        </w:tc>
        <w:tc>
          <w:tcPr>
            <w:tcW w:w="9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The obligations of Holders and Beneficial Owners to pay ADS fees and charges shall survive the termination of the Deposit</w:t>
            </w:r>
          </w:p>
        </w:tc>
        <w:tc>
          <w:tcPr>
            <w:tcW w:w="72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38</w:t>
            </w: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Agreement. As to any Depositary, upon the resignation or removal of such Depositary as described in Section 5.4, the right</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to collect ADS fees and charges shall extend for those ADS fees and charges incurred prior to the effectiveness of such</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resignation or removal</w:t>
            </w:r>
          </w:p>
        </w:tc>
        <w:tc>
          <w:tcPr>
            <w:tcW w:w="7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5.10</w:t>
            </w: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 xml:space="preserve">Restricted Securities Owners. </w:t>
            </w:r>
            <w:r>
              <w:rPr>
                <w:rFonts w:ascii="Arial" w:cs="Arial" w:eastAsia="Arial" w:hAnsi="Arial"/>
                <w:sz w:val="18"/>
                <w:szCs w:val="18"/>
                <w:color w:val="auto"/>
                <w:w w:val="98"/>
              </w:rPr>
              <w:t>The Company agrees to advise in writing each of the persons or entities who, to the</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r>
      <w:tr>
        <w:trPr>
          <w:trHeight w:val="20"/>
        </w:trPr>
        <w:tc>
          <w:tcPr>
            <w:tcW w:w="136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knowledge of the Company, holds Restricted Securities that such Restricted Securities are ineligible for deposit hereunder</w:t>
            </w:r>
          </w:p>
        </w:tc>
        <w:tc>
          <w:tcPr>
            <w:tcW w:w="72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(except under the circumstances contemplated in Section 2.14) and, to the extent practicable, shall require each of such</w:t>
            </w:r>
          </w:p>
        </w:tc>
        <w:tc>
          <w:tcPr>
            <w:tcW w:w="72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persons to represent in writing that such person will not deposit Restricted Securities hereunder (except under the</w:t>
            </w:r>
          </w:p>
        </w:tc>
        <w:tc>
          <w:tcPr>
            <w:tcW w:w="72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circumstances contemplated in Section 2.14)</w:t>
            </w:r>
          </w:p>
        </w:tc>
        <w:tc>
          <w:tcPr>
            <w:tcW w:w="720" w:type="dxa"/>
            <w:vAlign w:val="bottom"/>
            <w:shd w:val="clear" w:color="auto" w:fill="CCEEFF"/>
          </w:tcPr>
          <w:p>
            <w:pPr>
              <w:spacing w:after="0"/>
              <w:rPr>
                <w:sz w:val="20"/>
                <w:szCs w:val="20"/>
                <w:color w:val="auto"/>
              </w:rPr>
            </w:pPr>
          </w:p>
        </w:tc>
      </w:tr>
      <w:tr>
        <w:trPr>
          <w:trHeight w:val="216"/>
        </w:trPr>
        <w:tc>
          <w:tcPr>
            <w:tcW w:w="3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VI AMENDMENT AND TERMINATION</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6.1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w w:val="92"/>
              </w:rPr>
              <w:t xml:space="preserve">Amendment/Supplement. </w:t>
            </w:r>
            <w:r>
              <w:rPr>
                <w:rFonts w:ascii="Arial" w:cs="Arial" w:eastAsia="Arial" w:hAnsi="Arial"/>
                <w:sz w:val="18"/>
                <w:szCs w:val="18"/>
                <w:color w:val="auto"/>
                <w:w w:val="92"/>
              </w:rPr>
              <w:t>Subject to the terms and conditions of this Section 6.1 and applicable law, the ADRs outstanding</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38</w:t>
            </w:r>
          </w:p>
        </w:tc>
      </w:tr>
      <w:tr>
        <w:trPr>
          <w:trHeight w:val="20"/>
        </w:trPr>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8404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ind w:left="1360" w:right="920"/>
        <w:spacing w:after="0" w:line="284" w:lineRule="auto"/>
        <w:rPr>
          <w:sz w:val="20"/>
          <w:szCs w:val="20"/>
          <w:color w:val="auto"/>
        </w:rPr>
      </w:pPr>
      <w:r>
        <w:rPr>
          <w:rFonts w:ascii="Arial" w:cs="Arial" w:eastAsia="Arial" w:hAnsi="Arial"/>
          <w:sz w:val="16"/>
          <w:szCs w:val="16"/>
          <w:color w:val="auto"/>
        </w:rPr>
        <w:t xml:space="preserve">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6.2</w:t>
            </w: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Termination. </w:t>
            </w:r>
            <w:r>
              <w:rPr>
                <w:rFonts w:ascii="Arial" w:cs="Arial" w:eastAsia="Arial" w:hAnsi="Arial"/>
                <w:sz w:val="18"/>
                <w:szCs w:val="18"/>
                <w:color w:val="auto"/>
                <w:w w:val="94"/>
              </w:rPr>
              <w:t>The Depositary shall, at any time at the written direction of the Company, terminate the Deposit Agreement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r>
      <w:tr>
        <w:trPr>
          <w:trHeight w:val="20"/>
        </w:trPr>
        <w:tc>
          <w:tcPr>
            <w:tcW w:w="13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by distributing notice of such termination to the Holders of all ADSs then outstanding at least thirty (30) days prior to the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date fixed in such notice for such termination. If (i) ninety (90) days shall have expired after the Depositary shall have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delivered to the Company a written notice of its election to resign, or (ii) ninety (90) days shall have expired after the</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Company shall have delivered to the Depositary a written notice of the removal of the Depositary, and, in either case, a</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successor depositary shall not have been appointed and accepted its appointment as provided in Section 5.4 of the Deposit</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Agreement, the Depositary may terminate the Deposit Agreement by distributing notice of such termination to the Holders</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of all ADSs then outstanding at least thirty (30) days prior to the date fixed in such notice for such termination. The date so</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fixed for termination of the Deposit Agreement in any termination notice so distributed by the Depositary to the Holders of</w:t>
            </w:r>
          </w:p>
        </w:tc>
        <w:tc>
          <w:tcPr>
            <w:tcW w:w="740" w:type="dxa"/>
            <w:vAlign w:val="bottom"/>
            <w:shd w:val="clear" w:color="auto" w:fill="CCEEFF"/>
          </w:tcPr>
          <w:p>
            <w:pPr>
              <w:spacing w:after="0"/>
              <w:rPr>
                <w:sz w:val="18"/>
                <w:szCs w:val="18"/>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w w:val="95"/>
              </w:rPr>
              <w:t>ADSs is referred to as the “Termination Date”. Until the Termination Date, the Depositary shall continue to perform all of</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its obligations under the Deposit Agreement, and the Holders and Beneficial Owners will be entitled to all of their rights</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under the Deposit Agreement</w:t>
            </w:r>
          </w:p>
        </w:tc>
        <w:tc>
          <w:tcPr>
            <w:tcW w:w="740" w:type="dxa"/>
            <w:vAlign w:val="bottom"/>
            <w:shd w:val="clear" w:color="auto" w:fill="CCEEFF"/>
          </w:tcPr>
          <w:p>
            <w:pPr>
              <w:spacing w:after="0"/>
              <w:rPr>
                <w:sz w:val="20"/>
                <w:szCs w:val="20"/>
                <w:color w:val="auto"/>
              </w:rPr>
            </w:pPr>
          </w:p>
        </w:tc>
      </w:tr>
      <w:tr>
        <w:trPr>
          <w:trHeight w:val="216"/>
        </w:trPr>
        <w:tc>
          <w:tcPr>
            <w:tcW w:w="2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ARTICLE VII MISCELLANEOUS</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w:t>
            </w:r>
          </w:p>
        </w:tc>
      </w:tr>
      <w:tr>
        <w:trPr>
          <w:trHeight w:val="216"/>
        </w:trPr>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7.1</w:t>
            </w:r>
          </w:p>
        </w:tc>
        <w:tc>
          <w:tcPr>
            <w:tcW w:w="9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Counterparts. </w:t>
            </w:r>
            <w:r>
              <w:rPr>
                <w:rFonts w:ascii="Arial" w:cs="Arial" w:eastAsia="Arial" w:hAnsi="Arial"/>
                <w:sz w:val="18"/>
                <w:szCs w:val="18"/>
                <w:color w:val="auto"/>
                <w:w w:val="92"/>
              </w:rPr>
              <w:t>The Deposit Agreement may be executed in any number of counterparts, each of which shall be deemed an</w:t>
            </w:r>
          </w:p>
        </w:tc>
        <w:tc>
          <w:tcPr>
            <w:tcW w:w="74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40</w:t>
            </w:r>
          </w:p>
        </w:tc>
      </w:tr>
      <w:tr>
        <w:trPr>
          <w:trHeight w:val="20"/>
        </w:trPr>
        <w:tc>
          <w:tcPr>
            <w:tcW w:w="13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60" w:type="dxa"/>
            <w:vAlign w:val="bottom"/>
            <w:gridSpan w:val="3"/>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original and all of such counterparts together shall constitute one and the same agreement. Copies of the Deposit Agreement</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shall be maintained with the Depositary and shall be open to inspection by any Holder during business hours</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7.2</w:t>
            </w:r>
          </w:p>
        </w:tc>
        <w:tc>
          <w:tcPr>
            <w:tcW w:w="9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w w:val="92"/>
              </w:rPr>
              <w:t xml:space="preserve">No Third-Party Beneficiaries/Acknowledgments. </w:t>
            </w:r>
            <w:r>
              <w:rPr>
                <w:rFonts w:ascii="Arial" w:cs="Arial" w:eastAsia="Arial" w:hAnsi="Arial"/>
                <w:sz w:val="18"/>
                <w:szCs w:val="18"/>
                <w:color w:val="auto"/>
                <w:w w:val="92"/>
              </w:rPr>
              <w:t>The Deposit Agreement is for the exclusive benefit of the parties hereto</w:t>
            </w:r>
          </w:p>
        </w:tc>
        <w:tc>
          <w:tcPr>
            <w:tcW w:w="7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40</w:t>
            </w:r>
          </w:p>
        </w:tc>
      </w:tr>
      <w:tr>
        <w:trPr>
          <w:trHeight w:val="20"/>
        </w:trPr>
        <w:tc>
          <w:tcPr>
            <w:tcW w:w="1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right="900"/>
        <w:spacing w:after="0" w:line="285" w:lineRule="auto"/>
        <w:rPr>
          <w:sz w:val="20"/>
          <w:szCs w:val="20"/>
          <w:color w:val="auto"/>
        </w:rPr>
      </w:pP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7.3</w:t>
            </w: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Severability. </w:t>
            </w:r>
            <w:r>
              <w:rPr>
                <w:rFonts w:ascii="Arial" w:cs="Arial" w:eastAsia="Arial" w:hAnsi="Arial"/>
                <w:sz w:val="18"/>
                <w:szCs w:val="18"/>
                <w:color w:val="auto"/>
                <w:w w:val="95"/>
              </w:rPr>
              <w:t>In case any one or more of the provisions contained in the Deposit Agreement or in the ADRs should be or</w:t>
            </w: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become invalid, illegal or unenforceable in any respect, the validity, legality and enforceability of the remaining provisions</w:t>
            </w:r>
          </w:p>
        </w:tc>
        <w:tc>
          <w:tcPr>
            <w:tcW w:w="740" w:type="dxa"/>
            <w:vAlign w:val="bottom"/>
            <w:shd w:val="clear" w:color="auto" w:fill="CCEEFF"/>
          </w:tcPr>
          <w:p>
            <w:pPr>
              <w:spacing w:after="0"/>
              <w:rPr>
                <w:sz w:val="19"/>
                <w:szCs w:val="19"/>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contained herein or therein shall in no way be affected, prejudiced or disturbed thereby</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7.4</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w w:val="96"/>
              </w:rPr>
              <w:t xml:space="preserve">Holders and Beneficial Owners as Parties; Binding Effect. </w:t>
            </w:r>
            <w:r>
              <w:rPr>
                <w:rFonts w:ascii="Arial" w:cs="Arial" w:eastAsia="Arial" w:hAnsi="Arial"/>
                <w:sz w:val="18"/>
                <w:szCs w:val="18"/>
                <w:color w:val="auto"/>
                <w:w w:val="96"/>
              </w:rPr>
              <w:t>The Holders and Beneficial Owners from time to time of</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5"/>
              </w:rPr>
              <w:t>ADSs issued hereunder shall be parties to the Deposit Agreement and shall be bound by all of the terms and conditions</w:t>
            </w:r>
          </w:p>
        </w:tc>
        <w:tc>
          <w:tcPr>
            <w:tcW w:w="7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hereof and of any ADR evidencing their ADSs by acceptance thereof or any beneficial interest therein</w:t>
            </w:r>
          </w:p>
        </w:tc>
        <w:tc>
          <w:tcPr>
            <w:tcW w:w="740" w:type="dxa"/>
            <w:vAlign w:val="bottom"/>
          </w:tcPr>
          <w:p>
            <w:pPr>
              <w:spacing w:after="0"/>
              <w:rPr>
                <w:sz w:val="20"/>
                <w:szCs w:val="20"/>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7.5</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Notices. </w:t>
            </w:r>
            <w:r>
              <w:rPr>
                <w:rFonts w:ascii="Arial" w:cs="Arial" w:eastAsia="Arial" w:hAnsi="Arial"/>
                <w:sz w:val="18"/>
                <w:szCs w:val="18"/>
                <w:color w:val="auto"/>
                <w:w w:val="92"/>
              </w:rPr>
              <w:t>Any and all notices to be given to the Company shall be deemed to have been duly given if personally delivered or</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sent by mail, air courier or cable, telex or facsimile transmission, confirmed by letter personally delivered or sent by mail or</w:t>
            </w:r>
          </w:p>
        </w:tc>
        <w:tc>
          <w:tcPr>
            <w:tcW w:w="740" w:type="dxa"/>
            <w:vAlign w:val="bottom"/>
            <w:shd w:val="clear" w:color="auto" w:fill="CCEEFF"/>
          </w:tcPr>
          <w:p>
            <w:pPr>
              <w:spacing w:after="0"/>
              <w:rPr>
                <w:sz w:val="19"/>
                <w:szCs w:val="19"/>
                <w:color w:val="auto"/>
              </w:rPr>
            </w:pPr>
          </w:p>
        </w:tc>
      </w:tr>
      <w:tr>
        <w:trPr>
          <w:trHeight w:val="190"/>
        </w:trPr>
        <w:tc>
          <w:tcPr>
            <w:tcW w:w="1360" w:type="dxa"/>
            <w:vAlign w:val="bottom"/>
            <w:shd w:val="clear" w:color="auto" w:fill="CCEEFF"/>
          </w:tcPr>
          <w:p>
            <w:pPr>
              <w:spacing w:after="0"/>
              <w:rPr>
                <w:sz w:val="16"/>
                <w:szCs w:val="16"/>
                <w:color w:val="auto"/>
              </w:rPr>
            </w:pPr>
          </w:p>
        </w:tc>
        <w:tc>
          <w:tcPr>
            <w:tcW w:w="9140" w:type="dxa"/>
            <w:vAlign w:val="bottom"/>
            <w:gridSpan w:val="9"/>
            <w:shd w:val="clear" w:color="auto" w:fill="CCEEFF"/>
          </w:tcPr>
          <w:p>
            <w:pPr>
              <w:spacing w:after="0" w:line="190" w:lineRule="exact"/>
              <w:rPr>
                <w:sz w:val="20"/>
                <w:szCs w:val="20"/>
                <w:color w:val="auto"/>
              </w:rPr>
            </w:pPr>
            <w:r>
              <w:rPr>
                <w:rFonts w:ascii="Arial" w:cs="Arial" w:eastAsia="Arial" w:hAnsi="Arial"/>
                <w:sz w:val="18"/>
                <w:szCs w:val="18"/>
                <w:color w:val="auto"/>
                <w:w w:val="99"/>
              </w:rPr>
              <w:t>air courier, addressed to Suntec Tower 3, 8 Temasek Boulevard Road, #24-03, Singapore, 038988, Attention: Chief</w:t>
            </w:r>
          </w:p>
        </w:tc>
        <w:tc>
          <w:tcPr>
            <w:tcW w:w="740" w:type="dxa"/>
            <w:vAlign w:val="bottom"/>
            <w:shd w:val="clear" w:color="auto" w:fill="CCEEFF"/>
          </w:tcPr>
          <w:p>
            <w:pPr>
              <w:spacing w:after="0"/>
              <w:rPr>
                <w:sz w:val="16"/>
                <w:szCs w:val="16"/>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Executive Officer, or to any other address which the Company may specify in writing to the Depositary</w:t>
            </w:r>
          </w:p>
        </w:tc>
        <w:tc>
          <w:tcPr>
            <w:tcW w:w="740" w:type="dxa"/>
            <w:vAlign w:val="bottom"/>
            <w:shd w:val="clear" w:color="auto" w:fill="CCEEFF"/>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7.6</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w w:val="95"/>
              </w:rPr>
              <w:t xml:space="preserve">Governing Law and Jurisdiction. </w:t>
            </w:r>
            <w:r>
              <w:rPr>
                <w:rFonts w:ascii="Arial" w:cs="Arial" w:eastAsia="Arial" w:hAnsi="Arial"/>
                <w:sz w:val="18"/>
                <w:szCs w:val="18"/>
                <w:color w:val="auto"/>
                <w:w w:val="95"/>
              </w:rPr>
              <w:t>The Deposit Agreement, the ADRs and the ADSs shall be interpreted in accordance</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136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1"/>
              </w:rPr>
              <w:t>with, and all rights hereunder and thereunder and provisions hereof and thereof shall be governed by, the laws of the State of</w:t>
            </w:r>
          </w:p>
        </w:tc>
        <w:tc>
          <w:tcPr>
            <w:tcW w:w="7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3"/>
              </w:rPr>
              <w:t>New York applicable to contracts made and to be wholly performed in that State. Notwithstanding anything contained in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4"/>
              </w:rPr>
              <w:t>Deposit Agreement to the contrary, any ADR or any present or future provisions of the laws of the State of New York, the</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1"/>
              </w:rPr>
              <w:t>rights of holders of Shares and of any other Deposited Securities and the obligations and duties of the Company in respect of</w:t>
            </w:r>
          </w:p>
        </w:tc>
        <w:tc>
          <w:tcPr>
            <w:tcW w:w="7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w w:val="93"/>
              </w:rPr>
              <w:t>the holders of Shares and other Deposited Securities, as such, shall be governed by the laws of the Cayman Islands (or, if</w:t>
            </w:r>
          </w:p>
        </w:tc>
        <w:tc>
          <w:tcPr>
            <w:tcW w:w="7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applicable, such other laws as may govern the Deposited Securities)</w:t>
            </w:r>
          </w:p>
        </w:tc>
        <w:tc>
          <w:tcPr>
            <w:tcW w:w="740" w:type="dxa"/>
            <w:vAlign w:val="bottom"/>
          </w:tcPr>
          <w:p>
            <w:pPr>
              <w:spacing w:after="0"/>
              <w:rPr>
                <w:sz w:val="20"/>
                <w:szCs w:val="20"/>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7.7</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 xml:space="preserve">Assignment. </w:t>
            </w:r>
            <w:r>
              <w:rPr>
                <w:rFonts w:ascii="Arial" w:cs="Arial" w:eastAsia="Arial" w:hAnsi="Arial"/>
                <w:sz w:val="18"/>
                <w:szCs w:val="18"/>
                <w:color w:val="auto"/>
                <w:w w:val="91"/>
              </w:rPr>
              <w:t>Subject to the provisions of Section 5.4, the Deposit Agreement may not be assigned by either the Company or</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4180" w:type="dxa"/>
            <w:vAlign w:val="bottom"/>
            <w:gridSpan w:val="3"/>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36"/>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the Depositary</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7.8</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Compliance with, and No Disclaimer under, U.S. Securities Laws</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Section 7.9</w:t>
            </w:r>
          </w:p>
        </w:tc>
        <w:tc>
          <w:tcPr>
            <w:tcW w:w="9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 xml:space="preserve">Cayman Islands Law References. </w:t>
            </w:r>
            <w:r>
              <w:rPr>
                <w:rFonts w:ascii="Arial" w:cs="Arial" w:eastAsia="Arial" w:hAnsi="Arial"/>
                <w:sz w:val="18"/>
                <w:szCs w:val="18"/>
                <w:color w:val="auto"/>
                <w:w w:val="92"/>
              </w:rPr>
              <w:t>Any summary of the laws and regulations of the Cayman Islands and of the terms of the</w:t>
            </w:r>
          </w:p>
        </w:tc>
        <w:tc>
          <w:tcPr>
            <w:tcW w:w="7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360" w:type="dxa"/>
            <w:vAlign w:val="bottom"/>
            <w:shd w:val="clear" w:color="auto" w:fill="CCEEFF"/>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40" w:type="dxa"/>
            <w:vAlign w:val="bottom"/>
            <w:gridSpan w:val="5"/>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222"/>
        </w:trPr>
        <w:tc>
          <w:tcPr>
            <w:tcW w:w="1360" w:type="dxa"/>
            <w:vAlign w:val="bottom"/>
            <w:shd w:val="clear" w:color="auto" w:fill="CCEEFF"/>
          </w:tcPr>
          <w:p>
            <w:pPr>
              <w:spacing w:after="0"/>
              <w:rPr>
                <w:sz w:val="19"/>
                <w:szCs w:val="19"/>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Articles of Association set forth in the Deposit Agreement have been provided by the Company solely for the convenience</w:t>
            </w:r>
          </w:p>
        </w:tc>
        <w:tc>
          <w:tcPr>
            <w:tcW w:w="740" w:type="dxa"/>
            <w:vAlign w:val="bottom"/>
            <w:shd w:val="clear" w:color="auto" w:fill="CCEEFF"/>
          </w:tcPr>
          <w:p>
            <w:pPr>
              <w:spacing w:after="0"/>
              <w:rPr>
                <w:sz w:val="19"/>
                <w:szCs w:val="19"/>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2"/>
              </w:rPr>
              <w:t>of Holders, Beneficial Owners and the Depositary. While such summaries are believed by the Company to be accurate as of</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9"/>
              </w:rPr>
              <w:t>the date of the Deposit Agreement, (i) they are summaries and as such may not include all aspects of the materials</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summarized applicable to a Holder or Beneficial Owner, and (ii) these laws and regulations and the Articles of Association</w:t>
            </w:r>
          </w:p>
        </w:tc>
        <w:tc>
          <w:tcPr>
            <w:tcW w:w="74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2"/>
              </w:rPr>
              <w:t>may change after the date of the Deposit Agreement. Neither the Depositary nor the Company has any obligation under the</w:t>
            </w:r>
          </w:p>
        </w:tc>
        <w:tc>
          <w:tcPr>
            <w:tcW w:w="740" w:type="dxa"/>
            <w:vAlign w:val="bottom"/>
            <w:shd w:val="clear" w:color="auto" w:fill="CCEEFF"/>
          </w:tcPr>
          <w:p>
            <w:pPr>
              <w:spacing w:after="0"/>
              <w:rPr>
                <w:sz w:val="18"/>
                <w:szCs w:val="18"/>
                <w:color w:val="auto"/>
              </w:rPr>
            </w:pPr>
          </w:p>
        </w:tc>
      </w:tr>
      <w:tr>
        <w:trPr>
          <w:trHeight w:val="230"/>
        </w:trPr>
        <w:tc>
          <w:tcPr>
            <w:tcW w:w="1360" w:type="dxa"/>
            <w:vAlign w:val="bottom"/>
            <w:shd w:val="clear" w:color="auto" w:fill="CCEEFF"/>
          </w:tcPr>
          <w:p>
            <w:pPr>
              <w:spacing w:after="0"/>
              <w:rPr>
                <w:sz w:val="20"/>
                <w:szCs w:val="20"/>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terms of the Deposit Agreement to update any such summaries</w:t>
            </w:r>
          </w:p>
        </w:tc>
        <w:tc>
          <w:tcPr>
            <w:tcW w:w="740" w:type="dxa"/>
            <w:vAlign w:val="bottom"/>
            <w:shd w:val="clear" w:color="auto" w:fill="CCEEFF"/>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b w:val="1"/>
                <w:bCs w:val="1"/>
                <w:color w:val="auto"/>
              </w:rPr>
              <w:t>Section 7.10</w:t>
            </w:r>
          </w:p>
        </w:tc>
        <w:tc>
          <w:tcPr>
            <w:tcW w:w="91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Titles and References</w:t>
            </w:r>
          </w:p>
        </w:tc>
        <w:tc>
          <w:tcPr>
            <w:tcW w:w="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ADR</w:t>
            </w:r>
          </w:p>
        </w:tc>
        <w:tc>
          <w:tcPr>
            <w:tcW w:w="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A-1</w:t>
            </w:r>
          </w:p>
        </w:tc>
      </w:tr>
      <w:tr>
        <w:trPr>
          <w:trHeight w:val="230"/>
        </w:trPr>
        <w:tc>
          <w:tcPr>
            <w:tcW w:w="13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Fee Schedule</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B-1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0" w:name="page271"/>
    <w:bookmarkEnd w:id="270"/>
    <w:p>
      <w:pPr>
        <w:jc w:val="center"/>
        <w:ind w:right="-15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2023, by and among (i) TRIDENT DIGITAL TECH HOLDINGS LTD, an exempted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with limited liability under the laws of the Cayman Islands,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establish with the Depositary an ADR (as hereinafter defined) facility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provide for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w:t>
      </w:r>
      <w:r>
        <w:rPr>
          <w:rFonts w:ascii="Arial" w:cs="Arial" w:eastAsia="Arial" w:hAnsi="Arial"/>
          <w:sz w:val="18"/>
          <w:szCs w:val="18"/>
          <w:b w:val="1"/>
          <w:bCs w:val="1"/>
          <w:u w:val="single" w:color="auto"/>
          <w:color w:val="auto"/>
        </w:rPr>
        <w:t>ADS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to such term in Section 4.9.</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Section 1.3 “</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71" w:name="page272"/>
    <w:bookmarkEnd w:id="271"/>
    <w:p>
      <w:pPr>
        <w:ind w:right="40" w:firstLine="648"/>
        <w:spacing w:after="0" w:line="289" w:lineRule="auto"/>
        <w:rPr>
          <w:sz w:val="20"/>
          <w:szCs w:val="20"/>
          <w:color w:val="auto"/>
        </w:rPr>
      </w:pPr>
      <w:r>
        <w:rPr>
          <w:rFonts w:ascii="Arial" w:cs="Arial" w:eastAsia="Arial" w:hAnsi="Arial"/>
          <w:sz w:val="16"/>
          <w:szCs w:val="16"/>
          <w:b w:val="1"/>
          <w:bCs w:val="1"/>
          <w:color w:val="auto"/>
        </w:rPr>
        <w:t>Section 1.4 “</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firstLine="8"/>
        <w:spacing w:after="0" w:line="267" w:lineRule="auto"/>
        <w:tabs>
          <w:tab w:leader="none" w:pos="24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Section 1.5 “</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memorandum and articles of association of the Company, and any other constitutional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as amended or restated and in effect from time to time.</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Section 1.6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ind w:left="660"/>
        <w:spacing w:after="0"/>
        <w:rPr>
          <w:sz w:val="20"/>
          <w:szCs w:val="20"/>
          <w:color w:val="auto"/>
        </w:rPr>
      </w:pPr>
      <w:r>
        <w:rPr>
          <w:rFonts w:ascii="Arial" w:cs="Arial" w:eastAsia="Arial" w:hAnsi="Arial"/>
          <w:sz w:val="18"/>
          <w:szCs w:val="18"/>
          <w:b w:val="1"/>
          <w:bCs w:val="1"/>
          <w:color w:val="auto"/>
        </w:rPr>
        <w:t>Section 1.7 “</w:t>
      </w:r>
      <w:r>
        <w:rPr>
          <w:rFonts w:ascii="Arial" w:cs="Arial" w:eastAsia="Arial" w:hAnsi="Arial"/>
          <w:sz w:val="18"/>
          <w:szCs w:val="18"/>
          <w:b w:val="1"/>
          <w:bCs w:val="1"/>
          <w:u w:val="single" w:color="auto"/>
          <w:color w:val="auto"/>
        </w:rPr>
        <w:t>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successors.</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Section 1.9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Trident Digital Tech Holdings Ltd, an exempted company incorporated with limited liability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Cayman Islands, and its successors.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Section 1.11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 Hong Kong, having its principal office at 9/F Citi Tower, One Bay</w:t>
      </w:r>
      <w:r>
        <w:rPr>
          <w:rFonts w:ascii="Arial" w:cs="Arial" w:eastAsia="Arial" w:hAnsi="Arial"/>
          <w:sz w:val="18"/>
          <w:szCs w:val="18"/>
          <w:b w:val="1"/>
          <w:bCs w:val="1"/>
          <w:color w:val="auto"/>
        </w:rPr>
        <w:t xml:space="preserve"> </w:t>
      </w:r>
      <w:r>
        <w:rPr>
          <w:rFonts w:ascii="Arial" w:cs="Arial" w:eastAsia="Arial" w:hAnsi="Arial"/>
          <w:sz w:val="18"/>
          <w:szCs w:val="18"/>
          <w:color w:val="auto"/>
        </w:rPr>
        <w:t>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b w:val="1"/>
          <w:bCs w:val="1"/>
          <w:color w:val="auto"/>
        </w:rPr>
        <w:t>Section 1.12 “</w:t>
      </w:r>
      <w:r>
        <w:rPr>
          <w:rFonts w:ascii="Arial" w:cs="Arial" w:eastAsia="Arial" w:hAnsi="Arial"/>
          <w:sz w:val="18"/>
          <w:szCs w:val="18"/>
          <w:b w:val="1"/>
          <w:bCs w:val="1"/>
          <w:u w:val="single" w:color="auto"/>
          <w:color w:val="auto"/>
        </w:rPr>
        <w:t>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Section 1.13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1.14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depositary under the terms of the Deposit Agreement, and any successor depositary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ind w:right="40" w:firstLine="648"/>
        <w:spacing w:after="0" w:line="274" w:lineRule="auto"/>
        <w:rPr>
          <w:sz w:val="20"/>
          <w:szCs w:val="20"/>
          <w:color w:val="auto"/>
        </w:rPr>
      </w:pPr>
      <w:r>
        <w:rPr>
          <w:rFonts w:ascii="Arial" w:cs="Arial" w:eastAsia="Arial" w:hAnsi="Arial"/>
          <w:sz w:val="17"/>
          <w:szCs w:val="17"/>
          <w:b w:val="1"/>
          <w:bCs w:val="1"/>
          <w:color w:val="auto"/>
        </w:rPr>
        <w:t>Section 1.15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ADSs under the Deposit Agreement and constituting Deposited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1.17 “</w:t>
      </w:r>
      <w:r>
        <w:rPr>
          <w:rFonts w:ascii="Arial" w:cs="Arial" w:eastAsia="Arial" w:hAnsi="Arial"/>
          <w:sz w:val="18"/>
          <w:szCs w:val="18"/>
          <w:b w:val="1"/>
          <w:bCs w:val="1"/>
          <w:u w:val="single" w:color="auto"/>
          <w:color w:val="auto"/>
        </w:rPr>
        <w:t>Dollars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to the lawful currency of the United States.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Section 1.18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Section 1.19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1.20 “</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1.21 “</w:t>
      </w:r>
      <w:r>
        <w:rPr>
          <w:rFonts w:ascii="Arial" w:cs="Arial" w:eastAsia="Arial" w:hAnsi="Arial"/>
          <w:sz w:val="18"/>
          <w:szCs w:val="18"/>
          <w:b w:val="1"/>
          <w:bCs w:val="1"/>
          <w:u w:val="single" w:color="auto"/>
          <w:color w:val="auto"/>
        </w:rPr>
        <w:t>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currency other than Dollars.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Section 1.23 “</w:t>
      </w:r>
      <w:r>
        <w:rPr>
          <w:rFonts w:ascii="Arial" w:cs="Arial" w:eastAsia="Arial" w:hAnsi="Arial"/>
          <w:sz w:val="16"/>
          <w:szCs w:val="16"/>
          <w:b w:val="1"/>
          <w:bCs w:val="1"/>
          <w:u w:val="single" w:color="auto"/>
          <w:color w:val="auto"/>
        </w:rPr>
        <w:t>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ind w:right="460"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Section 1.25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Section 1.26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Section 1.27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1.28 “</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 2.14.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1.29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Act of 1933, as amended from time to time.</w:t>
      </w:r>
    </w:p>
    <w:p>
      <w:pPr>
        <w:spacing w:after="0" w:line="225"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b w:val="1"/>
          <w:bCs w:val="1"/>
          <w:color w:val="auto"/>
        </w:rPr>
        <w:t>Section 1.30 “</w:t>
      </w:r>
      <w:r>
        <w:rPr>
          <w:rFonts w:ascii="Arial" w:cs="Arial" w:eastAsia="Arial" w:hAnsi="Arial"/>
          <w:sz w:val="16"/>
          <w:szCs w:val="16"/>
          <w:b w:val="1"/>
          <w:bCs w:val="1"/>
          <w:u w:val="single" w:color="auto"/>
          <w:color w:val="auto"/>
        </w:rPr>
        <w:t>Share Registrar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Sertus Incorporations (Cayman) Limited or any other institution organized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Cayman Islands appointed by the Company from time to time to carry out the duties of registrar for the Shares, and any successor thereto.</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5" w:name="page276"/>
    <w:bookmarkEnd w:id="275"/>
    <w:p>
      <w:pPr>
        <w:ind w:right="60" w:firstLine="648"/>
        <w:spacing w:after="0" w:line="294" w:lineRule="auto"/>
        <w:rPr>
          <w:sz w:val="20"/>
          <w:szCs w:val="20"/>
          <w:color w:val="auto"/>
        </w:rPr>
      </w:pPr>
      <w:r>
        <w:rPr>
          <w:rFonts w:ascii="Arial" w:cs="Arial" w:eastAsia="Arial" w:hAnsi="Arial"/>
          <w:sz w:val="16"/>
          <w:szCs w:val="16"/>
          <w:b w:val="1"/>
          <w:bCs w:val="1"/>
          <w:color w:val="auto"/>
        </w:rPr>
        <w:t>Section 1.31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Class B ordinary shares, par value US$0.00001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1.32 “</w:t>
      </w:r>
      <w:r>
        <w:rPr>
          <w:rFonts w:ascii="Arial" w:cs="Arial" w:eastAsia="Arial" w:hAnsi="Arial"/>
          <w:sz w:val="18"/>
          <w:szCs w:val="18"/>
          <w:b w:val="1"/>
          <w:bCs w:val="1"/>
          <w:u w:val="single" w:color="auto"/>
          <w:color w:val="auto"/>
        </w:rPr>
        <w:t>Uncertificated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Section 1.33 “</w:t>
      </w:r>
      <w:r>
        <w:rPr>
          <w:rFonts w:ascii="Arial" w:cs="Arial" w:eastAsia="Arial" w:hAnsi="Arial"/>
          <w:sz w:val="18"/>
          <w:szCs w:val="18"/>
          <w:b w:val="1"/>
          <w:bCs w:val="1"/>
          <w:u w:val="single" w:color="auto"/>
          <w:color w:val="auto"/>
        </w:rPr>
        <w:t>United States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2" w:lineRule="exact"/>
        <w:rPr>
          <w:sz w:val="20"/>
          <w:szCs w:val="20"/>
          <w:color w:val="auto"/>
        </w:rPr>
      </w:pPr>
    </w:p>
    <w:p>
      <w:pPr>
        <w:ind w:firstLine="8"/>
        <w:spacing w:after="0" w:line="253" w:lineRule="auto"/>
        <w:tabs>
          <w:tab w:leader="none" w:pos="2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Form and Transferability of ADSs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87" w:lineRule="auto"/>
        <w:tabs>
          <w:tab w:leader="none" w:pos="903"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6" w:name="page277"/>
    <w:bookmarkEnd w:id="276"/>
    <w:p>
      <w:pPr>
        <w:ind w:left="-8" w:right="140" w:firstLine="656"/>
        <w:spacing w:after="0" w:line="293" w:lineRule="auto"/>
        <w:tabs>
          <w:tab w:leader="none" w:pos="905" w:val="left"/>
        </w:tabs>
        <w:numPr>
          <w:ilvl w:val="1"/>
          <w:numId w:val="2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firstLine="8"/>
        <w:spacing w:after="0" w:line="270" w:lineRule="auto"/>
        <w:tabs>
          <w:tab w:leader="none" w:pos="25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right="40" w:firstLine="656"/>
        <w:spacing w:after="0" w:line="254" w:lineRule="auto"/>
        <w:tabs>
          <w:tab w:leader="none" w:pos="884"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Arial" w:cs="Arial" w:eastAsia="Arial" w:hAnsi="Arial"/>
          <w:sz w:val="18"/>
          <w:szCs w:val="18"/>
          <w:b w:val="1"/>
          <w:bCs w:val="1"/>
          <w:color w:val="auto"/>
        </w:rPr>
      </w:pPr>
    </w:p>
    <w:p>
      <w:pPr>
        <w:ind w:left="-8" w:firstLine="656"/>
        <w:spacing w:after="0" w:line="268" w:lineRule="auto"/>
        <w:tabs>
          <w:tab w:leader="none" w:pos="905"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Book-Entry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arrangements for the acceptance of the ADSs into DTC. All ADSs held through DTC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7" w:name="page278"/>
    <w:bookmarkEnd w:id="277"/>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represented by certificates issued in registered form</w:t>
      </w:r>
      <w:r>
        <w:rPr>
          <w:rFonts w:ascii="Arial" w:cs="Arial" w:eastAsia="Arial" w:hAnsi="Arial"/>
          <w:sz w:val="16"/>
          <w:szCs w:val="16"/>
          <w:color w:val="auto"/>
        </w:rPr>
        <w:t>, appropriate instruments of transfer or endorsement, in a form reasonably satisfactory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delivered by book-entry transfer and recordation</w:t>
      </w:r>
      <w:r>
        <w:rPr>
          <w:rFonts w:ascii="Arial" w:cs="Arial" w:eastAsia="Arial" w:hAnsi="Arial"/>
          <w:sz w:val="16"/>
          <w:szCs w:val="16"/>
          <w:color w:val="auto"/>
        </w:rPr>
        <w:t>, confirmation of such book-entry transfer and recordation in the books of the Share Registrar 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78" w:name="page279"/>
    <w:bookmarkEnd w:id="278"/>
    <w:p>
      <w:pPr>
        <w:ind w:right="40"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7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color w:val="auto"/>
        </w:rPr>
        <w:t>. The Depositary has made arrangements with the Custodian for the Custodian to confirm to the Depositary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2" w:lineRule="exact"/>
        <w:rPr>
          <w:sz w:val="20"/>
          <w:szCs w:val="20"/>
          <w:color w:val="auto"/>
        </w:rPr>
      </w:pPr>
    </w:p>
    <w:p>
      <w:pPr>
        <w:ind w:left="280" w:hanging="272"/>
        <w:spacing w:after="0"/>
        <w:tabs>
          <w:tab w:leader="none" w:pos="2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only process such ADS conversion to the extent the Depositary has to the extent applicable instructed the Custodian to transfer the corresponding</w:t>
      </w:r>
    </w:p>
    <w:p>
      <w:pPr>
        <w:spacing w:after="0" w:line="32"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color w:val="auto"/>
        </w:rPr>
        <w:t>Shares from and into the applicable custody accounts maintained for the applicable ADS series. The Depositary shall only issue ADSs in whole numbers and deliver, if applicable, ADR(s) evidencing whole numbers of ADSs.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ind w:left="66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Transfer, Combination and Split-up of ADRs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85" w:lineRule="auto"/>
        <w:tabs>
          <w:tab w:leader="none" w:pos="903" w:val="left"/>
        </w:tabs>
        <w:numPr>
          <w:ilvl w:val="1"/>
          <w:numId w:val="2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Arial" w:cs="Arial" w:eastAsia="Arial" w:hAnsi="Arial"/>
          <w:sz w:val="16"/>
          <w:szCs w:val="16"/>
          <w:b w:val="1"/>
          <w:bCs w:val="1"/>
          <w:color w:val="auto"/>
        </w:rPr>
      </w:pPr>
    </w:p>
    <w:p>
      <w:pPr>
        <w:jc w:val="both"/>
        <w:ind w:right="220" w:firstLine="8"/>
        <w:spacing w:after="0" w:line="253" w:lineRule="auto"/>
        <w:tabs>
          <w:tab w:leader="none" w:pos="31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88" w:lineRule="exact"/>
        <w:rPr>
          <w:rFonts w:ascii="Arial" w:cs="Arial" w:eastAsia="Arial" w:hAnsi="Arial"/>
          <w:sz w:val="18"/>
          <w:szCs w:val="18"/>
          <w:color w:val="auto"/>
        </w:rPr>
      </w:pPr>
    </w:p>
    <w:p>
      <w:pPr>
        <w:ind w:right="40" w:firstLine="656"/>
        <w:spacing w:after="0" w:line="272" w:lineRule="auto"/>
        <w:tabs>
          <w:tab w:leader="none" w:pos="913" w:val="left"/>
        </w:tabs>
        <w:numPr>
          <w:ilvl w:val="1"/>
          <w:numId w:val="2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Combination &amp; Split-Up</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split-up or combination of ADRs (and of the ADSs represented thereby)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ADSs shall be entitled to Delivery (at the Custodian’s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0" w:name="page281"/>
    <w:bookmarkEnd w:id="280"/>
    <w:p>
      <w:pPr>
        <w:ind w:right="8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81" w:name="page282"/>
    <w:bookmarkEnd w:id="281"/>
    <w:p>
      <w:pPr>
        <w:ind w:left="660"/>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60" w:firstLine="656"/>
        <w:spacing w:after="0" w:line="285" w:lineRule="auto"/>
        <w:tabs>
          <w:tab w:leader="none" w:pos="903"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w:t>
      </w:r>
    </w:p>
    <w:p>
      <w:pPr>
        <w:spacing w:after="0" w:line="3" w:lineRule="exact"/>
        <w:rPr>
          <w:rFonts w:ascii="Arial" w:cs="Arial" w:eastAsia="Arial" w:hAnsi="Arial"/>
          <w:sz w:val="16"/>
          <w:szCs w:val="16"/>
          <w:b w:val="1"/>
          <w:bCs w:val="1"/>
          <w:color w:val="auto"/>
        </w:rPr>
      </w:pPr>
    </w:p>
    <w:p>
      <w:pPr>
        <w:ind w:left="300" w:hanging="292"/>
        <w:spacing w:after="0"/>
        <w:tabs>
          <w:tab w:leader="none" w:pos="3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any laws or governmental regulations relating to the execution and Delivery of ADRs or ADSs or to the withdrawal of Deposited Securities and</w:t>
      </w:r>
    </w:p>
    <w:p>
      <w:pPr>
        <w:spacing w:after="0" w:line="20" w:lineRule="exact"/>
        <w:rPr>
          <w:rFonts w:ascii="Arial" w:cs="Arial" w:eastAsia="Arial" w:hAnsi="Arial"/>
          <w:sz w:val="17"/>
          <w:szCs w:val="17"/>
          <w:color w:val="auto"/>
        </w:rPr>
      </w:pPr>
    </w:p>
    <w:p>
      <w:pPr>
        <w:ind w:right="160" w:firstLine="8"/>
        <w:spacing w:after="0" w:line="260" w:lineRule="auto"/>
        <w:tabs>
          <w:tab w:leader="none" w:pos="28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such reasonable regulations as the Depositary and the Company may establish consistent with the provisions of the representative ADR, if applicable, the Deposit Agreement and applicable law.</w:t>
      </w:r>
    </w:p>
    <w:p>
      <w:pPr>
        <w:spacing w:after="0" w:line="181" w:lineRule="exact"/>
        <w:rPr>
          <w:rFonts w:ascii="Arial" w:cs="Arial" w:eastAsia="Arial" w:hAnsi="Arial"/>
          <w:sz w:val="18"/>
          <w:szCs w:val="18"/>
          <w:color w:val="auto"/>
        </w:rPr>
      </w:pPr>
    </w:p>
    <w:p>
      <w:pPr>
        <w:ind w:firstLine="656"/>
        <w:spacing w:after="0" w:line="292" w:lineRule="auto"/>
        <w:tabs>
          <w:tab w:leader="none" w:pos="913" w:val="left"/>
        </w:tabs>
        <w:numPr>
          <w:ilvl w:val="1"/>
          <w:numId w:val="2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 suspended,</w:t>
      </w:r>
      <w:r>
        <w:rPr>
          <w:rFonts w:ascii="Arial" w:cs="Arial" w:eastAsia="Arial" w:hAnsi="Arial"/>
          <w:sz w:val="16"/>
          <w:szCs w:val="16"/>
          <w:b w:val="1"/>
          <w:bCs w:val="1"/>
          <w:color w:val="auto"/>
        </w:rPr>
        <w:t xml:space="preserve"> </w:t>
      </w:r>
      <w:r>
        <w:rPr>
          <w:rFonts w:ascii="Arial" w:cs="Arial" w:eastAsia="Arial" w:hAnsi="Arial"/>
          <w:sz w:val="16"/>
          <w:szCs w:val="16"/>
          <w:color w:val="auto"/>
        </w:rPr>
        <w:t>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1" w:lineRule="exact"/>
        <w:rPr>
          <w:rFonts w:ascii="Arial" w:cs="Arial" w:eastAsia="Arial" w:hAnsi="Arial"/>
          <w:sz w:val="16"/>
          <w:szCs w:val="16"/>
          <w:b w:val="1"/>
          <w:bCs w:val="1"/>
          <w:color w:val="auto"/>
        </w:rPr>
      </w:pPr>
    </w:p>
    <w:p>
      <w:pPr>
        <w:ind w:right="260" w:firstLine="656"/>
        <w:spacing w:after="0" w:line="274" w:lineRule="auto"/>
        <w:tabs>
          <w:tab w:leader="none" w:pos="892" w:val="left"/>
        </w:tabs>
        <w:numPr>
          <w:ilvl w:val="1"/>
          <w:numId w:val="2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ind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 ADR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ind w:right="20" w:firstLine="8"/>
        <w:spacing w:after="0" w:line="295" w:lineRule="auto"/>
        <w:tabs>
          <w:tab w:leader="none" w:pos="21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5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the Depositary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ind w:right="60" w:firstLine="648"/>
        <w:spacing w:after="0" w:line="289"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w:t>
      </w:r>
    </w:p>
    <w:p>
      <w:pPr>
        <w:spacing w:after="0" w:line="2" w:lineRule="exact"/>
        <w:rPr>
          <w:sz w:val="20"/>
          <w:szCs w:val="20"/>
          <w:color w:val="auto"/>
        </w:rPr>
      </w:pPr>
    </w:p>
    <w:p>
      <w:pPr>
        <w:ind w:right="180" w:firstLine="8"/>
        <w:spacing w:after="0" w:line="281" w:lineRule="auto"/>
        <w:tabs>
          <w:tab w:leader="none" w:pos="21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2" w:lineRule="exact"/>
        <w:rPr>
          <w:rFonts w:ascii="Arial" w:cs="Arial" w:eastAsia="Arial" w:hAnsi="Arial"/>
          <w:sz w:val="16"/>
          <w:szCs w:val="16"/>
          <w:color w:val="auto"/>
        </w:rPr>
      </w:pPr>
    </w:p>
    <w:p>
      <w:pPr>
        <w:ind w:right="20" w:firstLine="8"/>
        <w:spacing w:after="0" w:line="281" w:lineRule="auto"/>
        <w:tabs>
          <w:tab w:leader="none" w:pos="25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rFonts w:ascii="Arial" w:cs="Arial" w:eastAsia="Arial" w:hAnsi="Arial"/>
          <w:sz w:val="16"/>
          <w:szCs w:val="16"/>
          <w:color w:val="auto"/>
        </w:rPr>
      </w:pPr>
    </w:p>
    <w:p>
      <w:pPr>
        <w:ind w:firstLine="8"/>
        <w:spacing w:after="0" w:line="283" w:lineRule="auto"/>
        <w:tabs>
          <w:tab w:leader="none" w:pos="26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ind w:right="60" w:firstLine="648"/>
        <w:spacing w:after="0" w:line="286"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6" w:name="page287"/>
    <w:bookmarkEnd w:id="286"/>
    <w:p>
      <w:pPr>
        <w:ind w:firstLine="648"/>
        <w:spacing w:after="0" w:line="286"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87" w:name="page288"/>
    <w:bookmarkEnd w:id="287"/>
    <w:p>
      <w:pPr>
        <w:ind w:firstLine="648"/>
        <w:spacing w:after="0" w:line="292"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color w:val="auto"/>
        </w:rPr>
        <w:t>. Notwithstanding any other provision of the Deposit Agreement or any ADR(s),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interested in such ADSs and the nature of such interest and various other matters, whether or not they are Holders and/or Beneficial Owners at the time of such request. The Depositary shall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0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Deposited Securities, the Company shall give notice thereof to the Depositary at least twenty (20)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9" w:name="page290"/>
    <w:bookmarkEnd w:id="28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notice thereof to the Depositary at least twenty (20)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0" w:name="page291"/>
    <w:bookmarkEnd w:id="29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1" w:name="page292"/>
    <w:bookmarkEnd w:id="291"/>
    <w:p>
      <w:pPr>
        <w:ind w:left="6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Distribution of Rights to Purchase Additional ADSs</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286" w:lineRule="auto"/>
        <w:tabs>
          <w:tab w:leader="none" w:pos="903"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notice thereof to the Depositary at least sixty (60)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67" w:lineRule="exact"/>
        <w:rPr>
          <w:rFonts w:ascii="Arial" w:cs="Arial" w:eastAsia="Arial" w:hAnsi="Arial"/>
          <w:sz w:val="16"/>
          <w:szCs w:val="16"/>
          <w:b w:val="1"/>
          <w:bCs w:val="1"/>
          <w:color w:val="auto"/>
        </w:rPr>
      </w:pPr>
    </w:p>
    <w:p>
      <w:pPr>
        <w:ind w:right="20" w:firstLine="656"/>
        <w:spacing w:after="0" w:line="273" w:lineRule="auto"/>
        <w:tabs>
          <w:tab w:leader="none" w:pos="913"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 rights not</w:t>
      </w:r>
      <w:r>
        <w:rPr>
          <w:rFonts w:ascii="Arial" w:cs="Arial" w:eastAsia="Arial" w:hAnsi="Arial"/>
          <w:sz w:val="17"/>
          <w:szCs w:val="17"/>
          <w:b w:val="1"/>
          <w:bCs w:val="1"/>
          <w:color w:val="auto"/>
        </w:rPr>
        <w:t xml:space="preserve"> </w:t>
      </w:r>
      <w:r>
        <w:rPr>
          <w:rFonts w:ascii="Arial" w:cs="Arial" w:eastAsia="Arial" w:hAnsi="Arial"/>
          <w:sz w:val="17"/>
          <w:szCs w:val="17"/>
          <w:color w:val="auto"/>
        </w:rPr>
        <w:t>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1" w:lineRule="exact"/>
        <w:rPr>
          <w:rFonts w:ascii="Arial" w:cs="Arial" w:eastAsia="Arial" w:hAnsi="Arial"/>
          <w:sz w:val="17"/>
          <w:szCs w:val="17"/>
          <w:b w:val="1"/>
          <w:bCs w:val="1"/>
          <w:color w:val="auto"/>
        </w:rPr>
      </w:pPr>
    </w:p>
    <w:p>
      <w:pPr>
        <w:ind w:right="200" w:firstLine="656"/>
        <w:spacing w:after="0" w:line="282" w:lineRule="auto"/>
        <w:tabs>
          <w:tab w:leader="none" w:pos="892"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2" w:name="page293"/>
    <w:bookmarkEnd w:id="292"/>
    <w:p>
      <w:pPr>
        <w:ind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Distributions Other Than Cash, Shares or Rights to Purchase Shares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54" w:lineRule="auto"/>
        <w:tabs>
          <w:tab w:leader="none" w:pos="903"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94" w:lineRule="exact"/>
        <w:rPr>
          <w:rFonts w:ascii="Arial" w:cs="Arial" w:eastAsia="Arial" w:hAnsi="Arial"/>
          <w:sz w:val="18"/>
          <w:szCs w:val="18"/>
          <w:b w:val="1"/>
          <w:bCs w:val="1"/>
          <w:color w:val="auto"/>
        </w:rPr>
      </w:pPr>
    </w:p>
    <w:p>
      <w:pPr>
        <w:ind w:right="40" w:firstLine="656"/>
        <w:spacing w:after="0" w:line="254" w:lineRule="auto"/>
        <w:tabs>
          <w:tab w:leader="none" w:pos="913"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4" w:lineRule="exact"/>
        <w:rPr>
          <w:rFonts w:ascii="Arial" w:cs="Arial" w:eastAsia="Arial" w:hAnsi="Arial"/>
          <w:sz w:val="18"/>
          <w:szCs w:val="18"/>
          <w:b w:val="1"/>
          <w:bCs w:val="1"/>
          <w:color w:val="auto"/>
        </w:rPr>
      </w:pPr>
    </w:p>
    <w:p>
      <w:pPr>
        <w:ind w:right="20" w:firstLine="656"/>
        <w:spacing w:after="0" w:line="286" w:lineRule="auto"/>
        <w:tabs>
          <w:tab w:leader="none" w:pos="892" w:val="left"/>
        </w:tabs>
        <w:numPr>
          <w:ilvl w:val="1"/>
          <w:numId w:val="304"/>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1" w:lineRule="exact"/>
        <w:rPr>
          <w:rFonts w:ascii="Arial" w:cs="Arial" w:eastAsia="Arial" w:hAnsi="Arial"/>
          <w:sz w:val="16"/>
          <w:szCs w:val="16"/>
          <w:b w:val="1"/>
          <w:bCs w:val="1"/>
          <w:color w:val="auto"/>
        </w:rPr>
      </w:pPr>
    </w:p>
    <w:p>
      <w:pPr>
        <w:ind w:right="340" w:firstLine="8"/>
        <w:spacing w:after="0" w:line="302" w:lineRule="auto"/>
        <w:tabs>
          <w:tab w:leader="none" w:pos="26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3" w:name="page294"/>
    <w:bookmarkEnd w:id="293"/>
    <w:p>
      <w:pPr>
        <w:ind w:right="140" w:firstLine="656"/>
        <w:spacing w:after="0" w:line="263" w:lineRule="auto"/>
        <w:tabs>
          <w:tab w:leader="none" w:pos="913"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shall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4" w:name="page295"/>
    <w:bookmarkEnd w:id="294"/>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 dividends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ind w:right="20"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the voting instructions received timely from a majority of Holders of ADSs who provided voting instructions, and (b) </w:t>
      </w:r>
      <w:r>
        <w:rPr>
          <w:rFonts w:ascii="Arial" w:cs="Arial" w:eastAsia="Arial" w:hAnsi="Arial"/>
          <w:sz w:val="17"/>
          <w:szCs w:val="17"/>
          <w:i w:val="1"/>
          <w:iCs w:val="1"/>
          <w:color w:val="auto"/>
        </w:rPr>
        <w:t>in the event voting takes place at a shareholders’ meeting by poll</w:t>
      </w:r>
      <w:r>
        <w:rPr>
          <w:rFonts w:ascii="Arial" w:cs="Arial" w:eastAsia="Arial" w:hAnsi="Arial"/>
          <w:sz w:val="17"/>
          <w:szCs w:val="17"/>
          <w:color w:val="auto"/>
        </w:rPr>
        <w:t xml:space="preserve"> ,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ind w:right="6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sz w:val="20"/>
          <w:szCs w:val="20"/>
          <w:color w:val="auto"/>
        </w:rPr>
      </w:pPr>
    </w:p>
    <w:p>
      <w:pPr>
        <w:ind w:firstLine="8"/>
        <w:spacing w:after="0" w:line="267" w:lineRule="auto"/>
        <w:tabs>
          <w:tab w:leader="none" w:pos="26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5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9" w:name="page300"/>
    <w:bookmarkEnd w:id="299"/>
    <w:p>
      <w:pPr>
        <w:ind w:right="20" w:firstLine="648"/>
        <w:spacing w:after="0" w:line="289" w:lineRule="auto"/>
        <w:rPr>
          <w:sz w:val="20"/>
          <w:szCs w:val="20"/>
          <w:color w:val="auto"/>
        </w:rPr>
      </w:pPr>
      <w:r>
        <w:rPr>
          <w:rFonts w:ascii="Arial" w:cs="Arial" w:eastAsia="Arial" w:hAnsi="Arial"/>
          <w:sz w:val="16"/>
          <w:szCs w:val="16"/>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6"/>
          <w:szCs w:val="16"/>
          <w:i w:val="1"/>
          <w:iCs w:val="1"/>
          <w:color w:val="auto"/>
        </w:rPr>
        <w:t>e.g.</w:t>
      </w:r>
      <w:r>
        <w:rPr>
          <w:rFonts w:ascii="Arial" w:cs="Arial" w:eastAsia="Arial" w:hAnsi="Arial"/>
          <w:sz w:val="16"/>
          <w:szCs w:val="16"/>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6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07"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right="40"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 as commercially practicable.</w:t>
      </w:r>
    </w:p>
    <w:p>
      <w:pPr>
        <w:spacing w:after="0" w:line="18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1" w:name="page302"/>
    <w:bookmarkEnd w:id="301"/>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ind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0" w:hanging="212"/>
        <w:spacing w:after="0"/>
        <w:tabs>
          <w:tab w:leader="none" w:pos="2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 Hong Kong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3" w:name="page304"/>
    <w:bookmarkEnd w:id="303"/>
    <w:p>
      <w:pPr>
        <w:ind w:right="40"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3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340" w:firstLine="648"/>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or Affiliates against any liability or expense arising out of information relating to the Depositary or such Custodian , as the case may be, furnished in writing by the Depositary to the Company, executed by the Depositary or such Custodian expressly for use in any registration statement, proxy statement, prospectus, preliminary prospectus or any other offering documents relating to any Deposited Securities represented by the ADSs.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6" w:name="page307"/>
    <w:bookmarkEnd w:id="306"/>
    <w:p>
      <w:pPr>
        <w:ind w:firstLine="648"/>
        <w:spacing w:after="0" w:line="267"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7" w:name="page308"/>
    <w:bookmarkEnd w:id="307"/>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0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8" w:name="page309"/>
    <w:bookmarkEnd w:id="308"/>
    <w:p>
      <w:pPr>
        <w:ind w:right="160" w:firstLine="648"/>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sz w:val="20"/>
          <w:szCs w:val="20"/>
          <w:color w:val="auto"/>
        </w:rPr>
      </w:pPr>
    </w:p>
    <w:p>
      <w:pPr>
        <w:ind w:right="100" w:firstLine="8"/>
        <w:spacing w:after="0" w:line="252" w:lineRule="auto"/>
        <w:tabs>
          <w:tab w:leader="none" w:pos="26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ind w:right="40" w:firstLine="648"/>
        <w:spacing w:after="0" w:line="254" w:lineRule="auto"/>
        <w:rPr>
          <w:sz w:val="20"/>
          <w:szCs w:val="20"/>
          <w:color w:val="auto"/>
        </w:rPr>
      </w:pPr>
      <w:r>
        <w:rPr>
          <w:rFonts w:ascii="Arial" w:cs="Arial" w:eastAsia="Arial" w:hAnsi="Arial"/>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5" w:lineRule="exact"/>
        <w:rPr>
          <w:sz w:val="20"/>
          <w:szCs w:val="20"/>
          <w:color w:val="auto"/>
        </w:rPr>
      </w:pPr>
    </w:p>
    <w:p>
      <w:pPr>
        <w:ind w:right="60" w:firstLine="8"/>
        <w:spacing w:after="0" w:line="268" w:lineRule="auto"/>
        <w:tabs>
          <w:tab w:leader="none" w:pos="30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0" w:name="page311"/>
    <w:bookmarkEnd w:id="310"/>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 air courier or cable, telex or facsimile transmission, confirmed by letter personally delivered or sent by mail or air courier, addressed to Suntec Tower 3, 8 Temasek Boulevard Road, #24-03, Singapore, 038988, </w:t>
      </w:r>
      <w:r>
        <w:rPr>
          <w:rFonts w:ascii="Arial" w:cs="Arial" w:eastAsia="Arial" w:hAnsi="Arial"/>
          <w:sz w:val="18"/>
          <w:szCs w:val="18"/>
          <w:u w:val="single" w:color="auto"/>
          <w:color w:val="auto"/>
        </w:rPr>
        <w:t>Attention</w:t>
      </w:r>
      <w:r>
        <w:rPr>
          <w:rFonts w:ascii="Arial" w:cs="Arial" w:eastAsia="Arial" w:hAnsi="Arial"/>
          <w:sz w:val="18"/>
          <w:szCs w:val="18"/>
          <w:color w:val="auto"/>
        </w:rPr>
        <w:t>: Chief Executive Officer,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1" w:name="page312"/>
    <w:bookmarkEnd w:id="311"/>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2" w:name="page313"/>
    <w:bookmarkEnd w:id="312"/>
    <w:p>
      <w:pPr>
        <w:ind w:firstLine="648"/>
        <w:spacing w:after="0" w:line="269" w:lineRule="auto"/>
        <w:rPr>
          <w:sz w:val="20"/>
          <w:szCs w:val="20"/>
          <w:color w:val="auto"/>
        </w:rPr>
      </w:pPr>
      <w:r>
        <w:rPr>
          <w:rFonts w:ascii="Arial" w:cs="Arial" w:eastAsia="Arial" w:hAnsi="Arial"/>
          <w:sz w:val="17"/>
          <w:szCs w:val="17"/>
          <w:color w:val="auto"/>
        </w:rPr>
        <w:t>The Company hereby irrevocably designates, appoints and empowers Cogency Global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40" w:firstLine="8"/>
        <w:spacing w:after="0" w:line="290" w:lineRule="auto"/>
        <w:tabs>
          <w:tab w:leader="none" w:pos="24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6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3" w:name="page314"/>
    <w:bookmarkEnd w:id="313"/>
    <w:p>
      <w:pPr>
        <w:ind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color w:val="auto"/>
        </w:rPr>
        <w:t>.</w:t>
      </w:r>
    </w:p>
    <w:p>
      <w:pPr>
        <w:spacing w:after="0" w:line="229" w:lineRule="exact"/>
        <w:rPr>
          <w:sz w:val="20"/>
          <w:szCs w:val="20"/>
          <w:color w:val="auto"/>
        </w:rPr>
      </w:pPr>
    </w:p>
    <w:p>
      <w:pPr>
        <w:jc w:val="both"/>
        <w:ind w:right="100" w:firstLine="656"/>
        <w:spacing w:after="0" w:line="263" w:lineRule="auto"/>
        <w:tabs>
          <w:tab w:leader="none" w:pos="903"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ind w:right="40" w:firstLine="656"/>
        <w:spacing w:after="0" w:line="263" w:lineRule="auto"/>
        <w:tabs>
          <w:tab w:leader="none" w:pos="913"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Cayman Islands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the laws and regulations of the Cayman Islands and of the terms of the Articles</w:t>
      </w:r>
      <w:r>
        <w:rPr>
          <w:rFonts w:ascii="Arial" w:cs="Arial" w:eastAsia="Arial" w:hAnsi="Arial"/>
          <w:sz w:val="18"/>
          <w:szCs w:val="18"/>
          <w:b w:val="1"/>
          <w:bCs w:val="1"/>
          <w:color w:val="auto"/>
        </w:rPr>
        <w:t xml:space="preserve"> </w:t>
      </w:r>
      <w:r>
        <w:rPr>
          <w:rFonts w:ascii="Arial" w:cs="Arial" w:eastAsia="Arial" w:hAnsi="Arial"/>
          <w:sz w:val="18"/>
          <w:szCs w:val="18"/>
          <w:color w:val="auto"/>
        </w:rPr>
        <w:t>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4" w:name="page315"/>
    <w:bookmarkEnd w:id="314"/>
    <w:p>
      <w:pPr>
        <w:ind w:left="6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Titles and References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1" w:lineRule="auto"/>
        <w:tabs>
          <w:tab w:leader="none" w:pos="903"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173" w:lineRule="exact"/>
        <w:rPr>
          <w:rFonts w:ascii="Arial" w:cs="Arial" w:eastAsia="Arial" w:hAnsi="Arial"/>
          <w:sz w:val="17"/>
          <w:szCs w:val="17"/>
          <w:b w:val="1"/>
          <w:bCs w:val="1"/>
          <w:color w:val="auto"/>
        </w:rPr>
      </w:pPr>
    </w:p>
    <w:p>
      <w:pPr>
        <w:jc w:val="both"/>
        <w:ind w:right="200" w:firstLine="656"/>
        <w:spacing w:after="0" w:line="285" w:lineRule="auto"/>
        <w:tabs>
          <w:tab w:leader="none" w:pos="913"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ADRs</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any ADR(s) to paragraphs, exhibits, articles, sections, subsections, and other subdivisions refer to the paragraphs,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paragraphs of any ADR are included for convenience only and shall be disregarded in construing the language contained in the ADR.</w:t>
      </w:r>
    </w:p>
    <w:p>
      <w:pPr>
        <w:spacing w:after="0" w:line="3" w:lineRule="exact"/>
        <w:rPr>
          <w:rFonts w:ascii="Arial" w:cs="Arial" w:eastAsia="Arial" w:hAnsi="Arial"/>
          <w:sz w:val="16"/>
          <w:szCs w:val="16"/>
          <w:b w:val="1"/>
          <w:bCs w:val="1"/>
          <w:color w:val="auto"/>
        </w:rPr>
      </w:pPr>
    </w:p>
    <w:p>
      <w:pPr>
        <w:ind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on following page]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5" w:name="page316"/>
    <w:bookmarkEnd w:id="315"/>
    <w:p>
      <w:pPr>
        <w:ind w:firstLine="648"/>
        <w:spacing w:after="0" w:line="263" w:lineRule="auto"/>
        <w:rPr>
          <w:sz w:val="20"/>
          <w:szCs w:val="20"/>
          <w:color w:val="auto"/>
        </w:rPr>
      </w:pPr>
      <w:r>
        <w:rPr>
          <w:rFonts w:ascii="Arial" w:cs="Arial" w:eastAsia="Arial" w:hAnsi="Arial"/>
          <w:sz w:val="18"/>
          <w:szCs w:val="18"/>
          <w:color w:val="auto"/>
        </w:rPr>
        <w:t>IN WITNESS WHEREOF, TRIDENT DIGITAL TECH HOLDINGS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8700" w:type="dxa"/>
            <w:vAlign w:val="bottom"/>
          </w:tcPr>
          <w:p>
            <w:pPr>
              <w:jc w:val="center"/>
              <w:ind w:right="227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Number</w:t>
            </w:r>
          </w:p>
        </w:tc>
        <w:tc>
          <w:tcPr>
            <w:tcW w:w="8700" w:type="dxa"/>
            <w:vAlign w:val="bottom"/>
          </w:tcPr>
          <w:p>
            <w:pPr>
              <w:ind w:left="4860"/>
              <w:spacing w:after="0"/>
              <w:rPr>
                <w:sz w:val="20"/>
                <w:szCs w:val="20"/>
                <w:color w:val="auto"/>
              </w:rPr>
            </w:pPr>
            <w:r>
              <w:rPr>
                <w:rFonts w:ascii="Arial" w:cs="Arial" w:eastAsia="Arial" w:hAnsi="Arial"/>
                <w:sz w:val="18"/>
                <w:szCs w:val="18"/>
                <w:color w:val="auto"/>
              </w:rPr>
              <w:t>CUSIP NUMBER: _______</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_____________</w:t>
            </w:r>
          </w:p>
        </w:tc>
        <w:tc>
          <w:tcPr>
            <w:tcW w:w="8700" w:type="dxa"/>
            <w:vAlign w:val="bottom"/>
            <w:vMerge w:val="restart"/>
          </w:tcPr>
          <w:p>
            <w:pPr>
              <w:ind w:left="4860"/>
              <w:spacing w:after="0"/>
              <w:rPr>
                <w:sz w:val="20"/>
                <w:szCs w:val="20"/>
                <w:color w:val="auto"/>
              </w:rPr>
            </w:pPr>
            <w:r>
              <w:rPr>
                <w:rFonts w:ascii="Arial" w:cs="Arial" w:eastAsia="Arial" w:hAnsi="Arial"/>
                <w:sz w:val="18"/>
                <w:szCs w:val="18"/>
                <w:color w:val="auto"/>
              </w:rPr>
              <w:t>American Depositary Shares (each American</w:t>
            </w: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8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00" w:type="dxa"/>
            <w:vAlign w:val="bottom"/>
          </w:tcPr>
          <w:p>
            <w:pPr>
              <w:ind w:left="4860"/>
              <w:spacing w:after="0"/>
              <w:rPr>
                <w:sz w:val="20"/>
                <w:szCs w:val="20"/>
                <w:color w:val="auto"/>
              </w:rPr>
            </w:pPr>
            <w:r>
              <w:rPr>
                <w:rFonts w:ascii="Arial" w:cs="Arial" w:eastAsia="Arial" w:hAnsi="Arial"/>
                <w:sz w:val="18"/>
                <w:szCs w:val="18"/>
                <w:color w:val="auto"/>
                <w:w w:val="90"/>
              </w:rPr>
              <w:t>Depositary Share representing the right to receive [●]</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00" w:type="dxa"/>
            <w:vAlign w:val="bottom"/>
          </w:tcPr>
          <w:p>
            <w:pPr>
              <w:ind w:left="4860"/>
              <w:spacing w:after="0"/>
              <w:rPr>
                <w:sz w:val="20"/>
                <w:szCs w:val="20"/>
                <w:color w:val="auto"/>
              </w:rPr>
            </w:pPr>
            <w:r>
              <w:rPr>
                <w:rFonts w:ascii="Arial" w:cs="Arial" w:eastAsia="Arial" w:hAnsi="Arial"/>
                <w:sz w:val="18"/>
                <w:szCs w:val="18"/>
                <w:color w:val="auto"/>
              </w:rPr>
              <w:t>([●]) fully paid Class B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87"/>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7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7"/>
              </w:rPr>
              <w:t>TRIDENT DIGITAL TECH HOLDINGS LTD</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00" w:type="dxa"/>
            <w:vAlign w:val="bottom"/>
          </w:tcPr>
          <w:p>
            <w:pPr>
              <w:jc w:val="center"/>
              <w:ind w:right="2290"/>
              <w:spacing w:after="0"/>
              <w:rPr>
                <w:sz w:val="20"/>
                <w:szCs w:val="20"/>
                <w:color w:val="auto"/>
              </w:rPr>
            </w:pPr>
            <w:r>
              <w:rPr>
                <w:rFonts w:ascii="Arial" w:cs="Arial" w:eastAsia="Arial" w:hAnsi="Arial"/>
                <w:sz w:val="18"/>
                <w:szCs w:val="18"/>
                <w:color w:val="auto"/>
                <w:w w:val="90"/>
              </w:rPr>
              <w:t>(Incorporated under the laws of the Cayman Islands)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spacing w:after="0" w:line="252" w:lineRule="auto"/>
        <w:rPr>
          <w:sz w:val="20"/>
          <w:szCs w:val="20"/>
          <w:color w:val="auto"/>
        </w:rPr>
      </w:pPr>
      <w:r>
        <w:rPr>
          <w:rFonts w:ascii="Arial" w:cs="Arial" w:eastAsia="Arial" w:hAnsi="Arial"/>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ADS represents the right to receive [●] ([●])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7" w:name="page318"/>
    <w:bookmarkEnd w:id="317"/>
    <w:p>
      <w:pPr>
        <w:ind w:right="60" w:firstLine="656"/>
        <w:spacing w:after="0" w:line="284" w:lineRule="auto"/>
        <w:tabs>
          <w:tab w:leader="none" w:pos="903"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issued upon the terms and conditions set forth in the Deposit Agreement, dated as of </w:t>
      </w:r>
      <w:r>
        <w:rPr>
          <w:rFonts w:ascii="Arial" w:cs="Arial" w:eastAsia="Arial" w:hAnsi="Arial"/>
          <w:sz w:val="16"/>
          <w:szCs w:val="16"/>
          <w:b w:val="1"/>
          <w:bCs w:val="1"/>
          <w:color w:val="auto"/>
        </w:rPr>
        <w:t>[●][●]</w:t>
      </w:r>
      <w:r>
        <w:rPr>
          <w:rFonts w:ascii="Arial" w:cs="Arial" w:eastAsia="Arial" w:hAnsi="Arial"/>
          <w:sz w:val="16"/>
          <w:szCs w:val="16"/>
          <w:color w:val="auto"/>
        </w:rPr>
        <w:t>, 2023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4" w:lineRule="exact"/>
        <w:rPr>
          <w:rFonts w:ascii="Arial" w:cs="Arial" w:eastAsia="Arial" w:hAnsi="Arial"/>
          <w:sz w:val="16"/>
          <w:szCs w:val="16"/>
          <w:b w:val="1"/>
          <w:bCs w:val="1"/>
          <w:color w:val="auto"/>
        </w:rPr>
      </w:pPr>
    </w:p>
    <w:p>
      <w:pPr>
        <w:ind w:right="100" w:firstLine="8"/>
        <w:spacing w:after="0" w:line="270" w:lineRule="auto"/>
        <w:tabs>
          <w:tab w:leader="none" w:pos="25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20" w:firstLine="656"/>
        <w:spacing w:after="0" w:line="284" w:lineRule="auto"/>
        <w:tabs>
          <w:tab w:leader="none" w:pos="903" w:val="left"/>
        </w:tabs>
        <w:numPr>
          <w:ilvl w:val="1"/>
          <w:numId w:val="3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Arial" w:cs="Arial" w:eastAsia="Arial" w:hAnsi="Arial"/>
          <w:sz w:val="16"/>
          <w:szCs w:val="16"/>
          <w:b w:val="1"/>
          <w:bCs w:val="1"/>
          <w:color w:val="auto"/>
        </w:rPr>
      </w:pPr>
    </w:p>
    <w:p>
      <w:pPr>
        <w:ind w:firstLine="8"/>
        <w:spacing w:after="0" w:line="273" w:lineRule="auto"/>
        <w:tabs>
          <w:tab w:leader="none" w:pos="30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all applicable ADS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8" w:name="page319"/>
    <w:bookmarkEnd w:id="318"/>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9" w:name="page320"/>
    <w:bookmarkEnd w:id="319"/>
    <w:p>
      <w:pPr>
        <w:ind w:right="40" w:firstLine="656"/>
        <w:spacing w:after="0" w:line="270" w:lineRule="auto"/>
        <w:tabs>
          <w:tab w:leader="none" w:pos="903"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 Combination and Split-up of ADRs</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transfer of this ADR (and of the ADSs represented hereby)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this ADR, of the Deposit Agreement and of applicable law, in each case as in effect at the time thereof.</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2" w:lineRule="exact"/>
        <w:rPr>
          <w:sz w:val="20"/>
          <w:szCs w:val="20"/>
          <w:color w:val="auto"/>
        </w:rPr>
      </w:pPr>
    </w:p>
    <w:p>
      <w:pPr>
        <w:ind w:right="260" w:firstLine="8"/>
        <w:spacing w:after="0" w:line="255" w:lineRule="auto"/>
        <w:tabs>
          <w:tab w:leader="none" w:pos="26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to the terms and conditions of this ADR, of the Deposit Agreement and of applicable law, in each case as in effect at the time thereof.</w:t>
      </w:r>
    </w:p>
    <w:p>
      <w:pPr>
        <w:spacing w:after="0" w:line="185" w:lineRule="exact"/>
        <w:rPr>
          <w:rFonts w:ascii="Arial" w:cs="Arial" w:eastAsia="Arial" w:hAnsi="Arial"/>
          <w:sz w:val="18"/>
          <w:szCs w:val="18"/>
          <w:color w:val="auto"/>
        </w:rPr>
      </w:pPr>
    </w:p>
    <w:p>
      <w:pPr>
        <w:ind w:firstLine="656"/>
        <w:spacing w:after="0" w:line="289" w:lineRule="auto"/>
        <w:tabs>
          <w:tab w:leader="none" w:pos="903" w:val="left"/>
        </w:tabs>
        <w:numPr>
          <w:ilvl w:val="1"/>
          <w:numId w:val="3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0" w:name="page321"/>
    <w:bookmarkEnd w:id="320"/>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56"/>
        <w:spacing w:after="0" w:line="294" w:lineRule="auto"/>
        <w:tabs>
          <w:tab w:leader="none" w:pos="903"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59" w:lineRule="exact"/>
        <w:rPr>
          <w:rFonts w:ascii="Arial" w:cs="Arial" w:eastAsia="Arial" w:hAnsi="Arial"/>
          <w:sz w:val="16"/>
          <w:szCs w:val="16"/>
          <w:b w:val="1"/>
          <w:bCs w:val="1"/>
          <w:color w:val="auto"/>
        </w:rPr>
      </w:pPr>
    </w:p>
    <w:p>
      <w:pPr>
        <w:ind w:right="20" w:firstLine="656"/>
        <w:spacing w:after="0" w:line="289" w:lineRule="auto"/>
        <w:tabs>
          <w:tab w:leader="none" w:pos="903"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1" w:name="page322"/>
    <w:bookmarkEnd w:id="321"/>
    <w:p>
      <w:pPr>
        <w:ind w:left="-60" w:right="60" w:firstLine="656"/>
        <w:spacing w:after="0" w:line="273" w:lineRule="auto"/>
        <w:tabs>
          <w:tab w:leader="none" w:pos="843" w:val="left"/>
        </w:tabs>
        <w:numPr>
          <w:ilvl w:val="0"/>
          <w:numId w:val="3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1" w:lineRule="exact"/>
        <w:rPr>
          <w:rFonts w:ascii="Arial" w:cs="Arial" w:eastAsia="Arial" w:hAnsi="Arial"/>
          <w:sz w:val="17"/>
          <w:szCs w:val="17"/>
          <w:b w:val="1"/>
          <w:bCs w:val="1"/>
          <w:color w:val="auto"/>
        </w:rPr>
      </w:pPr>
    </w:p>
    <w:p>
      <w:pPr>
        <w:ind w:left="-60" w:firstLine="656"/>
        <w:spacing w:after="0" w:line="286" w:lineRule="auto"/>
        <w:tabs>
          <w:tab w:leader="none" w:pos="843"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322" w:name="page323"/>
    <w:bookmarkEnd w:id="322"/>
    <w:p>
      <w:pPr>
        <w:ind w:right="120" w:firstLine="656"/>
        <w:spacing w:after="0" w:line="289" w:lineRule="auto"/>
        <w:tabs>
          <w:tab w:leader="none" w:pos="903"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rFonts w:ascii="Arial" w:cs="Arial" w:eastAsia="Arial" w:hAnsi="Arial"/>
          <w:sz w:val="16"/>
          <w:szCs w:val="16"/>
          <w:b w:val="1"/>
          <w:bCs w:val="1"/>
          <w:color w:val="auto"/>
        </w:rPr>
      </w:pPr>
    </w:p>
    <w:p>
      <w:pPr>
        <w:ind w:right="60" w:firstLine="656"/>
        <w:spacing w:after="0" w:line="287" w:lineRule="auto"/>
        <w:tabs>
          <w:tab w:leader="none" w:pos="993"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67" w:lineRule="exact"/>
        <w:rPr>
          <w:rFonts w:ascii="Arial" w:cs="Arial" w:eastAsia="Arial" w:hAnsi="Arial"/>
          <w:sz w:val="16"/>
          <w:szCs w:val="16"/>
          <w:b w:val="1"/>
          <w:bCs w:val="1"/>
          <w:color w:val="auto"/>
        </w:rPr>
      </w:pPr>
    </w:p>
    <w:p>
      <w:pPr>
        <w:ind w:left="1000" w:hanging="344"/>
        <w:spacing w:after="0"/>
        <w:tabs>
          <w:tab w:leader="none" w:pos="1000"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ADS Fees and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ADS fees (some of which may be cumulative) are payable under the terms of the Deposit Agreement:</w:t>
      </w:r>
    </w:p>
    <w:p>
      <w:pPr>
        <w:spacing w:after="0" w:line="252" w:lineRule="exact"/>
        <w:rPr>
          <w:sz w:val="20"/>
          <w:szCs w:val="20"/>
          <w:color w:val="auto"/>
        </w:rPr>
      </w:pPr>
    </w:p>
    <w:p>
      <w:pPr>
        <w:jc w:val="both"/>
        <w:ind w:left="1300" w:right="180" w:hanging="644"/>
        <w:spacing w:after="0" w:line="286" w:lineRule="auto"/>
        <w:tabs>
          <w:tab w:leader="none" w:pos="130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ADS Issuance Fee</w:t>
      </w:r>
      <w:r>
        <w:rPr>
          <w:rFonts w:ascii="Arial" w:cs="Arial" w:eastAsia="Arial" w:hAnsi="Arial"/>
          <w:sz w:val="17"/>
          <w:szCs w:val="17"/>
          <w:color w:val="auto"/>
        </w:rPr>
        <w:t>: by any person for whom ADSs are issued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65" w:lineRule="exact"/>
        <w:rPr>
          <w:rFonts w:ascii="Arial" w:cs="Arial" w:eastAsia="Arial" w:hAnsi="Arial"/>
          <w:sz w:val="17"/>
          <w:szCs w:val="17"/>
          <w:color w:val="auto"/>
        </w:rPr>
      </w:pPr>
    </w:p>
    <w:p>
      <w:pPr>
        <w:ind w:left="1300" w:right="40" w:hanging="644"/>
        <w:spacing w:after="0" w:line="263" w:lineRule="auto"/>
        <w:tabs>
          <w:tab w:leader="none" w:pos="130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ind w:left="1300" w:right="740" w:hanging="644"/>
        <w:spacing w:after="0" w:line="308" w:lineRule="auto"/>
        <w:tabs>
          <w:tab w:leader="none" w:pos="130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color w:val="auto"/>
        </w:rPr>
      </w:pPr>
    </w:p>
    <w:p>
      <w:pPr>
        <w:ind w:left="1300" w:right="140" w:hanging="644"/>
        <w:spacing w:after="0" w:line="263" w:lineRule="auto"/>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3" w:lineRule="exact"/>
        <w:rPr>
          <w:rFonts w:ascii="Arial" w:cs="Arial" w:eastAsia="Arial" w:hAnsi="Arial"/>
          <w:sz w:val="18"/>
          <w:szCs w:val="18"/>
          <w:color w:val="auto"/>
        </w:rPr>
      </w:pPr>
    </w:p>
    <w:p>
      <w:pPr>
        <w:ind w:left="1300" w:right="380" w:hanging="644"/>
        <w:spacing w:after="0" w:line="263" w:lineRule="auto"/>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 contingent value rights);</w:t>
      </w:r>
    </w:p>
    <w:p>
      <w:pPr>
        <w:spacing w:after="0" w:line="183"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by any Holder of ADS(s) being transferred or by any person to whom ADSs are transferred, a fee not in excess of U.S. $5.00 per 100 ADSs (or fraction thereof) transferred; and</w:t>
      </w:r>
    </w:p>
    <w:p>
      <w:pPr>
        <w:spacing w:after="0" w:line="170" w:lineRule="exact"/>
        <w:rPr>
          <w:rFonts w:ascii="Arial" w:cs="Arial" w:eastAsia="Arial" w:hAnsi="Arial"/>
          <w:sz w:val="18"/>
          <w:szCs w:val="18"/>
          <w:color w:val="auto"/>
        </w:rPr>
      </w:pPr>
    </w:p>
    <w:p>
      <w:pPr>
        <w:jc w:val="both"/>
        <w:ind w:left="1300" w:right="140" w:hanging="644"/>
        <w:spacing w:after="0" w:line="259" w:lineRule="auto"/>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240" w:hanging="644"/>
        <w:spacing w:after="0" w:line="263"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23" w:lineRule="exact"/>
        <w:rPr>
          <w:rFonts w:ascii="Arial" w:cs="Arial" w:eastAsia="Arial" w:hAnsi="Arial"/>
          <w:sz w:val="16"/>
          <w:szCs w:val="16"/>
          <w:color w:val="auto"/>
        </w:rPr>
      </w:pPr>
    </w:p>
    <w:p>
      <w:pPr>
        <w:ind w:left="1300" w:right="300" w:hanging="644"/>
        <w:spacing w:after="0" w:line="263"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24" w:name="page325"/>
    <w:bookmarkEnd w:id="324"/>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40" w:firstLine="656"/>
        <w:spacing w:after="0" w:line="271" w:lineRule="auto"/>
        <w:tabs>
          <w:tab w:leader="none" w:pos="993"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right="80" w:firstLine="656"/>
        <w:spacing w:after="0" w:line="273" w:lineRule="auto"/>
        <w:tabs>
          <w:tab w:leader="none" w:pos="993"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ind w:right="200" w:firstLine="656"/>
        <w:spacing w:after="0" w:line="255" w:lineRule="auto"/>
        <w:tabs>
          <w:tab w:leader="none" w:pos="993"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93"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Dated:</w:t>
            </w: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60" w:type="dxa"/>
            <w:vAlign w:val="bottom"/>
          </w:tcPr>
          <w:p>
            <w:pPr>
              <w:spacing w:after="0"/>
              <w:rPr>
                <w:sz w:val="24"/>
                <w:szCs w:val="24"/>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CITIBANK, N.A.</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2460" w:type="dxa"/>
            <w:vAlign w:val="bottom"/>
          </w:tcPr>
          <w:p>
            <w:pPr>
              <w:spacing w:after="0"/>
              <w:rPr>
                <w:sz w:val="20"/>
                <w:szCs w:val="20"/>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as Depositary</w:t>
            </w:r>
          </w:p>
        </w:tc>
      </w:tr>
      <w:tr>
        <w:trPr>
          <w:trHeight w:val="426"/>
        </w:trPr>
        <w:tc>
          <w:tcPr>
            <w:tcW w:w="2500" w:type="dxa"/>
            <w:vAlign w:val="bottom"/>
            <w:gridSpan w:val="2"/>
          </w:tcPr>
          <w:p>
            <w:pPr>
              <w:spacing w:after="0"/>
              <w:rPr>
                <w:sz w:val="20"/>
                <w:szCs w:val="20"/>
                <w:color w:val="auto"/>
              </w:rPr>
            </w:pPr>
            <w:r>
              <w:rPr>
                <w:rFonts w:ascii="Arial" w:cs="Arial" w:eastAsia="Arial" w:hAnsi="Arial"/>
                <w:sz w:val="18"/>
                <w:szCs w:val="18"/>
                <w:color w:val="auto"/>
              </w:rPr>
              <w:t>By:</w:t>
            </w:r>
          </w:p>
        </w:tc>
        <w:tc>
          <w:tcPr>
            <w:tcW w:w="2460" w:type="dxa"/>
            <w:vAlign w:val="bottom"/>
          </w:tcPr>
          <w:p>
            <w:pPr>
              <w:spacing w:after="0"/>
              <w:rPr>
                <w:sz w:val="24"/>
                <w:szCs w:val="24"/>
                <w:color w:val="auto"/>
              </w:rPr>
            </w:pPr>
          </w:p>
        </w:tc>
        <w:tc>
          <w:tcPr>
            <w:tcW w:w="628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230"/>
        </w:trPr>
        <w:tc>
          <w:tcPr>
            <w:tcW w:w="46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2460" w:type="dxa"/>
            <w:vAlign w:val="bottom"/>
            <w:tcBorders>
              <w:top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03"/>
        </w:trPr>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740" w:type="dxa"/>
            <w:vAlign w:val="bottom"/>
            <w:gridSpan w:val="3"/>
          </w:tcPr>
          <w:p>
            <w:pPr>
              <w:ind w:left="420"/>
              <w:spacing w:after="0"/>
              <w:rPr>
                <w:sz w:val="20"/>
                <w:szCs w:val="20"/>
                <w:color w:val="auto"/>
              </w:rPr>
            </w:pPr>
            <w:r>
              <w:rPr>
                <w:rFonts w:ascii="Arial" w:cs="Arial" w:eastAsia="Arial" w:hAnsi="Arial"/>
                <w:sz w:val="18"/>
                <w:szCs w:val="18"/>
                <w:color w:val="auto"/>
              </w:rPr>
              <w:t>The address of the Principal Office of the Depositary is 388 Greenwich Street, New</w:t>
            </w:r>
          </w:p>
        </w:tc>
      </w:tr>
      <w:tr>
        <w:trPr>
          <w:trHeight w:val="230"/>
        </w:trPr>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740" w:type="dxa"/>
            <w:vAlign w:val="bottom"/>
            <w:gridSpan w:val="3"/>
          </w:tcPr>
          <w:p>
            <w:pPr>
              <w:jc w:val="center"/>
              <w:ind w:right="2390"/>
              <w:spacing w:after="0"/>
              <w:rPr>
                <w:sz w:val="20"/>
                <w:szCs w:val="20"/>
                <w:color w:val="auto"/>
              </w:rPr>
            </w:pPr>
            <w:r>
              <w:rPr>
                <w:rFonts w:ascii="Arial" w:cs="Arial" w:eastAsia="Arial" w:hAnsi="Arial"/>
                <w:sz w:val="18"/>
                <w:szCs w:val="18"/>
                <w:color w:val="auto"/>
                <w:w w:val="93"/>
              </w:rPr>
              <w:t>York, New York 10013, U.S.A.</w:t>
            </w:r>
          </w:p>
        </w:tc>
      </w:tr>
      <w:tr>
        <w:trPr>
          <w:trHeight w:val="655"/>
        </w:trPr>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jc w:val="center"/>
              <w:ind w:right="4870"/>
              <w:spacing w:after="0"/>
              <w:rPr>
                <w:sz w:val="20"/>
                <w:szCs w:val="20"/>
                <w:color w:val="auto"/>
              </w:rPr>
            </w:pPr>
            <w:r>
              <w:rPr>
                <w:rFonts w:ascii="Arial" w:cs="Arial" w:eastAsia="Arial" w:hAnsi="Arial"/>
                <w:sz w:val="18"/>
                <w:szCs w:val="18"/>
                <w:color w:val="auto"/>
                <w:w w:val="94"/>
              </w:rPr>
              <w:t>A-10</w:t>
            </w:r>
          </w:p>
        </w:tc>
      </w:tr>
    </w:tbl>
    <w:p>
      <w:pPr>
        <w:sectPr>
          <w:pgSz w:w="11900" w:h="16838" w:orient="portrait"/>
          <w:cols w:equalWidth="0" w:num="1">
            <w:col w:w="11240"/>
          </w:cols>
          <w:pgMar w:left="320" w:top="904"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07" w:lineRule="exact"/>
        <w:rPr>
          <w:sz w:val="20"/>
          <w:szCs w:val="20"/>
          <w:color w:val="auto"/>
        </w:rPr>
      </w:pPr>
    </w:p>
    <w:p>
      <w:pPr>
        <w:ind w:left="-20" w:firstLine="656"/>
        <w:spacing w:after="0" w:line="284" w:lineRule="auto"/>
        <w:tabs>
          <w:tab w:leader="none" w:pos="973"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27" w:name="page328"/>
    <w:bookmarkEnd w:id="327"/>
    <w:p>
      <w:pPr>
        <w:ind w:firstLine="656"/>
        <w:spacing w:after="0" w:line="287" w:lineRule="auto"/>
        <w:tabs>
          <w:tab w:leader="none" w:pos="903" w:val="left"/>
        </w:tabs>
        <w:numPr>
          <w:ilvl w:val="1"/>
          <w:numId w:val="329"/>
        </w:numPr>
        <w:rPr>
          <w:rFonts w:ascii="Arial" w:cs="Arial" w:eastAsia="Arial" w:hAnsi="Arial"/>
          <w:sz w:val="16"/>
          <w:szCs w:val="16"/>
          <w:color w:val="auto"/>
        </w:rPr>
      </w:pPr>
      <w:r>
        <w:rPr>
          <w:rFonts w:ascii="Arial" w:cs="Arial" w:eastAsia="Arial" w:hAnsi="Arial"/>
          <w:sz w:val="16"/>
          <w:szCs w:val="16"/>
          <w:b w:val="1"/>
          <w:bCs w:val="1"/>
          <w:i w:val="1"/>
          <w:iCs w:val="1"/>
          <w:color w:val="auto"/>
        </w:rPr>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spacing w:after="0" w:line="2" w:lineRule="exact"/>
        <w:rPr>
          <w:rFonts w:ascii="Arial" w:cs="Arial" w:eastAsia="Arial" w:hAnsi="Arial"/>
          <w:sz w:val="16"/>
          <w:szCs w:val="16"/>
          <w:color w:val="auto"/>
        </w:rPr>
      </w:pPr>
    </w:p>
    <w:p>
      <w:pPr>
        <w:ind w:firstLine="8"/>
        <w:spacing w:after="0" w:line="281" w:lineRule="auto"/>
        <w:tabs>
          <w:tab w:leader="none" w:pos="21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8" w:name="page329"/>
    <w:bookmarkEnd w:id="328"/>
    <w:p>
      <w:pPr>
        <w:ind w:right="240" w:firstLine="656"/>
        <w:spacing w:after="0" w:line="286" w:lineRule="auto"/>
        <w:tabs>
          <w:tab w:leader="none" w:pos="892" w:val="left"/>
        </w:tabs>
        <w:numPr>
          <w:ilvl w:val="1"/>
          <w:numId w:val="332"/>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firstLine="8"/>
        <w:spacing w:after="0" w:line="284" w:lineRule="auto"/>
        <w:tabs>
          <w:tab w:leader="none" w:pos="26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72" w:lineRule="exact"/>
        <w:rPr>
          <w:rFonts w:ascii="Arial" w:cs="Arial" w:eastAsia="Arial" w:hAnsi="Arial"/>
          <w:sz w:val="16"/>
          <w:szCs w:val="16"/>
          <w:color w:val="auto"/>
        </w:rPr>
      </w:pPr>
    </w:p>
    <w:p>
      <w:pPr>
        <w:ind w:right="100" w:firstLine="656"/>
        <w:spacing w:after="0" w:line="284" w:lineRule="auto"/>
        <w:tabs>
          <w:tab w:leader="none" w:pos="903" w:val="left"/>
        </w:tabs>
        <w:numPr>
          <w:ilvl w:val="1"/>
          <w:numId w:val="333"/>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9" w:name="page330"/>
    <w:bookmarkEnd w:id="329"/>
    <w:p>
      <w:pPr>
        <w:ind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0" w:name="page331"/>
    <w:bookmarkEnd w:id="330"/>
    <w:p>
      <w:pPr>
        <w:ind w:firstLine="656"/>
        <w:spacing w:after="0" w:line="288" w:lineRule="auto"/>
        <w:tabs>
          <w:tab w:leader="none" w:pos="892" w:val="left"/>
        </w:tabs>
        <w:numPr>
          <w:ilvl w:val="0"/>
          <w:numId w:val="334"/>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61"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right="20" w:firstLine="656"/>
        <w:spacing w:after="0" w:line="285" w:lineRule="auto"/>
        <w:tabs>
          <w:tab w:leader="none" w:pos="993"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timely receipt of notice from the Company that it intends to exercise its right of redemption 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31" w:name="page332"/>
    <w:bookmarkEnd w:id="331"/>
    <w:p>
      <w:pPr>
        <w:ind w:left="-20" w:firstLine="656"/>
        <w:spacing w:after="0" w:line="289" w:lineRule="auto"/>
        <w:tabs>
          <w:tab w:leader="none" w:pos="973"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0" w:lineRule="exact"/>
        <w:rPr>
          <w:rFonts w:ascii="Arial" w:cs="Arial" w:eastAsia="Arial" w:hAnsi="Arial"/>
          <w:sz w:val="16"/>
          <w:szCs w:val="16"/>
          <w:b w:val="1"/>
          <w:bCs w:val="1"/>
          <w:color w:val="auto"/>
        </w:rPr>
      </w:pPr>
    </w:p>
    <w:p>
      <w:pPr>
        <w:ind w:left="-20" w:right="20" w:firstLine="656"/>
        <w:spacing w:after="0" w:line="270" w:lineRule="auto"/>
        <w:tabs>
          <w:tab w:leader="none" w:pos="973" w:val="left"/>
        </w:tabs>
        <w:numPr>
          <w:ilvl w:val="0"/>
          <w:numId w:val="3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 Securities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32" w:name="page333"/>
    <w:bookmarkEnd w:id="332"/>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the event voting takes place at a shareholders’ meeting by poll</w:t>
      </w:r>
      <w:r>
        <w:rPr>
          <w:rFonts w:ascii="Arial" w:cs="Arial" w:eastAsia="Arial" w:hAnsi="Arial"/>
          <w:sz w:val="17"/>
          <w:szCs w:val="17"/>
          <w:color w:val="auto"/>
        </w:rPr>
        <w:t>, the Depositary will instruct the Custodian to vote the Deposited Securities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3" w:name="page334"/>
    <w:bookmarkEnd w:id="333"/>
    <w:p>
      <w:pPr>
        <w:ind w:right="60" w:firstLine="648"/>
        <w:spacing w:after="0" w:line="269"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56"/>
        <w:spacing w:after="0" w:line="284" w:lineRule="auto"/>
        <w:tabs>
          <w:tab w:leader="none" w:pos="993" w:val="left"/>
        </w:tabs>
        <w:numPr>
          <w:ilvl w:val="1"/>
          <w:numId w:val="3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rFonts w:ascii="Arial" w:cs="Arial" w:eastAsia="Arial" w:hAnsi="Arial"/>
          <w:sz w:val="16"/>
          <w:szCs w:val="16"/>
          <w:b w:val="1"/>
          <w:bCs w:val="1"/>
          <w:color w:val="auto"/>
        </w:rPr>
      </w:pPr>
    </w:p>
    <w:p>
      <w:pPr>
        <w:ind w:firstLine="8"/>
        <w:spacing w:after="0" w:line="281" w:lineRule="auto"/>
        <w:tabs>
          <w:tab w:leader="none" w:pos="26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any foreign exchange exposure or loss incurred in connection with such sale, or (iii) any liability to the purchaser of such Deposited Property.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4" w:name="page335"/>
    <w:bookmarkEnd w:id="334"/>
    <w:p>
      <w:pPr>
        <w:ind w:left="-20" w:firstLine="656"/>
        <w:spacing w:after="0" w:line="267" w:lineRule="auto"/>
        <w:tabs>
          <w:tab w:leader="none" w:pos="973"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35" w:name="page336"/>
    <w:bookmarkEnd w:id="335"/>
    <w:p>
      <w:pPr>
        <w:ind w:firstLine="656"/>
        <w:spacing w:after="0" w:line="292" w:lineRule="auto"/>
        <w:tabs>
          <w:tab w:leader="none" w:pos="993"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6" w:name="page337"/>
    <w:bookmarkEnd w:id="336"/>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56"/>
        <w:spacing w:after="0" w:line="285" w:lineRule="auto"/>
        <w:tabs>
          <w:tab w:leader="none" w:pos="993"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ind w:left="-8" w:firstLine="656"/>
        <w:spacing w:after="0" w:line="285" w:lineRule="auto"/>
        <w:tabs>
          <w:tab w:leader="none" w:pos="985" w:val="left"/>
        </w:tabs>
        <w:numPr>
          <w:ilvl w:val="1"/>
          <w:numId w:val="3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w:t>
      </w:r>
    </w:p>
    <w:p>
      <w:pPr>
        <w:spacing w:after="0" w:line="3" w:lineRule="exact"/>
        <w:rPr>
          <w:rFonts w:ascii="Arial" w:cs="Arial" w:eastAsia="Arial" w:hAnsi="Arial"/>
          <w:sz w:val="16"/>
          <w:szCs w:val="16"/>
          <w:b w:val="1"/>
          <w:bCs w:val="1"/>
          <w:color w:val="auto"/>
        </w:rPr>
      </w:pPr>
    </w:p>
    <w:p>
      <w:pPr>
        <w:ind w:left="-8" w:firstLine="8"/>
        <w:spacing w:after="0" w:line="284" w:lineRule="auto"/>
        <w:tabs>
          <w:tab w:leader="none" w:pos="33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8" w:name="page339"/>
    <w:bookmarkEnd w:id="338"/>
    <w:p>
      <w:pPr>
        <w:ind w:right="60" w:firstLine="656"/>
        <w:spacing w:after="0" w:line="293" w:lineRule="auto"/>
        <w:tabs>
          <w:tab w:leader="none" w:pos="993" w:val="left"/>
        </w:tabs>
        <w:numPr>
          <w:ilvl w:val="1"/>
          <w:numId w:val="3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w:t>
      </w:r>
    </w:p>
    <w:p>
      <w:pPr>
        <w:spacing w:after="0" w:line="1" w:lineRule="exact"/>
        <w:rPr>
          <w:rFonts w:ascii="Arial" w:cs="Arial" w:eastAsia="Arial" w:hAnsi="Arial"/>
          <w:sz w:val="16"/>
          <w:szCs w:val="16"/>
          <w:b w:val="1"/>
          <w:bCs w:val="1"/>
          <w:color w:val="auto"/>
        </w:rPr>
      </w:pPr>
    </w:p>
    <w:p>
      <w:pPr>
        <w:ind w:firstLine="8"/>
        <w:spacing w:after="0" w:line="283" w:lineRule="auto"/>
        <w:tabs>
          <w:tab w:leader="none" w:pos="21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9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9" w:name="page340"/>
    <w:bookmarkEnd w:id="339"/>
    <w:p>
      <w:pPr>
        <w:ind w:left="-8" w:firstLine="656"/>
        <w:spacing w:after="0" w:line="314" w:lineRule="auto"/>
        <w:tabs>
          <w:tab w:leader="none" w:pos="985"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(a) Notwithstanding any provisions in this ADR 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46" w:lineRule="exact"/>
        <w:rPr>
          <w:sz w:val="20"/>
          <w:szCs w:val="20"/>
          <w:color w:val="auto"/>
        </w:rPr>
      </w:pPr>
    </w:p>
    <w:p>
      <w:pPr>
        <w:ind w:left="-8" w:right="80" w:firstLine="656"/>
        <w:spacing w:after="0" w:line="263" w:lineRule="auto"/>
        <w:tabs>
          <w:tab w:leader="none" w:pos="89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8" w:right="20" w:firstLine="656"/>
        <w:spacing w:after="0" w:line="284" w:lineRule="auto"/>
        <w:tabs>
          <w:tab w:leader="none" w:pos="985" w:val="left"/>
        </w:tabs>
        <w:numPr>
          <w:ilvl w:val="1"/>
          <w:numId w:val="3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Arial" w:cs="Arial" w:eastAsia="Arial" w:hAnsi="Arial"/>
          <w:sz w:val="16"/>
          <w:szCs w:val="16"/>
          <w:b w:val="1"/>
          <w:bCs w:val="1"/>
          <w:color w:val="auto"/>
        </w:rPr>
      </w:pPr>
    </w:p>
    <w:p>
      <w:pPr>
        <w:ind w:left="-8" w:right="80" w:firstLine="8"/>
        <w:spacing w:after="0" w:line="268" w:lineRule="auto"/>
        <w:tabs>
          <w:tab w:leader="none" w:pos="29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40" w:name="page341"/>
    <w:bookmarkEnd w:id="340"/>
    <w:p>
      <w:pPr>
        <w:ind w:firstLine="656"/>
        <w:spacing w:after="0" w:line="256" w:lineRule="auto"/>
        <w:tabs>
          <w:tab w:leader="none" w:pos="993"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 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 hereby irrevocably constituting and appointing ________________________ attorney-in-fact to transfer said ADR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40" w:type="dxa"/>
            <w:vAlign w:val="bottom"/>
          </w:tcPr>
          <w:p>
            <w:pPr>
              <w:spacing w:after="0"/>
              <w:rPr>
                <w:sz w:val="20"/>
                <w:szCs w:val="20"/>
                <w:color w:val="auto"/>
              </w:rPr>
            </w:pPr>
            <w:r>
              <w:rPr>
                <w:rFonts w:ascii="Arial" w:cs="Arial" w:eastAsia="Arial" w:hAnsi="Arial"/>
                <w:sz w:val="18"/>
                <w:szCs w:val="18"/>
                <w:color w:val="auto"/>
              </w:rPr>
              <w:t>Dated:</w:t>
            </w: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5"/>
              </w:rPr>
              <w:t>NOTICE: The signature of the Holder to this assignment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1"/>
              </w:rPr>
              <w:t>must correspond with the name as written upon the face of</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the within instrument in every particular, without alteration</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or enlargement or any change whatsoever.</w:t>
            </w: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If the endorsement be executed by an attorney, executor,</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0"/>
              </w:rPr>
              <w:t>administrator, trustee or guardian, the person executing the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7"/>
              </w:rPr>
              <w:t>endorsement must give his/her full title in such capacity</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3"/>
              </w:rPr>
              <w:t>and proper evidence of authority to act in such capacity, if</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9"/>
              </w:rPr>
              <w:t>not on file with the Depositary, must be forwarded with</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this ADR.</w:t>
            </w:r>
          </w:p>
        </w:tc>
        <w:tc>
          <w:tcPr>
            <w:tcW w:w="0" w:type="dxa"/>
            <w:vAlign w:val="bottom"/>
          </w:tcPr>
          <w:p>
            <w:pPr>
              <w:spacing w:after="0"/>
              <w:rPr>
                <w:sz w:val="1"/>
                <w:szCs w:val="1"/>
                <w:color w:val="auto"/>
              </w:rPr>
            </w:pPr>
          </w:p>
        </w:tc>
      </w:tr>
      <w:tr>
        <w:trPr>
          <w:trHeight w:val="439"/>
        </w:trPr>
        <w:tc>
          <w:tcPr>
            <w:tcW w:w="414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SIGNATURE GUARANTEED</w:t>
            </w:r>
          </w:p>
        </w:tc>
        <w:tc>
          <w:tcPr>
            <w:tcW w:w="7100" w:type="dxa"/>
            <w:vAlign w:val="bottom"/>
            <w:gridSpan w:val="2"/>
            <w:vMerge w:val="restart"/>
          </w:tcPr>
          <w:p>
            <w:pPr>
              <w:ind w:left="2800"/>
              <w:spacing w:after="0"/>
              <w:rPr>
                <w:sz w:val="20"/>
                <w:szCs w:val="20"/>
                <w:color w:val="auto"/>
              </w:rPr>
            </w:pPr>
            <w:r>
              <w:rPr>
                <w:rFonts w:ascii="Arial" w:cs="Arial" w:eastAsia="Arial" w:hAnsi="Arial"/>
                <w:sz w:val="18"/>
                <w:szCs w:val="18"/>
                <w:color w:val="auto"/>
              </w:rPr>
              <w:t>All endorsements or assignments of ADRs must be</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7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w w:val="90"/>
              </w:rPr>
              <w:t>guaranteed by a member of a Medallion Signature Program</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100" w:type="dxa"/>
            <w:vAlign w:val="bottom"/>
            <w:gridSpan w:val="2"/>
          </w:tcPr>
          <w:p>
            <w:pPr>
              <w:ind w:left="2800"/>
              <w:spacing w:after="0"/>
              <w:rPr>
                <w:sz w:val="20"/>
                <w:szCs w:val="20"/>
                <w:color w:val="auto"/>
              </w:rPr>
            </w:pPr>
            <w:r>
              <w:rPr>
                <w:rFonts w:ascii="Arial" w:cs="Arial" w:eastAsia="Arial" w:hAnsi="Arial"/>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Legends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(some of which may be cumulative) are payable under the terms of the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Rate</w:t>
            </w:r>
          </w:p>
        </w:tc>
        <w:tc>
          <w:tcPr>
            <w:tcW w:w="368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b w:val="1"/>
                <w:bCs w:val="1"/>
                <w:color w:val="auto"/>
              </w:rPr>
              <w:t>By Whom Paid</w:t>
            </w: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(1) Issuance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an issuance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deposit of Shares, upon a change in the ADS(s)-to-</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issued.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(2) Cancellation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 cancellation of</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ADSs for Delivery of deposited Shares,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cancelled.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Distribution of cash dividends or other cash</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distributions (</w:t>
            </w:r>
            <w:r>
              <w:rPr>
                <w:rFonts w:ascii="Arial" w:cs="Arial" w:eastAsia="Arial" w:hAnsi="Arial"/>
                <w:sz w:val="18"/>
                <w:szCs w:val="18"/>
                <w:i w:val="1"/>
                <w:iCs w:val="1"/>
                <w:color w:val="auto"/>
                <w:w w:val="95"/>
              </w:rPr>
              <w:t>e.g.</w:t>
            </w:r>
            <w:r>
              <w:rPr>
                <w:rFonts w:ascii="Arial" w:cs="Arial" w:eastAsia="Arial" w:hAnsi="Arial"/>
                <w:sz w:val="18"/>
                <w:szCs w:val="18"/>
                <w:color w:val="auto"/>
                <w:w w:val="95"/>
              </w:rPr>
              <w:t>, upon a sale of rights and other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8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 Distribution of ADSs pursuant to (i) stock</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dividends or other free stock distributions, or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(ii) an exercise of rights to purchase additional</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ADSs.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682"/>
        </w:trPr>
        <w:tc>
          <w:tcPr>
            <w:tcW w:w="38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B-1</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3" w:name="page344"/>
    <w:bookmarkEnd w:id="3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w w:val="99"/>
              </w:rPr>
              <w:t>(5)</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Distribution of financial instruments, including,</w:t>
            </w:r>
          </w:p>
        </w:tc>
        <w:tc>
          <w:tcPr>
            <w:tcW w:w="37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7"/>
              </w:rPr>
              <w:t>without limitation, securities, other than ADSs or</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w:t>
            </w: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rights to purchase additional ADSs (</w:t>
            </w:r>
            <w:r>
              <w:rPr>
                <w:rFonts w:ascii="Arial" w:cs="Arial" w:eastAsia="Arial" w:hAnsi="Arial"/>
                <w:sz w:val="18"/>
                <w:szCs w:val="18"/>
                <w:i w:val="1"/>
                <w:iCs w:val="1"/>
                <w:color w:val="auto"/>
                <w:w w:val="96"/>
              </w:rPr>
              <w:t>e.g.</w:t>
            </w:r>
            <w:r>
              <w:rPr>
                <w:rFonts w:ascii="Arial" w:cs="Arial" w:eastAsia="Arial" w:hAnsi="Arial"/>
                <w:sz w:val="18"/>
                <w:szCs w:val="18"/>
                <w:color w:val="auto"/>
                <w:w w:val="96"/>
              </w:rPr>
              <w:t>, spin-off</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(6)</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Person holding ADSs on the applicable record</w:t>
            </w:r>
          </w:p>
        </w:tc>
      </w:tr>
      <w:tr>
        <w:trPr>
          <w:trHeight w:val="216"/>
        </w:trPr>
        <w:tc>
          <w:tcPr>
            <w:tcW w:w="340" w:type="dxa"/>
            <w:vAlign w:val="bottom"/>
            <w:tcBorders>
              <w:lef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held on the applicable record date(s)</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40" w:type="dxa"/>
            <w:vAlign w:val="bottom"/>
            <w:tcBorders>
              <w:left w:val="single" w:sz="8" w:color="auto"/>
            </w:tcBorders>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established by the Depositary.</w:t>
            </w: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(7)</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registration of the transfer of registered ownership</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transferred.</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transferred.</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8"/>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r>
      <w:tr>
        <w:trPr>
          <w:trHeight w:val="229"/>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(8)</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Conversion of ADSs of one series for ADSs of</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U.S. $5.00 per 100 ADSs (or fraction</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 for whom ADSs are converted or to</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another series (</w:t>
            </w:r>
            <w:r>
              <w:rPr>
                <w:rFonts w:ascii="Arial" w:cs="Arial" w:eastAsia="Arial" w:hAnsi="Arial"/>
                <w:sz w:val="18"/>
                <w:szCs w:val="18"/>
                <w:i w:val="1"/>
                <w:iCs w:val="1"/>
                <w:color w:val="auto"/>
                <w:w w:val="99"/>
              </w:rPr>
              <w:t>e.g.</w:t>
            </w:r>
            <w:r>
              <w:rPr>
                <w:rFonts w:ascii="Arial" w:cs="Arial" w:eastAsia="Arial" w:hAnsi="Arial"/>
                <w:sz w:val="18"/>
                <w:szCs w:val="18"/>
                <w:color w:val="auto"/>
                <w:w w:val="99"/>
              </w:rPr>
              <w:t>, upon conversion of Partial</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thereof) converted.</w:t>
            </w:r>
          </w:p>
        </w:tc>
        <w:tc>
          <w:tcPr>
            <w:tcW w:w="3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 xml:space="preserve">transferable ADSs, and </w:t>
            </w:r>
            <w:r>
              <w:rPr>
                <w:rFonts w:ascii="Arial" w:cs="Arial" w:eastAsia="Arial" w:hAnsi="Arial"/>
                <w:sz w:val="18"/>
                <w:szCs w:val="18"/>
                <w:i w:val="1"/>
                <w:iCs w:val="1"/>
                <w:color w:val="auto"/>
                <w:w w:val="95"/>
              </w:rPr>
              <w:t>vice versa</w:t>
            </w:r>
            <w:r>
              <w:rPr>
                <w:rFonts w:ascii="Arial" w:cs="Arial" w:eastAsia="Arial" w:hAnsi="Arial"/>
                <w:sz w:val="18"/>
                <w:szCs w:val="18"/>
                <w:color w:val="auto"/>
                <w:w w:val="95"/>
              </w:rPr>
              <w:t>) or conversion</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16"/>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30"/>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5480" w:right="4620" w:hanging="5472"/>
        <w:spacing w:after="0" w:line="778" w:lineRule="auto"/>
        <w:tabs>
          <w:tab w:leader="none" w:pos="64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44" w:name="page345"/>
    <w:bookmarkEnd w:id="344"/>
    <w:p>
      <w:pPr>
        <w:ind w:left="660" w:right="300" w:hanging="652"/>
        <w:spacing w:after="0" w:line="263" w:lineRule="auto"/>
        <w:tabs>
          <w:tab w:leader="none" w:pos="6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236"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_____, 20__, is executed by and between Trident Digital Tech Holdings Ltd,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exempted company incorporated and existing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and_________, a director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20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and encourage highly experienced and capable persons such as the Indemnitee to render valuable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this Agreement is not only reasonable and prudent, but necessary to promote and ensure the best interests of the Company and its shareholders;</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governing documents require it to indemnify its directors and officers to the fullest extent permitted by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 it to make other indemnification arrangements and agreements; and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provide the Indemnitee with specific contractual assurance of the Indemnitee’s rights to full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litigation risks and expenses (regardless of any amendment to or revocation of the Company’s governing documents or any change in the ownership of the Company or the composition of the Board).</w:t>
      </w:r>
    </w:p>
    <w:p>
      <w:pPr>
        <w:spacing w:after="0" w:line="176" w:lineRule="exact"/>
        <w:rPr>
          <w:sz w:val="20"/>
          <w:szCs w:val="20"/>
          <w:color w:val="auto"/>
        </w:rPr>
      </w:pPr>
    </w:p>
    <w:p>
      <w:pPr>
        <w:ind w:right="8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the covenants contained herein, the Company and the Indemnitee do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Indemnification of Expenses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67" w:lineRule="auto"/>
        <w:tabs>
          <w:tab w:leader="none" w:pos="892"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Third-Party Claims</w:t>
      </w:r>
      <w:r>
        <w:rPr>
          <w:rFonts w:ascii="Arial" w:cs="Arial" w:eastAsia="Arial" w:hAnsi="Arial"/>
          <w:sz w:val="17"/>
          <w:szCs w:val="17"/>
          <w:color w:val="auto"/>
        </w:rPr>
        <w:t>. Subject to Article II below, the Company shall indemnify and hold harmless the Indemnitee to the fullest extent permitted by law if the Indemnitee was or is or becomes a party to or witness in, or is threatened to be made a party to or witness in, any threatened, pending or completed action, suit, proceeding or alternative dispute resolution mechanism, or any hearing, inquiry or investigation that such Indemnitee reasonably believes might lead to the institution of any such action, suit, proceeding or alternative dispute resolution mechanism, whether civil, criminal, administrative, investigative or other (hereinafter a “</w:t>
      </w:r>
      <w:r>
        <w:rPr>
          <w:rFonts w:ascii="Arial" w:cs="Arial" w:eastAsia="Arial" w:hAnsi="Arial"/>
          <w:sz w:val="17"/>
          <w:szCs w:val="17"/>
          <w:u w:val="single" w:color="auto"/>
          <w:color w:val="auto"/>
        </w:rPr>
        <w:t>Claim</w:t>
      </w:r>
      <w:r>
        <w:rPr>
          <w:rFonts w:ascii="Arial" w:cs="Arial" w:eastAsia="Arial" w:hAnsi="Arial"/>
          <w:sz w:val="17"/>
          <w:szCs w:val="17"/>
          <w:color w:val="auto"/>
        </w:rPr>
        <w:t>”) (other than an action by right of the Company) by reason of the fact that the Indemnitee is or was a director or officer of the Company, or any subsidiary or affiliated entity of the Company, or is or was serving at the request of the Company as a director or officer of another corporation, partnership, limited liability company, joint venture, trust or other enterprise, or by reason of any action or inaction on the part of the Indemnitee while serving in such capacity (hereinafter, an “</w:t>
      </w:r>
      <w:r>
        <w:rPr>
          <w:rFonts w:ascii="Arial" w:cs="Arial" w:eastAsia="Arial" w:hAnsi="Arial"/>
          <w:sz w:val="17"/>
          <w:szCs w:val="17"/>
          <w:u w:val="single" w:color="auto"/>
          <w:color w:val="auto"/>
        </w:rPr>
        <w:t>Agent</w:t>
      </w:r>
      <w:r>
        <w:rPr>
          <w:rFonts w:ascii="Arial" w:cs="Arial" w:eastAsia="Arial" w:hAnsi="Arial"/>
          <w:sz w:val="17"/>
          <w:szCs w:val="17"/>
          <w:color w:val="auto"/>
        </w:rPr>
        <w:t>”) or as a direct or indirect result of any Claim made by any shareholder of the Company against the Indemnitee and arising out of or related to any round of financing of the Company (including but not limited to Claims regarding non-participation, or non-pro rata participation, in such round by such shareholder), or made by a third party against the Indemnitee based on any misstatement or omission of a material fact by the Company in violation of any duty of disclosure imposed on the Company by securities or common laws (hereinafter an “</w:t>
      </w:r>
      <w:r>
        <w:rPr>
          <w:rFonts w:ascii="Arial" w:cs="Arial" w:eastAsia="Arial" w:hAnsi="Arial"/>
          <w:sz w:val="17"/>
          <w:szCs w:val="17"/>
          <w:u w:val="single" w:color="auto"/>
          <w:color w:val="auto"/>
        </w:rPr>
        <w:t>Indemnification Event</w:t>
      </w:r>
      <w:r>
        <w:rPr>
          <w:rFonts w:ascii="Arial" w:cs="Arial" w:eastAsia="Arial" w:hAnsi="Arial"/>
          <w:sz w:val="17"/>
          <w:szCs w:val="17"/>
          <w:color w:val="auto"/>
        </w:rPr>
        <w:t>”) against any and all expenses (including attorneys’ fees and all other costs, expenses and obligations), judgments, fines, penalties and amounts paid in settlement (if, and only if, such settlement is approved in advance by the Company, which approval shall not be unreasonably withheld) (the “</w:t>
      </w:r>
      <w:r>
        <w:rPr>
          <w:rFonts w:ascii="Arial" w:cs="Arial" w:eastAsia="Arial" w:hAnsi="Arial"/>
          <w:sz w:val="17"/>
          <w:szCs w:val="17"/>
          <w:u w:val="single" w:color="auto"/>
          <w:color w:val="auto"/>
        </w:rPr>
        <w:t>Expenses</w:t>
      </w:r>
      <w:r>
        <w:rPr>
          <w:rFonts w:ascii="Arial" w:cs="Arial" w:eastAsia="Arial" w:hAnsi="Arial"/>
          <w:sz w:val="17"/>
          <w:szCs w:val="17"/>
          <w:color w:val="auto"/>
        </w:rPr>
        <w:t>”) actually and reasonably incurred by the Indemnitee in connection with investigating, attempting to amicably resolve, preparing for, defending or participating in (including on appeal) such Claim if the Indemnitee acted in good faith and in a manner he or she reasonably believed to be in, or not opposed to, the best interests of the Company and,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6" w:name="page347"/>
    <w:bookmarkEnd w:id="346"/>
    <w:p>
      <w:pPr>
        <w:ind w:right="20" w:firstLine="656"/>
        <w:spacing w:after="0" w:line="269" w:lineRule="auto"/>
        <w:tabs>
          <w:tab w:leader="none" w:pos="903"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Derivative Actions</w:t>
      </w:r>
      <w:r>
        <w:rPr>
          <w:rFonts w:ascii="Arial" w:cs="Arial" w:eastAsia="Arial" w:hAnsi="Arial"/>
          <w:sz w:val="17"/>
          <w:szCs w:val="17"/>
          <w:color w:val="auto"/>
        </w:rPr>
        <w:t>. If the Indemnitee is a person who was or is a party or is threatened to be made a party to any Claim by or in the right of the Company to procure a judgment in its favor by reason of the fact that he or she is or was an Agent of the Company, or by reason of anything done or not done by him or her in any such capacity, the Company shall indemnify the Indemnitee against any amounts paid in settlement of any such Claim and all Expenses actually and reasonably incurred by him or her in connection with investigating, attempting to amicably resolve, preparing for, defending, settling or appealing such Claim if he or she acted in good faith and in a manner he or she reasonably believed to be in, or not opposed to, the best interests of the Company; except that no indemnification under this subsection shall be made in respect of any claim, issue or matter as to which such person shall have been finally adjudged to be liable to the Company by a court of competent jurisdiction due to willful misconduct or gross negligence in the performance of his or her duty to the Company, unless and only to the extent that the court in which such proceeding was brought shall determine upon application that, despite the adjudication of liability and in view of all the circumstances of the case, such person is fairly and reasonably entitled to indemnity for such amounts the court may deem proper.</w:t>
      </w:r>
    </w:p>
    <w:p>
      <w:pPr>
        <w:spacing w:after="0" w:line="18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the Indemnitee is entitled under any provision of this Agreement to indemnification by the Company for any portion of Expenses incurred in connection with any Claim, but not, however, for all of the total amount thereof, the Company shall nevertheless indemnify the Indemnitee for the portion of such Expenses to which the Indemnitee is entitled.</w:t>
      </w:r>
    </w:p>
    <w:p>
      <w:pPr>
        <w:spacing w:after="0" w:line="1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1.01 above is, for any reason other than the statutory limitations of applicable law or as provided in Article II below, held by a court of competent jurisdiction to be unavailable to the Indemnitee in respect of any losses, claims, damages, expenses or liabilities in which the Company is jointly liable with the Indemnitee, as the case may be (or would be jointly liable if joined), then the Company, in lieu of indemnifying the Indemnitee thereunder, shall contribute to the amount actually and reasonably incurred and paid or payable by the Indemnitee as a result of such losses, claims, damages, expenses or liabilities in such proportion as is appropriate to reflect (a) the relative benefits received by the Company and the Indemnitee, and (b) the relative fault of the Company and the Indemnitee in connection with the action or inaction that resulted in such losses, claims, damages, expenses or liabilities, as well as any other relevant equitable considerations. The relative fault of the Company and the Indemnitee shall be determined by reference to, among other things, whether the untrue or allegedly untrue statement of a material fact or the omission or alleged omission to state a material fact relates to information supplied by the Company or the Indemnitee and the parties’ relative intent, knowledge, access to information and opportunity to correct or prevent the circumstances resulting in such losses, claims, damages, expenses or liabilities.</w:t>
      </w:r>
    </w:p>
    <w:p>
      <w:pPr>
        <w:spacing w:after="0" w:line="16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and the Indemnitee agree that it would not be just and equitable if contribution pursuant to this Section 1.03 were determined by pro rata or per capita allocation or by any other method of allocation which does not take into account the equitable considerations referred to in the immediately preceding paragraph. No person found guilty of fraudulent misrepresentation (within the meaning of Section 11(f) of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be entitled to contribution from any person who was not found guilty of such fraudulent misrepresentation.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7" w:name="page348"/>
    <w:bookmarkEnd w:id="347"/>
    <w:p>
      <w:pPr>
        <w:jc w:val="both"/>
        <w:ind w:right="140" w:firstLine="648"/>
        <w:spacing w:after="0" w:line="31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Mandatory Payment of Expenses</w:t>
      </w:r>
      <w:r>
        <w:rPr>
          <w:rFonts w:ascii="Arial" w:cs="Arial" w:eastAsia="Arial" w:hAnsi="Arial"/>
          <w:sz w:val="16"/>
          <w:szCs w:val="16"/>
          <w:color w:val="auto"/>
        </w:rPr>
        <w:t>. Notwithstanding any other provision of this Agreement, to the extent the Indemnitee has been successful on the merits or otherwise, in the defense of any Claim referred to in Section 1.01 hereof or in the defense of any claim, issue or matter therein, the Indemnitee shall be indemnified against all Expenses actually and reasonably incurred by the Indemnitee in connection herewith.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2.01 Any other provision herein to the contrary notwithstanding, the Company shall not be obligated pursuant to the terms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right="180" w:firstLine="656"/>
        <w:spacing w:after="0" w:line="263" w:lineRule="auto"/>
        <w:tabs>
          <w:tab w:leader="none" w:pos="89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Claims Under Section 16(b)</w:t>
      </w:r>
      <w:r>
        <w:rPr>
          <w:rFonts w:ascii="Arial" w:cs="Arial" w:eastAsia="Arial" w:hAnsi="Arial"/>
          <w:sz w:val="18"/>
          <w:szCs w:val="18"/>
          <w:color w:val="auto"/>
        </w:rPr>
        <w:t>. To indemnify the Indemnitee for expenses and the payment of profits or an accounting thereof arising from the purchase and sale by the Indemnitee of securities in violation of the provisions of Section 16(b) of the U.S.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any similar provisions of any international, federal, state or local statutory law;</w:t>
      </w:r>
    </w:p>
    <w:p>
      <w:pPr>
        <w:spacing w:after="0" w:line="183" w:lineRule="exact"/>
        <w:rPr>
          <w:rFonts w:ascii="Arial" w:cs="Arial" w:eastAsia="Arial" w:hAnsi="Arial"/>
          <w:sz w:val="18"/>
          <w:szCs w:val="18"/>
          <w:color w:val="auto"/>
        </w:rPr>
      </w:pPr>
    </w:p>
    <w:p>
      <w:pPr>
        <w:ind w:right="220" w:firstLine="656"/>
        <w:spacing w:after="0" w:line="277" w:lineRule="auto"/>
        <w:tabs>
          <w:tab w:leader="none" w:pos="903"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Unauthorized Settlements</w:t>
      </w:r>
      <w:r>
        <w:rPr>
          <w:rFonts w:ascii="Arial" w:cs="Arial" w:eastAsia="Arial" w:hAnsi="Arial"/>
          <w:sz w:val="18"/>
          <w:szCs w:val="18"/>
          <w:color w:val="auto"/>
        </w:rPr>
        <w:t>. To indemnify the Indemnitee for any amounts paid in settlement of a proceeding unless the Company consents in advance in writing to such settlement, which consent shall not be unreasonably withheld;</w:t>
      </w:r>
    </w:p>
    <w:p>
      <w:pPr>
        <w:spacing w:after="0" w:line="170" w:lineRule="exact"/>
        <w:rPr>
          <w:rFonts w:ascii="Arial" w:cs="Arial" w:eastAsia="Arial" w:hAnsi="Arial"/>
          <w:sz w:val="18"/>
          <w:szCs w:val="18"/>
          <w:color w:val="auto"/>
        </w:rPr>
      </w:pPr>
    </w:p>
    <w:p>
      <w:pPr>
        <w:ind w:firstLine="656"/>
        <w:spacing w:after="0" w:line="259" w:lineRule="auto"/>
        <w:tabs>
          <w:tab w:leader="none" w:pos="89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Claims against the Company</w:t>
      </w:r>
      <w:r>
        <w:rPr>
          <w:rFonts w:ascii="Arial" w:cs="Arial" w:eastAsia="Arial" w:hAnsi="Arial"/>
          <w:sz w:val="18"/>
          <w:szCs w:val="18"/>
          <w:color w:val="auto"/>
        </w:rPr>
        <w:t>. To indemnify the Indemnitee for any Expenses incurred in connection with any Claim initiated by the Indemnitee against the Company, any director or officer of the Company or any other party, and not by way of defense, unless (i) the Company has joined in or the Reviewing Party (as defined in Section 5.01(e) hereof) has consented to the initiation of such Claim; or (ii) the Claim is one to enforce indemnification rights under this Agreement or any applicable law;</w:t>
      </w:r>
    </w:p>
    <w:p>
      <w:pPr>
        <w:spacing w:after="0" w:line="186" w:lineRule="exact"/>
        <w:rPr>
          <w:rFonts w:ascii="Arial" w:cs="Arial" w:eastAsia="Arial" w:hAnsi="Arial"/>
          <w:sz w:val="18"/>
          <w:szCs w:val="18"/>
          <w:color w:val="auto"/>
        </w:rPr>
      </w:pPr>
    </w:p>
    <w:p>
      <w:pPr>
        <w:jc w:val="both"/>
        <w:ind w:right="20" w:firstLine="656"/>
        <w:spacing w:after="0" w:line="259" w:lineRule="auto"/>
        <w:tabs>
          <w:tab w:leader="none" w:pos="903"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Unlawful Indemnification</w:t>
      </w:r>
      <w:r>
        <w:rPr>
          <w:rFonts w:ascii="Arial" w:cs="Arial" w:eastAsia="Arial" w:hAnsi="Arial"/>
          <w:sz w:val="18"/>
          <w:szCs w:val="18"/>
          <w:color w:val="auto"/>
        </w:rPr>
        <w:t>. To indemnify the Indemnitee if a final decision by a court having jurisdiction in the matter shall determine that such indemnification is not lawful. In this respect, the Company and the Indemnitee have been advised that the U.S. Securities and Exchange Commission takes the position that indemnification for liabilities arising under securities laws is against public policy and is, therefore, unenforceable and that claims for indemnification should be submitted to appropriate courts for adjudication;</w:t>
      </w:r>
    </w:p>
    <w:p>
      <w:pPr>
        <w:spacing w:after="0" w:line="186" w:lineRule="exact"/>
        <w:rPr>
          <w:rFonts w:ascii="Arial" w:cs="Arial" w:eastAsia="Arial" w:hAnsi="Arial"/>
          <w:sz w:val="18"/>
          <w:szCs w:val="18"/>
          <w:color w:val="auto"/>
        </w:rPr>
      </w:pPr>
    </w:p>
    <w:p>
      <w:pPr>
        <w:ind w:right="160" w:firstLine="656"/>
        <w:spacing w:after="0" w:line="263" w:lineRule="auto"/>
        <w:tabs>
          <w:tab w:leader="none" w:pos="89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Fraud; Misconduct</w:t>
      </w:r>
      <w:r>
        <w:rPr>
          <w:rFonts w:ascii="Arial" w:cs="Arial" w:eastAsia="Arial" w:hAnsi="Arial"/>
          <w:sz w:val="18"/>
          <w:szCs w:val="18"/>
          <w:color w:val="auto"/>
        </w:rPr>
        <w:t>. To indemnify the Indemnitee if a final decision by a court having jurisdiction in the matter shall determine that the Indemnitee has committed dishonesty or fraud on the Company, or has constituted willful misconduct, including, without limitation, breach of the duty of loyalty;</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To indemnify the Indemnitee for which payment is actually made to the Indemnitee under a valid and collectible insurance policy;</w:t>
      </w:r>
    </w:p>
    <w:p>
      <w:pPr>
        <w:spacing w:after="0" w:line="248"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Duplication of Payment</w:t>
      </w:r>
      <w:r>
        <w:rPr>
          <w:rFonts w:ascii="Arial" w:cs="Arial" w:eastAsia="Arial" w:hAnsi="Arial"/>
          <w:sz w:val="18"/>
          <w:szCs w:val="18"/>
          <w:color w:val="auto"/>
        </w:rPr>
        <w:t>. To indemnify the Indemnitee for which payments is actually received by the Indemnitee from the Company otherwise than pursuant to this Agreement;</w:t>
      </w:r>
    </w:p>
    <w:p>
      <w:pPr>
        <w:spacing w:after="0" w:line="170" w:lineRule="exact"/>
        <w:rPr>
          <w:rFonts w:ascii="Arial" w:cs="Arial" w:eastAsia="Arial" w:hAnsi="Arial"/>
          <w:sz w:val="18"/>
          <w:szCs w:val="18"/>
          <w:color w:val="auto"/>
        </w:rPr>
      </w:pPr>
    </w:p>
    <w:p>
      <w:pPr>
        <w:ind w:right="400" w:firstLine="656"/>
        <w:spacing w:after="0" w:line="277" w:lineRule="auto"/>
        <w:tabs>
          <w:tab w:leader="none" w:pos="903"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Company Contracts</w:t>
      </w:r>
      <w:r>
        <w:rPr>
          <w:rFonts w:ascii="Arial" w:cs="Arial" w:eastAsia="Arial" w:hAnsi="Arial"/>
          <w:sz w:val="18"/>
          <w:szCs w:val="18"/>
          <w:color w:val="auto"/>
        </w:rPr>
        <w:t>. To indemnify the Indemnitee with respect to any Claim related to any dispute or breach arising under any contract or similar obligation between the Company and the Indemnitee; or</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To indemnify the Indemnitee in connection with Indemnitee’s personal tax matter.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AND INDEMNIFICATION PROCEDURE</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Notice/Cooperation by Indemnitee</w:t>
      </w:r>
      <w:r>
        <w:rPr>
          <w:rFonts w:ascii="Arial" w:cs="Arial" w:eastAsia="Arial" w:hAnsi="Arial"/>
          <w:sz w:val="18"/>
          <w:szCs w:val="18"/>
          <w:color w:val="auto"/>
        </w:rPr>
        <w:t>. The Indemnitee shall give the Company notice in writing promptly after receipt of notice of commencement of any Claim, or the threat of the commencement of any Claim, made against the Indemnitee for which indemnification will or could be sought under this Agreement. Notice to the Company shall be given in accordance with Section 6.08 below. In addition, the Indemnitee shall give the Company such information and cooperation as the Company may reasonably request.</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Article II hereof and except as prohibited by applicable law, the Company shall advance all Expenses incurred by the Indemnitee in connection with investigating, attempting to amicably resolve, preparing for, defending, settling or appealing any Claim to which the Indemnitee is a party or is threatened to be made a party by reason of the fact that the Indemnitee is or was an Agent of the Company or by reason of anything done or not done by him or her in any such capacity. The Indemnitee hereby undertakes to promptly repay such amounts advanced only if, and to the extent that, it shall ultimately be determined that the Indemnitee is not entitled to be indemnified by the Company under the provisions of this Agreement, the M&amp;A (as defined below), applicable law or otherwise. The advances to be made hereunder shall be paid by the Company to the Indemnitee as soon as practicable but in any event no later than thirty (30) days after written demand by the Indemnitee therefor to the Company.</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Determination by the Reviewing Party</w:t>
      </w:r>
      <w:r>
        <w:rPr>
          <w:rFonts w:ascii="Arial" w:cs="Arial" w:eastAsia="Arial" w:hAnsi="Arial"/>
          <w:sz w:val="16"/>
          <w:szCs w:val="16"/>
          <w:color w:val="auto"/>
        </w:rPr>
        <w:t>. Notwithstanding the foregoing, (a) the obligations of the Company under Section 1.01 hereof shall be subject to the condition that the Reviewing Party shall not have determined that the Indemnitee would not be permitted to be indemnified under applicable law or pursuant to Article II hereof, and (b) the Indemnitee acknowledges and agrees that the obligation of the Company to make an advance payment of Expenses to the Indemnitee pursuant to above Section 3.02 (an “</w:t>
      </w:r>
      <w:r>
        <w:rPr>
          <w:rFonts w:ascii="Arial" w:cs="Arial" w:eastAsia="Arial" w:hAnsi="Arial"/>
          <w:sz w:val="16"/>
          <w:szCs w:val="16"/>
          <w:u w:val="single" w:color="auto"/>
          <w:color w:val="auto"/>
        </w:rPr>
        <w:t>Expense Advance</w:t>
      </w:r>
      <w:r>
        <w:rPr>
          <w:rFonts w:ascii="Arial" w:cs="Arial" w:eastAsia="Arial" w:hAnsi="Arial"/>
          <w:sz w:val="16"/>
          <w:szCs w:val="16"/>
          <w:color w:val="auto"/>
        </w:rPr>
        <w:t>”) shall be subject to the condition that, if, when and to the extent that the Reviewing Party determines that the Indemnitee would not be permitted to be so indemnified under applicable law or Article II hereof, the Company shall be entitled to be reimbursed by the Indemnitee (who hereby agrees to promptly reimburse the Company) for all such amounts theretofore paid; provided, however, that if the Indemnitee has commenced or thereafter commences legal proceedings in a court of competent jurisdiction to secure a determination that the Indemnitee should be indemnified under applicable law or Article II hereof, any determination made by the Reviewing Party that the Indemnitee would not be permitted to be indemnified under applicable law shall not be binding and the Indemnitee shall not be required to reimburse the Company for any Expense Advance until a final judicial determination is made with respect thereto (as to which all rights of appeal therefrom have been exhausted or lapsed). The Indemnitee’s obligation to reimburse the Company for any Expense Advance shall be unsecured and no interest shall be charged thereon. If there has not been a Change in Control (as defined in Section 5.01(a) hereof), the Reviewing Party shall be selected by a majority of the Board (excluding the Indemnitee who is a director), and if there has been such a Change in Control (other than a Change in Control which has been approved by a majority of the Company’s Board (other than the Indemnitee who is a director) who were directors immediately prior to such Change in Control), the Reviewing Party shall be the Independent Legal Counsel (as defined in Section 5.01(c) hereof) referred to in Section 3.04 below.</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has been no determination by the Reviewing Party or if the Reviewing Party determines that the Indemnitee substantively would not be permitted to be indemnified in whole or in part under applicable law or Article II hereof, the Indemnitee shall have the right to commence litigation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the Indemnitee.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9" w:name="page350"/>
    <w:bookmarkEnd w:id="349"/>
    <w:p>
      <w:pPr>
        <w:ind w:right="80" w:firstLine="648"/>
        <w:spacing w:after="0" w:line="25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Change in Control</w:t>
      </w:r>
      <w:r>
        <w:rPr>
          <w:rFonts w:ascii="Arial" w:cs="Arial" w:eastAsia="Arial" w:hAnsi="Arial"/>
          <w:sz w:val="18"/>
          <w:szCs w:val="18"/>
          <w:color w:val="auto"/>
        </w:rPr>
        <w:t>. The Company agrees that if there is a Change in Control of the Company (other than a Change in Control which has been approved by a majority of the Board (other than the Indemnitee who is a director) who were directors immediately prior to such Change in Control) then, with respect to all matters thereafter arising concerning the rights of Indemnitee to payments of Expenses under this Agreement, any other agreement or under the Company’s Memorandum and Articles of Association, as amended (the “</w:t>
      </w:r>
      <w:r>
        <w:rPr>
          <w:rFonts w:ascii="Arial" w:cs="Arial" w:eastAsia="Arial" w:hAnsi="Arial"/>
          <w:sz w:val="18"/>
          <w:szCs w:val="18"/>
          <w:u w:val="single" w:color="auto"/>
          <w:color w:val="auto"/>
        </w:rPr>
        <w:t>M&amp;A</w:t>
      </w:r>
      <w:r>
        <w:rPr>
          <w:rFonts w:ascii="Arial" w:cs="Arial" w:eastAsia="Arial" w:hAnsi="Arial"/>
          <w:sz w:val="18"/>
          <w:szCs w:val="18"/>
          <w:color w:val="auto"/>
        </w:rPr>
        <w:t>”), the Independent Legal Counsel shall be selected by the Indemnitee and approved by the Company (which approval shall not be unreasonably withheld). The Company agrees to abide by the determination of the Independent Legal Counsel and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19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Defense to Indemnification; No Presumptions; Burden of Proof</w:t>
      </w:r>
      <w:r>
        <w:rPr>
          <w:rFonts w:ascii="Arial" w:cs="Arial" w:eastAsia="Arial" w:hAnsi="Arial"/>
          <w:sz w:val="16"/>
          <w:szCs w:val="16"/>
          <w:color w:val="auto"/>
        </w:rPr>
        <w:t>. It shall be a defense to any action brought by Indemnitee against the Company to enforce this Agreement that it is not permissible under this Agreement or applicable law for the Company to indemnify the Indemnitee for the amount claimed. For purposes of this Agreement, the termination of any Claim by 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 In addition, neither the failure of the Reviewing Party to have made a determination as to whether the Indemnitee has met any particular standard of conduct or had any particular belief, nor an actual determination by the Reviewing Party that Indemnitee had not met such standard of conduct or did not have such belief, prior to the commencement of legal proceedings by the Indemnitee to secure a judicial determination that the Indemnitee should be indemnified under applicable law, shall be a defense to the Indemnitee’s claim or create a presumption that the Indemnitee had not met any particular standard of conduct or did not have any particular belief. In connection with any determination by the Reviewing Party or otherwise as to whether the Indemnitee is entitled to be indemnified hereunder, the burden of proof shall be on the Company to establish that the Indemnitee is not so entitled.</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Notice to Insurers</w:t>
      </w:r>
      <w:r>
        <w:rPr>
          <w:rFonts w:ascii="Arial" w:cs="Arial" w:eastAsia="Arial" w:hAnsi="Arial"/>
          <w:sz w:val="18"/>
          <w:szCs w:val="18"/>
          <w:color w:val="auto"/>
        </w:rPr>
        <w:t>. If, at the time of the receipt by the Company of a notice of a Claim pursuant to Section 3.01 hereof, the Company has liability insurance in effect which may cover such Claim, the Company shall give prompt written notice of the commencement of such Claim to the insurers in accordance with the procedures set forth in each of the policies. The Company shall thereafter take all necessary or desirable action to cause such insurers to pay, on behalf of the Indemnitee, all amounts payable as a result of such action, suit, proceeding, inquiry or investigation in accordance with the terms of such policies.</w:t>
      </w:r>
    </w:p>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Company Participation</w:t>
      </w:r>
      <w:r>
        <w:rPr>
          <w:rFonts w:ascii="Arial" w:cs="Arial" w:eastAsia="Arial" w:hAnsi="Arial"/>
          <w:sz w:val="18"/>
          <w:szCs w:val="18"/>
          <w:color w:val="auto"/>
        </w:rPr>
        <w:t>. Subject to Section 1.03 hereof,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Assumption of Defense; Selection of Counsel</w:t>
      </w:r>
      <w:r>
        <w:rPr>
          <w:rFonts w:ascii="Arial" w:cs="Arial" w:eastAsia="Arial" w:hAnsi="Arial"/>
          <w:sz w:val="17"/>
          <w:szCs w:val="17"/>
          <w:color w:val="auto"/>
        </w:rPr>
        <w:t>. In the event the Company shall be obligated hereunder to pay the Expenses of any Claim, the Company shall be entitled to assume the defense of such Claim, with legal counsel reasonably approved by the Indemnitee, upon the delivery to the Indemnitee of written notice of its election to do so. After delivery of such notice, approval of such legal counsel by the Indemnitee and the retention of such legal counsel by the Company, the Company will not be liable to the Indemnitee under this Agreement for any fees of counsel subsequently incurred by the Indemnitee with respect to the same Claim; provided that, (a) the Indemnitee shall have the right to employ the Indemnitee’s legal counsel in any such Claim at the Indemnitee’s expense; (b) the Indemnitee shall have the right to employ its own legal counsel in connection with any such proceeding, at the expense of the Company, if such legal counsel serves in a review, observer, advice and counseling capacity and does not otherwise materially control or participate in the defense of such proceeding; and (c) if (i) the employment of legal counsel by the Indemnitee has been previously authorized by the Company, (ii) the Indemnitee shall have reasonably concluded that there is a conflict of interest between the Company and the Indemnitee in the conduct of any such defense, or (iii) the Company shall not in fact continue to retain such legal counsel to defend such Claim, then the fees and expenses of the Indemnitee’s legal counsel shall be at the expense of the Company.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INDEMNIFICATION RIGHTS AND NON-EXCLUSIVITY</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Scope</w:t>
      </w:r>
      <w:r>
        <w:rPr>
          <w:rFonts w:ascii="Arial" w:cs="Arial" w:eastAsia="Arial" w:hAnsi="Arial"/>
          <w:sz w:val="16"/>
          <w:szCs w:val="16"/>
          <w:color w:val="auto"/>
        </w:rPr>
        <w:t>. The Company hereby agrees to indemnify the Indemnitee to the fullest extent permitted by law (except as provided in Article II hereof) with respect to Claims for Indemnification Events, even if such indemnification is not specifically authorized by the other provisions of this Agreement or any other agreement, the M&amp;A, or by statute. In the event of any change after the date of this Agreement in any applicable law, statute or rule which expands the right of a Cayman Islands company to indemnify a member of its Board or an officer, it is the intent of the parties hereto that the Indemnitee shall enjoy by this Agreement the greater benefits afforded by such change. In the event of any change in any applicable law, statute or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rule which narrows the right of a Cayman Islands company to indemnify a member of its Board or an officer, such change, to the extent not otherwise required by such law, statute or rule to be applied to this Agreement, shall have no effect on this Agreement or the parties’ rights and obligations hereunder except as set forth in Article II hereof.</w:t>
      </w:r>
    </w:p>
    <w:p>
      <w:pPr>
        <w:spacing w:after="0" w:line="19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Non-Exclusivity</w:t>
      </w:r>
      <w:r>
        <w:rPr>
          <w:rFonts w:ascii="Arial" w:cs="Arial" w:eastAsia="Arial" w:hAnsi="Arial"/>
          <w:sz w:val="18"/>
          <w:szCs w:val="18"/>
          <w:color w:val="auto"/>
        </w:rPr>
        <w:t>. Notwithstanding anything in this Agreement, the indemnification provided by this Agreement shall be in addition to any rights to which the Indemnitee may be entitled under the M&amp;A, any agreement, any vote of shareholders or disinterested directors, the laws of the Cayman Islands, or otherwise.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CONSTRUCTION OF CERTAIN PHRASES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Construction of Certain Phrases</w:t>
      </w:r>
      <w:r>
        <w:rPr>
          <w:rFonts w:ascii="Arial" w:cs="Arial" w:eastAsia="Arial" w:hAnsi="Arial"/>
          <w:sz w:val="18"/>
          <w:szCs w:val="18"/>
          <w:color w:val="auto"/>
        </w:rPr>
        <w:t>. For purposes of this Agreement:</w:t>
      </w:r>
    </w:p>
    <w:p>
      <w:pPr>
        <w:spacing w:after="0" w:line="225" w:lineRule="exact"/>
        <w:rPr>
          <w:sz w:val="20"/>
          <w:szCs w:val="20"/>
          <w:color w:val="auto"/>
        </w:rPr>
      </w:pPr>
    </w:p>
    <w:p>
      <w:pPr>
        <w:ind w:right="20" w:firstLine="656"/>
        <w:spacing w:after="0" w:line="286" w:lineRule="auto"/>
        <w:tabs>
          <w:tab w:leader="none" w:pos="893" w:val="left"/>
        </w:tabs>
        <w:numPr>
          <w:ilvl w:val="0"/>
          <w:numId w:val="3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13(d)(3) and 14(d)(2) of the Exchange Act), other than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(as defined in Rule 13d-3 under the Exchange Act), directly or indirectly, of securities of the Company representing more than fifty percent</w:t>
      </w:r>
    </w:p>
    <w:p>
      <w:pPr>
        <w:spacing w:after="0" w:line="1"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(50%) of the total voting power represented by the Company’s then outstanding Voting Securities (as defined in Section 5.01(f) below), (ii) during any period of two (2) consecutive years, individuals who at the beginning of such period constitute the Board and any new director whose election by the Board or nomination for election by the Company’s shareholders was approved by a vote of at least a majority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(in one transaction or a series of transactions) all or substantially all of the Company’s assets; provided that, in no event shall a Change in Control be deemed to include (A) a merger, consolidation or reorganization of the Company for the purpose of changing the Company’s state of incorporation or to create a holding company that will be owned in substantially the same proportions by the persons who held the Company’s securities immediately before such transaction, or (B) the Company’s firm commitment underwritten public offering of any of its securities to the general public pursuant to (x) a registration statement filed under the Securities Act, or (y) the securities laws applicable to an offering of securities in another jurisdiction pursuant to which such securities will be listed on an internationally recognized securities exchange.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51" w:name="page352"/>
    <w:bookmarkEnd w:id="351"/>
    <w:p>
      <w:pPr>
        <w:ind w:right="100" w:firstLine="656"/>
        <w:spacing w:after="0" w:line="293" w:lineRule="auto"/>
        <w:tabs>
          <w:tab w:leader="none" w:pos="903" w:val="left"/>
        </w:tabs>
        <w:numPr>
          <w:ilvl w:val="0"/>
          <w:numId w:val="3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if the Indemnitee is or was or may be deemed a director or officer of such constituent corporation, or is or was or may be deemed to be serving at the request of such constituent corporation as a director or officer of another corporation, partnership, joint venture, employee benefit plan, trust or other enterprise, the Indemnitee shall stand in the same position under the provisions of this Agreement with respect to the resulting or surviving corporation as the Indemnitee would have with respect to such constituent corporation if its separate existence had continued.</w:t>
      </w:r>
    </w:p>
    <w:p>
      <w:pPr>
        <w:spacing w:after="0" w:line="164" w:lineRule="exact"/>
        <w:rPr>
          <w:rFonts w:ascii="Arial" w:cs="Arial" w:eastAsia="Arial" w:hAnsi="Arial"/>
          <w:sz w:val="16"/>
          <w:szCs w:val="16"/>
          <w:color w:val="auto"/>
        </w:rPr>
      </w:pPr>
    </w:p>
    <w:p>
      <w:pPr>
        <w:ind w:right="240" w:firstLine="656"/>
        <w:spacing w:after="0" w:line="263" w:lineRule="auto"/>
        <w:tabs>
          <w:tab w:leader="none" w:pos="89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Legal Counsel</w:t>
      </w:r>
      <w:r>
        <w:rPr>
          <w:rFonts w:ascii="Arial" w:cs="Arial" w:eastAsia="Arial" w:hAnsi="Arial"/>
          <w:sz w:val="18"/>
          <w:szCs w:val="18"/>
          <w:color w:val="auto"/>
        </w:rPr>
        <w:t>” shall mean an attorney or firm of attorneys, selected in accordance with the provisions of Section 3.04 hereof, who shall not have otherwise performed services for the Company or the Indemnitee within the last two (2) years (other than with respect to matters concerning the right of the Indemnitee under this Agreement).</w:t>
      </w:r>
    </w:p>
    <w:p>
      <w:pPr>
        <w:spacing w:after="0" w:line="183" w:lineRule="exact"/>
        <w:rPr>
          <w:rFonts w:ascii="Arial" w:cs="Arial" w:eastAsia="Arial" w:hAnsi="Arial"/>
          <w:sz w:val="18"/>
          <w:szCs w:val="18"/>
          <w:color w:val="auto"/>
        </w:rPr>
      </w:pPr>
    </w:p>
    <w:p>
      <w:pPr>
        <w:ind w:firstLine="656"/>
        <w:spacing w:after="0" w:line="255" w:lineRule="auto"/>
        <w:tabs>
          <w:tab w:leader="none" w:pos="90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enterprise</w:t>
      </w:r>
      <w:r>
        <w:rPr>
          <w:rFonts w:ascii="Arial" w:cs="Arial" w:eastAsia="Arial" w:hAnsi="Arial"/>
          <w:sz w:val="18"/>
          <w:szCs w:val="18"/>
          <w:color w:val="auto"/>
        </w:rPr>
        <w:t>” shall include any employee benefit plan; 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taxes assessed on the Indemnitee with respect to an employee benefit plan; and references to “</w:t>
      </w:r>
      <w:r>
        <w:rPr>
          <w:rFonts w:ascii="Arial" w:cs="Arial" w:eastAsia="Arial" w:hAnsi="Arial"/>
          <w:sz w:val="18"/>
          <w:szCs w:val="18"/>
          <w:u w:val="single" w:color="auto"/>
          <w:color w:val="auto"/>
        </w:rPr>
        <w:t>serving at the request of the Company</w:t>
      </w:r>
      <w:r>
        <w:rPr>
          <w:rFonts w:ascii="Arial" w:cs="Arial" w:eastAsia="Arial" w:hAnsi="Arial"/>
          <w:sz w:val="18"/>
          <w:szCs w:val="18"/>
          <w:color w:val="auto"/>
        </w:rPr>
        <w:t>” shall include any service as a director or officer of the Company which imposes duties on, or involves services by, such director or officer with respect to an employee benefit plan, its participants or its beneficiaries; and if the Indemnitee acted in good faith and in a manner Indemnitee reasonably believed to be in the interest of the participants and beneficiaries of an employee benefit plan, the Indemnitee shall be deemed to have acted in a manner “</w:t>
      </w:r>
      <w:r>
        <w:rPr>
          <w:rFonts w:ascii="Arial" w:cs="Arial" w:eastAsia="Arial" w:hAnsi="Arial"/>
          <w:sz w:val="18"/>
          <w:szCs w:val="18"/>
          <w:u w:val="single" w:color="auto"/>
          <w:color w:val="auto"/>
        </w:rPr>
        <w:t>not opposed to the best interests of the Company</w:t>
      </w:r>
      <w:r>
        <w:rPr>
          <w:rFonts w:ascii="Arial" w:cs="Arial" w:eastAsia="Arial" w:hAnsi="Arial"/>
          <w:sz w:val="18"/>
          <w:szCs w:val="18"/>
          <w:color w:val="auto"/>
        </w:rPr>
        <w:t>” as referred to in this Agreement.</w:t>
      </w:r>
    </w:p>
    <w:p>
      <w:pPr>
        <w:spacing w:after="0" w:line="192" w:lineRule="exact"/>
        <w:rPr>
          <w:rFonts w:ascii="Arial" w:cs="Arial" w:eastAsia="Arial" w:hAnsi="Arial"/>
          <w:sz w:val="18"/>
          <w:szCs w:val="18"/>
          <w:color w:val="auto"/>
        </w:rPr>
      </w:pPr>
    </w:p>
    <w:p>
      <w:pPr>
        <w:ind w:right="40" w:firstLine="656"/>
        <w:spacing w:after="0" w:line="263" w:lineRule="auto"/>
        <w:tabs>
          <w:tab w:leader="none" w:pos="89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Reviewing Party</w:t>
      </w:r>
      <w:r>
        <w:rPr>
          <w:rFonts w:ascii="Arial" w:cs="Arial" w:eastAsia="Arial" w:hAnsi="Arial"/>
          <w:sz w:val="18"/>
          <w:szCs w:val="18"/>
          <w:color w:val="auto"/>
        </w:rPr>
        <w:t>” shall mean any appropriate person or body consisting of a member or members of the Board (other than the Indemnitee who is a director) or any other person or body appointed by the Board who is not a named party to the particular Claim for which the Indemnitee is seeking indemnification, or Independent Legal Counsel.</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any securities of the Company that vote generally in the election of directors.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Mutual Acknowledgement</w:t>
      </w:r>
      <w:r>
        <w:rPr>
          <w:rFonts w:ascii="Arial" w:cs="Arial" w:eastAsia="Arial" w:hAnsi="Arial"/>
          <w:sz w:val="17"/>
          <w:szCs w:val="17"/>
          <w:color w:val="auto"/>
        </w:rPr>
        <w:t>. The Company and the Indemnitee acknowledge that in certain instances, applicable law or public policy may prohibit the Company from indemnifying its directors, officers, employees, controlling persons, agents or fiduciaries under this Agreement or otherwise. Such instances include, but are not limited to, the U.S. Securities and Exchange Commission’s prohibition on indemnification for liabilities arising under certain U.S. federal securities laws. Indemnitee understands and acknowledges that the Company has undertaken or may be required in the future to undertake with the U.S. Securities and Exchange Commission to submit the question of indemnification to a court in certain circumstances for a determination of the Company’s right under public policy to indemnify the Indemnitee.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2" w:name="page353"/>
    <w:bookmarkEnd w:id="352"/>
    <w:p>
      <w:pPr>
        <w:jc w:val="both"/>
        <w:ind w:right="260" w:firstLine="648"/>
        <w:spacing w:after="0" w:line="286"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liability insurance applicable to directors and officers, the Company shall use commercially reasonable efforts to provide that the Indemnitee shall be covered by such policies in such a manner as to provide the Indemnitee the same rights and benefits as are accorded to the most favorably insured of the Company’s directors and officers.</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is an officer and/or a director of the Company (or is or was serving at the request of the Company as a director, officer, employee or agent of another corporation, partnership, joint venture, trust or other enterprise) and shall continue thereafter so long as Indemnitee shall be subject to any Claim by reason of his or her former or current capacity at the Company or any other enterprise (including service with respect to employee benefit plans) at the Company’s request, whether or not he or she is acting or serving in any such capacity at the time any Expense is incurred for which indemnification can be provided under this Agreement. This Agreement shall continue in effect regardless of whether the Indemnitee continues to serve as an officer and/or a director of the Company or any other enterprise at the Company’s request.</w:t>
      </w:r>
    </w:p>
    <w:p>
      <w:pPr>
        <w:spacing w:after="0" w:line="17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Period of Limitations</w:t>
      </w:r>
      <w:r>
        <w:rPr>
          <w:rFonts w:ascii="Arial" w:cs="Arial" w:eastAsia="Arial" w:hAnsi="Arial"/>
          <w:sz w:val="18"/>
          <w:szCs w:val="18"/>
          <w:color w:val="auto"/>
        </w:rPr>
        <w:t>. No legal action shall be brought and no cause of action shall be asserted by or in the right of the Company against the Indemnitee, the Indemnitee’s estate,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 (2) year period; provided, however, that if any shorter period of limitations is otherwise applicable to any such cause of action, such shorter period shall govern.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constitute an original.</w:t>
      </w:r>
    </w:p>
    <w:p>
      <w:pPr>
        <w:spacing w:after="0" w:line="23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in a written agreement in form and substance satisfactory to Indemnitee.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the Indemnitee’s spouses, heirs, and personal and legal representatives.</w:t>
      </w:r>
    </w:p>
    <w:p>
      <w:pPr>
        <w:spacing w:after="0" w:line="19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Attorneys’ Fees</w:t>
      </w:r>
      <w:r>
        <w:rPr>
          <w:rFonts w:ascii="Arial" w:cs="Arial" w:eastAsia="Arial" w:hAnsi="Arial"/>
          <w:sz w:val="18"/>
          <w:szCs w:val="18"/>
          <w:color w:val="auto"/>
        </w:rPr>
        <w:t>. Subject to Article II hereof and except as prohibited by applicable law, in the event that any action is instituted by the Indemnitee under this Agreement or under any liability insurance policies maintained by the Company to enforce or interpret any of the terms hereof or thereof, the Indemnitee shall be entitled to be paid all Expenses actually and reasonably incurred by the Indemnitee with respect to such action if the Indemnitee is ultimately successful in such action. In the event of an action instituted by or in the name of the Company under this Agreement to enforce or interpret any of the terms of this Agreement, the Indemnitee shall be entitled to be paid Expenses actually and reasonably incurred by the Indemnitee in defense of such action (including costs and expenses incurred with respect to the Indemnitee counterclaims and cross-claims made in such action), and shall be entitled to the advancement of Expenses with respect to such action, in each case only to the extent that the Indemnitee is ultimately successful in such action.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3" w:name="page354"/>
    <w:bookmarkEnd w:id="353"/>
    <w:p>
      <w:pPr>
        <w:ind w:right="60" w:firstLine="648"/>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Notice</w:t>
      </w:r>
      <w:r>
        <w:rPr>
          <w:rFonts w:ascii="Arial" w:cs="Arial" w:eastAsia="Arial" w:hAnsi="Arial"/>
          <w:sz w:val="18"/>
          <w:szCs w:val="18"/>
          <w:color w:val="auto"/>
        </w:rPr>
        <w:t>. All notices, demands, and other communications required or permitted under this Agreement shall be made in writing and shall be deemed to have been duly given if delivered by hand, against receipt, on the date of delivery, or mailed, on the third business day after mailing, postage prepaid, certified or registered mail, return receipt requested, and addressed to the Company at: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Trident Digital Tech Holdings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Singapore, 038988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[Name]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Severability and Construction</w:t>
      </w:r>
      <w:r>
        <w:rPr>
          <w:rFonts w:ascii="Arial" w:cs="Arial" w:eastAsia="Arial" w:hAnsi="Arial"/>
          <w:sz w:val="16"/>
          <w:szCs w:val="16"/>
          <w:color w:val="auto"/>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spacing w:after="0" w:line="1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its provisions construed and enforced in accordance with the laws of the State of New York without regard to the conflict of laws principles thereof.</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Amendment</w:t>
      </w:r>
      <w:r>
        <w:rPr>
          <w:rFonts w:ascii="Arial" w:cs="Arial" w:eastAsia="Arial" w:hAnsi="Arial"/>
          <w:sz w:val="18"/>
          <w:szCs w:val="18"/>
          <w:color w:val="auto"/>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No Construction as Employment Agreement</w:t>
      </w:r>
      <w:r>
        <w:rPr>
          <w:rFonts w:ascii="Arial" w:cs="Arial" w:eastAsia="Arial" w:hAnsi="Arial"/>
          <w:sz w:val="18"/>
          <w:szCs w:val="18"/>
          <w:color w:val="auto"/>
        </w:rPr>
        <w:t>. Nothing contained in this Agreement shall be construed as giving the Indemnitee any right to be retained in the employment or service of the Company or any of its subsidiaries or affiliated entities.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supersedes all prior agreements and understandings, both written and oral, between the parties with respect to the subject matter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as of the date first written above.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Trident Digital Tech Holdings Ltd</w:t>
      </w:r>
    </w:p>
    <w:p>
      <w:pPr>
        <w:spacing w:after="0" w:line="25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154305</wp:posOffset>
            </wp:positionV>
            <wp:extent cx="287147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[Signature Page to Director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EXECUTIVE EMPLOYMENT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Executive Employment Agreement, dated as of _______, 2023 (this “</w:t>
      </w:r>
      <w:r>
        <w:rPr>
          <w:rFonts w:ascii="Arial" w:cs="Arial" w:eastAsia="Arial" w:hAnsi="Arial"/>
          <w:sz w:val="17"/>
          <w:szCs w:val="17"/>
          <w:u w:val="single" w:color="auto"/>
          <w:color w:val="auto"/>
        </w:rPr>
        <w:t>Agreement</w:t>
      </w:r>
      <w:r>
        <w:rPr>
          <w:rFonts w:ascii="Arial" w:cs="Arial" w:eastAsia="Arial" w:hAnsi="Arial"/>
          <w:sz w:val="17"/>
          <w:szCs w:val="17"/>
          <w:color w:val="auto"/>
        </w:rPr>
        <w:t>”), is executed by and between Trident Digital Tech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Holdings Ltd, an exempted company incorporated and existing under the laws of the Cayman Islands (the “</w:t>
      </w:r>
      <w:r>
        <w:rPr>
          <w:rFonts w:ascii="Arial" w:cs="Arial" w:eastAsia="Arial" w:hAnsi="Arial"/>
          <w:sz w:val="16"/>
          <w:szCs w:val="16"/>
          <w:u w:val="single" w:color="auto"/>
          <w:color w:val="auto"/>
        </w:rPr>
        <w:t>Company</w:t>
      </w:r>
      <w:r>
        <w:rPr>
          <w:rFonts w:ascii="Arial" w:cs="Arial" w:eastAsia="Arial" w:hAnsi="Arial"/>
          <w:sz w:val="16"/>
          <w:szCs w:val="16"/>
          <w:color w:val="auto"/>
        </w:rPr>
        <w:t>”) and________, an individual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passport/ID number__________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the Executive and to assure itself of the services of the Executive during the 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below) and under the terms and conditions of this Agreement;</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be employed by the Company during the term of Employment and under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covenants and agreements herein contained, the Company and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agrees to employ the Executive and the Executive hereby accepts such employment, on the terms and conditions hereinafter set forth (the “</w:t>
      </w: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 of Employment</w:t>
      </w:r>
      <w:r>
        <w:rPr>
          <w:rFonts w:ascii="Arial" w:cs="Arial" w:eastAsia="Arial" w:hAnsi="Arial"/>
          <w:sz w:val="16"/>
          <w:szCs w:val="16"/>
          <w:color w:val="auto"/>
        </w:rPr>
        <w:t>. Subject to the terms and conditions of this Agreement, the term of the Employment shall be_____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commencing on____, 20__ and ending on_______, _____ (the “</w:t>
      </w:r>
      <w:r>
        <w:rPr>
          <w:rFonts w:ascii="Arial" w:cs="Arial" w:eastAsia="Arial" w:hAnsi="Arial"/>
          <w:sz w:val="18"/>
          <w:szCs w:val="18"/>
          <w:u w:val="single" w:color="auto"/>
          <w:color w:val="auto"/>
        </w:rPr>
        <w:t>Term</w:t>
      </w:r>
      <w:r>
        <w:rPr>
          <w:rFonts w:ascii="Arial" w:cs="Arial" w:eastAsia="Arial" w:hAnsi="Arial"/>
          <w:sz w:val="18"/>
          <w:szCs w:val="18"/>
          <w:color w:val="auto"/>
        </w:rPr>
        <w:t>”), unless terminated earlier pursuant to the terms of this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Position, Duties and Responsibilities</w:t>
      </w:r>
      <w:r>
        <w:rPr>
          <w:rFonts w:ascii="Arial" w:cs="Arial" w:eastAsia="Arial" w:hAnsi="Arial"/>
          <w:sz w:val="18"/>
          <w:szCs w:val="18"/>
          <w:color w:val="auto"/>
        </w:rPr>
        <w:t>.</w:t>
      </w:r>
    </w:p>
    <w:p>
      <w:pPr>
        <w:spacing w:after="0" w:line="225" w:lineRule="exact"/>
        <w:rPr>
          <w:sz w:val="20"/>
          <w:szCs w:val="20"/>
          <w:color w:val="auto"/>
        </w:rPr>
      </w:pPr>
    </w:p>
    <w:p>
      <w:pPr>
        <w:ind w:right="140" w:firstLine="656"/>
        <w:spacing w:after="0" w:line="296" w:lineRule="auto"/>
        <w:tabs>
          <w:tab w:leader="none" w:pos="893" w:val="left"/>
        </w:tabs>
        <w:numPr>
          <w:ilvl w:val="0"/>
          <w:numId w:val="360"/>
        </w:numPr>
        <w:rPr>
          <w:rFonts w:ascii="Arial" w:cs="Arial" w:eastAsia="Arial" w:hAnsi="Arial"/>
          <w:sz w:val="16"/>
          <w:szCs w:val="16"/>
          <w:color w:val="auto"/>
        </w:rPr>
      </w:pPr>
      <w:r>
        <w:rPr>
          <w:rFonts w:ascii="Arial" w:cs="Arial" w:eastAsia="Arial" w:hAnsi="Arial"/>
          <w:sz w:val="16"/>
          <w:szCs w:val="16"/>
          <w:color w:val="auto"/>
        </w:rPr>
        <w:t>During the Term, the Executive shall serve as______ of the Company or in such other position or positions with a level of duties and responsibilities consistent with the foregoing with the Company and/or its subsidiaries and affiliated entities 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may specify from time to time and shall have the duties, responsibilities and obligations customarily assigned to individuals serving in the position or positions in which the Executive serves hereunder and as assigned by the Board, or with the Board’s authorization, by the Company’s Chief Executive Officer. The Executive will be based in______, _______or any other location as requested by the Company during the Term.</w:t>
      </w:r>
    </w:p>
    <w:p>
      <w:pPr>
        <w:spacing w:after="0" w:line="161" w:lineRule="exact"/>
        <w:rPr>
          <w:rFonts w:ascii="Arial" w:cs="Arial" w:eastAsia="Arial" w:hAnsi="Arial"/>
          <w:sz w:val="16"/>
          <w:szCs w:val="16"/>
          <w:color w:val="auto"/>
        </w:rPr>
      </w:pPr>
    </w:p>
    <w:p>
      <w:pPr>
        <w:ind w:right="280" w:firstLine="656"/>
        <w:spacing w:after="0" w:line="259" w:lineRule="auto"/>
        <w:tabs>
          <w:tab w:leader="none" w:pos="90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Executive agrees to serve without additional compensation, if elected or appointed thereto, as a director of the Company or any subsidiaries or affiliated entities of the Company (collectively, the “</w:t>
      </w:r>
      <w:r>
        <w:rPr>
          <w:rFonts w:ascii="Arial" w:cs="Arial" w:eastAsia="Arial" w:hAnsi="Arial"/>
          <w:sz w:val="18"/>
          <w:szCs w:val="18"/>
          <w:u w:val="single" w:color="auto"/>
          <w:color w:val="auto"/>
        </w:rPr>
        <w:t>Group</w:t>
      </w:r>
      <w:r>
        <w:rPr>
          <w:rFonts w:ascii="Arial" w:cs="Arial" w:eastAsia="Arial" w:hAnsi="Arial"/>
          <w:sz w:val="18"/>
          <w:szCs w:val="18"/>
          <w:color w:val="auto"/>
        </w:rPr>
        <w:t>”) and as a member of any committees of the board of directors of any such entity; provided that the Executive is indemnified for serving in any and all such capacities on a basis no less favorable than is currently provided to any other director of any member of the Group.</w:t>
      </w:r>
    </w:p>
    <w:p>
      <w:pPr>
        <w:spacing w:after="0" w:line="186" w:lineRule="exact"/>
        <w:rPr>
          <w:rFonts w:ascii="Arial" w:cs="Arial" w:eastAsia="Arial" w:hAnsi="Arial"/>
          <w:sz w:val="18"/>
          <w:szCs w:val="18"/>
          <w:color w:val="auto"/>
        </w:rPr>
      </w:pPr>
    </w:p>
    <w:p>
      <w:pPr>
        <w:jc w:val="both"/>
        <w:ind w:right="220" w:firstLine="656"/>
        <w:spacing w:after="0" w:line="263" w:lineRule="auto"/>
        <w:tabs>
          <w:tab w:leader="none" w:pos="89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Executive agrees to devote all of his/her working time and efforts to the performance of his/her duties for the Company and to faithfully and diligently serve the Company in accordance with this Agreement and the guidelines, policies and procedures of the Company approved from time to time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6" w:name="page357"/>
    <w:bookmarkEnd w:id="356"/>
    <w:p>
      <w:pPr>
        <w:ind w:firstLine="656"/>
        <w:spacing w:after="0" w:line="279" w:lineRule="auto"/>
        <w:tabs>
          <w:tab w:leader="none" w:pos="90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Except with the prior written approval of the Company, the Executive shall not render commercial or professional services of any nature to any person or organization, whether or not for compensation; and the Executive will not directly or indirectly engage, participate, invest, finance or otherwise assist in any business activity that is potentially competitive in any manner with the business of the Company or any affiliated entities or any business activity that may cause the Executive to be in conflict of interest with the Company or any affiliated entities, whether or not for profit.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AND BENEFITS</w:t>
      </w:r>
    </w:p>
    <w:p>
      <w:pPr>
        <w:spacing w:after="0" w:line="211"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Base Salary</w:t>
      </w:r>
      <w:r>
        <w:rPr>
          <w:rFonts w:ascii="Arial" w:cs="Arial" w:eastAsia="Arial" w:hAnsi="Arial"/>
          <w:sz w:val="17"/>
          <w:szCs w:val="17"/>
          <w:color w:val="auto"/>
        </w:rPr>
        <w:t xml:space="preserve">. The Company shall pay base salaries to the Executive in the amount and by the means as set forth in Part I of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subject to annual review and adjustment by the Board or any committee designated by the Board.</w:t>
      </w:r>
    </w:p>
    <w:p>
      <w:pPr>
        <w:spacing w:after="0" w:line="14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Bonus</w:t>
      </w:r>
      <w:r>
        <w:rPr>
          <w:rFonts w:ascii="Arial" w:cs="Arial" w:eastAsia="Arial" w:hAnsi="Arial"/>
          <w:sz w:val="18"/>
          <w:szCs w:val="18"/>
          <w:color w:val="auto"/>
        </w:rPr>
        <w:t xml:space="preserve">. The Executive may be entitled to the performance-based bonus as set forth in Part II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subject to annual review and adjustment by the Board or any committee designated by the Board.</w:t>
      </w:r>
    </w:p>
    <w:p>
      <w:pPr>
        <w:spacing w:after="0" w:line="170"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Equity Incentives</w:t>
      </w:r>
      <w:r>
        <w:rPr>
          <w:rFonts w:ascii="Arial" w:cs="Arial" w:eastAsia="Arial" w:hAnsi="Arial"/>
          <w:sz w:val="18"/>
          <w:szCs w:val="18"/>
          <w:color w:val="auto"/>
        </w:rPr>
        <w:t>. During the Term, the Executive shall be eligible to participate, at a level comparable to similarly situated executives of the Company, in such long-term compensation arrangements as may be authorized from time to time by the Board, including any share incentive plan the Company may adopt from time to time in its sole discretion.</w:t>
      </w:r>
    </w:p>
    <w:p>
      <w:pPr>
        <w:spacing w:after="0" w:line="184"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the Executive shall be entitled to participate in all of the employee benefit plans and arrangements made available by the Company to its similarly situated executives, including, but not limited to, any retirement plan, medical insurance plan and travel/holiday policy, subject to and on a basis consistent with the terms, conditions and overall administration of such plans and arrangements.</w:t>
      </w:r>
    </w:p>
    <w:p>
      <w:pPr>
        <w:spacing w:after="0" w:line="14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Confidentiality and Non-Disclosure</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53" w:lineRule="auto"/>
        <w:tabs>
          <w:tab w:leader="none" w:pos="89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holds a position of trust and confidence with the Company and that his/her employment by the Company will require that the Executive have access to and knowledge of proprietary, confidential or secret information in connection with the Company, the business of the Group, customers or business partners of the Company or their respective businesses (the “</w:t>
      </w:r>
      <w:r>
        <w:rPr>
          <w:rFonts w:ascii="Arial" w:cs="Arial" w:eastAsia="Arial" w:hAnsi="Arial"/>
          <w:sz w:val="18"/>
          <w:szCs w:val="18"/>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Such Confidential Information shall include, without limitation, trade secrets, manuals, hardware, customers’ personal information, terms of business agreements and contracts, research materials, business strategies, personnel information, market information, technical materials, forecasts, promotion, financial and other business information of the Group, no matter such information is directly or indirectly disclosed to the Executive in writing, orally, in the form of image or object or otherwise. The Executive acknowledges and agrees that he/she direct and indirect disclosure of any such Confidential Information would place the Company at a competitive disadvantage and would do damage, monetary or otherwise, to the Company’s business.</w:t>
      </w:r>
    </w:p>
    <w:p>
      <w:pPr>
        <w:spacing w:after="0" w:line="196" w:lineRule="exact"/>
        <w:rPr>
          <w:rFonts w:ascii="Arial" w:cs="Arial" w:eastAsia="Arial" w:hAnsi="Arial"/>
          <w:sz w:val="18"/>
          <w:szCs w:val="18"/>
          <w:color w:val="auto"/>
        </w:rPr>
      </w:pPr>
    </w:p>
    <w:p>
      <w:pPr>
        <w:ind w:right="340" w:firstLine="656"/>
        <w:spacing w:after="0" w:line="257" w:lineRule="auto"/>
        <w:tabs>
          <w:tab w:leader="none" w:pos="90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During the Term and at all times thereafter, the Executive shall not, directly or indirectly, whether individually, as a director, shareholder, owner, partner, employee, consultant, principal or agent of any business, or in any other capacity, publish or make known, disclose, furnish, reproduce, make available, or utilize any of the Confidential Information without the prior express written approval of the Company, other than in the proper performance of the duties contemplated herein, unless and until such Confidential Information is or shall become general public knowledge through no fault of the Executive.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7" w:name="page358"/>
    <w:bookmarkEnd w:id="357"/>
    <w:p>
      <w:pPr>
        <w:ind w:right="160" w:firstLine="656"/>
        <w:spacing w:after="0" w:line="263" w:lineRule="auto"/>
        <w:tabs>
          <w:tab w:leader="none" w:pos="89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event that the Executive is required by law to disclose any Confidential Information, the Executive agrees to give the Company prompt advance written notice thereof and to provide the Company with reasonable assistance in obtaining an order to protect the Confidential Information from public disclosure.</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failure to mark any Confidential Information as confidential shall not affect its status as Confidential Information under this Agreement.</w:t>
      </w:r>
    </w:p>
    <w:p>
      <w:pPr>
        <w:spacing w:after="0" w:line="24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Third Party Information in the Executive’s Possession</w:t>
      </w:r>
      <w:r>
        <w:rPr>
          <w:rFonts w:ascii="Arial" w:cs="Arial" w:eastAsia="Arial" w:hAnsi="Arial"/>
          <w:sz w:val="16"/>
          <w:szCs w:val="16"/>
          <w:color w:val="auto"/>
        </w:rPr>
        <w:t>. The Executive agrees that he/she shall not, during the Term, (a) improperly use or disclose any proprietary information or trade secrets of any former employer or other person or entity with which the Executive has an agreement or duty to keep in confidence information acquired by Executive, if any, or (b) bring into the premises of Company any document or confidential or proprietary information belonging to such former employer, person or entity unless consented to in writing by such former employer, person or entity.</w:t>
      </w:r>
    </w:p>
    <w:p>
      <w:pPr>
        <w:spacing w:after="0" w:line="15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Third Party Information in the Company’s Possession</w:t>
      </w:r>
      <w:r>
        <w:rPr>
          <w:rFonts w:ascii="Arial" w:cs="Arial" w:eastAsia="Arial" w:hAnsi="Arial"/>
          <w:sz w:val="18"/>
          <w:szCs w:val="18"/>
          <w:color w:val="auto"/>
        </w:rPr>
        <w:t>. The Executive recognizes that the Company may have received, and in the future may receive, from third parties their confidential or proprietary information subject to a duty on the Company’s part to maintain the confidentiality of such information and to use it only for certain limited purposes. The Executive agrees that the Executive owes the Company and such third parties, during the Term and thereafter, a duty to hold all such confidential or proprietary information in strict confidence and not to disclose such information to any person or firm, or otherwise use such information, in a manner inconsistent with the limited purposes permitted by the Company’s agreement with such third party.</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Non-Competition</w:t>
      </w:r>
      <w:r>
        <w:rPr>
          <w:rFonts w:ascii="Arial" w:cs="Arial" w:eastAsia="Arial" w:hAnsi="Arial"/>
          <w:sz w:val="17"/>
          <w:szCs w:val="17"/>
          <w:color w:val="auto"/>
        </w:rPr>
        <w:t>. In consideration of the compensation provided to the Executive by the Company hereunder, the adequacy of which is hereby acknowledged by the parties hereto, the Executive agrees that during the Term and for a period of one year following the termination of the Employment for whatever reason (the “</w:t>
      </w:r>
      <w:r>
        <w:rPr>
          <w:rFonts w:ascii="Arial" w:cs="Arial" w:eastAsia="Arial" w:hAnsi="Arial"/>
          <w:sz w:val="17"/>
          <w:szCs w:val="17"/>
          <w:u w:val="single" w:color="auto"/>
          <w:color w:val="auto"/>
        </w:rPr>
        <w:t>Restrictive Period</w:t>
      </w:r>
      <w:r>
        <w:rPr>
          <w:rFonts w:ascii="Arial" w:cs="Arial" w:eastAsia="Arial" w:hAnsi="Arial"/>
          <w:sz w:val="17"/>
          <w:szCs w:val="17"/>
          <w:color w:val="auto"/>
        </w:rPr>
        <w:t>”), the Executive shall not, directly or indirectly, engage in any manner in any business that may compete with the business of the Company anywhere in the world, and without the prior written consent of the Company, the Executive shall not, directly or indirectly, anywhere in the world, own an interest in, manage, operate, join, control, lend money or render financial or other assistance to or participate in or be connected with, as an officer, employee, partner, shareholder, principal, licensor, consultant or otherwise, any person that competes with the Company. During the Restrictive Period, the Executive shall not approach borrowers, institutional funding partners or other persons or entities introduced to the Executive in his/her capacity as a representative of the Company for the purpose of doing business with such persons or entities that will harm the Company’s business relationships with these persons or entities.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8" w:name="page359"/>
    <w:bookmarkEnd w:id="358"/>
    <w:p>
      <w:pPr>
        <w:ind w:right="60" w:firstLine="648"/>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Non-Solicitation; Non-Interference</w:t>
      </w:r>
      <w:r>
        <w:rPr>
          <w:rFonts w:ascii="Arial" w:cs="Arial" w:eastAsia="Arial" w:hAnsi="Arial"/>
          <w:sz w:val="18"/>
          <w:szCs w:val="18"/>
          <w:color w:val="auto"/>
        </w:rPr>
        <w:t>. During the Restrictive Period, the Executive agrees that he/she will not, directly or indirectly, for the Executive’s benefit or for the benefit of any other person or entity, do any of the following:</w:t>
      </w:r>
    </w:p>
    <w:p>
      <w:pPr>
        <w:spacing w:after="0" w:line="170" w:lineRule="exact"/>
        <w:rPr>
          <w:sz w:val="20"/>
          <w:szCs w:val="20"/>
          <w:color w:val="auto"/>
        </w:rPr>
      </w:pPr>
    </w:p>
    <w:p>
      <w:pPr>
        <w:ind w:right="420" w:firstLine="656"/>
        <w:spacing w:after="0" w:line="277" w:lineRule="auto"/>
        <w:tabs>
          <w:tab w:leader="none" w:pos="89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solicit or seek to solicit from any partner doing business with the Group during the Term business of the same or of a similar nature to the business of the Group;</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solicit or seek to solicit from any known potential partner of the Group business of the same or of a similar nature to that which, whether or not has been the subject of a known written or oral bid, offer or proposal by the Group, or of substantial preparation with a view to making such a bid, proposal or offer;</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solicit or seek to solicit the employment or services of, or hire or engage, any person who is employed or engaged by the Group;</w:t>
      </w:r>
    </w:p>
    <w:p>
      <w:pPr>
        <w:spacing w:after="0" w:line="225" w:lineRule="exact"/>
        <w:rPr>
          <w:rFonts w:ascii="Arial" w:cs="Arial" w:eastAsia="Arial" w:hAnsi="Arial"/>
          <w:sz w:val="18"/>
          <w:szCs w:val="18"/>
          <w:color w:val="auto"/>
        </w:rPr>
      </w:pPr>
    </w:p>
    <w:p>
      <w:pPr>
        <w:ind w:right="740" w:firstLine="656"/>
        <w:spacing w:after="0" w:line="277" w:lineRule="auto"/>
        <w:tabs>
          <w:tab w:leader="none" w:pos="90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assume employment with or provide services to any competitors of the Group, or engage, whether as principal, partner, consultant or otherwise, any of the Group’s competitors, without the Group’s prior written consent; or</w:t>
      </w:r>
    </w:p>
    <w:p>
      <w:pPr>
        <w:spacing w:after="0" w:line="170" w:lineRule="exact"/>
        <w:rPr>
          <w:rFonts w:ascii="Arial" w:cs="Arial" w:eastAsia="Arial" w:hAnsi="Arial"/>
          <w:sz w:val="18"/>
          <w:szCs w:val="18"/>
          <w:color w:val="auto"/>
        </w:rPr>
      </w:pPr>
    </w:p>
    <w:p>
      <w:pPr>
        <w:ind w:right="400" w:firstLine="656"/>
        <w:spacing w:after="0" w:line="277" w:lineRule="auto"/>
        <w:tabs>
          <w:tab w:leader="none" w:pos="89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otherwise interfere with the business or accounts of the Group, including, but not limited to, with respect to any relationship or agreement between the Group and any of its partners.</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No-Conflict</w:t>
      </w:r>
      <w:r>
        <w:rPr>
          <w:rFonts w:ascii="Arial" w:cs="Arial" w:eastAsia="Arial" w:hAnsi="Arial"/>
          <w:sz w:val="18"/>
          <w:szCs w:val="18"/>
          <w:color w:val="auto"/>
        </w:rPr>
        <w:t>. The Executive represents and warrants that the execution by the Executive of this Agreement, the employment with the Company, and the performance by the Executive of his/her duties and responsibilities pursuant to this Agreement will not breach any of his/her legal or contractual obligation to any prior employer of the Executive or any other parties, including, without limitation, any obligation in respect of proprietary or confidential information or intellectual property rights of such party.</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Enforceability</w:t>
      </w:r>
      <w:r>
        <w:rPr>
          <w:rFonts w:ascii="Arial" w:cs="Arial" w:eastAsia="Arial" w:hAnsi="Arial"/>
          <w:sz w:val="18"/>
          <w:szCs w:val="18"/>
          <w:color w:val="auto"/>
        </w:rPr>
        <w:t>. Each covenant contained in this Article III constitutes an independent covenant, and if any covenant in unenforceable, other covenants shall continue to be valid and binding. In the event the term of any restriction or the territorial restriction contained in this Article III is finally determined by a competent court to have exceeded the maximum extent deemed reasonable and enforceable by such court, then this Agreement shall be amended as such to adopt the longest term or largest territory deemed by such court to be enforceable. Any lawsuit or claim brought by the Executive against the Company (whether by virtue of this Agreement or any other agreement) shall not constitute a defense against the enforcement of this Article III by the Company.</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Injunctive Relief</w:t>
      </w:r>
      <w:r>
        <w:rPr>
          <w:rFonts w:ascii="Arial" w:cs="Arial" w:eastAsia="Arial" w:hAnsi="Arial"/>
          <w:sz w:val="17"/>
          <w:szCs w:val="17"/>
          <w:color w:val="auto"/>
        </w:rPr>
        <w:t>. The Executive agrees that any breach or threatened breach of any covenants contained in this Article III would result in irreparable injury and damage to the Company for which an award of money to the Company would not be an adequate remedy. The Executive therefore also agrees that in the event of said breach or any reasonable threat of breach, the Company shall be entitled to seek an immediate injunction and restraining order to prevent such breach and/or threatened breach and/or continued breach by the Executive and/or any and all persons and/or entities acting for and/or with the Executive. The terms of this paragraph shall not prevent the Company from pursuing any other available remedies for any breach or threatened breach hereof, including, but not limited to, remedies available under this Agreement and the recovery of damages. The Executive and the Company further agree that the provisions of this Article III are reasonable.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9" w:name="page360"/>
    <w:bookmarkEnd w:id="359"/>
    <w:p>
      <w:pPr>
        <w:ind w:right="440" w:firstLine="648"/>
        <w:spacing w:after="0" w:line="263"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Indemnity of Company</w:t>
      </w:r>
      <w:r>
        <w:rPr>
          <w:rFonts w:ascii="Arial" w:cs="Arial" w:eastAsia="Arial" w:hAnsi="Arial"/>
          <w:sz w:val="18"/>
          <w:szCs w:val="18"/>
          <w:color w:val="auto"/>
        </w:rPr>
        <w:t>. The Executive agrees to indemnify the Company and hold it harmless from and against all claims, liabilities, damages and expenses, including reasonable attorneys’ fees and costs of litigation, arising out of or in connection with any violation of this Agreement by the Executive.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Prior Inventions</w:t>
      </w:r>
      <w:r>
        <w:rPr>
          <w:rFonts w:ascii="Arial" w:cs="Arial" w:eastAsia="Arial" w:hAnsi="Arial"/>
          <w:sz w:val="16"/>
          <w:szCs w:val="16"/>
          <w:color w:val="auto"/>
        </w:rPr>
        <w:t xml:space="preserve">. The Executive has attached hereto, as </w:t>
      </w:r>
      <w:r>
        <w:rPr>
          <w:rFonts w:ascii="Arial" w:cs="Arial" w:eastAsia="Arial" w:hAnsi="Arial"/>
          <w:sz w:val="16"/>
          <w:szCs w:val="16"/>
          <w:u w:val="single" w:color="auto"/>
          <w:color w:val="auto"/>
        </w:rPr>
        <w:t>Schedule B</w:t>
      </w:r>
      <w:r>
        <w:rPr>
          <w:rFonts w:ascii="Arial" w:cs="Arial" w:eastAsia="Arial" w:hAnsi="Arial"/>
          <w:sz w:val="16"/>
          <w:szCs w:val="16"/>
          <w:color w:val="auto"/>
        </w:rPr>
        <w:t>, a list of patents duly registered with relevant authorities, original works of authorship and trade secrets made or conceived by or belonging to the Executive (whether made solely by the Executive or jointly with others) that (a) were developed by Executive prior to the Executive’s employment by the Company, (b) relate to the Company’ actual or proposed business, products or research and development, and (c) are not assigned to the Company hereunder (collectively, the “</w:t>
      </w:r>
      <w:r>
        <w:rPr>
          <w:rFonts w:ascii="Arial" w:cs="Arial" w:eastAsia="Arial" w:hAnsi="Arial"/>
          <w:sz w:val="16"/>
          <w:szCs w:val="16"/>
          <w:u w:val="single" w:color="auto"/>
          <w:color w:val="auto"/>
        </w:rPr>
        <w:t>Prior Inventions</w:t>
      </w:r>
      <w:r>
        <w:rPr>
          <w:rFonts w:ascii="Arial" w:cs="Arial" w:eastAsia="Arial" w:hAnsi="Arial"/>
          <w:sz w:val="16"/>
          <w:szCs w:val="16"/>
          <w:color w:val="auto"/>
        </w:rPr>
        <w:t xml:space="preserve">”); or, if no such list is attached, the Executive represents that there are no such Prior Inventions. Except to the extent set forth in </w:t>
      </w:r>
      <w:r>
        <w:rPr>
          <w:rFonts w:ascii="Arial" w:cs="Arial" w:eastAsia="Arial" w:hAnsi="Arial"/>
          <w:sz w:val="16"/>
          <w:szCs w:val="16"/>
          <w:u w:val="single" w:color="auto"/>
          <w:color w:val="auto"/>
        </w:rPr>
        <w:t>Schedule B</w:t>
      </w:r>
      <w:r>
        <w:rPr>
          <w:rFonts w:ascii="Arial" w:cs="Arial" w:eastAsia="Arial" w:hAnsi="Arial"/>
          <w:sz w:val="16"/>
          <w:szCs w:val="16"/>
          <w:color w:val="auto"/>
        </w:rPr>
        <w:t>, the Executive hereby acknowledges that, if in the course of his/her service for the Company, the Executive incorporates into a Company product, process or machine a Prior Invention owned by the Executive or in which he/she has an interest, the Company is hereby granted and shall have a nonexclusive, royalty-free, irrevocable, perpetual, worldwide right and license (which may be freely transferred by the Company to any other person or entity) to make, have made, modify, use, sell, sublicense and otherwise distribute such Prior Invention as part of or in connection with such product, process or machine.</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Assignment of Intellectual Property</w:t>
      </w:r>
      <w:r>
        <w:rPr>
          <w:rFonts w:ascii="Arial" w:cs="Arial" w:eastAsia="Arial" w:hAnsi="Arial"/>
          <w:sz w:val="17"/>
          <w:szCs w:val="17"/>
          <w:color w:val="auto"/>
        </w:rPr>
        <w:t>. The Executive hereby assigns to the Company or its designees, without further consideration and free and clear of any lien or encumbrance, the Executive’s entire right, title and interest to any and all inventions, discoveries, improvements, developments, works of authorship, concepts, ideas, plans, specifications, software, formulas, databases, designees, processes and contributions to Confidential Information created, conceived, developed or reduced to practice by the Executive (alone or with others) during the Term which (a) are related to the Company’s current or anticipated business, activities, products, or services, (b) result from any work performed by Executive for the Company, or (c) are created, conceived, developed or reduced to practice with the use of Company property, including any and all Intellectual Property Rights (as defined below) therein (the “</w:t>
      </w:r>
      <w:r>
        <w:rPr>
          <w:rFonts w:ascii="Arial" w:cs="Arial" w:eastAsia="Arial" w:hAnsi="Arial"/>
          <w:sz w:val="17"/>
          <w:szCs w:val="17"/>
          <w:u w:val="single" w:color="auto"/>
          <w:color w:val="auto"/>
        </w:rPr>
        <w:t>Work Product</w:t>
      </w:r>
      <w:r>
        <w:rPr>
          <w:rFonts w:ascii="Arial" w:cs="Arial" w:eastAsia="Arial" w:hAnsi="Arial"/>
          <w:sz w:val="17"/>
          <w:szCs w:val="17"/>
          <w:color w:val="auto"/>
        </w:rPr>
        <w:t>”). Any Work Product which falls within the definition of “work made for hire”, as such term is defined in the U.S. Copyright Act, shall be considered a “work made for hire”, the copyright in which vests initially and exclusively in the Company. The Executive waives any rights to be attributed as the author of any Work Product and any “droit morale” (moral rights) in Work Product. The Executive agrees to immediately disclose to the Company all Work Product. For purposes of this Agreement,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any patent, copyright, trademark or service mark, trade secret, or any other proprietary rights protection legally available.</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Patent and Copyright Registration</w:t>
      </w:r>
      <w:r>
        <w:rPr>
          <w:rFonts w:ascii="Arial" w:cs="Arial" w:eastAsia="Arial" w:hAnsi="Arial"/>
          <w:sz w:val="16"/>
          <w:szCs w:val="16"/>
          <w:color w:val="auto"/>
        </w:rPr>
        <w:t>. The Executive agrees to execute and deliver any instruments or documents and to do all other things reasonably requested by the Company in order to more fully vest the Company with all ownership rights in the Work Product. If any Work Product is deemed by the Company to be patentable or otherwise registrable, the Executive shall assist the Company (at the Company’s expense) in obtaining letters of patent or other applicable registration therein and shall execute all documents and do all things, including testifying (at the Company’s expense) as necessary or appropriate to apply for, prosecute, obtain, or enforce any Intellectual Property Rights relating to any Work Product. Should the Company be unable to secure the Executive’s signature on any document deemed necessary to accomplish the foregoing, whether due to the Executive’s disability or other reason, the Executive hereby irrevocably designates and appoints the Company and each of its duly authorized officers and agents as the Executive’s agent and attorney-in-fact to act for and on the Executive’s behalf and stead to take any of the actions required of Executive under the previous sentence, with the same effect as if executed and delivered by the Executive, such appointment being coupled with an interest.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0" w:name="page361"/>
    <w:bookmarkEnd w:id="360"/>
    <w:p>
      <w:pPr>
        <w:ind w:right="120" w:firstLine="648"/>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Maintenance of Records</w:t>
      </w:r>
      <w:r>
        <w:rPr>
          <w:rFonts w:ascii="Arial" w:cs="Arial" w:eastAsia="Arial" w:hAnsi="Arial"/>
          <w:sz w:val="18"/>
          <w:szCs w:val="18"/>
          <w:color w:val="auto"/>
        </w:rPr>
        <w:t>. The Executive agrees to keep and maintain adequate and current written records of all Intellectual Property Rights made by the Executive (solely or jointly with others) during the term of his/her employment with the Company. The records will be in the form of notes, sketches, drawings, and any other format that may be specified by the Company. The records will be available to and remain the sole property of the Company at all times.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w:t>
      </w:r>
    </w:p>
    <w:p>
      <w:pPr>
        <w:spacing w:after="0" w:line="225" w:lineRule="exact"/>
        <w:rPr>
          <w:sz w:val="20"/>
          <w:szCs w:val="20"/>
          <w:color w:val="auto"/>
        </w:rPr>
      </w:pPr>
    </w:p>
    <w:p>
      <w:pPr>
        <w:ind w:right="120" w:firstLine="656"/>
        <w:spacing w:after="0" w:line="255" w:lineRule="auto"/>
        <w:tabs>
          <w:tab w:leader="none" w:pos="892"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By Reason of Death</w:t>
      </w:r>
      <w:r>
        <w:rPr>
          <w:rFonts w:ascii="Arial" w:cs="Arial" w:eastAsia="Arial" w:hAnsi="Arial"/>
          <w:sz w:val="18"/>
          <w:szCs w:val="18"/>
          <w:color w:val="auto"/>
        </w:rPr>
        <w:t>. The employment of the Executive by the Company shall be automatically ceased upon the death of the Executive. In the event that employment of the Executive by the Company terminates as a result of the Executive’s death, the Executive’s estate or heirs will receive all unpaid compensation accrued as of the date of the termination of the employment as provided in Article II hereof; provided that the Company may deduct and withhold any amount it is entitled to as damages under applicable laws. Thereafter, all obligations of the Company under this Agreement shall terminate. Nothing contained herein shall prevent the estate or heirs of the Executive from being entitled to any interest or other applicable benefits under any life insurance programs (if any).</w:t>
      </w:r>
    </w:p>
    <w:p>
      <w:pPr>
        <w:spacing w:after="0" w:line="192" w:lineRule="exact"/>
        <w:rPr>
          <w:rFonts w:ascii="Arial" w:cs="Arial" w:eastAsia="Arial" w:hAnsi="Arial"/>
          <w:sz w:val="18"/>
          <w:szCs w:val="18"/>
          <w:color w:val="auto"/>
        </w:rPr>
      </w:pPr>
    </w:p>
    <w:p>
      <w:pPr>
        <w:ind w:right="40" w:firstLine="656"/>
        <w:spacing w:after="0" w:line="254" w:lineRule="auto"/>
        <w:tabs>
          <w:tab w:leader="none" w:pos="903"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By Reason of Disability</w:t>
      </w:r>
      <w:r>
        <w:rPr>
          <w:rFonts w:ascii="Arial" w:cs="Arial" w:eastAsia="Arial" w:hAnsi="Arial"/>
          <w:sz w:val="18"/>
          <w:szCs w:val="18"/>
          <w:color w:val="auto"/>
        </w:rPr>
        <w:t>. In the event that the Executive is entitled to long-term disability benefits of the Company, or in the event that, in the judgment of the Company, the Executive is not able to perform his/her duties for 90 consecutive days or 120 days or longer in a 12-month period due to his/her physical or psychological problems, the Company may terminate the Executive’s employment; provided that such termination is permitted by the law. Upon termination, the Company shall pay all compensation of the Executive accrued up to the date of termination pursuant to Article II hereof; provided, however, that the Company may deduct and withhold any amount it is entitled to as damages under applicable laws. Thereafter, all obligations of the Company under this Agreement shall terminate. The provisions of this Section 5.01(b) shall not affect the Executive’s rights under any disability program that he/she participates (if any).</w:t>
      </w:r>
    </w:p>
    <w:p>
      <w:pPr>
        <w:spacing w:after="0" w:line="194" w:lineRule="exact"/>
        <w:rPr>
          <w:rFonts w:ascii="Arial" w:cs="Arial" w:eastAsia="Arial" w:hAnsi="Arial"/>
          <w:sz w:val="18"/>
          <w:szCs w:val="18"/>
          <w:color w:val="auto"/>
        </w:rPr>
      </w:pPr>
    </w:p>
    <w:p>
      <w:pPr>
        <w:ind w:firstLine="656"/>
        <w:spacing w:after="0" w:line="286" w:lineRule="auto"/>
        <w:tabs>
          <w:tab w:leader="none" w:pos="892"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For Cause</w:t>
      </w:r>
      <w:r>
        <w:rPr>
          <w:rFonts w:ascii="Arial" w:cs="Arial" w:eastAsia="Arial" w:hAnsi="Arial"/>
          <w:sz w:val="16"/>
          <w:szCs w:val="16"/>
          <w:color w:val="auto"/>
        </w:rPr>
        <w:t>. For purposes of this Agreement, unless otherwise provided under applicable laws, “</w:t>
      </w:r>
      <w:r>
        <w:rPr>
          <w:rFonts w:ascii="Arial" w:cs="Arial" w:eastAsia="Arial" w:hAnsi="Arial"/>
          <w:sz w:val="16"/>
          <w:szCs w:val="16"/>
          <w:u w:val="single" w:color="auto"/>
          <w:color w:val="auto"/>
        </w:rPr>
        <w:t>Cause</w:t>
      </w:r>
      <w:r>
        <w:rPr>
          <w:rFonts w:ascii="Arial" w:cs="Arial" w:eastAsia="Arial" w:hAnsi="Arial"/>
          <w:sz w:val="16"/>
          <w:szCs w:val="16"/>
          <w:color w:val="auto"/>
        </w:rPr>
        <w:t>” will exist at any time after the occurrence of one or more of the following events: (i) the Executive commits willful misconduct or gross negligence in performance of his/her duties hereunder (the “</w:t>
      </w:r>
      <w:r>
        <w:rPr>
          <w:rFonts w:ascii="Arial" w:cs="Arial" w:eastAsia="Arial" w:hAnsi="Arial"/>
          <w:sz w:val="16"/>
          <w:szCs w:val="16"/>
          <w:u w:val="single" w:color="auto"/>
          <w:color w:val="auto"/>
        </w:rPr>
        <w:t>Malfeasance</w:t>
      </w:r>
      <w:r>
        <w:rPr>
          <w:rFonts w:ascii="Arial" w:cs="Arial" w:eastAsia="Arial" w:hAnsi="Arial"/>
          <w:sz w:val="16"/>
          <w:szCs w:val="16"/>
          <w:color w:val="auto"/>
        </w:rPr>
        <w:t>”) and fails to correct such Malfeasance within a reasonable period specified by the Company after the Company has sent the Executive a written notice demanding correction within such a period; (ii) the Executive has committed Malfeasance and has caused serious losses and damages to the Company; (iii) the Executive seriously violates the internal rules of the Company and fails to correct such violation within a reasonable period specified by the Company after the Company has sent the Executive a written notice demanding correction within such a period; (iv) the Executive has seriously violated the internal rules of and has caused serious losses and damages to the Company; (v) the Executive is convicted by a court of competent jurisdiction or has pleaded guilty of theft, fraud or other criminal offense; (vi) the Executive seriously breaches his/her duty of loyalty to the Company or an affiliated entity of the Company under the laws of the Cayman Islands, the Republic of Singapore or other relevant jurisdictions; or (vii) the Executive continues failure to satisfactorily perform his/her duties. The Company may terminate the employment of the Executive for Cause at any time without prior written notice. Upon termination, the Company shall pay all compensation of the Executive accrued up to the date of termination pursuant to Article II hereof and severance payments as expressly required by applicable law; provided, however, that the Company may deduct and withhold any amount it is entitled to as damages under applicable laws. Thereafter, all obligations of the Company under this Agreement shall terminate.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61" w:name="page362"/>
    <w:bookmarkEnd w:id="361"/>
    <w:p>
      <w:pPr>
        <w:ind w:right="240" w:firstLine="656"/>
        <w:spacing w:after="0" w:line="259" w:lineRule="auto"/>
        <w:tabs>
          <w:tab w:leader="none" w:pos="903"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Without Cause</w:t>
      </w:r>
      <w:r>
        <w:rPr>
          <w:rFonts w:ascii="Arial" w:cs="Arial" w:eastAsia="Arial" w:hAnsi="Arial"/>
          <w:sz w:val="18"/>
          <w:szCs w:val="18"/>
          <w:color w:val="auto"/>
        </w:rPr>
        <w:t>. The Company may terminate the Executive’s employment by a three-month prior written notice. Upon termination, the Company shall pay all compensation of the Executive accrued up to the date of termination pursuant to Article II hereof; provided, however, that the Company may deduct and withhold any amount it is entitled to as damages under applicable laws. Thereafter, all obligations of the Company under this Agreement shall terminate.</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voluntarily terminate his/her employment with the Company with or without cause by a three-month prior written notice. During such three-month notice period, the Executive shall continue to perform diligently his/her duties and responsibilities under this Agreement. The Company shall have the discretion to terminate its employment with the Executive prior to the last day of such three-month period; provided that the Company shall have paid the Executive all of his/her compensation accrued through the last day of such three-month period pursuant to Article II hereof; provided further that the Company may deduct and withhold any amount it is entitled to as damages under applicable laws. Thereafter, the Company’s obligations hereunder shall terminate. In such case, the Company shall not be responsible for paying any severance pay or other benefits to the Executive.</w:t>
      </w:r>
    </w:p>
    <w:p>
      <w:pPr>
        <w:spacing w:after="0" w:line="19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under this Agreement shall be communicated by written notice of termination (the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from the terminating party to the other party. The Notice of Termination shall indicate the specific provision(s) of this Agreement relied upon in effecting the termination.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shall mean (a) the date set forth in the Notice of Termination, or (b) if the Executive’s employment is terminated by the Executive’s death, the date of his/her death.</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Return of Group Property</w:t>
      </w:r>
      <w:r>
        <w:rPr>
          <w:rFonts w:ascii="Arial" w:cs="Arial" w:eastAsia="Arial" w:hAnsi="Arial"/>
          <w:sz w:val="17"/>
          <w:szCs w:val="17"/>
          <w:color w:val="auto"/>
        </w:rPr>
        <w:t>. The Executive agrees that following the termination of the Executive’s employment for any reason, or at any time prior to the Executive’s termination upon the request of the Company, he/she shall return all property of the Group that is then in or thereafter comes into his/her possession, including, but not limited to, any Confidential Information or Intellectual Property Rights, or any other documents, contracts, agreements, plans, photographs, projections, books, notes, records, electronically stored data and all copies, excerpts or summaries of the foregoing, as well as any automobile or other materials or equipment supplied by the Group to the Executive, if any.</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62" w:name="page363"/>
    <w:bookmarkEnd w:id="362"/>
    <w:p>
      <w:pPr>
        <w:ind w:right="280" w:firstLine="648"/>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Requirement for a Release</w:t>
      </w:r>
      <w:r>
        <w:rPr>
          <w:rFonts w:ascii="Arial" w:cs="Arial" w:eastAsia="Arial" w:hAnsi="Arial"/>
          <w:sz w:val="17"/>
          <w:szCs w:val="17"/>
          <w:color w:val="auto"/>
        </w:rPr>
        <w:t>. Notwithstanding the foregoing, the Company’s obligations to pay or provide any benefits shall (a) cease as of the date the Executive breaches any of the provisions of this Agreement, and (b) be conditioned on the Executive signing the Company’s customary release of claims in favor of the Group and the expiration of any revocation period provided for in such release.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ANTI-CORRUPTION</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Anti-Corruption</w:t>
      </w:r>
      <w:r>
        <w:rPr>
          <w:rFonts w:ascii="Arial" w:cs="Arial" w:eastAsia="Arial" w:hAnsi="Arial"/>
          <w:sz w:val="17"/>
          <w:szCs w:val="17"/>
          <w:color w:val="auto"/>
        </w:rPr>
        <w:t>. The Executive agrees to diligently adhere to the U.S. Foreign Corrupt Practices Act of 1977, as amended, and applicable anti-corruption laws, rules and regulations in other relevant jurisdictions. The Executive agrees and promises not to provide or offer any remuneration, gift, service or article of value to any government officials (including working stuff or employees of any government or administrative agencies, political parties or candidates) of any country for any reason. The Executive further agrees and promises that the Executive will not accept any remuneration in the form of cash or other tangible objects from any person in performing his/her duties under this Agreement other than the compensation specified in Article II of this Agreement. The Executive promises that all conducts of the Executive under this Agreement shall be in compliance with all applicable laws, regulations and administrative rules at all times.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Withholding Taxes</w:t>
      </w:r>
      <w:r>
        <w:rPr>
          <w:rFonts w:ascii="Arial" w:cs="Arial" w:eastAsia="Arial" w:hAnsi="Arial"/>
          <w:sz w:val="17"/>
          <w:szCs w:val="17"/>
          <w:color w:val="auto"/>
        </w:rPr>
        <w:t>. Notwithstanding anything else herein to the contrary, the Company may withhold (or cause there to be withheld, as the case may be) from any amounts otherwise due or payable under or pursuant to this Agreement such national, state, provincial, local or any other income, employment, or other taxes as may be required to be withheld pursuant to any applicable law or regulation.</w:t>
      </w:r>
    </w:p>
    <w:p>
      <w:pPr>
        <w:spacing w:after="0" w:line="16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Continuing Obligation</w:t>
      </w:r>
      <w:r>
        <w:rPr>
          <w:rFonts w:ascii="Arial" w:cs="Arial" w:eastAsia="Arial" w:hAnsi="Arial"/>
          <w:sz w:val="16"/>
          <w:szCs w:val="16"/>
          <w:color w:val="auto"/>
        </w:rPr>
        <w:t>. If the Executive is employed by any existing or future member of the Group at any time, or provides services to such member of the Group, or otherwise retained by such member of the Group, then the obligations under this Agreement shall continue to apply. Any reference to the Company shall include such member of the Group. In the event that this Agreement expires or terminates for any reason, the Executive shall immediately resign from any position at such member of the Group, unless otherwise required by the Company.</w:t>
      </w:r>
    </w:p>
    <w:p>
      <w:pPr>
        <w:spacing w:after="0" w:line="15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Notice to Employer</w:t>
      </w:r>
      <w:r>
        <w:rPr>
          <w:rFonts w:ascii="Arial" w:cs="Arial" w:eastAsia="Arial" w:hAnsi="Arial"/>
          <w:sz w:val="18"/>
          <w:szCs w:val="18"/>
          <w:color w:val="auto"/>
        </w:rPr>
        <w:t>. The Executive hereby authorizes the Company to notify the relevant provisions of this Agreement and the Executive’s obligations under this Agreement to the actual or future employer of the Executive (including the member of the Group with which the Executive will work), unless otherwise agreed by and between the Executive and the Company.</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Right to Name and Image</w:t>
      </w:r>
      <w:r>
        <w:rPr>
          <w:rFonts w:ascii="Arial" w:cs="Arial" w:eastAsia="Arial" w:hAnsi="Arial"/>
          <w:sz w:val="18"/>
          <w:szCs w:val="18"/>
          <w:color w:val="auto"/>
        </w:rPr>
        <w:t>. The Executive hereby authorizes the Company to use, or authorize any other person to use, once or from time to time during his/her employment with the Company, the names, photos, images (including cartoons), voices and resume of the Executive as well as photocopies and duplicates thereof in any media now known or developed in the future (including but not limited to movies, videos, digital or any other electronic media) for purposes as may be deemed appropriate by the Company.</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363" w:name="page364"/>
    <w:bookmarkEnd w:id="363"/>
    <w:p>
      <w:pPr>
        <w:ind w:right="140" w:firstLine="648"/>
        <w:spacing w:after="0" w:line="27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Survival</w:t>
      </w:r>
      <w:r>
        <w:rPr>
          <w:rFonts w:ascii="Arial" w:cs="Arial" w:eastAsia="Arial" w:hAnsi="Arial"/>
          <w:sz w:val="17"/>
          <w:szCs w:val="17"/>
          <w:color w:val="auto"/>
        </w:rPr>
        <w:t>. The Executive further agrees that (a) Articles III and IV shall survive the termination or expiration of the Term and the termination of this Agreement, and (b) after termination or expiration of the Term, the Executive shall use his/her best efforts to cooperate with the Company in connection with such surviving obligations, including, without limitation to, completion of outstanding work on behalf of the Company, transfer of his/her assignments to designated employees of the Company, and defense of the Company against claims raised by any third party in connection with any action or negligence of the Executive during his/her employment with the Company.</w:t>
      </w:r>
    </w:p>
    <w:p>
      <w:pPr>
        <w:spacing w:after="0" w:line="17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modified or changed (in whole or in part), except by a formal, definitive written agreement expressly referring to this Agreement, which agreement is executed by both of the parties hereto.</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Waiver</w:t>
      </w:r>
      <w:r>
        <w:rPr>
          <w:rFonts w:ascii="Arial" w:cs="Arial" w:eastAsia="Arial" w:hAnsi="Arial"/>
          <w:sz w:val="18"/>
          <w:szCs w:val="18"/>
          <w:color w:val="auto"/>
        </w:rPr>
        <w:t>. 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Transfer; Successors and Assigns</w:t>
      </w:r>
      <w:r>
        <w:rPr>
          <w:rFonts w:ascii="Arial" w:cs="Arial" w:eastAsia="Arial" w:hAnsi="Arial"/>
          <w:sz w:val="18"/>
          <w:szCs w:val="18"/>
          <w:color w:val="auto"/>
        </w:rPr>
        <w:t>. The Executive agrees that he/she will not transfer, sell, assign or otherwise dispose of (whether voluntarily, involuntarily or by operation of law) any rights or interests under this Agreement, and the rights of the Executive shall not be subject to any security interest or creditors’ claims. Any such transfer, assign or other disposal shall be invalid. Nothing contained in this Agreement shall prevent the Company from merging into or with any other company or selling all or substantially all of the assets of the Company, or transfer this Agreement or any obligation under this Agreement. In the event of any change in the ownership interest or the control of the Company, the provisions of this Agreement shall continue to apply and shall be binding upon any successors. Notwithstanding and subject to the foregoing, this Agreement shall be valid and binding upon, and inure to the benefit of, the successor, representative, heirs and permitted assigns of each party, and shall not vest in any other individual or entity any interest.</w:t>
      </w:r>
    </w:p>
    <w:p>
      <w:pPr>
        <w:spacing w:after="0" w:line="192"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Notice</w:t>
      </w:r>
      <w:r>
        <w:rPr>
          <w:rFonts w:ascii="Arial" w:cs="Arial" w:eastAsia="Arial" w:hAnsi="Arial"/>
          <w:sz w:val="16"/>
          <w:szCs w:val="16"/>
          <w:color w:val="auto"/>
        </w:rPr>
        <w:t>. All notices, requests, demands and other communications required or permitted under this Agreement shall be in writing and shall be deemed to have been duly given and made if (a) delivered by hand, (b) otherwise delivered against receipt therefor, (c) sent by a recognized courier with next-day or second-day delivery to the last known address of the other party; or (d) sent by e-mail with confirmation of receipt.</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Severability; Enforceability</w:t>
      </w:r>
      <w:r>
        <w:rPr>
          <w:rFonts w:ascii="Arial" w:cs="Arial" w:eastAsia="Arial" w:hAnsi="Arial"/>
          <w:sz w:val="18"/>
          <w:szCs w:val="18"/>
          <w:color w:val="auto"/>
        </w:rPr>
        <w:t>. Without prejudice to Section 3.07, if all or any portion of any provision of this Agreement as applied to any person, to any place or to any circumstance shall be ruled by an arbitration commission or a court of competent jurisdiction to be invalid, illegal or incapable of being enforced, the same shall in no way affect (to the maximum extent permissible by applicable laws) that provision or the remaining portions of that provision as applied to any parties, places or circumstances or any other provisions of this Agreement or the validity or enforceability of this Agreement as a whole.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64" w:name="page365"/>
    <w:bookmarkEnd w:id="364"/>
    <w:p>
      <w:pPr>
        <w:ind w:firstLine="648"/>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the Executive and the Company regarding the terms of the Employment and supersedes all prior or contemporaneous oral or written agreements concerning such subject matter. The Executive acknowledges that he/she has not entered into this Agreement in reliance upon any representation, warranty or undertaking which is not set forth in this Agreement.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laws of the State of New York without regard to the conflict of laws principles thereof.</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Executive acknowledges that (a) he/she has consulted or has the opportunity to consult with independent counsel of his/her choice regarding this Agreement, and the Company has suggested that he/she do so and (b) he/she has read and understands this Agreement, fully understands its legal effect, and has entered into this Agreement voluntarily in his/her own judgment. The Executive hereby agrees that the obligations under Articles III and IV hereof and the definition of Confidential Information contained in those provisions shall also apply to the Confidential Information relating to any work performed for the Company prior to the execution of this Agreement.</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as of the date first written above.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796" w:right="1219" w:bottom="1440" w:gutter="0" w:footer="0" w:header="0"/>
        </w:sectPr>
      </w:pPr>
    </w:p>
    <w:bookmarkStart w:id="366" w:name="page367"/>
    <w:bookmarkEnd w:id="366"/>
    <w:p>
      <w:pPr>
        <w:jc w:val="center"/>
        <w:ind w:right="-76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 I. Base Salary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Bonus</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796" w:right="1440"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Schedule B</w:t>
            </w:r>
          </w:p>
        </w:tc>
        <w:tc>
          <w:tcPr>
            <w:tcW w:w="158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List of Prior Inventions</w:t>
            </w:r>
          </w:p>
        </w:tc>
        <w:tc>
          <w:tcPr>
            <w:tcW w:w="36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ind w:left="1040"/>
              <w:spacing w:after="0"/>
              <w:rPr>
                <w:sz w:val="20"/>
                <w:szCs w:val="20"/>
                <w:color w:val="auto"/>
              </w:rPr>
            </w:pPr>
            <w:r>
              <w:rPr>
                <w:rFonts w:ascii="Arial" w:cs="Arial" w:eastAsia="Arial" w:hAnsi="Arial"/>
                <w:sz w:val="18"/>
                <w:szCs w:val="18"/>
                <w:b w:val="1"/>
                <w:bCs w:val="1"/>
                <w:color w:val="auto"/>
              </w:rPr>
              <w:t>Identifying Number</w:t>
            </w:r>
          </w:p>
        </w:tc>
      </w:t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360" w:type="dxa"/>
            <w:vAlign w:val="bottom"/>
          </w:tcPr>
          <w:p>
            <w:pPr>
              <w:spacing w:after="0"/>
              <w:rPr>
                <w:sz w:val="20"/>
                <w:szCs w:val="20"/>
                <w:color w:val="auto"/>
              </w:rPr>
            </w:pPr>
          </w:p>
        </w:tc>
        <w:tc>
          <w:tcPr>
            <w:tcW w:w="2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2"/>
              </w:rPr>
              <w:t>Date</w:t>
            </w:r>
          </w:p>
        </w:tc>
        <w:tc>
          <w:tcPr>
            <w:tcW w:w="3600" w:type="dxa"/>
            <w:vAlign w:val="bottom"/>
          </w:tcPr>
          <w:p>
            <w:pPr>
              <w:ind w:left="1040"/>
              <w:spacing w:after="0"/>
              <w:rPr>
                <w:sz w:val="20"/>
                <w:szCs w:val="20"/>
                <w:color w:val="auto"/>
              </w:rPr>
            </w:pPr>
            <w:r>
              <w:rPr>
                <w:rFonts w:ascii="Arial" w:cs="Arial" w:eastAsia="Arial" w:hAnsi="Arial"/>
                <w:sz w:val="18"/>
                <w:szCs w:val="18"/>
                <w:b w:val="1"/>
                <w:bCs w:val="1"/>
                <w:color w:val="auto"/>
              </w:rPr>
              <w:t>or Brief Description</w:t>
            </w: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____No inventions or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____Additional Sheets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of Executive: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22"/>
          <w:szCs w:val="22"/>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EQUITY INCENTIVE PLAN</w:t>
      </w:r>
    </w:p>
    <w:p>
      <w:pPr>
        <w:spacing w:after="0" w:line="229" w:lineRule="exact"/>
        <w:rPr>
          <w:sz w:val="20"/>
          <w:szCs w:val="20"/>
          <w:color w:val="auto"/>
        </w:rPr>
      </w:pPr>
    </w:p>
    <w:p>
      <w:pPr>
        <w:jc w:val="both"/>
        <w:ind w:right="20" w:firstLine="656"/>
        <w:spacing w:after="0" w:line="311" w:lineRule="auto"/>
        <w:tabs>
          <w:tab w:leader="none" w:pos="828"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Purposes of this Plan</w:t>
      </w:r>
      <w:r>
        <w:rPr>
          <w:rFonts w:ascii="Arial" w:cs="Arial" w:eastAsia="Arial" w:hAnsi="Arial"/>
          <w:sz w:val="16"/>
          <w:szCs w:val="16"/>
          <w:color w:val="auto"/>
        </w:rPr>
        <w:t>. The purposes of this Plan are to attract and retain the best available personnel for positions of substantial responsibility, to provide additional incentive to Employees, Directors and Consultants (each a “</w:t>
      </w:r>
      <w:r>
        <w:rPr>
          <w:rFonts w:ascii="Arial" w:cs="Arial" w:eastAsia="Arial" w:hAnsi="Arial"/>
          <w:sz w:val="16"/>
          <w:szCs w:val="16"/>
          <w:u w:val="single" w:color="auto"/>
          <w:color w:val="auto"/>
        </w:rPr>
        <w:t>Service Provider</w:t>
      </w:r>
      <w:r>
        <w:rPr>
          <w:rFonts w:ascii="Arial" w:cs="Arial" w:eastAsia="Arial" w:hAnsi="Arial"/>
          <w:sz w:val="16"/>
          <w:szCs w:val="16"/>
          <w:color w:val="auto"/>
        </w:rPr>
        <w:t>” and, together, the “</w:t>
      </w:r>
      <w:r>
        <w:rPr>
          <w:rFonts w:ascii="Arial" w:cs="Arial" w:eastAsia="Arial" w:hAnsi="Arial"/>
          <w:sz w:val="16"/>
          <w:szCs w:val="16"/>
          <w:u w:val="single" w:color="auto"/>
          <w:color w:val="auto"/>
        </w:rPr>
        <w:t>Service Providers</w:t>
      </w:r>
      <w:r>
        <w:rPr>
          <w:rFonts w:ascii="Arial" w:cs="Arial" w:eastAsia="Arial" w:hAnsi="Arial"/>
          <w:sz w:val="16"/>
          <w:szCs w:val="16"/>
          <w:color w:val="auto"/>
        </w:rPr>
        <w:t>”) and to promote the success of the Company’s business. This Plan permits the grant of an Option, Restricted Shares, Restricted Share Units and Local Awards.</w:t>
      </w:r>
    </w:p>
    <w:p>
      <w:pPr>
        <w:spacing w:after="0" w:line="148" w:lineRule="exact"/>
        <w:rPr>
          <w:rFonts w:ascii="Arial" w:cs="Arial" w:eastAsia="Arial" w:hAnsi="Arial"/>
          <w:sz w:val="16"/>
          <w:szCs w:val="16"/>
          <w:color w:val="auto"/>
        </w:rPr>
      </w:pPr>
    </w:p>
    <w:p>
      <w:pPr>
        <w:ind w:left="840" w:hanging="184"/>
        <w:spacing w:after="0"/>
        <w:tabs>
          <w:tab w:leader="none" w:pos="84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right="720" w:firstLine="1304"/>
        <w:spacing w:after="0" w:line="277" w:lineRule="auto"/>
        <w:tabs>
          <w:tab w:leader="none" w:pos="1541"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a Committee or any subcommittee or specified Officers to whom the Board or Committee delegates its administrative authority consistent with Applicable Laws and in accordance with Section 4 of the Plan.</w:t>
      </w:r>
    </w:p>
    <w:p>
      <w:pPr>
        <w:spacing w:after="0" w:line="170" w:lineRule="exact"/>
        <w:rPr>
          <w:rFonts w:ascii="Arial" w:cs="Arial" w:eastAsia="Arial" w:hAnsi="Arial"/>
          <w:sz w:val="18"/>
          <w:szCs w:val="18"/>
          <w:color w:val="auto"/>
        </w:rPr>
      </w:pPr>
    </w:p>
    <w:p>
      <w:pPr>
        <w:ind w:right="60" w:firstLine="1304"/>
        <w:spacing w:after="0" w:line="273" w:lineRule="auto"/>
        <w:tabs>
          <w:tab w:leader="none" w:pos="1551" w:val="left"/>
        </w:tabs>
        <w:numPr>
          <w:ilvl w:val="1"/>
          <w:numId w:val="3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any applicable legal requirements relating to the administration of and the issuance of equity-based awards under the applicable laws of any country or jurisdiction in connection with the granting, vesting and/or exercising of Awards under this Plan, including, without limitation, the requirements of the laws of the Republic of Singapore, U.S. federal and state securities laws, the Code, the laws of the Cayman Islands, and the requirements of any stock exchange or quotation system upon which the Shares may be listed or quoted and the applicable laws of any country or jurisdiction where Awards are granted under the Plan. For all purposes of this Plan, references to statutes and regulations shall be deemed to include any successor statutes or regulations, where necessary as determined by the Administrator.</w:t>
      </w:r>
    </w:p>
    <w:p>
      <w:pPr>
        <w:spacing w:after="0" w:line="177" w:lineRule="exact"/>
        <w:rPr>
          <w:rFonts w:ascii="Arial" w:cs="Arial" w:eastAsia="Arial" w:hAnsi="Arial"/>
          <w:sz w:val="17"/>
          <w:szCs w:val="17"/>
          <w:color w:val="auto"/>
        </w:rPr>
      </w:pPr>
    </w:p>
    <w:p>
      <w:pPr>
        <w:ind w:left="1540" w:hanging="236"/>
        <w:spacing w:after="0"/>
        <w:tabs>
          <w:tab w:leader="none" w:pos="154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this Plan of an Option, Restricted Shares, Restricted Share Units or Local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Awards.</w:t>
      </w:r>
    </w:p>
    <w:p>
      <w:pPr>
        <w:spacing w:after="0" w:line="210" w:lineRule="exact"/>
        <w:rPr>
          <w:rFonts w:ascii="Arial" w:cs="Arial" w:eastAsia="Arial" w:hAnsi="Arial"/>
          <w:sz w:val="16"/>
          <w:szCs w:val="16"/>
          <w:color w:val="auto"/>
        </w:rPr>
      </w:pPr>
    </w:p>
    <w:p>
      <w:pPr>
        <w:ind w:right="560" w:firstLine="1304"/>
        <w:spacing w:after="0" w:line="277" w:lineRule="auto"/>
        <w:tabs>
          <w:tab w:leader="none" w:pos="1551"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this Plan. The Award Agreement is subject to the terms and conditions of this Plan.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120" w:firstLine="1952"/>
        <w:spacing w:after="0" w:line="263" w:lineRule="auto"/>
        <w:tabs>
          <w:tab w:leader="none" w:pos="2159"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14(d)(2) of the Exchange Act) is or becomes the beneficial owner, directly or indirectly, of securities of the Company representing 50% or more of the combined voting power of the Company’s then outstanding securities; or</w:t>
      </w:r>
    </w:p>
    <w:p>
      <w:pPr>
        <w:spacing w:after="0" w:line="183" w:lineRule="exact"/>
        <w:rPr>
          <w:rFonts w:ascii="Arial" w:cs="Arial" w:eastAsia="Arial" w:hAnsi="Arial"/>
          <w:sz w:val="18"/>
          <w:szCs w:val="18"/>
          <w:color w:val="auto"/>
        </w:rPr>
      </w:pPr>
    </w:p>
    <w:p>
      <w:pPr>
        <w:ind w:right="180" w:firstLine="1952"/>
        <w:spacing w:after="0" w:line="255" w:lineRule="auto"/>
        <w:tabs>
          <w:tab w:leader="none" w:pos="2209"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individuals who, as of the date of grant, constituted the Company’s Board of Directors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(other than any individual whose initial assumption of office is in connection with an actual or threatened election contest (as such term is used in Rule 14a-11 of Regulation 14A promulgated under the Exchange Act)) becoming a Director subsequent to the date of grant of an award, whose election, or nomination for election by the shareholders of the Company, was approved by a vote of at least a majority of the Directors then comprising the Incumbent Board, shall be considered as though such individual was a member of the Incumbent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9" w:name="page370"/>
    <w:bookmarkEnd w:id="369"/>
    <w:p>
      <w:pPr>
        <w:ind w:left="2260" w:hanging="308"/>
        <w:spacing w:after="0"/>
        <w:tabs>
          <w:tab w:leader="none" w:pos="22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 or</w:t>
      </w:r>
    </w:p>
    <w:p>
      <w:pPr>
        <w:spacing w:after="0" w:line="236" w:lineRule="exact"/>
        <w:rPr>
          <w:rFonts w:ascii="Arial" w:cs="Arial" w:eastAsia="Arial" w:hAnsi="Arial"/>
          <w:sz w:val="17"/>
          <w:szCs w:val="17"/>
          <w:color w:val="auto"/>
        </w:rPr>
      </w:pPr>
    </w:p>
    <w:p>
      <w:pPr>
        <w:ind w:right="60" w:firstLine="1952"/>
        <w:spacing w:after="0" w:line="257" w:lineRule="auto"/>
        <w:tabs>
          <w:tab w:leader="none" w:pos="224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consummation of a merger, amalgamation or consolidation of the Company with any other corporation or business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8" w:lineRule="exact"/>
        <w:rPr>
          <w:sz w:val="20"/>
          <w:szCs w:val="20"/>
          <w:color w:val="auto"/>
        </w:rPr>
      </w:pPr>
    </w:p>
    <w:p>
      <w:pPr>
        <w:ind w:firstLine="2592"/>
        <w:spacing w:after="0" w:line="257" w:lineRule="auto"/>
        <w:rPr>
          <w:sz w:val="20"/>
          <w:szCs w:val="20"/>
          <w:color w:val="auto"/>
        </w:rPr>
      </w:pPr>
      <w:r>
        <w:rPr>
          <w:rFonts w:ascii="Arial" w:cs="Arial" w:eastAsia="Arial" w:hAnsi="Arial"/>
          <w:sz w:val="18"/>
          <w:szCs w:val="18"/>
          <w:color w:val="auto"/>
        </w:rPr>
        <w:t>Anything in the foregoing to the contrary notwithstanding, a transaction shall not constitute a Change in Control if its sole purpose is to change the legal jurisdiction of the Company’s incorporation or to create a holding company that will be owned in substantially the same proportions by the Persons who held the Company’s Securities immediately before such transaction. In addition, a sale by the Company of its Securities in a transaction, the primary purpose of which is to raise capital for the Company’s operations and business activities including, without limitation, a Qualified IPO, shall not constitute a Change in Control.</w:t>
      </w:r>
    </w:p>
    <w:p>
      <w:pPr>
        <w:spacing w:after="0" w:line="188" w:lineRule="exact"/>
        <w:rPr>
          <w:sz w:val="20"/>
          <w:szCs w:val="20"/>
          <w:color w:val="auto"/>
        </w:rPr>
      </w:pPr>
    </w:p>
    <w:p>
      <w:pPr>
        <w:ind w:right="120" w:firstLine="1304"/>
        <w:spacing w:after="0" w:line="277" w:lineRule="auto"/>
        <w:tabs>
          <w:tab w:leader="none" w:pos="155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and the regulations promulgated thereunder.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120" w:firstLine="1304"/>
        <w:spacing w:after="0" w:line="277" w:lineRule="auto"/>
        <w:tabs>
          <w:tab w:leader="none" w:pos="155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satisfying Applicable Laws appointed by the Board to administer the Plan, in accordance with Section 4 of the Plan.</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Trident Digital Tech Holdings Ltd, a company organized under the laws of the Cayman Islands, or any successor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1520" w:hanging="216"/>
        <w:spacing w:after="0"/>
        <w:tabs>
          <w:tab w:leader="none" w:pos="152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any Subsidiary to render services to such entity.</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120" w:firstLine="1304"/>
        <w:spacing w:after="0" w:line="259" w:lineRule="auto"/>
        <w:tabs>
          <w:tab w:leader="none" w:pos="151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determined otherwise by the Administrator, a disability that entitles the Participant to benefits under the Company’s long-term disability plan, if any, and in the absence of such a plan, the Participant being unable to engage in any substantial gainful activity by reason of a medically determinable physical or mental impairment that can be expected to result in death or can be expected to last for a continuous period of not less than 12 months.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0" w:name="page371"/>
    <w:bookmarkEnd w:id="370"/>
    <w:p>
      <w:pPr>
        <w:ind w:left="-20" w:right="260" w:firstLine="1304"/>
        <w:spacing w:after="0" w:line="277" w:lineRule="auto"/>
        <w:tabs>
          <w:tab w:leader="none" w:pos="158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employed by the Company or any Subsidiary of the Company. Neither service as a Non-Employee Director nor payment of a Director’s fee by the Company will be sufficient to constitute “employment” by the Company.</w:t>
      </w:r>
    </w:p>
    <w:p>
      <w:pPr>
        <w:spacing w:after="0" w:line="170" w:lineRule="exact"/>
        <w:rPr>
          <w:rFonts w:ascii="Arial" w:cs="Arial" w:eastAsia="Arial" w:hAnsi="Arial"/>
          <w:sz w:val="18"/>
          <w:szCs w:val="18"/>
          <w:color w:val="auto"/>
        </w:rPr>
      </w:pPr>
    </w:p>
    <w:p>
      <w:pPr>
        <w:ind w:left="1540" w:hanging="256"/>
        <w:spacing w:after="0"/>
        <w:tabs>
          <w:tab w:leader="none" w:pos="15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rFonts w:ascii="Arial" w:cs="Arial" w:eastAsia="Arial" w:hAnsi="Arial"/>
          <w:sz w:val="16"/>
          <w:szCs w:val="16"/>
          <w:color w:val="auto"/>
        </w:rPr>
      </w:pPr>
    </w:p>
    <w:p>
      <w:pPr>
        <w:ind w:left="1540" w:hanging="256"/>
        <w:spacing w:after="0"/>
        <w:tabs>
          <w:tab w:leader="none" w:pos="1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the Shares determined as follows:</w:t>
      </w:r>
    </w:p>
    <w:p>
      <w:pPr>
        <w:spacing w:after="0" w:line="225" w:lineRule="exact"/>
        <w:rPr>
          <w:rFonts w:ascii="Arial" w:cs="Arial" w:eastAsia="Arial" w:hAnsi="Arial"/>
          <w:sz w:val="18"/>
          <w:szCs w:val="18"/>
          <w:color w:val="auto"/>
        </w:rPr>
      </w:pPr>
    </w:p>
    <w:p>
      <w:pPr>
        <w:ind w:left="-20" w:right="100" w:firstLine="1952"/>
        <w:spacing w:after="0" w:line="286" w:lineRule="auto"/>
        <w:tabs>
          <w:tab w:leader="none" w:pos="2139" w:val="left"/>
        </w:tabs>
        <w:numPr>
          <w:ilvl w:val="1"/>
          <w:numId w:val="370"/>
        </w:numPr>
        <w:rPr>
          <w:rFonts w:ascii="Arial" w:cs="Arial" w:eastAsia="Arial" w:hAnsi="Arial"/>
          <w:sz w:val="17"/>
          <w:szCs w:val="17"/>
          <w:color w:val="auto"/>
        </w:rPr>
      </w:pPr>
      <w:r>
        <w:rPr>
          <w:rFonts w:ascii="Arial" w:cs="Arial" w:eastAsia="Arial" w:hAnsi="Arial"/>
          <w:sz w:val="17"/>
          <w:szCs w:val="17"/>
          <w:color w:val="auto"/>
        </w:rPr>
        <w:t>If the Shares are listed on any established stock exchange or a national market system, the Fair Market Value (on a per Share basis) will be the closing sales price for such Shares (or the closing bid, if no sales were reported) as quoted on such exchange or system on the day of determination, as reported in The Wall Street Journal or such other source as the Administrator deems reliable;</w:t>
      </w:r>
    </w:p>
    <w:p>
      <w:pPr>
        <w:spacing w:after="0" w:line="165" w:lineRule="exact"/>
        <w:rPr>
          <w:rFonts w:ascii="Arial" w:cs="Arial" w:eastAsia="Arial" w:hAnsi="Arial"/>
          <w:sz w:val="17"/>
          <w:szCs w:val="17"/>
          <w:color w:val="auto"/>
        </w:rPr>
      </w:pPr>
    </w:p>
    <w:p>
      <w:pPr>
        <w:ind w:left="-20" w:firstLine="1952"/>
        <w:spacing w:after="0" w:line="259" w:lineRule="auto"/>
        <w:tabs>
          <w:tab w:leader="none" w:pos="218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(on a per Share basis) will be the mean between the high bid and low asked prices for the Shares on the day of determination (or, if no bids and asks were reported on that date, as applicable, on the last trading date such bids and asks were reported), as reported in The Wall Street Journal or such other source as the Administrator deems reliable;</w:t>
      </w:r>
    </w:p>
    <w:p>
      <w:pPr>
        <w:spacing w:after="0" w:line="186" w:lineRule="exact"/>
        <w:rPr>
          <w:rFonts w:ascii="Arial" w:cs="Arial" w:eastAsia="Arial" w:hAnsi="Arial"/>
          <w:sz w:val="18"/>
          <w:szCs w:val="18"/>
          <w:color w:val="auto"/>
        </w:rPr>
      </w:pPr>
    </w:p>
    <w:p>
      <w:pPr>
        <w:ind w:left="-20" w:right="80" w:firstLine="1952"/>
        <w:spacing w:after="0" w:line="277" w:lineRule="auto"/>
        <w:tabs>
          <w:tab w:leader="none" w:pos="223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For purposes of any Awards granted on the date of a Qualified IPO, the Fair Market Value (on a per Share basis) will be the initial price to the public as set forth in the final prospectus for the initial public offering of Shares; or</w:t>
      </w:r>
    </w:p>
    <w:p>
      <w:pPr>
        <w:spacing w:after="0" w:line="170" w:lineRule="exact"/>
        <w:rPr>
          <w:rFonts w:ascii="Arial" w:cs="Arial" w:eastAsia="Arial" w:hAnsi="Arial"/>
          <w:sz w:val="18"/>
          <w:szCs w:val="18"/>
          <w:color w:val="auto"/>
        </w:rPr>
      </w:pPr>
    </w:p>
    <w:p>
      <w:pPr>
        <w:ind w:left="-20" w:right="600" w:firstLine="1952"/>
        <w:spacing w:after="0" w:line="277" w:lineRule="auto"/>
        <w:tabs>
          <w:tab w:leader="none" w:pos="222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Fair Market Value will be determined in good faith by the Administrator in accordance with Applicable Laws.</w:t>
      </w:r>
    </w:p>
    <w:p>
      <w:pPr>
        <w:spacing w:after="0" w:line="170" w:lineRule="exact"/>
        <w:rPr>
          <w:rFonts w:ascii="Arial" w:cs="Arial" w:eastAsia="Arial" w:hAnsi="Arial"/>
          <w:sz w:val="18"/>
          <w:szCs w:val="18"/>
          <w:color w:val="auto"/>
        </w:rPr>
      </w:pPr>
    </w:p>
    <w:p>
      <w:pPr>
        <w:ind w:left="-20" w:right="320" w:firstLine="1304"/>
        <w:spacing w:after="0" w:line="308" w:lineRule="auto"/>
        <w:tabs>
          <w:tab w:leader="none" w:pos="1531" w:val="left"/>
        </w:tabs>
        <w:numPr>
          <w:ilvl w:val="0"/>
          <w:numId w:val="3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Event</w:t>
      </w:r>
      <w:r>
        <w:rPr>
          <w:rFonts w:ascii="Arial" w:cs="Arial" w:eastAsia="Arial" w:hAnsi="Arial"/>
          <w:sz w:val="17"/>
          <w:szCs w:val="17"/>
          <w:color w:val="auto"/>
        </w:rPr>
        <w:t xml:space="preserve">” means the occurrence of (i) a Qualified IPO or (ii) a Change in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determine that a particular transaction is or is not a Liquidity Event notwithstanding that the transaction falls within the foregoing definition.</w:t>
      </w:r>
    </w:p>
    <w:p>
      <w:pPr>
        <w:spacing w:after="0" w:line="146" w:lineRule="exact"/>
        <w:rPr>
          <w:rFonts w:ascii="Arial" w:cs="Arial" w:eastAsia="Arial" w:hAnsi="Arial"/>
          <w:sz w:val="17"/>
          <w:szCs w:val="17"/>
          <w:color w:val="auto"/>
        </w:rPr>
      </w:pPr>
    </w:p>
    <w:p>
      <w:pPr>
        <w:ind w:left="1540" w:hanging="256"/>
        <w:spacing w:after="0"/>
        <w:tabs>
          <w:tab w:leader="none" w:pos="1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Award</w:t>
      </w:r>
      <w:r>
        <w:rPr>
          <w:rFonts w:ascii="Arial" w:cs="Arial" w:eastAsia="Arial" w:hAnsi="Arial"/>
          <w:sz w:val="18"/>
          <w:szCs w:val="18"/>
          <w:color w:val="auto"/>
        </w:rPr>
        <w:t>” shall have the meaning ascribed thereto in Section 9 of this Plan.</w:t>
      </w:r>
    </w:p>
    <w:p>
      <w:pPr>
        <w:spacing w:after="0" w:line="225" w:lineRule="exact"/>
        <w:rPr>
          <w:rFonts w:ascii="Arial" w:cs="Arial" w:eastAsia="Arial" w:hAnsi="Arial"/>
          <w:sz w:val="18"/>
          <w:szCs w:val="18"/>
          <w:color w:val="auto"/>
        </w:rPr>
      </w:pPr>
    </w:p>
    <w:p>
      <w:pPr>
        <w:ind w:left="1500" w:hanging="216"/>
        <w:spacing w:after="0"/>
        <w:tabs>
          <w:tab w:leader="none" w:pos="15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 shall have the meaning ascribed thereto in Section 13(d) of this Plan.</w:t>
      </w:r>
    </w:p>
    <w:p>
      <w:pPr>
        <w:spacing w:after="0" w:line="225" w:lineRule="exact"/>
        <w:rPr>
          <w:rFonts w:ascii="Arial" w:cs="Arial" w:eastAsia="Arial" w:hAnsi="Arial"/>
          <w:sz w:val="18"/>
          <w:szCs w:val="18"/>
          <w:color w:val="auto"/>
        </w:rPr>
      </w:pPr>
    </w:p>
    <w:p>
      <w:pPr>
        <w:ind w:left="1520" w:hanging="236"/>
        <w:spacing w:after="0"/>
        <w:tabs>
          <w:tab w:leader="none" w:pos="1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Officer or Employee.</w:t>
      </w:r>
    </w:p>
    <w:p>
      <w:pPr>
        <w:spacing w:after="0" w:line="225" w:lineRule="exact"/>
        <w:rPr>
          <w:rFonts w:ascii="Arial" w:cs="Arial" w:eastAsia="Arial" w:hAnsi="Arial"/>
          <w:sz w:val="18"/>
          <w:szCs w:val="18"/>
          <w:color w:val="auto"/>
        </w:rPr>
      </w:pPr>
    </w:p>
    <w:p>
      <w:pPr>
        <w:ind w:left="1500" w:hanging="216"/>
        <w:spacing w:after="0"/>
        <w:tabs>
          <w:tab w:leader="none" w:pos="15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as determined by the Board.</w:t>
      </w:r>
    </w:p>
    <w:p>
      <w:pPr>
        <w:spacing w:after="0" w:line="225" w:lineRule="exact"/>
        <w:rPr>
          <w:rFonts w:ascii="Arial" w:cs="Arial" w:eastAsia="Arial" w:hAnsi="Arial"/>
          <w:sz w:val="18"/>
          <w:szCs w:val="18"/>
          <w:color w:val="auto"/>
        </w:rPr>
      </w:pPr>
    </w:p>
    <w:p>
      <w:pPr>
        <w:ind w:left="1540" w:hanging="256"/>
        <w:spacing w:after="0"/>
        <w:tabs>
          <w:tab w:leader="none" w:pos="1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share option granted pursuant to this Plan.</w:t>
      </w:r>
    </w:p>
    <w:p>
      <w:pPr>
        <w:spacing w:after="0" w:line="225" w:lineRule="exact"/>
        <w:rPr>
          <w:rFonts w:ascii="Arial" w:cs="Arial" w:eastAsia="Arial" w:hAnsi="Arial"/>
          <w:sz w:val="18"/>
          <w:szCs w:val="18"/>
          <w:color w:val="auto"/>
        </w:rPr>
      </w:pPr>
    </w:p>
    <w:p>
      <w:pPr>
        <w:ind w:left="1540" w:hanging="256"/>
        <w:spacing w:after="0"/>
        <w:tabs>
          <w:tab w:leader="none" w:pos="1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371" w:name="page372"/>
    <w:bookmarkEnd w:id="371"/>
    <w:p>
      <w:pPr>
        <w:ind w:left="-100" w:right="40" w:firstLine="1304"/>
        <w:spacing w:after="0" w:line="277" w:lineRule="auto"/>
        <w:tabs>
          <w:tab w:leader="none" w:pos="149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that would be deemed to be a person under Section 13(d)(3) of the Exchange Act.</w:t>
      </w:r>
    </w:p>
    <w:p>
      <w:pPr>
        <w:spacing w:after="0" w:line="170" w:lineRule="exact"/>
        <w:rPr>
          <w:rFonts w:ascii="Arial" w:cs="Arial" w:eastAsia="Arial" w:hAnsi="Arial"/>
          <w:sz w:val="18"/>
          <w:szCs w:val="18"/>
          <w:color w:val="auto"/>
        </w:rPr>
      </w:pPr>
    </w:p>
    <w:p>
      <w:pPr>
        <w:ind w:left="1460" w:hanging="256"/>
        <w:spacing w:after="0"/>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2023 Equity Incentive Plan, as it may be amended from time to time.</w:t>
      </w:r>
    </w:p>
    <w:p>
      <w:pPr>
        <w:spacing w:after="0" w:line="225" w:lineRule="exact"/>
        <w:rPr>
          <w:rFonts w:ascii="Arial" w:cs="Arial" w:eastAsia="Arial" w:hAnsi="Arial"/>
          <w:sz w:val="18"/>
          <w:szCs w:val="18"/>
          <w:color w:val="auto"/>
        </w:rPr>
      </w:pPr>
    </w:p>
    <w:p>
      <w:pPr>
        <w:ind w:left="1460" w:hanging="256"/>
        <w:spacing w:after="0"/>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Limit</w:t>
      </w:r>
      <w:r>
        <w:rPr>
          <w:rFonts w:ascii="Arial" w:cs="Arial" w:eastAsia="Arial" w:hAnsi="Arial"/>
          <w:sz w:val="18"/>
          <w:szCs w:val="18"/>
          <w:color w:val="auto"/>
        </w:rPr>
        <w:t>” shall have the meaning ascribed thereto in Section 3(a) of this Plan.</w:t>
      </w:r>
    </w:p>
    <w:p>
      <w:pPr>
        <w:spacing w:after="0" w:line="225" w:lineRule="exact"/>
        <w:rPr>
          <w:rFonts w:ascii="Arial" w:cs="Arial" w:eastAsia="Arial" w:hAnsi="Arial"/>
          <w:sz w:val="18"/>
          <w:szCs w:val="18"/>
          <w:color w:val="auto"/>
        </w:rPr>
      </w:pPr>
    </w:p>
    <w:p>
      <w:pPr>
        <w:ind w:left="-100" w:firstLine="1304"/>
        <w:spacing w:after="0" w:line="257" w:lineRule="auto"/>
        <w:tabs>
          <w:tab w:leader="none" w:pos="144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xml:space="preserve">” means the closing of an underwritten initial public offering of the Shares (i) pursuant to an effective registration statement under the Securities Act or (ii) on the basis of an approved prospectus and/or pursuant to a valid registration, qualification or filing under Applicable Law of another jurisdiction, in each case of the Shares or other equity securities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Qualified IPO shall not include a registration relating solely to employee benefit plans or to a Rule 145 transaction under the Securities Act or to similar registrations under Applicable Law of another jurisdiction.</w:t>
      </w:r>
    </w:p>
    <w:p>
      <w:pPr>
        <w:spacing w:after="0" w:line="188" w:lineRule="exact"/>
        <w:rPr>
          <w:sz w:val="20"/>
          <w:szCs w:val="20"/>
          <w:color w:val="auto"/>
        </w:rPr>
      </w:pPr>
    </w:p>
    <w:p>
      <w:pPr>
        <w:ind w:left="1520" w:hanging="316"/>
        <w:spacing w:after="0"/>
        <w:tabs>
          <w:tab w:leader="none" w:pos="15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Restriction Period</w:t>
      </w:r>
      <w:r>
        <w:rPr>
          <w:rFonts w:ascii="Arial" w:cs="Arial" w:eastAsia="Arial" w:hAnsi="Arial"/>
          <w:sz w:val="17"/>
          <w:szCs w:val="17"/>
          <w:color w:val="auto"/>
        </w:rPr>
        <w:t>” shall have the meaning ascribed thereto in Section 7(d)(i) of this Plan.</w:t>
      </w:r>
    </w:p>
    <w:p>
      <w:pPr>
        <w:spacing w:after="0" w:line="236" w:lineRule="exact"/>
        <w:rPr>
          <w:rFonts w:ascii="Arial" w:cs="Arial" w:eastAsia="Arial" w:hAnsi="Arial"/>
          <w:sz w:val="17"/>
          <w:szCs w:val="17"/>
          <w:color w:val="auto"/>
        </w:rPr>
      </w:pPr>
    </w:p>
    <w:p>
      <w:pPr>
        <w:ind w:left="-100" w:right="220" w:firstLine="1304"/>
        <w:spacing w:after="0" w:line="277" w:lineRule="auto"/>
        <w:tabs>
          <w:tab w:leader="none" w:pos="154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issued and allotted pursuant to a Restricted Share award under Section 7 of this Plan, or issued and allotted pursuant to the early exercise of an Option.</w:t>
      </w:r>
    </w:p>
    <w:p>
      <w:pPr>
        <w:spacing w:after="0" w:line="170" w:lineRule="exact"/>
        <w:rPr>
          <w:rFonts w:ascii="Arial" w:cs="Arial" w:eastAsia="Arial" w:hAnsi="Arial"/>
          <w:sz w:val="18"/>
          <w:szCs w:val="18"/>
          <w:color w:val="auto"/>
        </w:rPr>
      </w:pPr>
    </w:p>
    <w:p>
      <w:pPr>
        <w:ind w:left="-100" w:right="240" w:firstLine="1304"/>
        <w:spacing w:after="0" w:line="308" w:lineRule="auto"/>
        <w:tabs>
          <w:tab w:leader="none" w:pos="1521" w:val="left"/>
        </w:tabs>
        <w:numPr>
          <w:ilvl w:val="0"/>
          <w:numId w:val="3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Share Unit</w:t>
      </w:r>
      <w:r>
        <w:rPr>
          <w:rFonts w:ascii="Arial" w:cs="Arial" w:eastAsia="Arial" w:hAnsi="Arial"/>
          <w:sz w:val="17"/>
          <w:szCs w:val="17"/>
          <w:color w:val="auto"/>
        </w:rPr>
        <w:t>” means a bookkeeping entry representing an amount equal to the Fair Market Value of one Share, granted pursuant to Section 8 of this Plan. Each Restricted Share Unit represents an unfunded and unsecured obligation of the Company.</w:t>
      </w:r>
    </w:p>
    <w:p>
      <w:pPr>
        <w:spacing w:after="0" w:line="146" w:lineRule="exact"/>
        <w:rPr>
          <w:rFonts w:ascii="Arial" w:cs="Arial" w:eastAsia="Arial" w:hAnsi="Arial"/>
          <w:sz w:val="17"/>
          <w:szCs w:val="17"/>
          <w:color w:val="auto"/>
        </w:rPr>
      </w:pPr>
    </w:p>
    <w:p>
      <w:pPr>
        <w:ind w:left="-100" w:right="20" w:firstLine="1304"/>
        <w:spacing w:after="0" w:line="263" w:lineRule="auto"/>
        <w:tabs>
          <w:tab w:leader="none" w:pos="154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equity interest in, or shares of any class in the share capital (equity, preferred or otherwise) of, the Company and any convertible securities, options, warrants and any other type of equity or equity-linked securities convertible, exercisable or exchangeable for any such equity interest or shares of any class in the share capital of the Company.</w:t>
      </w:r>
    </w:p>
    <w:p>
      <w:pPr>
        <w:spacing w:after="0" w:line="183" w:lineRule="exact"/>
        <w:rPr>
          <w:rFonts w:ascii="Arial" w:cs="Arial" w:eastAsia="Arial" w:hAnsi="Arial"/>
          <w:sz w:val="18"/>
          <w:szCs w:val="18"/>
          <w:color w:val="auto"/>
        </w:rPr>
      </w:pPr>
    </w:p>
    <w:p>
      <w:pPr>
        <w:ind w:left="1520" w:hanging="316"/>
        <w:spacing w:after="0"/>
        <w:tabs>
          <w:tab w:leader="none" w:pos="15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or “</w:t>
      </w:r>
      <w:r>
        <w:rPr>
          <w:rFonts w:ascii="Arial" w:cs="Arial" w:eastAsia="Arial" w:hAnsi="Arial"/>
          <w:sz w:val="17"/>
          <w:szCs w:val="17"/>
          <w:u w:val="single" w:color="auto"/>
          <w:color w:val="auto"/>
        </w:rPr>
        <w:t>Service Providers</w:t>
      </w:r>
      <w:r>
        <w:rPr>
          <w:rFonts w:ascii="Arial" w:cs="Arial" w:eastAsia="Arial" w:hAnsi="Arial"/>
          <w:sz w:val="17"/>
          <w:szCs w:val="17"/>
          <w:color w:val="auto"/>
        </w:rPr>
        <w:t>” shall have the meaning ascribed thereto in Section 1 of this Plan.</w:t>
      </w:r>
    </w:p>
    <w:p>
      <w:pPr>
        <w:spacing w:after="0" w:line="236" w:lineRule="exact"/>
        <w:rPr>
          <w:rFonts w:ascii="Arial" w:cs="Arial" w:eastAsia="Arial" w:hAnsi="Arial"/>
          <w:sz w:val="17"/>
          <w:szCs w:val="17"/>
          <w:color w:val="auto"/>
        </w:rPr>
      </w:pPr>
    </w:p>
    <w:p>
      <w:pPr>
        <w:ind w:left="-100" w:right="40" w:firstLine="1304"/>
        <w:spacing w:after="0" w:line="277" w:lineRule="auto"/>
        <w:tabs>
          <w:tab w:leader="none" w:pos="147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Class B ordinary shares of US$0.00001 par value in the share capital of the Company, including any such shares that may be represented by American depositary shares, adjusted in accordance with Section 13 of this Plan.</w:t>
      </w:r>
    </w:p>
    <w:p>
      <w:pPr>
        <w:spacing w:after="0" w:line="170" w:lineRule="exact"/>
        <w:rPr>
          <w:rFonts w:ascii="Arial" w:cs="Arial" w:eastAsia="Arial" w:hAnsi="Arial"/>
          <w:sz w:val="18"/>
          <w:szCs w:val="18"/>
          <w:color w:val="auto"/>
        </w:rPr>
      </w:pPr>
    </w:p>
    <w:p>
      <w:pPr>
        <w:ind w:left="-100" w:right="360" w:firstLine="1304"/>
        <w:spacing w:after="0" w:line="277" w:lineRule="auto"/>
        <w:tabs>
          <w:tab w:leader="none" w:pos="154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means a person whose name is entered in the Register of Members of the Company as the holder of one or more shares in the capital of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800" w:right="419" w:bottom="1440" w:gutter="0" w:footer="0" w:header="0"/>
        </w:sectPr>
      </w:pPr>
    </w:p>
    <w:bookmarkStart w:id="372" w:name="page373"/>
    <w:bookmarkEnd w:id="372"/>
    <w:p>
      <w:pPr>
        <w:ind w:left="-20" w:right="760" w:firstLine="1304"/>
        <w:spacing w:after="0" w:line="277" w:lineRule="auto"/>
        <w:tabs>
          <w:tab w:leader="none" w:pos="162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partnership, limited liability company, or other organization, whether incorporated or unincorporated, which is controlled by the Company.</w:t>
      </w:r>
    </w:p>
    <w:p>
      <w:pPr>
        <w:spacing w:after="0" w:line="170" w:lineRule="exact"/>
        <w:rPr>
          <w:rFonts w:ascii="Arial" w:cs="Arial" w:eastAsia="Arial" w:hAnsi="Arial"/>
          <w:sz w:val="18"/>
          <w:szCs w:val="18"/>
          <w:color w:val="auto"/>
        </w:rPr>
      </w:pPr>
    </w:p>
    <w:p>
      <w:pPr>
        <w:ind w:left="-20" w:right="580" w:firstLine="1304"/>
        <w:spacing w:after="0" w:line="277" w:lineRule="auto"/>
        <w:tabs>
          <w:tab w:leader="none" w:pos="154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Plan</w:t>
      </w:r>
      <w:r>
        <w:rPr>
          <w:rFonts w:ascii="Arial" w:cs="Arial" w:eastAsia="Arial" w:hAnsi="Arial"/>
          <w:sz w:val="18"/>
          <w:szCs w:val="18"/>
          <w:color w:val="auto"/>
        </w:rPr>
        <w:t>” means in the event of a Change in Control where Awards are assumed or replaced by substituted awards, the successor plan applicable to assumed Awards and/or new substituted awards.</w:t>
      </w:r>
    </w:p>
    <w:p>
      <w:pPr>
        <w:spacing w:after="0" w:line="170" w:lineRule="exact"/>
        <w:rPr>
          <w:rFonts w:ascii="Arial" w:cs="Arial" w:eastAsia="Arial" w:hAnsi="Arial"/>
          <w:sz w:val="18"/>
          <w:szCs w:val="18"/>
          <w:color w:val="auto"/>
        </w:rPr>
      </w:pPr>
    </w:p>
    <w:p>
      <w:pPr>
        <w:ind w:left="1540" w:hanging="256"/>
        <w:spacing w:after="0"/>
        <w:tabs>
          <w:tab w:leader="none" w:pos="15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have the meaning ascribed thereto in Section 6(d)(iii) of this Plan.</w:t>
      </w:r>
    </w:p>
    <w:p>
      <w:pPr>
        <w:spacing w:after="0" w:line="225" w:lineRule="exact"/>
        <w:rPr>
          <w:rFonts w:ascii="Arial" w:cs="Arial" w:eastAsia="Arial" w:hAnsi="Arial"/>
          <w:sz w:val="18"/>
          <w:szCs w:val="18"/>
          <w:color w:val="auto"/>
        </w:rPr>
      </w:pPr>
    </w:p>
    <w:p>
      <w:pPr>
        <w:jc w:val="both"/>
        <w:ind w:left="-20" w:right="240" w:firstLine="1304"/>
        <w:spacing w:after="0" w:line="263" w:lineRule="auto"/>
        <w:tabs>
          <w:tab w:leader="none" w:pos="162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the later to occur of (i) a Liquidity Event and (ii) if so determined by the Administrator at or before the time of a Liquidity Event in order for the issuance of Shares to comply with Applicable Laws, the completion of a Successor Plan prior to or following a Liquidity Event.</w:t>
      </w:r>
    </w:p>
    <w:p>
      <w:pPr>
        <w:spacing w:after="0" w:line="183" w:lineRule="exact"/>
        <w:rPr>
          <w:rFonts w:ascii="Arial" w:cs="Arial" w:eastAsia="Arial" w:hAnsi="Arial"/>
          <w:sz w:val="18"/>
          <w:szCs w:val="18"/>
          <w:color w:val="auto"/>
        </w:rPr>
      </w:pPr>
    </w:p>
    <w:p>
      <w:pPr>
        <w:ind w:left="1540" w:hanging="256"/>
        <w:spacing w:after="0"/>
        <w:tabs>
          <w:tab w:leader="none" w:pos="15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Exercise Period</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jc w:val="both"/>
        <w:ind w:left="-20" w:right="120" w:firstLine="2276"/>
        <w:spacing w:after="0" w:line="263" w:lineRule="auto"/>
        <w:tabs>
          <w:tab w:leader="none" w:pos="2463" w:val="left"/>
        </w:tabs>
        <w:numPr>
          <w:ilvl w:val="2"/>
          <w:numId w:val="373"/>
        </w:numPr>
        <w:rPr>
          <w:rFonts w:ascii="Arial" w:cs="Arial" w:eastAsia="Arial" w:hAnsi="Arial"/>
          <w:sz w:val="18"/>
          <w:szCs w:val="18"/>
          <w:color w:val="auto"/>
        </w:rPr>
      </w:pPr>
      <w:r>
        <w:rPr>
          <w:rFonts w:ascii="Arial" w:cs="Arial" w:eastAsia="Arial" w:hAnsi="Arial"/>
          <w:sz w:val="18"/>
          <w:szCs w:val="18"/>
          <w:color w:val="auto"/>
        </w:rPr>
        <w:t>in the event of a Change in Control, whichever of the following two periods expires later: (x) the ninety (90) day period commencing on a Change in Control and (y) the ninety (90) day period commencing on the completion of the Successor Plan, if necessary to comply with Applicable Law; and</w:t>
      </w:r>
    </w:p>
    <w:p>
      <w:pPr>
        <w:spacing w:after="0" w:line="183" w:lineRule="exact"/>
        <w:rPr>
          <w:rFonts w:ascii="Arial" w:cs="Arial" w:eastAsia="Arial" w:hAnsi="Arial"/>
          <w:sz w:val="18"/>
          <w:szCs w:val="18"/>
          <w:color w:val="auto"/>
        </w:rPr>
      </w:pPr>
    </w:p>
    <w:p>
      <w:pPr>
        <w:ind w:left="-20" w:right="100" w:firstLine="2276"/>
        <w:spacing w:after="0" w:line="263" w:lineRule="auto"/>
        <w:tabs>
          <w:tab w:leader="none" w:pos="2513" w:val="left"/>
        </w:tabs>
        <w:numPr>
          <w:ilvl w:val="2"/>
          <w:numId w:val="373"/>
        </w:numPr>
        <w:rPr>
          <w:rFonts w:ascii="Arial" w:cs="Arial" w:eastAsia="Arial" w:hAnsi="Arial"/>
          <w:sz w:val="18"/>
          <w:szCs w:val="18"/>
          <w:color w:val="auto"/>
        </w:rPr>
      </w:pPr>
      <w:r>
        <w:rPr>
          <w:rFonts w:ascii="Arial" w:cs="Arial" w:eastAsia="Arial" w:hAnsi="Arial"/>
          <w:sz w:val="18"/>
          <w:szCs w:val="18"/>
          <w:color w:val="auto"/>
        </w:rPr>
        <w:t>in the event of a Qualified IPO, whichever of the following two periods expires later: (x) the thirty (30) day period commencing on the expiration of the Lock-Up Agreement period and (y) the ninety (90) day period commencing on the completion of the Successor Plan, if necessary to comply with Applicable Law to permit the issue and allotment of Shares.</w:t>
      </w:r>
    </w:p>
    <w:p>
      <w:pPr>
        <w:spacing w:after="0" w:line="183" w:lineRule="exact"/>
        <w:rPr>
          <w:rFonts w:ascii="Arial" w:cs="Arial" w:eastAsia="Arial" w:hAnsi="Arial"/>
          <w:sz w:val="18"/>
          <w:szCs w:val="18"/>
          <w:color w:val="auto"/>
        </w:rPr>
      </w:pPr>
    </w:p>
    <w:p>
      <w:pPr>
        <w:ind w:left="820" w:hanging="184"/>
        <w:spacing w:after="0"/>
        <w:tabs>
          <w:tab w:leader="none" w:pos="82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Shares Subject to this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86" w:lineRule="auto"/>
        <w:tabs>
          <w:tab w:leader="none" w:pos="152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Shares Subject to this Plan</w:t>
      </w:r>
      <w:r>
        <w:rPr>
          <w:rFonts w:ascii="Arial" w:cs="Arial" w:eastAsia="Arial" w:hAnsi="Arial"/>
          <w:sz w:val="17"/>
          <w:szCs w:val="17"/>
          <w:color w:val="auto"/>
        </w:rPr>
        <w:t>. Subject to the provisions of Section 13 of this Plan, the maximum aggregate number of Shares that may be issued for all purposes under the Plan shall be 55,000,000 (the “</w:t>
      </w:r>
      <w:r>
        <w:rPr>
          <w:rFonts w:ascii="Arial" w:cs="Arial" w:eastAsia="Arial" w:hAnsi="Arial"/>
          <w:sz w:val="17"/>
          <w:szCs w:val="17"/>
          <w:u w:val="single" w:color="auto"/>
          <w:color w:val="auto"/>
        </w:rPr>
        <w:t>Plan Limit</w:t>
      </w:r>
      <w:r>
        <w:rPr>
          <w:rFonts w:ascii="Arial" w:cs="Arial" w:eastAsia="Arial" w:hAnsi="Arial"/>
          <w:sz w:val="17"/>
          <w:szCs w:val="17"/>
          <w:color w:val="auto"/>
        </w:rPr>
        <w:t>”). Shares to be issued under the Plan may be authorized and unissued Shares, issued Shares that have been repurchased by the Company and that are being held in treasury, or a combination thereof.</w:t>
      </w:r>
    </w:p>
    <w:p>
      <w:pPr>
        <w:spacing w:after="0" w:line="165" w:lineRule="exact"/>
        <w:rPr>
          <w:rFonts w:ascii="Arial" w:cs="Arial" w:eastAsia="Arial" w:hAnsi="Arial"/>
          <w:sz w:val="17"/>
          <w:szCs w:val="17"/>
          <w:color w:val="auto"/>
        </w:rPr>
      </w:pPr>
    </w:p>
    <w:p>
      <w:pPr>
        <w:ind w:left="-20" w:right="140" w:firstLine="1304"/>
        <w:spacing w:after="0" w:line="259" w:lineRule="auto"/>
        <w:tabs>
          <w:tab w:leader="none" w:pos="1531"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Subject to the provisions of Sections 13 and 19 of the Plan, the number of Shares available for issuance under the Plan will be increased on the first calendar day of each fiscal year during the period beginning with the year immediately following the fiscal year in which a Qualified IPO is consummated, by an amount equal to 1% of the total number of Securities issued and outstanding on the last calendar day of the immediately preceding fiscal year.</w:t>
      </w:r>
    </w:p>
    <w:p>
      <w:pPr>
        <w:spacing w:after="0" w:line="186" w:lineRule="exact"/>
        <w:rPr>
          <w:rFonts w:ascii="Arial" w:cs="Arial" w:eastAsia="Arial" w:hAnsi="Arial"/>
          <w:sz w:val="18"/>
          <w:szCs w:val="18"/>
          <w:color w:val="auto"/>
        </w:rPr>
      </w:pPr>
    </w:p>
    <w:p>
      <w:pPr>
        <w:ind w:left="-20" w:right="20" w:firstLine="1304"/>
        <w:spacing w:after="0" w:line="269" w:lineRule="auto"/>
        <w:tabs>
          <w:tab w:leader="none" w:pos="152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Rules Applicable to Determining Shares Available for Issuance</w:t>
      </w:r>
      <w:r>
        <w:rPr>
          <w:rFonts w:ascii="Arial" w:cs="Arial" w:eastAsia="Arial" w:hAnsi="Arial"/>
          <w:sz w:val="17"/>
          <w:szCs w:val="17"/>
          <w:color w:val="auto"/>
        </w:rPr>
        <w:t>. The number of reserved Shares remaining available for issuance will be reduced by the number of Shares subject to outstanding Awards. For purposes of determining the number of Shares that remain available for issuance under the Plan, the number of Shares that are tendered by a Participant or withheld by the Company to pay the exercise price of an Option or to satisfy the Participant’s tax withholding obligations in connection with an Award, shall not be added back to the Plan Limit. However, for purposes of determining the number of Shares that remain available for issuance under the Plan, the number of Shares corresponding to an Option under the Plan that are forfeited or cancelled or otherwise expire for any reason without having been exercised shall be added back to the Plan Limit and again be available for the grant of Awards. Similarly, if and to the extent an Award of Restricted Shares or Restricted Share Units is cancelled or forfeited for any reason, the Shares subject to that Award shall be added back to the Plan Limit and again be available for the grant of Awards. The Shares underlying any cash-settled Award of Restricted Share Units shall not be added back to the Plan Limit. In contrast, and for the avoidance of doubt, the Shares underlying any Local Awards settled in cash shall not be counted against the Plan Limit.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373" w:name="page374"/>
    <w:bookmarkEnd w:id="373"/>
    <w:p>
      <w:pPr>
        <w:ind w:right="160" w:firstLine="1304"/>
        <w:spacing w:after="0" w:line="263" w:lineRule="auto"/>
        <w:tabs>
          <w:tab w:leader="none" w:pos="1551"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Limits on Awards to Non-Employee Directors</w:t>
      </w:r>
      <w:r>
        <w:rPr>
          <w:rFonts w:ascii="Arial" w:cs="Arial" w:eastAsia="Arial" w:hAnsi="Arial"/>
          <w:sz w:val="18"/>
          <w:szCs w:val="18"/>
          <w:color w:val="auto"/>
        </w:rPr>
        <w:t>. After the occurrence of a Qualified IPO, the total of any cash compensation and the aggregate grant date fair value (as determined in accordance with FASB ASC Topic 718 or any successor provision) of all Awards granted during any calendar year to any Non-Employee Director shall not exceed US$1,000,000.</w:t>
      </w:r>
    </w:p>
    <w:p>
      <w:pPr>
        <w:spacing w:after="0" w:line="183" w:lineRule="exact"/>
        <w:rPr>
          <w:rFonts w:ascii="Arial" w:cs="Arial" w:eastAsia="Arial" w:hAnsi="Arial"/>
          <w:sz w:val="18"/>
          <w:szCs w:val="18"/>
          <w:color w:val="auto"/>
        </w:rPr>
      </w:pPr>
    </w:p>
    <w:p>
      <w:pPr>
        <w:ind w:right="340" w:firstLine="1304"/>
        <w:spacing w:after="0" w:line="277" w:lineRule="auto"/>
        <w:tabs>
          <w:tab w:leader="none" w:pos="1540"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keep available such number of unissued Shares in its authorized capital available for issue as will be sufficient to satisfy the requirements of this Plan.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(i) the Board or (ii) a Committee, which Committee will be constituted to satisfy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Laws.</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 Plan.</w:t>
      </w:r>
    </w:p>
    <w:p>
      <w:pPr>
        <w:spacing w:after="0" w:line="248" w:lineRule="exact"/>
        <w:rPr>
          <w:rFonts w:ascii="Arial" w:cs="Arial" w:eastAsia="Arial" w:hAnsi="Arial"/>
          <w:sz w:val="16"/>
          <w:szCs w:val="16"/>
          <w:color w:val="auto"/>
        </w:rPr>
      </w:pPr>
    </w:p>
    <w:p>
      <w:pPr>
        <w:ind w:right="260" w:firstLine="1304"/>
        <w:spacing w:after="0" w:line="311" w:lineRule="auto"/>
        <w:tabs>
          <w:tab w:leader="none" w:pos="1540"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Except to the extent prohibited by Applicable Law, the Administrator may, from time to time, delegate limited authority over the day-to-day administration of the Plan to such other subcommittees or specified Officers as it deems necessary, appropriate or advisable under such conditions or limitations as it may set at the time of such delegation or thereafter. Such delegation may be revoked at any time.</w:t>
      </w:r>
    </w:p>
    <w:p>
      <w:pPr>
        <w:spacing w:after="0" w:line="148" w:lineRule="exact"/>
        <w:rPr>
          <w:rFonts w:ascii="Arial" w:cs="Arial" w:eastAsia="Arial" w:hAnsi="Arial"/>
          <w:sz w:val="16"/>
          <w:szCs w:val="16"/>
          <w:color w:val="auto"/>
        </w:rPr>
      </w:pPr>
    </w:p>
    <w:p>
      <w:pPr>
        <w:ind w:right="360" w:firstLine="1304"/>
        <w:spacing w:after="0" w:line="277" w:lineRule="auto"/>
        <w:tabs>
          <w:tab w:leader="none" w:pos="1551"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this Plan, and in the case of a Committee, subject to the specific duties delegated by the Board to such Committee, the Administrator will have the authority:</w:t>
      </w:r>
    </w:p>
    <w:p>
      <w:pPr>
        <w:spacing w:after="0" w:line="170" w:lineRule="exact"/>
        <w:rPr>
          <w:rFonts w:ascii="Arial" w:cs="Arial" w:eastAsia="Arial" w:hAnsi="Arial"/>
          <w:sz w:val="18"/>
          <w:szCs w:val="18"/>
          <w:color w:val="auto"/>
        </w:rPr>
      </w:pPr>
    </w:p>
    <w:p>
      <w:pPr>
        <w:ind w:left="2160" w:hanging="208"/>
        <w:spacing w:after="0"/>
        <w:tabs>
          <w:tab w:leader="none" w:pos="21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2"/>
          <w:numId w:val="376"/>
        </w:numPr>
        <w:rPr>
          <w:rFonts w:ascii="Arial" w:cs="Arial" w:eastAsia="Arial" w:hAnsi="Arial"/>
          <w:sz w:val="16"/>
          <w:szCs w:val="16"/>
          <w:color w:val="auto"/>
        </w:rPr>
      </w:pPr>
      <w:r>
        <w:rPr>
          <w:rFonts w:ascii="Arial" w:cs="Arial" w:eastAsia="Arial" w:hAnsi="Arial"/>
          <w:sz w:val="16"/>
          <w:szCs w:val="16"/>
          <w:color w:val="auto"/>
        </w:rPr>
        <w:t>to determine eligibility for Plan participant and select the Service Providers to whom Awards may be granted hereunder;</w:t>
      </w:r>
    </w:p>
    <w:p>
      <w:pPr>
        <w:spacing w:after="0" w:line="248" w:lineRule="exact"/>
        <w:rPr>
          <w:rFonts w:ascii="Arial" w:cs="Arial" w:eastAsia="Arial" w:hAnsi="Arial"/>
          <w:sz w:val="16"/>
          <w:szCs w:val="16"/>
          <w:color w:val="auto"/>
        </w:rPr>
      </w:pPr>
    </w:p>
    <w:p>
      <w:pPr>
        <w:ind w:left="2260" w:hanging="308"/>
        <w:spacing w:after="0"/>
        <w:tabs>
          <w:tab w:leader="none" w:pos="22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374" w:name="page375"/>
    <w:bookmarkEnd w:id="374"/>
    <w:p>
      <w:pPr>
        <w:ind w:left="-20" w:right="40" w:firstLine="1952"/>
        <w:spacing w:after="0" w:line="259" w:lineRule="auto"/>
        <w:tabs>
          <w:tab w:leader="none" w:pos="217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cancellation or repurchase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2240" w:hanging="308"/>
        <w:spacing w:after="0"/>
        <w:tabs>
          <w:tab w:leader="none" w:pos="22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construe and interpret the terms of this Plan and Awards granted pursuant to this Plan;</w:t>
      </w:r>
    </w:p>
    <w:p>
      <w:pPr>
        <w:spacing w:after="0" w:line="225" w:lineRule="exact"/>
        <w:rPr>
          <w:rFonts w:ascii="Arial" w:cs="Arial" w:eastAsia="Arial" w:hAnsi="Arial"/>
          <w:sz w:val="18"/>
          <w:szCs w:val="18"/>
          <w:color w:val="auto"/>
        </w:rPr>
      </w:pPr>
    </w:p>
    <w:p>
      <w:pPr>
        <w:jc w:val="both"/>
        <w:ind w:left="-20" w:right="180" w:firstLine="1952"/>
        <w:spacing w:after="0" w:line="286" w:lineRule="auto"/>
        <w:tabs>
          <w:tab w:leader="none" w:pos="227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this Plan, including rules and regulations relating to sub-plans and/or Local Awards established for the purpose of satisfying Applicable Laws, including, without limitation, the Exchange Act, the Securities Act, and/or qualifying for preferred tax treatment under Applicable Laws, including, without limitation, the Code;</w:t>
      </w:r>
    </w:p>
    <w:p>
      <w:pPr>
        <w:spacing w:after="0" w:line="165" w:lineRule="exact"/>
        <w:rPr>
          <w:rFonts w:ascii="Arial" w:cs="Arial" w:eastAsia="Arial" w:hAnsi="Arial"/>
          <w:sz w:val="17"/>
          <w:szCs w:val="17"/>
          <w:color w:val="auto"/>
        </w:rPr>
      </w:pPr>
    </w:p>
    <w:p>
      <w:pPr>
        <w:ind w:left="-20" w:firstLine="1952"/>
        <w:spacing w:after="0" w:line="263" w:lineRule="auto"/>
        <w:tabs>
          <w:tab w:leader="none" w:pos="232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of this Plan), including but not limited to (A) the discretionary authority to extend the post-termination exercisability period of Awards and to extend the maximum term of an Option and (B) accelerate the satisfaction of any vesting or exercisability criteria or waiver of forfeiture, cancellation or repurchase restrictions;</w:t>
      </w:r>
    </w:p>
    <w:p>
      <w:pPr>
        <w:spacing w:after="0" w:line="183" w:lineRule="exact"/>
        <w:rPr>
          <w:rFonts w:ascii="Arial" w:cs="Arial" w:eastAsia="Arial" w:hAnsi="Arial"/>
          <w:sz w:val="18"/>
          <w:szCs w:val="18"/>
          <w:color w:val="auto"/>
        </w:rPr>
      </w:pPr>
    </w:p>
    <w:p>
      <w:pPr>
        <w:ind w:left="2240" w:hanging="308"/>
        <w:spacing w:after="0"/>
        <w:tabs>
          <w:tab w:leader="none" w:pos="224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to allow Participants to satisfy withholding tax obligations in such manner as prescribed in Section 14 of this Plan;</w:t>
      </w:r>
    </w:p>
    <w:p>
      <w:pPr>
        <w:spacing w:after="0" w:line="236" w:lineRule="exact"/>
        <w:rPr>
          <w:rFonts w:ascii="Arial" w:cs="Arial" w:eastAsia="Arial" w:hAnsi="Arial"/>
          <w:sz w:val="17"/>
          <w:szCs w:val="17"/>
          <w:color w:val="auto"/>
        </w:rPr>
      </w:pPr>
    </w:p>
    <w:p>
      <w:pPr>
        <w:ind w:left="-20" w:right="620" w:firstLine="1952"/>
        <w:spacing w:after="0" w:line="277" w:lineRule="auto"/>
        <w:tabs>
          <w:tab w:leader="none" w:pos="217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20" w:right="260" w:firstLine="1952"/>
        <w:spacing w:after="0" w:line="277" w:lineRule="auto"/>
        <w:tabs>
          <w:tab w:leader="none" w:pos="222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issuance of Shares that would otherwise be due to such Participant under an Award;</w:t>
      </w:r>
    </w:p>
    <w:p>
      <w:pPr>
        <w:spacing w:after="0" w:line="170" w:lineRule="exact"/>
        <w:rPr>
          <w:rFonts w:ascii="Arial" w:cs="Arial" w:eastAsia="Arial" w:hAnsi="Arial"/>
          <w:sz w:val="18"/>
          <w:szCs w:val="18"/>
          <w:color w:val="auto"/>
        </w:rPr>
      </w:pPr>
    </w:p>
    <w:p>
      <w:pPr>
        <w:ind w:left="2280" w:hanging="348"/>
        <w:spacing w:after="0"/>
        <w:tabs>
          <w:tab w:leader="none" w:pos="22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25" w:lineRule="exact"/>
        <w:rPr>
          <w:rFonts w:ascii="Arial" w:cs="Arial" w:eastAsia="Arial" w:hAnsi="Arial"/>
          <w:sz w:val="18"/>
          <w:szCs w:val="18"/>
          <w:color w:val="auto"/>
        </w:rPr>
      </w:pPr>
    </w:p>
    <w:p>
      <w:pPr>
        <w:ind w:left="2340" w:hanging="408"/>
        <w:spacing w:after="0"/>
        <w:tabs>
          <w:tab w:leader="none" w:pos="23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determine whether Awards will be adjusted for dividend equivalents;</w:t>
      </w:r>
    </w:p>
    <w:p>
      <w:pPr>
        <w:spacing w:after="0" w:line="225" w:lineRule="exact"/>
        <w:rPr>
          <w:rFonts w:ascii="Arial" w:cs="Arial" w:eastAsia="Arial" w:hAnsi="Arial"/>
          <w:sz w:val="18"/>
          <w:szCs w:val="18"/>
          <w:color w:val="auto"/>
        </w:rPr>
      </w:pPr>
    </w:p>
    <w:p>
      <w:pPr>
        <w:ind w:left="-20" w:right="320" w:firstLine="1952"/>
        <w:spacing w:after="0" w:line="277" w:lineRule="auto"/>
        <w:tabs>
          <w:tab w:leader="none" w:pos="231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establish a program whereby Service Providers designated by the Administrator can reduce compensation otherwise payable in cash in exchange for Awards under the Plan;</w:t>
      </w:r>
    </w:p>
    <w:p>
      <w:pPr>
        <w:spacing w:after="0" w:line="170" w:lineRule="exact"/>
        <w:rPr>
          <w:rFonts w:ascii="Arial" w:cs="Arial" w:eastAsia="Arial" w:hAnsi="Arial"/>
          <w:sz w:val="18"/>
          <w:szCs w:val="18"/>
          <w:color w:val="auto"/>
        </w:rPr>
      </w:pPr>
    </w:p>
    <w:p>
      <w:pPr>
        <w:ind w:left="-20" w:firstLine="1952"/>
        <w:spacing w:after="0" w:line="275" w:lineRule="auto"/>
        <w:tabs>
          <w:tab w:leader="none" w:pos="226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without Shareholder approval, to (A) amend the terms of an outstanding Option or Local Award to reduce the exercise price or purchase price, as applicable, of such Option or Local Award; (B) cancel an outstanding Option or Local Award in exchange or substitution for an Option or Local Award with an exercise price or purchase price, as applicable, that is less than the exercise price or purchase price, as applicable, of the original Option or Local Award; or (C) cancel an outstanding Option or Local Award with an exercise price or purchase price, as applicable, above the current Fair Market Value per share covered by such Option of Local Award in exchange for cash or other securities;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375" w:name="page376"/>
    <w:bookmarkEnd w:id="375"/>
    <w:p>
      <w:pPr>
        <w:ind w:left="-8" w:right="100" w:firstLine="1952"/>
        <w:spacing w:after="0" w:line="291" w:lineRule="auto"/>
        <w:tabs>
          <w:tab w:leader="none" w:pos="2331" w:val="left"/>
        </w:tabs>
        <w:numPr>
          <w:ilvl w:val="3"/>
          <w:numId w:val="378"/>
        </w:numPr>
        <w:rPr>
          <w:rFonts w:ascii="Arial" w:cs="Arial" w:eastAsia="Arial" w:hAnsi="Arial"/>
          <w:sz w:val="16"/>
          <w:szCs w:val="16"/>
          <w:color w:val="auto"/>
        </w:rPr>
      </w:pPr>
      <w:r>
        <w:rPr>
          <w:rFonts w:ascii="Arial" w:cs="Arial" w:eastAsia="Arial" w:hAnsi="Arial"/>
          <w:sz w:val="16"/>
          <w:szCs w:val="16"/>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w:t>
      </w:r>
    </w:p>
    <w:p>
      <w:pPr>
        <w:ind w:left="292" w:hanging="292"/>
        <w:spacing w:after="0"/>
        <w:tabs>
          <w:tab w:leader="none" w:pos="29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restrictions under an insider trading policy and (B) restrictions as to the use of a specified brokerage firm for such resales or other transfers; and</w:t>
      </w:r>
    </w:p>
    <w:p>
      <w:pPr>
        <w:spacing w:after="0" w:line="222" w:lineRule="exact"/>
        <w:rPr>
          <w:rFonts w:ascii="Arial" w:cs="Arial" w:eastAsia="Arial" w:hAnsi="Arial"/>
          <w:sz w:val="17"/>
          <w:szCs w:val="17"/>
          <w:color w:val="auto"/>
        </w:rPr>
      </w:pPr>
    </w:p>
    <w:p>
      <w:pPr>
        <w:ind w:left="2392" w:hanging="448"/>
        <w:spacing w:after="0"/>
        <w:tabs>
          <w:tab w:leader="none" w:pos="2392" w:val="left"/>
        </w:tabs>
        <w:numPr>
          <w:ilvl w:val="3"/>
          <w:numId w:val="379"/>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this Plan.</w:t>
      </w:r>
    </w:p>
    <w:p>
      <w:pPr>
        <w:spacing w:after="0" w:line="225" w:lineRule="exact"/>
        <w:rPr>
          <w:rFonts w:ascii="Arial" w:cs="Arial" w:eastAsia="Arial" w:hAnsi="Arial"/>
          <w:sz w:val="18"/>
          <w:szCs w:val="18"/>
          <w:color w:val="auto"/>
        </w:rPr>
      </w:pPr>
    </w:p>
    <w:p>
      <w:pPr>
        <w:ind w:left="-8" w:right="100" w:firstLine="1304"/>
        <w:spacing w:after="0" w:line="259" w:lineRule="auto"/>
        <w:tabs>
          <w:tab w:leader="none" w:pos="1532" w:val="left"/>
        </w:tabs>
        <w:numPr>
          <w:ilvl w:val="2"/>
          <w:numId w:val="379"/>
        </w:numPr>
        <w:rPr>
          <w:rFonts w:ascii="Arial" w:cs="Arial" w:eastAsia="Arial" w:hAnsi="Arial"/>
          <w:sz w:val="18"/>
          <w:szCs w:val="18"/>
          <w:color w:val="auto"/>
        </w:rPr>
      </w:pPr>
      <w:r>
        <w:rPr>
          <w:rFonts w:ascii="Arial" w:cs="Arial" w:eastAsia="Arial" w:hAnsi="Arial"/>
          <w:sz w:val="18"/>
          <w:szCs w:val="18"/>
          <w:u w:val="single" w:color="auto"/>
          <w:color w:val="auto"/>
        </w:rPr>
        <w:t>Plan Construction and Interpretation</w:t>
      </w:r>
      <w:r>
        <w:rPr>
          <w:rFonts w:ascii="Arial" w:cs="Arial" w:eastAsia="Arial" w:hAnsi="Arial"/>
          <w:sz w:val="18"/>
          <w:szCs w:val="18"/>
          <w:color w:val="auto"/>
        </w:rPr>
        <w:t>. The Administrator shall have full power and authority, subject to the express provisions hereof, to construe and interpret the Plan. The Administrator’s decisions, determinations and interpretations in carrying out and administering the Plan and in construing and interpreting the Plan shall be made in the Administrator’s sole discretion and shall be final, binding and conclusive for all purposes and upon all persons interested herein.</w:t>
      </w:r>
    </w:p>
    <w:p>
      <w:pPr>
        <w:spacing w:after="0" w:line="186" w:lineRule="exact"/>
        <w:rPr>
          <w:rFonts w:ascii="Arial" w:cs="Arial" w:eastAsia="Arial" w:hAnsi="Arial"/>
          <w:sz w:val="18"/>
          <w:szCs w:val="18"/>
          <w:color w:val="auto"/>
        </w:rPr>
      </w:pPr>
    </w:p>
    <w:p>
      <w:pPr>
        <w:ind w:left="-8" w:firstLine="1304"/>
        <w:spacing w:after="0" w:line="272" w:lineRule="auto"/>
        <w:tabs>
          <w:tab w:leader="none" w:pos="1513" w:val="left"/>
        </w:tabs>
        <w:numPr>
          <w:ilvl w:val="2"/>
          <w:numId w:val="379"/>
        </w:numPr>
        <w:rPr>
          <w:rFonts w:ascii="Arial" w:cs="Arial" w:eastAsia="Arial" w:hAnsi="Arial"/>
          <w:sz w:val="17"/>
          <w:szCs w:val="17"/>
          <w:color w:val="auto"/>
        </w:rPr>
      </w:pPr>
      <w:r>
        <w:rPr>
          <w:rFonts w:ascii="Arial" w:cs="Arial" w:eastAsia="Arial" w:hAnsi="Arial"/>
          <w:sz w:val="17"/>
          <w:szCs w:val="17"/>
          <w:u w:val="single" w:color="auto"/>
          <w:color w:val="auto"/>
        </w:rPr>
        <w:t>Liability of Administrator</w:t>
      </w:r>
      <w:r>
        <w:rPr>
          <w:rFonts w:ascii="Arial" w:cs="Arial" w:eastAsia="Arial" w:hAnsi="Arial"/>
          <w:sz w:val="17"/>
          <w:szCs w:val="17"/>
          <w:color w:val="auto"/>
        </w:rPr>
        <w:t>. Subject to Applicable Laws: (i) no member of the Administrator (or its delegates) shall be liable for any good faith action or determination made in connection with the operation, administration or interpretation of the Plan and (ii) the members of the Administrator (and its delegates) shall be entitled to indemnification and reimbursement in the manner provided in the Company’s governing documents, as they may be amended from time to time. In the performance of its responsibilities with respect to the Plan, the Administrator shall be entitled to rely upon information and/or advice furnished by the Company’s Officers or Employees, the accountants of the Company or the Administrator, the counsel of the Company or the Administrator and any other party the Administrator deems necessary, and no member of the Administrator shall be liable for any action taken or not taken in reliance upon any such information and/or advice.</w:t>
      </w:r>
    </w:p>
    <w:p>
      <w:pPr>
        <w:spacing w:after="0" w:line="177" w:lineRule="exact"/>
        <w:rPr>
          <w:rFonts w:ascii="Arial" w:cs="Arial" w:eastAsia="Arial" w:hAnsi="Arial"/>
          <w:sz w:val="17"/>
          <w:szCs w:val="17"/>
          <w:color w:val="auto"/>
        </w:rPr>
      </w:pPr>
    </w:p>
    <w:p>
      <w:pPr>
        <w:ind w:left="-8" w:firstLine="1304"/>
        <w:spacing w:after="0" w:line="342" w:lineRule="auto"/>
        <w:tabs>
          <w:tab w:leader="none" w:pos="1543" w:val="left"/>
        </w:tabs>
        <w:numPr>
          <w:ilvl w:val="2"/>
          <w:numId w:val="379"/>
        </w:numPr>
        <w:rPr>
          <w:rFonts w:ascii="Arial" w:cs="Arial" w:eastAsia="Arial" w:hAnsi="Arial"/>
          <w:sz w:val="16"/>
          <w:szCs w:val="16"/>
          <w:color w:val="auto"/>
        </w:rPr>
      </w:pPr>
      <w:r>
        <w:rPr>
          <w:rFonts w:ascii="Arial" w:cs="Arial" w:eastAsia="Arial" w:hAnsi="Arial"/>
          <w:sz w:val="16"/>
          <w:szCs w:val="16"/>
          <w:u w:val="single" w:color="auto"/>
          <w:color w:val="auto"/>
        </w:rPr>
        <w:t>Action by the Board</w:t>
      </w:r>
      <w:r>
        <w:rPr>
          <w:rFonts w:ascii="Arial" w:cs="Arial" w:eastAsia="Arial" w:hAnsi="Arial"/>
          <w:sz w:val="16"/>
          <w:szCs w:val="16"/>
          <w:color w:val="auto"/>
        </w:rPr>
        <w:t>. Anything in the Plan to the contrary notwithstanding, subject to Applicable Laws, any authority or responsibility that, under the terms of the Plan, may be exercised by a Committee or the delegate of such Committee may alternatively be exercised by the Board.</w:t>
      </w:r>
    </w:p>
    <w:p>
      <w:pPr>
        <w:spacing w:after="0" w:line="123" w:lineRule="exact"/>
        <w:rPr>
          <w:rFonts w:ascii="Arial" w:cs="Arial" w:eastAsia="Arial" w:hAnsi="Arial"/>
          <w:sz w:val="16"/>
          <w:szCs w:val="16"/>
          <w:color w:val="auto"/>
        </w:rPr>
      </w:pPr>
    </w:p>
    <w:p>
      <w:pPr>
        <w:jc w:val="both"/>
        <w:ind w:left="-8" w:right="160" w:firstLine="656"/>
        <w:spacing w:after="0" w:line="263" w:lineRule="auto"/>
        <w:tabs>
          <w:tab w:leader="none" w:pos="820"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to Service Providers. Neither the Plan nor any Award shall confer upon a Participant any right with respect to continuing his or her relationship as a Service Provider, nor shall they interfere in any way with the right of the Participant or the right of the Company or its parent or Subsidiaries to terminate such relationship at any time, with or without cause.</w:t>
      </w:r>
    </w:p>
    <w:p>
      <w:pPr>
        <w:spacing w:after="0" w:line="183" w:lineRule="exact"/>
        <w:rPr>
          <w:rFonts w:ascii="Arial" w:cs="Arial" w:eastAsia="Arial" w:hAnsi="Arial"/>
          <w:sz w:val="18"/>
          <w:szCs w:val="18"/>
          <w:color w:val="auto"/>
        </w:rPr>
      </w:pPr>
    </w:p>
    <w:p>
      <w:pPr>
        <w:ind w:left="832" w:hanging="184"/>
        <w:spacing w:after="0"/>
        <w:tabs>
          <w:tab w:leader="none" w:pos="83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Share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4"/>
        <w:spacing w:after="0" w:line="257" w:lineRule="auto"/>
        <w:tabs>
          <w:tab w:leader="none" w:pos="1532" w:val="left"/>
        </w:tabs>
        <w:numPr>
          <w:ilvl w:val="2"/>
          <w:numId w:val="380"/>
        </w:numPr>
        <w:rPr>
          <w:rFonts w:ascii="Arial" w:cs="Arial" w:eastAsia="Arial" w:hAnsi="Arial"/>
          <w:sz w:val="18"/>
          <w:szCs w:val="18"/>
          <w:color w:val="auto"/>
        </w:rPr>
      </w:pPr>
      <w:r>
        <w:rPr>
          <w:rFonts w:ascii="Arial" w:cs="Arial" w:eastAsia="Arial" w:hAnsi="Arial"/>
          <w:sz w:val="18"/>
          <w:szCs w:val="18"/>
          <w:u w:val="single" w:color="auto"/>
          <w:color w:val="auto"/>
        </w:rPr>
        <w:t>Share Option Award Agreement</w:t>
      </w:r>
      <w:r>
        <w:rPr>
          <w:rFonts w:ascii="Arial" w:cs="Arial" w:eastAsia="Arial" w:hAnsi="Arial"/>
          <w:sz w:val="18"/>
          <w:szCs w:val="18"/>
          <w:color w:val="auto"/>
        </w:rPr>
        <w:t>. Each Award of an Option will be evidenced by an Award Agreement that will specify the vesting and exercise terms of such Award, the number of Shares that may be issued upon exercise of an Option, any restrictions or limitations regarding the Option, and such other terms and conditions as the Administrator will determine. The terms of an Option may vary among Participants, and the Plan does not impose upon the Administrator any requirement to make each Award of an Option subject to uniform terms. Accordingly, the terms of individual Award Agreements may vary.</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376" w:name="page377"/>
    <w:bookmarkEnd w:id="376"/>
    <w:p>
      <w:pPr>
        <w:ind w:left="130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Term of Option</w:t>
      </w:r>
      <w:r>
        <w:rPr>
          <w:rFonts w:ascii="Arial" w:cs="Arial" w:eastAsia="Arial" w:hAnsi="Arial"/>
          <w:sz w:val="16"/>
          <w:szCs w:val="16"/>
          <w:color w:val="auto"/>
        </w:rPr>
        <w:t>. Unless the Administrator provides otherwise in the applicable Award Agreement, the term of an Option will be 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211" w:lineRule="exact"/>
        <w:rPr>
          <w:sz w:val="20"/>
          <w:szCs w:val="20"/>
          <w:color w:val="auto"/>
        </w:rPr>
      </w:pPr>
    </w:p>
    <w:p>
      <w:pPr>
        <w:ind w:left="1540" w:hanging="236"/>
        <w:spacing w:after="0"/>
        <w:tabs>
          <w:tab w:leader="none" w:pos="154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952"/>
        <w:spacing w:after="0" w:line="277" w:lineRule="auto"/>
        <w:tabs>
          <w:tab w:leader="none" w:pos="2159"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per share exercise price for the Shares to be issued pursuant to exercise of an Option will be determined by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per Share exercise price will be no less than the par value of a Share.</w:t>
      </w:r>
    </w:p>
    <w:p>
      <w:pPr>
        <w:spacing w:after="0" w:line="170" w:lineRule="exact"/>
        <w:rPr>
          <w:rFonts w:ascii="Arial" w:cs="Arial" w:eastAsia="Arial" w:hAnsi="Arial"/>
          <w:sz w:val="18"/>
          <w:szCs w:val="18"/>
          <w:color w:val="auto"/>
        </w:rPr>
      </w:pPr>
    </w:p>
    <w:p>
      <w:pPr>
        <w:ind w:firstLine="1952"/>
        <w:spacing w:after="0" w:line="273" w:lineRule="auto"/>
        <w:tabs>
          <w:tab w:leader="none" w:pos="2209" w:val="left"/>
        </w:tabs>
        <w:numPr>
          <w:ilvl w:val="1"/>
          <w:numId w:val="381"/>
        </w:numPr>
        <w:rPr>
          <w:rFonts w:ascii="Arial" w:cs="Arial" w:eastAsia="Arial" w:hAnsi="Arial"/>
          <w:sz w:val="17"/>
          <w:szCs w:val="17"/>
          <w:color w:val="auto"/>
        </w:rPr>
      </w:pPr>
      <w:r>
        <w:rPr>
          <w:rFonts w:ascii="Arial" w:cs="Arial" w:eastAsia="Arial" w:hAnsi="Arial"/>
          <w:sz w:val="17"/>
          <w:szCs w:val="17"/>
          <w:u w:val="single" w:color="auto"/>
          <w:color w:val="auto"/>
        </w:rPr>
        <w:t>Vesting and Exercise Dates</w:t>
      </w:r>
      <w:r>
        <w:rPr>
          <w:rFonts w:ascii="Arial" w:cs="Arial" w:eastAsia="Arial" w:hAnsi="Arial"/>
          <w:sz w:val="17"/>
          <w:szCs w:val="17"/>
          <w:color w:val="auto"/>
        </w:rPr>
        <w:t>. At the time an Option is granted, the Administrator will fix the period within which the Option shall vest and may be exercised and will determine any conditions that must be satisfied before the Option may vest or be exercised. Unless specified otherwise in the Award Agreement, and subject to the other provisions of the Plan, including, without limitation, Section 6(d) and Section 13(c) of the Plan, one-third(1/3) of the Shares subject to an Award will vest on each of the first, second and third annual anniversaries of the vesting commencement date. The Administrator may accelerate the vesting of an Award at any time. Notwithstanding the foregoing, unless the Administrator provides otherwise, no Option will be permitted to be exercised prior to the occurrence of a Qualified IPO.</w:t>
      </w:r>
    </w:p>
    <w:p>
      <w:pPr>
        <w:spacing w:after="0" w:line="177" w:lineRule="exact"/>
        <w:rPr>
          <w:rFonts w:ascii="Arial" w:cs="Arial" w:eastAsia="Arial" w:hAnsi="Arial"/>
          <w:sz w:val="17"/>
          <w:szCs w:val="17"/>
          <w:color w:val="auto"/>
        </w:rPr>
      </w:pPr>
    </w:p>
    <w:p>
      <w:pPr>
        <w:ind w:right="20" w:firstLine="1952"/>
        <w:spacing w:after="0" w:line="291" w:lineRule="auto"/>
        <w:tabs>
          <w:tab w:leader="none" w:pos="2259"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Such consideration may consist entirely of: (A) cash, (B) check, (C) promissory note, to the extent permitted by Applicable Laws, (D)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(E) consideration received by the Company under a broker-assisted (or other) cashless exercise program (whether through a broker or otherwise) implemented by the Company in connection with this Plan, (F) by net exercise, (G) such other consideration and method of payment for the issuance of Shares to the extent permitted by Applicable Laws, or (H) any combination of the foregoing methods of payment.</w:t>
      </w:r>
    </w:p>
    <w:p>
      <w:pPr>
        <w:spacing w:after="0" w:line="166" w:lineRule="exact"/>
        <w:rPr>
          <w:rFonts w:ascii="Arial" w:cs="Arial" w:eastAsia="Arial" w:hAnsi="Arial"/>
          <w:sz w:val="16"/>
          <w:szCs w:val="16"/>
          <w:color w:val="auto"/>
        </w:rPr>
      </w:pPr>
    </w:p>
    <w:p>
      <w:pPr>
        <w:ind w:left="1560" w:hanging="256"/>
        <w:spacing w:after="0"/>
        <w:tabs>
          <w:tab w:leader="none" w:pos="15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2"/>
        <w:spacing w:after="0" w:line="269" w:lineRule="auto"/>
        <w:tabs>
          <w:tab w:leader="none" w:pos="2159" w:val="left"/>
        </w:tabs>
        <w:numPr>
          <w:ilvl w:val="1"/>
          <w:numId w:val="381"/>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Shareholder</w:t>
      </w:r>
      <w:r>
        <w:rPr>
          <w:rFonts w:ascii="Arial" w:cs="Arial" w:eastAsia="Arial" w:hAnsi="Arial"/>
          <w:sz w:val="17"/>
          <w:szCs w:val="17"/>
          <w:color w:val="auto"/>
        </w:rPr>
        <w:t xml:space="preserve">. Any vested portion of the Option granted hereunder will be exercisable according to the terms of this Plan and at such times and under such conditions as determined by the Administrator and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the Administrator provides otherwise in an Award Agreement, or except as provided in Section 13(c) of this Plan, an Option may not be exercised prior to a Qualified IPO. An Option will be deemed exercised when the Company receives: (A) a notice of exercise (in such form as the Administrator may specify from time to time) from the person entitled to exercise the Option, (B) full payment for the Shares with respect to which the Option is exercised (together with applicable withholding taxes) and (C) all representations, indemnifications, and documents reasonably requested by the Administrator including, without limitation, any shareholders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exercise complies with the terms of this Plan and the applicable provisions of the applicable Award Agreement. Full payment may consist of any consideration and method of payment authorized by the Administrator and permitted by the Award Agreement and the Plan. Shares issued and allotted upon exercise of an Option will be issued in the name of the Participant or, if requested by the Participant, in the name of the Participant and his or her spouse. Exercising an Option in any manner will decrease the number of Shares thereafter available for sale under the Option, by the number of Shares as to which the Option is exercised. An Option may not be exercised for a fraction of a Share.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77" w:name="page378"/>
    <w:bookmarkEnd w:id="377"/>
    <w:p>
      <w:pPr>
        <w:ind w:left="-20" w:firstLine="1952"/>
        <w:spacing w:after="0" w:line="275" w:lineRule="auto"/>
        <w:tabs>
          <w:tab w:leader="none" w:pos="2189"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Rights of a Shareholder</w:t>
      </w:r>
      <w:r>
        <w:rPr>
          <w:rFonts w:ascii="Arial" w:cs="Arial" w:eastAsia="Arial" w:hAnsi="Arial"/>
          <w:sz w:val="17"/>
          <w:szCs w:val="17"/>
          <w:color w:val="auto"/>
        </w:rPr>
        <w:t>. Until Shares are issued and allotted (as evidenced by the appropriate entry in the Register of Members of the Company) and subject to Section 12 of this Plan, no right to receive dividends or any other rights as a Shareholder will exist with respect to the Shares subject to an Option, notwithstanding the exercise of the Option. Subject to subsection (vi) below, the Company will issue and allot (or cause to be issued and allotted) Shares promptly after the Option is exercised. No adjustment will be made for a dividend or other right for which the record date is prior to the date the Shares are issued and allotted, except as provided in Section 13 of this Plan.</w:t>
      </w:r>
    </w:p>
    <w:p>
      <w:pPr>
        <w:spacing w:after="0" w:line="176" w:lineRule="exact"/>
        <w:rPr>
          <w:rFonts w:ascii="Arial" w:cs="Arial" w:eastAsia="Arial" w:hAnsi="Arial"/>
          <w:sz w:val="17"/>
          <w:szCs w:val="17"/>
          <w:color w:val="auto"/>
        </w:rPr>
      </w:pPr>
    </w:p>
    <w:p>
      <w:pPr>
        <w:ind w:left="-20" w:right="20" w:firstLine="1952"/>
        <w:spacing w:after="0" w:line="269" w:lineRule="auto"/>
        <w:tabs>
          <w:tab w:leader="none" w:pos="2239"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 Prior to the Occurrence of a Triggering Event</w:t>
      </w:r>
      <w:r>
        <w:rPr>
          <w:rFonts w:ascii="Arial" w:cs="Arial" w:eastAsia="Arial" w:hAnsi="Arial"/>
          <w:sz w:val="17"/>
          <w:szCs w:val="17"/>
          <w:color w:val="auto"/>
        </w:rPr>
        <w:t>. If a Participant ceases to be a Service Provider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xml:space="preserve">”) prior to the occurrence of a Triggering Event, any vested Option held by such Participant shall remain outstanding for such period of time as is specified in the Award Agreement (but in no event following the expiration of the term of such Option as set forth in the Award Agreement), and, in the absence of a specified time in the Award Agreement, such vested Option shall remain outstanding following the Termination of Service until the expiration of the Triggering Event Exercise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Termination of Service due to death or Disability of such Participant within the three (3) month period preceding a Triggering Event, the periods referenced in the Triggering Event Exercise Period shall be extended to twelve (12) months. Unless otherwise provided by the Administrator, on the date of Termination of Service, the Shares covered by any unvested Option will revert to this Plan. If after the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185" w:lineRule="exact"/>
        <w:rPr>
          <w:rFonts w:ascii="Arial" w:cs="Arial" w:eastAsia="Arial" w:hAnsi="Arial"/>
          <w:sz w:val="17"/>
          <w:szCs w:val="17"/>
          <w:color w:val="auto"/>
        </w:rPr>
      </w:pPr>
    </w:p>
    <w:p>
      <w:pPr>
        <w:ind w:left="-20" w:right="20" w:firstLine="1952"/>
        <w:spacing w:after="0" w:line="271" w:lineRule="auto"/>
        <w:tabs>
          <w:tab w:leader="none" w:pos="2229"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 After the Occurrence of a Triggering Event</w:t>
      </w:r>
      <w:r>
        <w:rPr>
          <w:rFonts w:ascii="Arial" w:cs="Arial" w:eastAsia="Arial" w:hAnsi="Arial"/>
          <w:sz w:val="17"/>
          <w:szCs w:val="17"/>
          <w:color w:val="auto"/>
        </w:rPr>
        <w:t xml:space="preserve">. In the event of a Participant’s Termination of Service after the occurrence of a Triggering Event, any vested Option shall remain exercisable for such period as is specified in the Award Agreement, and, in the absence of a specified time in the Award Agreement, an Option shall remain outstanding for twelve (12) months in the event of Termination of Service due to death or Disability of such Participant and three (3) months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 Option shall cease to be outstanding and shall no longer be exercisable ten (10) years from the date the Option is granted. Unless otherwise provided by the Administrator, on the date of Termination of Service, the Shares covered by any unvested Option will revert to this Plan. If after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378" w:name="page379"/>
    <w:bookmarkEnd w:id="378"/>
    <w:p>
      <w:pPr>
        <w:ind w:right="20" w:firstLine="1952"/>
        <w:spacing w:after="0" w:line="270" w:lineRule="auto"/>
        <w:tabs>
          <w:tab w:leader="none" w:pos="2199" w:val="left"/>
        </w:tabs>
        <w:numPr>
          <w:ilvl w:val="2"/>
          <w:numId w:val="383"/>
        </w:numPr>
        <w:rPr>
          <w:rFonts w:ascii="Arial" w:cs="Arial" w:eastAsia="Arial" w:hAnsi="Arial"/>
          <w:sz w:val="17"/>
          <w:szCs w:val="17"/>
          <w:color w:val="auto"/>
        </w:rPr>
      </w:pPr>
      <w:r>
        <w:rPr>
          <w:rFonts w:ascii="Arial" w:cs="Arial" w:eastAsia="Arial" w:hAnsi="Arial"/>
          <w:sz w:val="17"/>
          <w:szCs w:val="17"/>
          <w:u w:val="single" w:color="auto"/>
          <w:color w:val="auto"/>
        </w:rPr>
        <w:t>Exercise upon death</w:t>
      </w:r>
      <w:r>
        <w:rPr>
          <w:rFonts w:ascii="Arial" w:cs="Arial" w:eastAsia="Arial" w:hAnsi="Arial"/>
          <w:sz w:val="17"/>
          <w:szCs w:val="17"/>
          <w:color w:val="auto"/>
        </w:rPr>
        <w:t>. In the event of the Participant’s death, the Participant’s Option, to the extent vested and exercisable, may be exercised by the Participant’s designated beneficiary, provided such beneficiary has been designated prior to the Participant’s death in a form acceptable to the Administrator. If no such beneficiary has been designated by the Participant, then the Participant’s Option may be exercised by the personal representative of the Participant’s estate or by the person(s) to whom the Participant’s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exercised as to all of the vested Awarded Shares within the time specified by the Administrator, the Option will terminate, and the remaining Shares covered by such Option will revert to the Plan.</w:t>
      </w:r>
    </w:p>
    <w:p>
      <w:pPr>
        <w:spacing w:after="0" w:line="180" w:lineRule="exact"/>
        <w:rPr>
          <w:rFonts w:ascii="Arial" w:cs="Arial" w:eastAsia="Arial" w:hAnsi="Arial"/>
          <w:sz w:val="17"/>
          <w:szCs w:val="17"/>
          <w:color w:val="auto"/>
        </w:rPr>
      </w:pPr>
    </w:p>
    <w:p>
      <w:pPr>
        <w:ind w:right="40" w:firstLine="1952"/>
        <w:spacing w:after="0" w:line="308" w:lineRule="auto"/>
        <w:tabs>
          <w:tab w:leader="none" w:pos="2249" w:val="left"/>
        </w:tabs>
        <w:numPr>
          <w:ilvl w:val="2"/>
          <w:numId w:val="383"/>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Notwithstanding anything herein to the contrary, upon the exercise of an Option, the Administrator shall have the discretion to provide for payment in cash or property of equivalent value in lieu of the Shares that otherwise would be issued.</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40" w:firstLine="1304"/>
        <w:spacing w:after="0" w:line="308" w:lineRule="auto"/>
        <w:tabs>
          <w:tab w:leader="none" w:pos="154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Issue and Allotment of Restricted Shares</w:t>
      </w:r>
      <w:r>
        <w:rPr>
          <w:rFonts w:ascii="Arial" w:cs="Arial" w:eastAsia="Arial" w:hAnsi="Arial"/>
          <w:sz w:val="17"/>
          <w:szCs w:val="17"/>
          <w:color w:val="auto"/>
        </w:rPr>
        <w:t>. Subject to the terms and provisions of the Plan, the Administrator, at any time and from time to time, may issue and allot Restricted Shares to Service Providers in such amounts as the Administrator will determine.</w:t>
      </w:r>
    </w:p>
    <w:p>
      <w:pPr>
        <w:spacing w:after="0" w:line="146" w:lineRule="exact"/>
        <w:rPr>
          <w:rFonts w:ascii="Arial" w:cs="Arial" w:eastAsia="Arial" w:hAnsi="Arial"/>
          <w:sz w:val="17"/>
          <w:szCs w:val="17"/>
          <w:color w:val="auto"/>
        </w:rPr>
      </w:pPr>
    </w:p>
    <w:p>
      <w:pPr>
        <w:ind w:firstLine="1304"/>
        <w:spacing w:after="0" w:line="255" w:lineRule="auto"/>
        <w:tabs>
          <w:tab w:leader="none" w:pos="1551"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Restricted Share Award Agreement</w:t>
      </w:r>
      <w:r>
        <w:rPr>
          <w:rFonts w:ascii="Arial" w:cs="Arial" w:eastAsia="Arial" w:hAnsi="Arial"/>
          <w:sz w:val="18"/>
          <w:szCs w:val="18"/>
          <w:color w:val="auto"/>
        </w:rPr>
        <w:t>. Each Award of Restricted Shares will be evidenced by an Award Agreement that will specify the Restriction Period, the number of Shares issued and allotted, and such other terms and conditions as the Administrator will determine. The prospective recipient of an Award of Restricted Shares will not have any rights with respect to such Award, unless and until such recipient has delivered to the Company an executed Award Agreement and has otherwise complied with the applicable terms and conditions of such Award. The Administrator may arrange to have the Company hold Restricted Shares in custody or designate an escrow agent to hold Restricted Shares, in each case until the restrictions on such Shares have lapsed.</w:t>
      </w:r>
    </w:p>
    <w:p>
      <w:pPr>
        <w:spacing w:after="0" w:line="192" w:lineRule="exact"/>
        <w:rPr>
          <w:rFonts w:ascii="Arial" w:cs="Arial" w:eastAsia="Arial" w:hAnsi="Arial"/>
          <w:sz w:val="18"/>
          <w:szCs w:val="18"/>
          <w:color w:val="auto"/>
        </w:rPr>
      </w:pPr>
    </w:p>
    <w:p>
      <w:pPr>
        <w:ind w:right="460" w:firstLine="1304"/>
        <w:spacing w:after="0" w:line="263" w:lineRule="auto"/>
        <w:tabs>
          <w:tab w:leader="none" w:pos="1540"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Any share certificate issued in connection with an Award of Restricted Shares will be registered in the name of the Participant receiving the Award, and will bear the following legend and/or any other legend required by this Plan, any shareholders agreement among Shareholders of the Company, the Award Agreement or by Applicable Law:</w:t>
      </w:r>
    </w:p>
    <w:p>
      <w:pPr>
        <w:spacing w:after="0" w:line="180" w:lineRule="exact"/>
        <w:rPr>
          <w:sz w:val="20"/>
          <w:szCs w:val="20"/>
          <w:color w:val="auto"/>
        </w:rPr>
      </w:pPr>
    </w:p>
    <w:p>
      <w:pPr>
        <w:jc w:val="both"/>
        <w:ind w:left="1300" w:right="1280"/>
        <w:spacing w:after="0" w:line="253" w:lineRule="auto"/>
        <w:rPr>
          <w:sz w:val="20"/>
          <w:szCs w:val="20"/>
          <w:color w:val="auto"/>
        </w:rPr>
      </w:pPr>
      <w:r>
        <w:rPr>
          <w:rFonts w:ascii="Arial" w:cs="Arial" w:eastAsia="Arial" w:hAnsi="Arial"/>
          <w:sz w:val="18"/>
          <w:szCs w:val="18"/>
          <w:b w:val="1"/>
          <w:bCs w:val="1"/>
          <w:color w:val="auto"/>
        </w:rPr>
        <w:t>THE SECURITIES REPRESENTED HEREBY HAVE NOT BEEN REGISTERED UNDER THE SECURITIES ACT OF 1933, AS AMENDED, OR QUALIFIED OR REGISTERED UNDER STATE SECURITIES OR BLUE SKY LAWS. THESE SECURITIES HAVE BEEN ACQUIRED FOR INVESTMENT AND NOT WITH A VIEW TO DISTRIBUTION, AND NEITHER THESE SECURITIES NOR ANY INTEREST OR PARTICIPATION THEREIN MAY BE SOLD, OFFERED FOR SALE, PLEDGED, HYPOTHECATED OR OTHERWISE TRANSFERRED OR DISPOSED OF EXCEPT IN COMPLIANCE WITH THE SECURITIES ACT OF 1933, AS AMENDED, APPLICABLE STATE SECURITIES OR BLUE SKY LAWS AND THE APPLICABLE RULES AND REGULATIONS THEREUNDER.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jc w:val="both"/>
        <w:ind w:left="1300" w:right="1280"/>
        <w:spacing w:after="0" w:line="256" w:lineRule="auto"/>
        <w:rPr>
          <w:sz w:val="20"/>
          <w:szCs w:val="20"/>
          <w:color w:val="auto"/>
        </w:rPr>
      </w:pPr>
      <w:r>
        <w:rPr>
          <w:rFonts w:ascii="Arial" w:cs="Arial" w:eastAsia="Arial" w:hAnsi="Arial"/>
          <w:sz w:val="18"/>
          <w:szCs w:val="18"/>
          <w:b w:val="1"/>
          <w:bCs w:val="1"/>
          <w:color w:val="auto"/>
        </w:rPr>
        <w:t>THE SHARES REPRESENTED BY THIS CERTIFICATE ARE SUBJECT TO CERTAIN RESTRICTIONS ON TRANSFER AND A RIGHT OF FIRST REFUSAL HELD BY THE ISSUER OR ITS ASSIGNEE(S) AS SET FORTH IN THE RESTRICTED SHARE AGREEMENT BETWEEN THE ISSUER AND THE ORIGINAL HOLDER OF THESE SHARES, A COPY OF WHICH MAY BE OBTAINED AT THE PRINCIPAL OFFICE OF THE ISSUER. SUCH TRANSFER RESTRICTIONS AND RIGHT OF FIRST REFUSAL ARE BINDING ON TRANSFEREES OF THESE SHARES.</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 certificates evidencing Restricted Shares will be held in custody by the Company or in escrow by an escrow agent until the restrictions thereon have lapsed.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79" w:name="page380"/>
    <w:bookmarkEnd w:id="379"/>
    <w:p>
      <w:pPr>
        <w:ind w:left="-20" w:right="440" w:firstLine="1304"/>
        <w:spacing w:after="0" w:line="342" w:lineRule="auto"/>
        <w:tabs>
          <w:tab w:leader="none" w:pos="1531" w:val="left"/>
        </w:tabs>
        <w:numPr>
          <w:ilvl w:val="1"/>
          <w:numId w:val="385"/>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Award Agreement evidencing the grant of any Restricted Shares will incorporate the following terms and conditions and such additional terms and conditions, not inconsistent with the terms of the Plan, as the Administrator deems appropriate:</w:t>
      </w:r>
    </w:p>
    <w:p>
      <w:pPr>
        <w:spacing w:after="0" w:line="123" w:lineRule="exact"/>
        <w:rPr>
          <w:rFonts w:ascii="Arial" w:cs="Arial" w:eastAsia="Arial" w:hAnsi="Arial"/>
          <w:sz w:val="16"/>
          <w:szCs w:val="16"/>
          <w:color w:val="auto"/>
        </w:rPr>
      </w:pPr>
    </w:p>
    <w:p>
      <w:pPr>
        <w:ind w:left="-20" w:firstLine="1952"/>
        <w:spacing w:after="0" w:line="290" w:lineRule="auto"/>
        <w:tabs>
          <w:tab w:leader="none" w:pos="2139" w:val="left"/>
        </w:tabs>
        <w:numPr>
          <w:ilvl w:val="2"/>
          <w:numId w:val="385"/>
        </w:numPr>
        <w:rPr>
          <w:rFonts w:ascii="Arial" w:cs="Arial" w:eastAsia="Arial" w:hAnsi="Arial"/>
          <w:sz w:val="16"/>
          <w:szCs w:val="16"/>
          <w:color w:val="auto"/>
        </w:rPr>
      </w:pPr>
      <w:r>
        <w:rPr>
          <w:rFonts w:ascii="Arial" w:cs="Arial" w:eastAsia="Arial" w:hAnsi="Arial"/>
          <w:sz w:val="16"/>
          <w:szCs w:val="16"/>
          <w:u w:val="single" w:color="auto"/>
          <w:color w:val="auto"/>
        </w:rPr>
        <w:t>Restriction Period</w:t>
      </w:r>
      <w:r>
        <w:rPr>
          <w:rFonts w:ascii="Arial" w:cs="Arial" w:eastAsia="Arial" w:hAnsi="Arial"/>
          <w:sz w:val="16"/>
          <w:szCs w:val="16"/>
          <w:color w:val="auto"/>
        </w:rPr>
        <w:t>. During a period commencing with the date of an Award of Restricted Shares and ending on the later to occur of (i) such time or times as specified by the Award Agreement (the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or (ii) a Triggering Event, the Participant will not be permitted to sell, transfer, pledge, assign or otherwise encumber Restricted Shares awarded under the Plan. The Administrator may condition the lapse of restrictions on Restricted Shares upon the continued employment or service of the recipient, the attainment of specified individual or corporate performance goals, or such other factors as the Administrator may determine. Unless specified otherwise in the Award Agreement, and subject to the other provisions of the Plan, including, without limitation, this Section 7 and Section 13(c) of the Plan, one-third (1/3) of the Restricted Shares subject to an Award will vest, and the restrictions on those Shares will lapse, on each of the first, second and third annual anniversaries of the vesting commencement date. Unless the Administrator provides otherwise, no Restricted Share subject to an Award will vest before the occurrence of a Qualified IPO.</w:t>
      </w:r>
    </w:p>
    <w:p>
      <w:pPr>
        <w:spacing w:after="0" w:line="165" w:lineRule="exact"/>
        <w:rPr>
          <w:rFonts w:ascii="Arial" w:cs="Arial" w:eastAsia="Arial" w:hAnsi="Arial"/>
          <w:sz w:val="16"/>
          <w:szCs w:val="16"/>
          <w:color w:val="auto"/>
        </w:rPr>
      </w:pPr>
    </w:p>
    <w:p>
      <w:pPr>
        <w:ind w:left="-20" w:right="100" w:firstLine="1952"/>
        <w:spacing w:after="0" w:line="263" w:lineRule="auto"/>
        <w:tabs>
          <w:tab w:leader="none" w:pos="2189"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Subject to the provisions of the applicable Award Agreement or as otherwise determined by the Administrator, in the event of a Participant’s Termination of Service prior to the expiration of the applicable Restriction Period, the Participant’s Restricted Shares then remaining subject to forfeiture will be forfeited automatically.</w:t>
      </w:r>
    </w:p>
    <w:p>
      <w:pPr>
        <w:spacing w:after="0" w:line="183" w:lineRule="exact"/>
        <w:rPr>
          <w:rFonts w:ascii="Arial" w:cs="Arial" w:eastAsia="Arial" w:hAnsi="Arial"/>
          <w:sz w:val="18"/>
          <w:szCs w:val="18"/>
          <w:color w:val="auto"/>
        </w:rPr>
      </w:pPr>
    </w:p>
    <w:p>
      <w:pPr>
        <w:ind w:left="-20" w:right="100" w:firstLine="1952"/>
        <w:spacing w:after="0" w:line="255" w:lineRule="auto"/>
        <w:tabs>
          <w:tab w:leader="none" w:pos="2239"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Upon the later to occur of (i) the expiration of the Restriction Period without a prior forfeiture or repurchase by the Company of the Restricted Shares subject to such Restriction Period or (ii) a Triggering Event, the Restricted Shares will be released from custody or escrow and any certificates for such Shares will be replaced with new certificates, without the restrictive legends described in Section 7(c) applicable to such lapsed restrictions, and such new certificates will be delivered to the Participant, the Participant’s representative (if the Participant has suffered a Disability), or the Participant’s estate or heir (if the Participant has died). Notwithstanding the foregoing, the Administrator may accelerate the time at which any restrictions will lapse or be removed.</w:t>
      </w:r>
    </w:p>
    <w:p>
      <w:pPr>
        <w:spacing w:after="0" w:line="192" w:lineRule="exact"/>
        <w:rPr>
          <w:rFonts w:ascii="Arial" w:cs="Arial" w:eastAsia="Arial" w:hAnsi="Arial"/>
          <w:sz w:val="18"/>
          <w:szCs w:val="18"/>
          <w:color w:val="auto"/>
        </w:rPr>
      </w:pPr>
    </w:p>
    <w:p>
      <w:pPr>
        <w:ind w:left="-20" w:right="20" w:firstLine="1304"/>
        <w:spacing w:after="0" w:line="257" w:lineRule="auto"/>
        <w:tabs>
          <w:tab w:leader="none" w:pos="1520"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Service Providers holding Restricted Shares will be entitled to receive all dividends and other distributions paid with respect to the vested Restricted Shares, unless the Administrator provides otherwise and except as required to comply with Applicable Laws. If any such dividends or distributions are paid in Shares, the Shares will be subject to the same restrictions and provisions on transferability and repurchase by the Company as the Restricted Shares with respect to which they were paid until such restrictions on the Restricted Shares have lapsed or been removed in accordance with Section 7(d) of this Plan.</w:t>
      </w:r>
    </w:p>
    <w:p>
      <w:pPr>
        <w:spacing w:after="0" w:line="187" w:lineRule="exact"/>
        <w:rPr>
          <w:rFonts w:ascii="Arial" w:cs="Arial" w:eastAsia="Arial" w:hAnsi="Arial"/>
          <w:sz w:val="18"/>
          <w:szCs w:val="18"/>
          <w:color w:val="auto"/>
        </w:rPr>
      </w:pPr>
    </w:p>
    <w:p>
      <w:pPr>
        <w:ind w:left="-20" w:right="240" w:firstLine="1304"/>
        <w:spacing w:after="0" w:line="342" w:lineRule="auto"/>
        <w:tabs>
          <w:tab w:leader="none" w:pos="1501" w:val="left"/>
        </w:tabs>
        <w:numPr>
          <w:ilvl w:val="1"/>
          <w:numId w:val="385"/>
        </w:numPr>
        <w:rPr>
          <w:rFonts w:ascii="Arial" w:cs="Arial" w:eastAsia="Arial" w:hAnsi="Arial"/>
          <w:sz w:val="16"/>
          <w:szCs w:val="16"/>
          <w:color w:val="auto"/>
        </w:rPr>
      </w:pPr>
      <w:r>
        <w:rPr>
          <w:rFonts w:ascii="Arial" w:cs="Arial" w:eastAsia="Arial" w:hAnsi="Arial"/>
          <w:sz w:val="16"/>
          <w:szCs w:val="16"/>
          <w:u w:val="single" w:color="auto"/>
          <w:color w:val="auto"/>
        </w:rPr>
        <w:t>Return of Restricted Shares to Company</w:t>
      </w:r>
      <w:r>
        <w:rPr>
          <w:rFonts w:ascii="Arial" w:cs="Arial" w:eastAsia="Arial" w:hAnsi="Arial"/>
          <w:sz w:val="16"/>
          <w:szCs w:val="16"/>
          <w:color w:val="auto"/>
        </w:rPr>
        <w:t>. On the date set forth in the Award Agreement, the Restricted Shares for which restrictions have not lapsed will be subject to repurchase by the Company and, if so repurchased, again will become available for grant under this Plan.</w:t>
      </w:r>
    </w:p>
    <w:p>
      <w:pPr>
        <w:spacing w:after="0" w:line="123" w:lineRule="exact"/>
        <w:rPr>
          <w:rFonts w:ascii="Arial" w:cs="Arial" w:eastAsia="Arial" w:hAnsi="Arial"/>
          <w:sz w:val="16"/>
          <w:szCs w:val="16"/>
          <w:color w:val="auto"/>
        </w:rPr>
      </w:pPr>
    </w:p>
    <w:p>
      <w:pPr>
        <w:ind w:left="820" w:hanging="184"/>
        <w:spacing w:after="0"/>
        <w:tabs>
          <w:tab w:leader="none" w:pos="82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80" w:firstLine="1304"/>
        <w:spacing w:after="0" w:line="286" w:lineRule="auto"/>
        <w:tabs>
          <w:tab w:leader="none" w:pos="1520" w:val="left"/>
        </w:tabs>
        <w:numPr>
          <w:ilvl w:val="1"/>
          <w:numId w:val="386"/>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terms and provisions of the Plan, the Administrator, at any time and from time to time, may grant Restricted Share Units to Service Providers and may impose conditions on such units as it may deem appropriate, including, without limitation, the continued employment or service of the recipient or the attainment of specified individual or corporate performance goals.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380" w:name="page381"/>
    <w:bookmarkEnd w:id="380"/>
    <w:p>
      <w:pPr>
        <w:ind w:left="-40" w:firstLine="1304"/>
        <w:spacing w:after="0" w:line="270" w:lineRule="auto"/>
        <w:tabs>
          <w:tab w:leader="none" w:pos="1511"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Each Restricted Share Unit shall be evidenced by an Award Agreement that will specify the applicable vesting criteria, the number of Restricted Share Units granted, the terms and conditions relating to the time and form of payment and termination of units, and such other terms and conditions as the Administrator will determine. Each Restricted Share Unit will represent a right to receive from the Company, upon fulfillment of any applicable conditions, an amount equal to the Fair Market Value (at the time of the distribution) of one Share. The Participant shall not have any shareholder rights with respect to any Shares subject to a Restricted Share Unit until that Award vests and such Shares are actually issued thereunder and registered in the Company’s Register of Members. The Participant will not be permitted to sell, transfer, pledge, assign or otherwise encumber Restricted Share Units awarded under the Plan. Subject to the provisions of the applicable Award Agreement, or as otherwise determined by the Administrator, if a Participant’s service with the Company terminates prior to the Restricted Share Unit vesting, the Participant’s Restricted Share Units that then remain subject to forfeiture will then be forfeited automatically.</w:t>
      </w:r>
    </w:p>
    <w:p>
      <w:pPr>
        <w:spacing w:after="0" w:line="180" w:lineRule="exact"/>
        <w:rPr>
          <w:rFonts w:ascii="Arial" w:cs="Arial" w:eastAsia="Arial" w:hAnsi="Arial"/>
          <w:sz w:val="17"/>
          <w:szCs w:val="17"/>
          <w:color w:val="auto"/>
        </w:rPr>
      </w:pPr>
    </w:p>
    <w:p>
      <w:pPr>
        <w:ind w:left="-40" w:right="20" w:firstLine="1304"/>
        <w:spacing w:after="0" w:line="257" w:lineRule="auto"/>
        <w:tabs>
          <w:tab w:leader="none" w:pos="1500"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Upon meeting the applicable vesting criteria, the Participant will be entitled to receive a distribution in the form of cash and/or Shares as determined by the Administrator in accordance with Applicable Laws. Notwithstanding the foregoing, at any time after the grant of Restricted Share Units, the Administrator may reduce or waive any vesting criteria that must be met to receive a payout. Unless the Administrator provides otherwise, no distributions of cash and/or Shares will be issued in settlement of vested Restricted Share Units before the occurrence of a Qualified IPO.</w:t>
      </w:r>
    </w:p>
    <w:p>
      <w:pPr>
        <w:spacing w:after="0" w:line="187" w:lineRule="exact"/>
        <w:rPr>
          <w:rFonts w:ascii="Arial" w:cs="Arial" w:eastAsia="Arial" w:hAnsi="Arial"/>
          <w:sz w:val="18"/>
          <w:szCs w:val="18"/>
          <w:color w:val="auto"/>
        </w:rPr>
      </w:pPr>
    </w:p>
    <w:p>
      <w:pPr>
        <w:ind w:left="1520" w:hanging="256"/>
        <w:spacing w:after="0"/>
        <w:tabs>
          <w:tab w:leader="none" w:pos="1520"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Share Units will be forfeited to the Company.</w:t>
      </w:r>
    </w:p>
    <w:p>
      <w:pPr>
        <w:spacing w:after="0" w:line="248" w:lineRule="exact"/>
        <w:rPr>
          <w:rFonts w:ascii="Arial" w:cs="Arial" w:eastAsia="Arial" w:hAnsi="Arial"/>
          <w:sz w:val="16"/>
          <w:szCs w:val="16"/>
          <w:color w:val="auto"/>
        </w:rPr>
      </w:pPr>
    </w:p>
    <w:p>
      <w:pPr>
        <w:ind w:left="-40" w:right="300" w:firstLine="656"/>
        <w:spacing w:after="0" w:line="257" w:lineRule="auto"/>
        <w:tabs>
          <w:tab w:leader="none" w:pos="788"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Other Local Awards</w:t>
      </w:r>
      <w:r>
        <w:rPr>
          <w:rFonts w:ascii="Arial" w:cs="Arial" w:eastAsia="Arial" w:hAnsi="Arial"/>
          <w:sz w:val="18"/>
          <w:szCs w:val="18"/>
          <w:color w:val="auto"/>
        </w:rPr>
        <w:t>. In order to comply with Applicable Laws, the Administrator may cause a local Subsidiary to grant local cash-settled awards in lieu of any other Award described hereunder, which such local awards shall be paid through local payroll and wholly funded by the local Subsidiary (a “</w:t>
      </w:r>
      <w:r>
        <w:rPr>
          <w:rFonts w:ascii="Arial" w:cs="Arial" w:eastAsia="Arial" w:hAnsi="Arial"/>
          <w:sz w:val="18"/>
          <w:szCs w:val="18"/>
          <w:u w:val="single" w:color="auto"/>
          <w:color w:val="auto"/>
        </w:rPr>
        <w:t>Local Award</w:t>
      </w:r>
      <w:r>
        <w:rPr>
          <w:rFonts w:ascii="Arial" w:cs="Arial" w:eastAsia="Arial" w:hAnsi="Arial"/>
          <w:sz w:val="18"/>
          <w:szCs w:val="18"/>
          <w:color w:val="auto"/>
        </w:rPr>
        <w:t>”). Each Local Award shall be linked to the Fair Market Value of a Share of the Company. The terms and conditions of each Local Award shall be set forth in an Award Agreement in a form approved by the Administrator for such Local Award, which Award Agreement shall contain terms and conditions not inconsistent with the Plan.</w:t>
      </w:r>
    </w:p>
    <w:p>
      <w:pPr>
        <w:spacing w:after="0" w:line="187" w:lineRule="exact"/>
        <w:rPr>
          <w:rFonts w:ascii="Arial" w:cs="Arial" w:eastAsia="Arial" w:hAnsi="Arial"/>
          <w:sz w:val="18"/>
          <w:szCs w:val="18"/>
          <w:color w:val="auto"/>
        </w:rPr>
      </w:pPr>
    </w:p>
    <w:p>
      <w:pPr>
        <w:ind w:left="-40" w:right="40" w:firstLine="656"/>
        <w:spacing w:after="0" w:line="259" w:lineRule="auto"/>
        <w:tabs>
          <w:tab w:leader="none" w:pos="878"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any parent entity or any Subsidiary, unless determined otherwise by the Administrator.</w:t>
      </w:r>
    </w:p>
    <w:p>
      <w:pPr>
        <w:spacing w:after="0" w:line="186" w:lineRule="exact"/>
        <w:rPr>
          <w:rFonts w:ascii="Arial" w:cs="Arial" w:eastAsia="Arial" w:hAnsi="Arial"/>
          <w:sz w:val="18"/>
          <w:szCs w:val="18"/>
          <w:color w:val="auto"/>
        </w:rPr>
      </w:pPr>
    </w:p>
    <w:p>
      <w:pPr>
        <w:ind w:left="-40" w:right="60" w:firstLine="656"/>
        <w:spacing w:after="0" w:line="254" w:lineRule="auto"/>
        <w:tabs>
          <w:tab w:leader="none" w:pos="871"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Shares issued upon the exercise of an Option or in connection with the vesting of any Restricted Shares or Restricted Share Units may be subject to such special forfeiture conditions, rights of repurchase or redemption, rights of first refusal, and other transfer restrictions as the Administrator may determine or as may apply to holders of Shares pursuant to the Company’s then-effective memorandum of associations and articles of association.</w:t>
      </w:r>
    </w:p>
    <w:p>
      <w:pPr>
        <w:spacing w:after="0" w:line="194" w:lineRule="exact"/>
        <w:rPr>
          <w:rFonts w:ascii="Arial" w:cs="Arial" w:eastAsia="Arial" w:hAnsi="Arial"/>
          <w:sz w:val="18"/>
          <w:szCs w:val="18"/>
          <w:color w:val="auto"/>
        </w:rPr>
      </w:pPr>
    </w:p>
    <w:p>
      <w:pPr>
        <w:ind w:left="-40" w:right="320" w:firstLine="656"/>
        <w:spacing w:after="0" w:line="263" w:lineRule="auto"/>
        <w:tabs>
          <w:tab w:leader="none" w:pos="878"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Anything in the Plan to the contrary notwithstanding, the Awards and the Shares relating thereto issued pursuant to the Plan shall only entitle the Participant to the economic rights of a Shareholder of the Company and shall not confer on the Participant any rights to vote on matters submitted to the Shareholders of the Company.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00" w:right="359" w:bottom="1440" w:gutter="0" w:footer="0" w:header="0"/>
        </w:sectPr>
      </w:pPr>
    </w:p>
    <w:bookmarkStart w:id="381" w:name="page382"/>
    <w:bookmarkEnd w:id="381"/>
    <w:p>
      <w:pPr>
        <w:ind w:left="900" w:hanging="264"/>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 Lock-Up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55" w:lineRule="auto"/>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share division, share consolidation, reorganization, merger, consolidation, split-up, spin-off, combination, repurchase or exchange of Shares or other Securities, or other change in the corporate structure of the Company affecting the Shares occurs, the Administrator, in order to prevent diminution or enlargement of the benefits or potential benefits intended to be made available under this Plan, will adjust the number and class of shares that may be delivered under this Plan and/or the number, class, and price of shares covered by each outstanding Award, and the numerical share limits in Section 3 of this Plan.</w:t>
      </w:r>
    </w:p>
    <w:p>
      <w:pPr>
        <w:spacing w:after="0" w:line="192" w:lineRule="exact"/>
        <w:rPr>
          <w:rFonts w:ascii="Arial" w:cs="Arial" w:eastAsia="Arial" w:hAnsi="Arial"/>
          <w:sz w:val="18"/>
          <w:szCs w:val="18"/>
          <w:color w:val="auto"/>
        </w:rPr>
      </w:pPr>
    </w:p>
    <w:p>
      <w:pPr>
        <w:jc w:val="both"/>
        <w:ind w:left="-20" w:right="60" w:firstLine="1304"/>
        <w:spacing w:after="0" w:line="263" w:lineRule="auto"/>
        <w:tabs>
          <w:tab w:leader="none" w:pos="1531"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3" w:lineRule="exact"/>
        <w:rPr>
          <w:rFonts w:ascii="Arial" w:cs="Arial" w:eastAsia="Arial" w:hAnsi="Arial"/>
          <w:sz w:val="18"/>
          <w:szCs w:val="18"/>
          <w:color w:val="auto"/>
        </w:rPr>
      </w:pPr>
    </w:p>
    <w:p>
      <w:pPr>
        <w:ind w:left="1520" w:hanging="236"/>
        <w:spacing w:after="0"/>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40" w:firstLine="1952"/>
        <w:spacing w:after="0" w:line="277" w:lineRule="auto"/>
        <w:tabs>
          <w:tab w:leader="none" w:pos="2139" w:val="left"/>
        </w:tabs>
        <w:numPr>
          <w:ilvl w:val="2"/>
          <w:numId w:val="389"/>
        </w:numPr>
        <w:rPr>
          <w:rFonts w:ascii="Arial" w:cs="Arial" w:eastAsia="Arial" w:hAnsi="Arial"/>
          <w:sz w:val="18"/>
          <w:szCs w:val="18"/>
          <w:color w:val="auto"/>
        </w:rPr>
      </w:pPr>
      <w:r>
        <w:rPr>
          <w:rFonts w:ascii="Arial" w:cs="Arial" w:eastAsia="Arial" w:hAnsi="Arial"/>
          <w:sz w:val="18"/>
          <w:szCs w:val="18"/>
          <w:color w:val="auto"/>
        </w:rPr>
        <w:t>In the event of a Change in Control, except as provided otherwise in an individual Award Agreement, any unvested Award shall expire, be forfeited and/or be terminated on the effective date of the Change in Control.</w:t>
      </w:r>
    </w:p>
    <w:p>
      <w:pPr>
        <w:spacing w:after="0" w:line="170" w:lineRule="exact"/>
        <w:rPr>
          <w:rFonts w:ascii="Arial" w:cs="Arial" w:eastAsia="Arial" w:hAnsi="Arial"/>
          <w:sz w:val="18"/>
          <w:szCs w:val="18"/>
          <w:color w:val="auto"/>
        </w:rPr>
      </w:pPr>
    </w:p>
    <w:p>
      <w:pPr>
        <w:ind w:left="-20" w:right="180" w:firstLine="1952"/>
        <w:spacing w:after="0" w:line="259" w:lineRule="auto"/>
        <w:tabs>
          <w:tab w:leader="none" w:pos="2189" w:val="left"/>
        </w:tabs>
        <w:numPr>
          <w:ilvl w:val="2"/>
          <w:numId w:val="389"/>
        </w:numPr>
        <w:rPr>
          <w:rFonts w:ascii="Arial" w:cs="Arial" w:eastAsia="Arial" w:hAnsi="Arial"/>
          <w:sz w:val="18"/>
          <w:szCs w:val="18"/>
          <w:color w:val="auto"/>
        </w:rPr>
      </w:pPr>
      <w:r>
        <w:rPr>
          <w:rFonts w:ascii="Arial" w:cs="Arial" w:eastAsia="Arial" w:hAnsi="Arial"/>
          <w:sz w:val="18"/>
          <w:szCs w:val="18"/>
          <w:color w:val="auto"/>
        </w:rPr>
        <w:t>Except as provided otherwise in an individual Award Agreement, each outstanding and vested Award will be treated as the Administrator determines, including, without limitation, that each such Award be assumed or an equivalent replacement award be substituted by the successor corporation or a parent or Subsidiary of the successor corporation. The Administrator will not be required to treat all Awards similarly in the transaction.</w:t>
      </w:r>
    </w:p>
    <w:p>
      <w:pPr>
        <w:spacing w:after="0" w:line="186" w:lineRule="exact"/>
        <w:rPr>
          <w:rFonts w:ascii="Arial" w:cs="Arial" w:eastAsia="Arial" w:hAnsi="Arial"/>
          <w:sz w:val="18"/>
          <w:szCs w:val="18"/>
          <w:color w:val="auto"/>
        </w:rPr>
      </w:pPr>
    </w:p>
    <w:p>
      <w:pPr>
        <w:ind w:left="-20" w:right="40" w:firstLine="1952"/>
        <w:spacing w:after="0" w:line="255" w:lineRule="auto"/>
        <w:tabs>
          <w:tab w:leader="none" w:pos="2239" w:val="left"/>
        </w:tabs>
        <w:numPr>
          <w:ilvl w:val="2"/>
          <w:numId w:val="389"/>
        </w:numPr>
        <w:rPr>
          <w:rFonts w:ascii="Arial" w:cs="Arial" w:eastAsia="Arial" w:hAnsi="Arial"/>
          <w:sz w:val="18"/>
          <w:szCs w:val="18"/>
          <w:color w:val="auto"/>
        </w:rPr>
      </w:pPr>
      <w:r>
        <w:rPr>
          <w:rFonts w:ascii="Arial" w:cs="Arial" w:eastAsia="Arial" w:hAnsi="Arial"/>
          <w:sz w:val="18"/>
          <w:szCs w:val="18"/>
          <w:color w:val="auto"/>
        </w:rPr>
        <w:t>Except as provided otherwise in an individual Award Agreement, in the event that the successor corporation does not assume or substitute for the outstanding and vested Award in accordance with subsection (ii) above, the Participant will have the right to exercise all of his or her outstanding and vested Option, and all restrictions on vested Restricted Shares, vested Restricted Share Units and vested Local Awards will lapse. In addition, if an Option is not assumed or substituted in the event of a Change in Control, the Administrator will notify the Participant in writing or electronically that the Option will be exercisable for a period of time determined by the Administrator, and the Option will terminate upon the expiration of such period.</w:t>
      </w:r>
    </w:p>
    <w:p>
      <w:pPr>
        <w:spacing w:after="0" w:line="192" w:lineRule="exact"/>
        <w:rPr>
          <w:rFonts w:ascii="Arial" w:cs="Arial" w:eastAsia="Arial" w:hAnsi="Arial"/>
          <w:sz w:val="18"/>
          <w:szCs w:val="18"/>
          <w:color w:val="auto"/>
        </w:rPr>
      </w:pPr>
    </w:p>
    <w:p>
      <w:pPr>
        <w:ind w:left="-20" w:firstLine="1952"/>
        <w:spacing w:after="0" w:line="270" w:lineRule="auto"/>
        <w:tabs>
          <w:tab w:leader="none" w:pos="2229" w:val="left"/>
        </w:tabs>
        <w:numPr>
          <w:ilvl w:val="2"/>
          <w:numId w:val="389"/>
        </w:numPr>
        <w:rPr>
          <w:rFonts w:ascii="Arial" w:cs="Arial" w:eastAsia="Arial" w:hAnsi="Arial"/>
          <w:sz w:val="17"/>
          <w:szCs w:val="17"/>
          <w:color w:val="auto"/>
        </w:rPr>
      </w:pPr>
      <w:r>
        <w:rPr>
          <w:rFonts w:ascii="Arial" w:cs="Arial" w:eastAsia="Arial" w:hAnsi="Arial"/>
          <w:sz w:val="17"/>
          <w:szCs w:val="17"/>
          <w:color w:val="auto"/>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is not solely common stock or ordinary shares of the successor corporation or its parent, the Administrator may, with the consent of the successor corporation, provide for the consideration to be received upon the exercise of an Option or a Local Award, or upon the payout of a Restricted Share or a Restricted Share Unit, for each Share subject to such Award, to be solely common stock or ordinary shares of the successor corporation or its parent equal in fair market value to the per share consideration received by holders of Shares in the Change in Control.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382" w:name="page383"/>
    <w:bookmarkEnd w:id="382"/>
    <w:p>
      <w:pPr>
        <w:ind w:left="-8" w:right="80" w:firstLine="1304"/>
        <w:spacing w:after="0" w:line="255" w:lineRule="auto"/>
        <w:tabs>
          <w:tab w:leader="none" w:pos="1543" w:val="left"/>
        </w:tabs>
        <w:numPr>
          <w:ilvl w:val="2"/>
          <w:numId w:val="390"/>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 By exercising any right granted under this Plan, each Participant shall be deemed to have agreed that, in connection with any underwritten public offering by the Company of its equity securities, including the Company’s initial public offering, such Participant will not sell, make any short sale of, loan, hypothecate, pledge, grant any option for the repurchase of, or otherwise dispose or transfer for value or otherwise agree to engage in any of the foregoing transactions with respect to any Shares without the prior written consent of the Company or its underwriters, for such period of time from and after the effective date of such registration statement as may be requested by the Company or such underwriters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912" w:hanging="264"/>
        <w:spacing w:after="0"/>
        <w:tabs>
          <w:tab w:leader="none" w:pos="912"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60" w:firstLine="1304"/>
        <w:spacing w:after="0" w:line="279" w:lineRule="auto"/>
        <w:tabs>
          <w:tab w:leader="none" w:pos="1532" w:val="left"/>
        </w:tabs>
        <w:numPr>
          <w:ilvl w:val="2"/>
          <w:numId w:val="391"/>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Subject to Applicable Laws,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or state taxes, local, foreign or other taxes (including the Participant’s employment tax obligation) required to be withheld with respect to such Award (or exercise thereof).</w:t>
      </w:r>
    </w:p>
    <w:p>
      <w:pPr>
        <w:spacing w:after="0" w:line="171" w:lineRule="exact"/>
        <w:rPr>
          <w:rFonts w:ascii="Arial" w:cs="Arial" w:eastAsia="Arial" w:hAnsi="Arial"/>
          <w:sz w:val="17"/>
          <w:szCs w:val="17"/>
          <w:color w:val="auto"/>
        </w:rPr>
      </w:pPr>
    </w:p>
    <w:p>
      <w:pPr>
        <w:jc w:val="both"/>
        <w:ind w:left="-8" w:right="20" w:firstLine="1304"/>
        <w:spacing w:after="0" w:line="287" w:lineRule="auto"/>
        <w:tabs>
          <w:tab w:leader="none" w:pos="1543" w:val="left"/>
        </w:tabs>
        <w:numPr>
          <w:ilvl w:val="2"/>
          <w:numId w:val="391"/>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Subject to Applicable Laws, the Administrator,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statutory amount required to be withheld, or</w:t>
      </w:r>
    </w:p>
    <w:p>
      <w:pPr>
        <w:spacing w:after="0" w:line="2" w:lineRule="exact"/>
        <w:rPr>
          <w:rFonts w:ascii="Arial" w:cs="Arial" w:eastAsia="Arial" w:hAnsi="Arial"/>
          <w:sz w:val="16"/>
          <w:szCs w:val="16"/>
          <w:color w:val="auto"/>
        </w:rPr>
      </w:pPr>
    </w:p>
    <w:p>
      <w:pPr>
        <w:ind w:left="-8" w:firstLine="8"/>
        <w:spacing w:after="0" w:line="290" w:lineRule="auto"/>
        <w:tabs>
          <w:tab w:leader="none" w:pos="307"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61" w:lineRule="exact"/>
        <w:rPr>
          <w:rFonts w:ascii="Arial" w:cs="Arial" w:eastAsia="Arial" w:hAnsi="Arial"/>
          <w:sz w:val="17"/>
          <w:szCs w:val="17"/>
          <w:color w:val="auto"/>
        </w:rPr>
      </w:pPr>
    </w:p>
    <w:p>
      <w:pPr>
        <w:jc w:val="both"/>
        <w:ind w:left="-8" w:right="140" w:firstLine="656"/>
        <w:spacing w:after="0" w:line="263" w:lineRule="auto"/>
        <w:tabs>
          <w:tab w:leader="none" w:pos="910"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this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ind w:left="-8" w:right="160" w:firstLine="656"/>
        <w:spacing w:after="0" w:line="263" w:lineRule="auto"/>
        <w:tabs>
          <w:tab w:leader="none" w:pos="910"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29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383" w:name="page384"/>
    <w:bookmarkEnd w:id="383"/>
    <w:p>
      <w:pPr>
        <w:ind w:left="-20" w:right="240" w:firstLine="656"/>
        <w:spacing w:after="0" w:line="277" w:lineRule="auto"/>
        <w:tabs>
          <w:tab w:leader="none" w:pos="898"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This Plan will become effective upon its adoption by the Board. It will continue in effect for a term of ten (10) years from the date it becomes effective, unless terminated earlier under Section 18 of this Plan.</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this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236"/>
        <w:spacing w:after="0"/>
        <w:tabs>
          <w:tab w:leader="none" w:pos="1520"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this Plan.</w:t>
      </w:r>
    </w:p>
    <w:p>
      <w:pPr>
        <w:spacing w:after="0" w:line="225" w:lineRule="exact"/>
        <w:rPr>
          <w:rFonts w:ascii="Arial" w:cs="Arial" w:eastAsia="Arial" w:hAnsi="Arial"/>
          <w:sz w:val="18"/>
          <w:szCs w:val="18"/>
          <w:color w:val="auto"/>
        </w:rPr>
      </w:pPr>
    </w:p>
    <w:p>
      <w:pPr>
        <w:ind w:left="-20" w:right="120" w:firstLine="1304"/>
        <w:spacing w:after="0" w:line="263" w:lineRule="auto"/>
        <w:tabs>
          <w:tab w:leader="none" w:pos="1531"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Company will obtain Shareholder approval of any Plan amendment to the extent necessary and desirable to comply with Applicable Laws, the Company’s then-effective memorandum of associations and articles of association and any shareholders agreement among Shareholders of the Company.</w:t>
      </w:r>
    </w:p>
    <w:p>
      <w:pPr>
        <w:spacing w:after="0" w:line="183" w:lineRule="exact"/>
        <w:rPr>
          <w:rFonts w:ascii="Arial" w:cs="Arial" w:eastAsia="Arial" w:hAnsi="Arial"/>
          <w:sz w:val="18"/>
          <w:szCs w:val="18"/>
          <w:color w:val="auto"/>
        </w:rPr>
      </w:pPr>
    </w:p>
    <w:p>
      <w:pPr>
        <w:ind w:left="-20" w:firstLine="1304"/>
        <w:spacing w:after="0" w:line="275" w:lineRule="auto"/>
        <w:tabs>
          <w:tab w:leader="none" w:pos="1520" w:val="left"/>
        </w:tabs>
        <w:numPr>
          <w:ilvl w:val="1"/>
          <w:numId w:val="393"/>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Subject to compliance with Applicable Laws, no amendment, alteration, suspension or termination of this Plan will materially impair the rights of any Participant with respect to an Award outstanding at the time of the amendment, alteration, suspension or termination of the Plan, unless mutually agreed otherwise between the Participant and the Administrator, which agreement must be in writing and signed by the Participant and the Company. Termination of this Plan will not affect the Administrator’s ability to exercise the powers granted to it hereunder with respect to Awards granted under this Plan prior to the date of such termination.</w:t>
      </w:r>
    </w:p>
    <w:p>
      <w:pPr>
        <w:spacing w:after="0" w:line="176" w:lineRule="exact"/>
        <w:rPr>
          <w:rFonts w:ascii="Arial" w:cs="Arial" w:eastAsia="Arial" w:hAnsi="Arial"/>
          <w:sz w:val="17"/>
          <w:szCs w:val="17"/>
          <w:color w:val="auto"/>
        </w:rPr>
      </w:pPr>
    </w:p>
    <w:p>
      <w:pPr>
        <w:ind w:left="900" w:hanging="264"/>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120" w:firstLine="1304"/>
        <w:spacing w:after="0" w:line="263" w:lineRule="auto"/>
        <w:tabs>
          <w:tab w:leader="none" w:pos="1520"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and allotted pursuant to the exercise of an Award unless the exercise of such Award and the issuance and allotment of such Shares will comply with Applicable Laws, and will be further subject to the approval of counsel for the Company with respect to such compliance if deemed necessary by the Administrator.</w:t>
      </w:r>
    </w:p>
    <w:p>
      <w:pPr>
        <w:spacing w:after="0" w:line="183" w:lineRule="exact"/>
        <w:rPr>
          <w:rFonts w:ascii="Arial" w:cs="Arial" w:eastAsia="Arial" w:hAnsi="Arial"/>
          <w:sz w:val="18"/>
          <w:szCs w:val="18"/>
          <w:color w:val="auto"/>
        </w:rPr>
      </w:pPr>
    </w:p>
    <w:p>
      <w:pPr>
        <w:ind w:left="-20" w:right="100" w:firstLine="1304"/>
        <w:spacing w:after="0" w:line="259" w:lineRule="auto"/>
        <w:tabs>
          <w:tab w:leader="none" w:pos="1531"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vesting or settlement of an Award, the Company may require the person exercising such Award or receiving rights to transfer or payment upon such vesting or settlement to represent and warrant at the time of any such exercise, vesting or settlement that the Shares are being acquired only for investment and without any present intention to sell or distribute such Shares if, in the opinion of counsel for the Company, any such representation is required.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384" w:name="page385"/>
    <w:bookmarkEnd w:id="384"/>
    <w:p>
      <w:pPr>
        <w:ind w:right="80" w:firstLine="656"/>
        <w:spacing w:after="0" w:line="255" w:lineRule="auto"/>
        <w:tabs>
          <w:tab w:leader="none" w:pos="918"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Applicable Laws or under the rules and regulations of the stock exchange on which the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92" w:lineRule="exact"/>
        <w:rPr>
          <w:rFonts w:ascii="Arial" w:cs="Arial" w:eastAsia="Arial" w:hAnsi="Arial"/>
          <w:sz w:val="18"/>
          <w:szCs w:val="18"/>
          <w:color w:val="auto"/>
        </w:rPr>
      </w:pPr>
    </w:p>
    <w:p>
      <w:pPr>
        <w:ind w:right="80" w:firstLine="656"/>
        <w:spacing w:after="0" w:line="259" w:lineRule="auto"/>
        <w:tabs>
          <w:tab w:leader="none" w:pos="918"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86" w:lineRule="exact"/>
        <w:rPr>
          <w:rFonts w:ascii="Arial" w:cs="Arial" w:eastAsia="Arial" w:hAnsi="Arial"/>
          <w:sz w:val="18"/>
          <w:szCs w:val="18"/>
          <w:color w:val="auto"/>
        </w:rPr>
      </w:pPr>
    </w:p>
    <w:p>
      <w:pPr>
        <w:ind w:firstLine="656"/>
        <w:spacing w:after="0" w:line="253" w:lineRule="auto"/>
        <w:tabs>
          <w:tab w:leader="none" w:pos="918"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Sections 409A and 457A</w:t>
      </w:r>
      <w:r>
        <w:rPr>
          <w:rFonts w:ascii="Arial" w:cs="Arial" w:eastAsia="Arial" w:hAnsi="Arial"/>
          <w:sz w:val="18"/>
          <w:szCs w:val="18"/>
          <w:color w:val="auto"/>
        </w:rPr>
        <w:t xml:space="preserve">. Notwithstanding other provisions of the Plan or any Option Agreement, no Award may be granted, deferred, accelerated, extended, paid out or modified under this Plan in a manner that would result in the imposition of an additional tax under Section 409A or Section 457A of the Code upon a Participant. In the event that it is reasonably determined by the Board or, if delegated by the Board to the Administrator, by the Administrator that, as a result of Section 409A of the Code, payments in respect of any Award under the Plan may not be made at the time contemplated by the terms of the Plan or the relevant Option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will use commercially reasonable efforts to implement the provisions of this Section 22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the Administrator nor any of the Company’s Employees, Directors or representatives will have any liability to Participants with respect to this Section 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5" w:name="page386"/>
    <w:bookmarkEnd w:id="385"/>
    <w:p>
      <w:pPr>
        <w:jc w:val="right"/>
        <w:spacing w:after="0"/>
        <w:rPr>
          <w:sz w:val="20"/>
          <w:szCs w:val="20"/>
          <w:color w:val="auto"/>
        </w:rPr>
      </w:pPr>
      <w:r>
        <w:rPr>
          <w:rFonts w:ascii="Arial" w:cs="Arial" w:eastAsia="Arial" w:hAnsi="Arial"/>
          <w:sz w:val="22"/>
          <w:szCs w:val="22"/>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3"/>
          </w:tcPr>
          <w:p>
            <w:pPr>
              <w:ind w:left="740"/>
              <w:spacing w:after="0"/>
              <w:rPr>
                <w:sz w:val="20"/>
                <w:szCs w:val="20"/>
                <w:color w:val="auto"/>
              </w:rPr>
            </w:pPr>
            <w:r>
              <w:rPr>
                <w:rFonts w:ascii="Arial" w:cs="Arial" w:eastAsia="Arial" w:hAnsi="Arial"/>
                <w:sz w:val="18"/>
                <w:szCs w:val="18"/>
                <w:b w:val="1"/>
                <w:bCs w:val="1"/>
                <w:color w:val="auto"/>
              </w:rPr>
              <w:t>Principal Subsidiaries of the Registrant</w:t>
            </w: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Place of Incorporation</w:t>
            </w:r>
          </w:p>
        </w:tc>
      </w:tr>
      <w:tr>
        <w:trPr>
          <w:trHeight w:val="34"/>
        </w:trPr>
        <w:tc>
          <w:tcPr>
            <w:tcW w:w="33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Quality Zone Technologies Pte. Ltd.</w:t>
            </w: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Singapore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Trident Digital Tech Pte. Ltd.</w:t>
            </w: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1240"/>
          </w:cols>
          <w:pgMar w:left="320" w:top="111" w:right="339" w:bottom="1440" w:gutter="0" w:footer="0" w:header="0"/>
        </w:sectPr>
      </w:pPr>
    </w:p>
    <w:bookmarkStart w:id="386" w:name="page387"/>
    <w:bookmarkEnd w:id="386"/>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165735</wp:posOffset>
            </wp:positionV>
            <wp:extent cx="2571750" cy="4032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7175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inclusion in this Registration Statement of Trident Digital Tech Holdings Ltd. on Form F-1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Asia CPAs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Marcum Asia CPAs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BEIJING OFFICE ● Units 06-09 ● 46th Floor ● China World Tower B ● No. 1 Jian Guo Men Wai Avenue ● Chaoyang District ● Beijing ● 100004</w:t>
      </w:r>
    </w:p>
    <w:p>
      <w:pPr>
        <w:jc w:val="center"/>
        <w:spacing w:after="0"/>
        <w:rPr>
          <w:sz w:val="20"/>
          <w:szCs w:val="20"/>
          <w:color w:val="auto"/>
        </w:rPr>
      </w:pPr>
      <w:r>
        <w:rPr>
          <w:rFonts w:ascii="Arial" w:cs="Arial" w:eastAsia="Arial" w:hAnsi="Arial"/>
          <w:sz w:val="14"/>
          <w:szCs w:val="14"/>
          <w:color w:val="auto"/>
        </w:rPr>
        <w:t>Phone 8610.8518.7992 ● Fax 8610.8518.7993 ● www.marcumasia.com</w:t>
      </w:r>
    </w:p>
    <w:p>
      <w:pPr>
        <w:sectPr>
          <w:pgSz w:w="11900" w:h="16838" w:orient="portrait"/>
          <w:cols w:equalWidth="0" w:num="1">
            <w:col w:w="11240"/>
          </w:cols>
          <w:pgMar w:left="320" w:top="111" w:right="339" w:bottom="1440" w:gutter="0" w:footer="0" w:header="0"/>
        </w:sectPr>
      </w:pPr>
    </w:p>
    <w:bookmarkStart w:id="387" w:name="page388"/>
    <w:bookmarkEnd w:id="387"/>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10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 INTRODUCTION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1.1</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About the Code of Business Conduct and Ethics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1.2</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Meeting Our Shared Obligations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2. RESPONSIBILITY TO OUR ORGANIZATION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2.1</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Conflicts of Interest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2.2</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Company Opportunities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2.3</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Entertainment, Gifts and Gratuities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2.4</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Protection and Proper Use of Company Assets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2.5</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Network Use, Integrity &amp; Security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2.6</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Company Books and Records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2.7</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Compliance with Laws, Rules and Regulations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2.8</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Insider Trading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2.9</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Documentation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2.10</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Responding to Inquiries from the Press and Others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 FAIR DEALING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3.1</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Trade Practice and Antitrust Compliance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 RESPONSIBILITY TO OUR PEOPLE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4.1</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Respecting One Another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4.2</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Employee Privacy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4.3</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Equal Employment Opportunity and Nondiscrimination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4.4</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Sexual and Other Forms of Harassment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4.5</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Other Forms of Harassment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4.6</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Reporting Responsibilities and Procedures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4.7</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Safety in the Workplace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INTERACTING WITH GOVERNMENT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5.1</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Prohibition on Gifts to Government Officials and Employees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5.2</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Political Contributions and Activities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5.3</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Lobbying Activities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5.4</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Bribery of Foreign Officials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6. IMPLEMENTATION OF THE CODE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6.1</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Reporting Violations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6.2</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Investigations of Suspected Violations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6.3</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Subpoenas and Government Investigations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6.4</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Discipline for Violations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6.5</w:t>
            </w:r>
          </w:p>
        </w:tc>
        <w:tc>
          <w:tcPr>
            <w:tcW w:w="9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Waivers of the Code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34"/>
        </w:trPr>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6.6</w:t>
            </w:r>
          </w:p>
        </w:tc>
        <w:tc>
          <w:tcPr>
            <w:tcW w:w="9100" w:type="dxa"/>
            <w:vAlign w:val="bottom"/>
          </w:tcPr>
          <w:p>
            <w:pPr>
              <w:ind w:left="120"/>
              <w:spacing w:after="0"/>
              <w:rPr>
                <w:sz w:val="20"/>
                <w:szCs w:val="20"/>
                <w:color w:val="auto"/>
              </w:rPr>
            </w:pPr>
            <w:r>
              <w:rPr>
                <w:rFonts w:ascii="Arial" w:cs="Arial" w:eastAsia="Arial" w:hAnsi="Arial"/>
                <w:sz w:val="18"/>
                <w:szCs w:val="18"/>
                <w:b w:val="1"/>
                <w:bCs w:val="1"/>
                <w:color w:val="auto"/>
              </w:rPr>
              <w:t>No Rights Created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664"/>
        </w:trPr>
        <w:tc>
          <w:tcPr>
            <w:tcW w:w="10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89" w:name="page390"/>
    <w:bookmarkEnd w:id="389"/>
    <w:p>
      <w:pPr>
        <w:ind w:left="660" w:hanging="652"/>
        <w:spacing w:after="0"/>
        <w:tabs>
          <w:tab w:leader="none" w:pos="6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i w:val="1"/>
          <w:iCs w:val="1"/>
          <w:color w:val="auto"/>
        </w:rPr>
        <w:t>About the Code of Business Conduct and Ethics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Code of Business Conduct and Ethics (the “</w:t>
      </w:r>
      <w:r>
        <w:rPr>
          <w:rFonts w:ascii="Arial" w:cs="Arial" w:eastAsia="Arial" w:hAnsi="Arial"/>
          <w:sz w:val="17"/>
          <w:szCs w:val="17"/>
          <w:b w:val="1"/>
          <w:bCs w:val="1"/>
          <w:color w:val="auto"/>
        </w:rPr>
        <w:t>Code</w:t>
      </w:r>
      <w:r>
        <w:rPr>
          <w:rFonts w:ascii="Arial" w:cs="Arial" w:eastAsia="Arial" w:hAnsi="Arial"/>
          <w:sz w:val="17"/>
          <w:szCs w:val="17"/>
          <w:color w:val="auto"/>
        </w:rPr>
        <w:t>”) is designed to develop the values, principles and standards that guide the actions of Trident Digital Tech Holdings Ltd including its direct and indirect subsidiaries that currently exist or that may be created in the future (collectively, the “</w:t>
      </w:r>
      <w:r>
        <w:rPr>
          <w:rFonts w:ascii="Arial" w:cs="Arial" w:eastAsia="Arial" w:hAnsi="Arial"/>
          <w:sz w:val="17"/>
          <w:szCs w:val="17"/>
          <w:b w:val="1"/>
          <w:bCs w:val="1"/>
          <w:color w:val="auto"/>
        </w:rPr>
        <w:t>Company</w:t>
      </w:r>
      <w:r>
        <w:rPr>
          <w:rFonts w:ascii="Arial" w:cs="Arial" w:eastAsia="Arial" w:hAnsi="Arial"/>
          <w:sz w:val="17"/>
          <w:szCs w:val="17"/>
          <w:color w:val="auto"/>
        </w:rPr>
        <w:t>”) and what is expected of its employees, officers and directors. The Code has been approved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The Code helps the Company conduct its business in accordance with all applicable laws and regulations and in accordance with the highest standards of business conduct that govern its operations. The Code contains values, principles and standards that guide the conduct of the Company and its employees, officers and directors among themselves, in front of customers and in the community in general, which do not exclude the obligations assumed under local and international laws and regulations binding the Company and its employees, officers and directors in each of the countries where it has a presence, and where its employees, officers and directors provide their services.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expects all employees, officers and directors to act in accordance with the highest levels of professional integrity in all aspects, and to comply with all applicable laws, policies or procedures adopted by the Company. The Company will not tolerate any behavior that violates or jeopardizes the Code, or any other external or internal policies or rules.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Code is a statement of policies for individual and business conduct and does not, in any way, constitute an employment contract or an assurance of continued employment.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Nothing in this Code is meant to limit or restrict the terms of (i) any employment letter or confidentiality agreement an employee may have previously signed, (ii) any policy or directives adopted by the Company or advised by the Company’s general counsel or a similarly situated executive (the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w:t>
      </w:r>
      <w:r>
        <w:rPr>
          <w:rFonts w:ascii="Arial" w:cs="Arial" w:eastAsia="Arial" w:hAnsi="Arial"/>
          <w:sz w:val="18"/>
          <w:szCs w:val="18"/>
          <w:b w:val="1"/>
          <w:bCs w:val="1"/>
          <w:color w:val="auto"/>
        </w:rPr>
        <w:t>Counsel</w:t>
      </w:r>
      <w:r>
        <w:rPr>
          <w:rFonts w:ascii="Arial" w:cs="Arial" w:eastAsia="Arial" w:hAnsi="Arial"/>
          <w:sz w:val="18"/>
          <w:szCs w:val="18"/>
          <w:color w:val="auto"/>
        </w:rPr>
        <w:t>”) from time to time or (iii) any employee handbook.</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i w:val="1"/>
          <w:iCs w:val="1"/>
          <w:color w:val="auto"/>
        </w:rPr>
        <w:t>Meeting Our Shared Obligations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employees, officers and directors are responsible for knowing and understanding the policies and guidelines contained in the following pages. Any questions should be raised with the General Counsel and the Company’s compliance officer. The legal department of the Company (the “</w:t>
      </w:r>
      <w:r>
        <w:rPr>
          <w:rFonts w:ascii="Arial" w:cs="Arial" w:eastAsia="Arial" w:hAnsi="Arial"/>
          <w:sz w:val="18"/>
          <w:szCs w:val="18"/>
          <w:b w:val="1"/>
          <w:bCs w:val="1"/>
          <w:color w:val="auto"/>
        </w:rPr>
        <w:t>Legal</w:t>
      </w:r>
      <w:r>
        <w:rPr>
          <w:rFonts w:ascii="Arial" w:cs="Arial" w:eastAsia="Arial" w:hAnsi="Arial"/>
          <w:sz w:val="18"/>
          <w:szCs w:val="18"/>
          <w:color w:val="auto"/>
        </w:rPr>
        <w:t xml:space="preserve"> </w:t>
      </w:r>
      <w:r>
        <w:rPr>
          <w:rFonts w:ascii="Arial" w:cs="Arial" w:eastAsia="Arial" w:hAnsi="Arial"/>
          <w:sz w:val="18"/>
          <w:szCs w:val="18"/>
          <w:b w:val="1"/>
          <w:bCs w:val="1"/>
          <w:color w:val="auto"/>
        </w:rPr>
        <w:t>Department</w:t>
      </w:r>
      <w:r>
        <w:rPr>
          <w:rFonts w:ascii="Arial" w:cs="Arial" w:eastAsia="Arial" w:hAnsi="Arial"/>
          <w:sz w:val="18"/>
          <w:szCs w:val="18"/>
          <w:color w:val="auto"/>
        </w:rPr>
        <w:t>”), which is responsible for overseeing and monitoring compliance with the Code, and the other resources set forth in this Code, is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answer any questions and provide guidance and can be reached at Suntec Tower 3, 8 Temasek Boulevard Road, #24-03, Singapore. The same address may also be used to report suspected misconduct. Reports can be made online at the Company’s website. The conduct of our employees, officers and directors should reflect the Company’s values, demonstrate ethical leadership, and promote a work environment that upholds the Company’s reputation for integrity, ethical conduct and trust.</w:t>
      </w:r>
    </w:p>
    <w:p>
      <w:pPr>
        <w:spacing w:after="0" w:line="191" w:lineRule="exact"/>
        <w:rPr>
          <w:sz w:val="20"/>
          <w:szCs w:val="20"/>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TO OUR ORGANIZATION</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employees, officers and directors of the Company are expected to dedicate their best efforts to advancing the Company’s interests and to make decisions that affect the Company based on the Company’s best interests, independent of outside influences.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i w:val="1"/>
          <w:iCs w:val="1"/>
          <w:color w:val="auto"/>
        </w:rPr>
        <w:t>Conflicts of Interest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conflict of interest occurs when an employee, officer or director of the Company has a private interest which is adverse to, or may appear to be adverse to, the Company’s interests. The Company expects all employees, officers and directors to exercise good judgment and the highest ethical standards in their activities on behalf of the Company as well as in their private activities outside the Company. Particular care should be taken to ensure that no detriment to the interests of the Company (or appearance of such detriment) may result from a conflict between those interests and any personal or business interests which an individual employee, officer or director may have. In particular, every employee, officer and director has an obligation to avoid, or, if avoidance is not feasible, disclose in accordance with this Code, any activity, agreement, business investment or interest or other situation that might in fact or in appearance cause the individual to place his or her own interests, or those of another, above his or her obligation to the Company. Care should be taken about the appearance of a conflict since such appearance might impair confidence in, or the reputation of, the Company even if there is no actual conflict and no wrongdoing.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0" w:name="page391"/>
    <w:bookmarkEnd w:id="390"/>
    <w:p>
      <w:pPr>
        <w:ind w:right="180"/>
        <w:spacing w:after="0" w:line="263" w:lineRule="auto"/>
        <w:rPr>
          <w:sz w:val="20"/>
          <w:szCs w:val="20"/>
          <w:color w:val="auto"/>
        </w:rPr>
      </w:pPr>
      <w:r>
        <w:rPr>
          <w:rFonts w:ascii="Arial" w:cs="Arial" w:eastAsia="Arial" w:hAnsi="Arial"/>
          <w:sz w:val="18"/>
          <w:szCs w:val="18"/>
          <w:color w:val="auto"/>
        </w:rPr>
        <w:t>Special rules apply to executive officers and directors who engage in conduct that creates an actual, apparent or potential conflict of interest. Before engaging in any such conduct, executive officers and directors must make full disclosure of all facts and circumstances to the General Counsel, who shall inform and seek the prior approval of the audit committee of the Board (the “</w:t>
      </w:r>
      <w:r>
        <w:rPr>
          <w:rFonts w:ascii="Arial" w:cs="Arial" w:eastAsia="Arial" w:hAnsi="Arial"/>
          <w:sz w:val="18"/>
          <w:szCs w:val="18"/>
          <w:b w:val="1"/>
          <w:bCs w:val="1"/>
          <w:color w:val="auto"/>
        </w:rPr>
        <w:t>Audit Committee</w:t>
      </w:r>
      <w:r>
        <w:rPr>
          <w:rFonts w:ascii="Arial" w:cs="Arial" w:eastAsia="Arial" w:hAnsi="Arial"/>
          <w:sz w:val="18"/>
          <w:szCs w:val="18"/>
          <w:color w:val="auto"/>
        </w:rPr>
        <w: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it is not possible to describe or anticipate all the circumstances and situations that might involve a conflict of interest, a conflict of interest can arise whenever an employee, officer or director takes action or has interests that may make it difficult to perform his or her work objectively or effectively or when they (or a member of their family) receive improper personal benefits as a result of their position in the Company. Conflicts may arise where an employee, officer or director, or member of his or her family:</w:t>
      </w:r>
    </w:p>
    <w:p>
      <w:pPr>
        <w:spacing w:after="0" w:line="187" w:lineRule="exact"/>
        <w:rPr>
          <w:sz w:val="20"/>
          <w:szCs w:val="20"/>
          <w:color w:val="auto"/>
        </w:rPr>
      </w:pPr>
    </w:p>
    <w:p>
      <w:pPr>
        <w:ind w:left="980" w:right="180" w:hanging="324"/>
        <w:spacing w:after="0" w:line="277" w:lineRule="auto"/>
        <w:tabs>
          <w:tab w:leader="none" w:pos="9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Has a financial interest in the Company’s competitors, customers, suppliers or others dealing with the Company (excluding interests that are less than 1% of the outstanding securities of a publicly traded corporation);</w:t>
      </w:r>
    </w:p>
    <w:p>
      <w:pPr>
        <w:spacing w:after="0" w:line="170"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Is indebted to a competitor or supplier of goods or services to the Company, other than banks or other financial institutions for typical consumer debt generally available to non-Company employees;</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Has a consulting, managerial or employment relationship in any capacity with, or is a board member of, a competitor, customer, supplier or others dealing with the Company; or</w:t>
      </w:r>
    </w:p>
    <w:p>
      <w:pPr>
        <w:spacing w:after="0" w:line="170" w:lineRule="exact"/>
        <w:rPr>
          <w:rFonts w:ascii="Arial" w:cs="Arial" w:eastAsia="Arial" w:hAnsi="Arial"/>
          <w:sz w:val="18"/>
          <w:szCs w:val="18"/>
          <w:color w:val="auto"/>
        </w:rPr>
      </w:pPr>
    </w:p>
    <w:p>
      <w:pPr>
        <w:ind w:left="980" w:right="440" w:hanging="324"/>
        <w:spacing w:after="0" w:line="342" w:lineRule="auto"/>
        <w:tabs>
          <w:tab w:leader="none" w:pos="98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Acquires, directly or indirectly, real property, leaseholds, patents or other property or rights in which the Company has, or the employee, officer or director knows or has reason to believe at the time of acquisition that the Company is likely to have, an interest.</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Focus of Employees and Officers </w:t>
      </w:r>
      <w:r>
        <w:rPr>
          <w:rFonts w:ascii="Arial" w:cs="Arial" w:eastAsia="Arial" w:hAnsi="Arial"/>
          <w:sz w:val="17"/>
          <w:szCs w:val="17"/>
          <w:color w:val="auto"/>
        </w:rPr>
        <w:t>The Company’s employees and officers are expected to devote their full time and attention to the Company’s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regular working hours and for whatever additional time may be required. Outside business activities can easily create conflicts of interest or diminish productivity and effectiveness. For these reasons, employees and officers should avoid outside business activities that divert their time and talents from the Company’s business. Though the Company encourages professional activities and community involvement, special care must be taken not to compromise duties owed to the Company. Employees and officers are expected to disclose the nature of any non-Company activity for which compensation is received. Employees and officers must obtain approval from the Board before agreeing to serve on the board of directors or similar body of a for-profit enterprise or government agency. Serving on boards of not-for-profit or community organizations does not require prior approval. However, if service with a not-for-profit or community organization creates a situation that poses a conflict of interest with the Company (for example, the organization solicits charitable contributions from the Company or purchases significant services from the Company), the General Counsel should be contacted for approval to continue such service.</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i w:val="1"/>
          <w:iCs w:val="1"/>
          <w:color w:val="auto"/>
        </w:rPr>
        <w:t xml:space="preserve">Investments in Other Companies </w:t>
      </w:r>
      <w:r>
        <w:rPr>
          <w:rFonts w:ascii="Arial" w:cs="Arial" w:eastAsia="Arial" w:hAnsi="Arial"/>
          <w:sz w:val="16"/>
          <w:szCs w:val="16"/>
          <w:color w:val="auto"/>
        </w:rPr>
        <w:t>Employees, officers and directors of the Company should not acquire a significant equity ownership position in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customer, supplier or competitor of the Company or in any company with which the Company is engaged in, or proposes to engage in, or, to the knowledge of the employee, officer or director, is considering entering into, a significant business transaction. The significance of an equity ownership position will be determined with reference to the size of the position with respect to the other company’s outstanding equity and with respect to the size of the employee’s, officer’s or director’s personal net worth. An equity ownership position that exceeds 1% of the outstanding equity securities of another company will be deemed to be significant (regardless of its size with respect to the size of the employee’s, officer’s or director’s personal net worth), unless the Audit Committee determines otherwise based on a review of the specific facts and circumstances relating to the investment. An employee, officer or director who holds a significant equity ownership position in another company that, subsequent to the acquisition of the ownership position, becomes a significant customer, supplier or competitor of the Company, or with which the Company is considering or proposes to enter into a significant business transaction, shall promptly disclose his or her ownership in the other company to the Audit Committee and shall recuse himself or herself with respect to final Board deliberations and votes of directors regarding the Company’s relationship with the other company, unless the constitutional documents provide otherwise. In addition, upon the request of the Audit Committee or a majority of disinterested directors, a director shall also recuse himself or herself from any negotiations or preliminary Board discussions regarding the Company’s relationship with the other company, unless the constitutional</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documents provide otherwise. Employees, officers and directors should contact the General Counsel if they have a question as to whether a company in which they have invested or wish to invest is a significant customer, supplier or competitor of the Company, or is a company with which the Company is considering or proposes to enter into a significant business transaction. No employee, officer or director of the Company may participate in an initial public offering or otherwise accept special investment opportunities from a supplier, vendor (including banks or financial advisers), or customer with whom the Company is doing business or that is seeking to sell products or services to the Company without first disclosing the opportunity to the Audit Committee.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1" w:name="page392"/>
    <w:bookmarkEnd w:id="391"/>
    <w:p>
      <w:pPr>
        <w:ind w:right="120"/>
        <w:spacing w:after="0" w:line="254" w:lineRule="auto"/>
        <w:rPr>
          <w:sz w:val="20"/>
          <w:szCs w:val="20"/>
          <w:color w:val="auto"/>
        </w:rPr>
      </w:pPr>
      <w:r>
        <w:rPr>
          <w:rFonts w:ascii="Arial" w:cs="Arial" w:eastAsia="Arial" w:hAnsi="Arial"/>
          <w:sz w:val="18"/>
          <w:szCs w:val="18"/>
          <w:color w:val="auto"/>
        </w:rPr>
        <w:t>There are several factors to consider in assessing a situation involving a potential conflict of interest. Among them: the relationship between the Company and the other company; the nature of the employee, officer or director’s responsibilities as a representative of the Company and those of the other person; and the access each employee, officer and director has to the Company’s confidential information. The very appearance of a conflict of interest can create problems, regardless of the propriety of the employee, officer or director’s behavior. To remove any such doubts or suspicions, the employee, officer or director must disclose their specific situation to the General Counsel to assess the nature and extent of any concern and how it can be resolved. In some instances, any risk to the Company’s interests is sufficiently remote that the General Counsel may only remind the employee, officer or director to guard against inadvertently disclosing Company confidential information and not to be involved in decisions on behalf of the Company that involve the other company.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color w:val="auto"/>
        </w:rPr>
        <w:t>Company Opportunities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Employees, officers and directors owe a duty to advance the legitimate interests of the Company when they arise. No employee, officer or director of the Company shall for personal or any other person’s or entity’s gain deprive the Company of any business opportunity for benefit which could be construed as related to any existing or reasonably anticipated future activity of the Company. Employees, officers and directors who learn of any such opportunity through their association with the Company may not disclose it to a third party or invest in the opportunity without first offering it to the Company. Nor should any employee, officer or director use Company property, information or position for personal gain.</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i w:val="1"/>
          <w:iCs w:val="1"/>
          <w:color w:val="auto"/>
        </w:rPr>
        <w:t>Entertainment, Gifts and Gratuities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should be read in conjunction with the Company’s “Anti-Corruption Policy and Procedures,” as adopted by the Board and as amended from time to time (the “</w:t>
      </w:r>
      <w:r>
        <w:rPr>
          <w:rFonts w:ascii="Arial" w:cs="Arial" w:eastAsia="Arial" w:hAnsi="Arial"/>
          <w:sz w:val="16"/>
          <w:szCs w:val="16"/>
          <w:b w:val="1"/>
          <w:bCs w:val="1"/>
          <w:color w:val="auto"/>
        </w:rPr>
        <w:t>Anti-Corruption Policy</w:t>
      </w:r>
      <w:r>
        <w:rPr>
          <w:rFonts w:ascii="Arial" w:cs="Arial" w:eastAsia="Arial" w:hAnsi="Arial"/>
          <w:sz w:val="16"/>
          <w:szCs w:val="16"/>
          <w:color w:val="auto"/>
        </w:rPr>
        <w:t>”). Employees, officers and directors are required to abide by all of the terms of the Anti-Corruption Policy.</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Receipt of Gifts and Entertainment </w:t>
      </w:r>
      <w:r>
        <w:rPr>
          <w:rFonts w:ascii="Arial" w:cs="Arial" w:eastAsia="Arial" w:hAnsi="Arial"/>
          <w:sz w:val="18"/>
          <w:szCs w:val="18"/>
          <w:color w:val="auto"/>
        </w:rPr>
        <w:t>When an employee, officer or director is involved in making business decisions on behalf of the Company,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decisions must be based on uncompromised, objective judgment. Employees, officer and directors interacting with any person who has business dealings with the Company (including suppliers, customers, competitors, contractors and consultants) must conduct such activities in the best interest of the Company, using consistent and unbiased standards. Employees, officers and directors must never accept gifts or other benefits if their business judgment or decisions could be affected.</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Employees, officers and directors must never ask for gifts, entertainment or any other business courtesies from people doing business with the Company. Unsolicited gifts and business courtesies, including meals and entertainment, are permissible if they are customary and commonly accepted business courtesies; not excessive in value; and given and accepted without an express or implied understanding that the employee, officer or director is in any way obligated by their acceptance of the gift or that the gift is a reward or inducement for any particular business decision already made or forthcoming. Gifts that are or seem extravagant in value or unusual in nature should not be accepted without the prior written approval of the Legal Department. Gifts of cash or cash equivalents (including securities, below-market loans, etc.) in any amount are prohibited and must be returned promptly to the donor.</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Offering Gifts and Entertainment </w:t>
      </w:r>
      <w:r>
        <w:rPr>
          <w:rFonts w:ascii="Arial" w:cs="Arial" w:eastAsia="Arial" w:hAnsi="Arial"/>
          <w:sz w:val="18"/>
          <w:szCs w:val="18"/>
          <w:color w:val="auto"/>
        </w:rPr>
        <w:t>Employees, officers and directors providing a gift, entertainment or other accommodation in connection with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must do so in a manner that is in good taste and without excessive expense. Gifts may not be furnished or offered to be furnished that are of more than token value or that go beyond the common courtesies associated with accepted business practices or that are an inducement or reward for entering into a business transaction. Employees, officers and directors should follow the Anti-Corruption Policy in determining when it is appropriate to give gifts and when prior written approval from the Legal Department is required.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suppliers, customers and consultants likely have gift and entertainment policies of their own. Employees, officers and directors must be careful never to provide a gift or entertainment that violates the other company’s gift and entertainment policy.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What is acceptable in the commercial business environment may be entirely unacceptable in dealings with the government, including representatives of foreign governments and government-owned companies in foreign countries. There are strict laws that govern providing gifts, including meals, entertainment, transportation and lodging, to government officials and employees. Employees, officers and directors are prohibited from providing gifts or anything of value to government officials or employees or members of their families, including representatives of foreign governments and government-owned companies in foreign countries, in connection with Company business without prior written approval from the Legal Department in accordance with the Anti-Corruption Policy.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Giving or receiving </w:t>
      </w:r>
      <w:r>
        <w:rPr>
          <w:rFonts w:ascii="Arial" w:cs="Arial" w:eastAsia="Arial" w:hAnsi="Arial"/>
          <w:sz w:val="18"/>
          <w:szCs w:val="18"/>
          <w:i w:val="1"/>
          <w:iCs w:val="1"/>
          <w:u w:val="single" w:color="auto"/>
          <w:color w:val="auto"/>
        </w:rPr>
        <w:t>any</w:t>
      </w:r>
      <w:r>
        <w:rPr>
          <w:rFonts w:ascii="Arial" w:cs="Arial" w:eastAsia="Arial" w:hAnsi="Arial"/>
          <w:sz w:val="18"/>
          <w:szCs w:val="18"/>
          <w:color w:val="auto"/>
        </w:rPr>
        <w:t xml:space="preserve"> payment or gift in the nature of a bribe or kickback is absolutely prohibited.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2" w:name="page393"/>
    <w:bookmarkEnd w:id="392"/>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i w:val="1"/>
          <w:iCs w:val="1"/>
          <w:color w:val="auto"/>
        </w:rPr>
        <w:t>Protection and Proper Use of Company Assets</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Employees, officers and directors have the responsibility of protecting the Company’s assets and preventing their misuse and misappropriation. The assets of the Company include tangible assets, such as products, equipment and facilities, as well as intangible assets, such as corporate opportunities, intellectual property, trade secrets and business information (including any nonpublic information learned as an employee, officer or director of the Company).</w:t>
      </w:r>
    </w:p>
    <w:p>
      <w:pPr>
        <w:spacing w:after="0" w:line="14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 xml:space="preserve">Theft/Misuse of Company Assets </w:t>
      </w:r>
      <w:r>
        <w:rPr>
          <w:rFonts w:ascii="Arial" w:cs="Arial" w:eastAsia="Arial" w:hAnsi="Arial"/>
          <w:sz w:val="17"/>
          <w:szCs w:val="17"/>
          <w:color w:val="auto"/>
        </w:rPr>
        <w:t>The Company’s assets may only be used for business purposes and such other purposes as are approved by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 employee, officer or director may take, make use of, or knowingly misappropriate the assets of the Company, for personal use, for use by another, or for an improper or illegal purpose. No employee, officer or director is permitted to remove, dispose of, or destroy anything of value belonging to the Company without the Company’s consent, including both physical items and electronic information.</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Confidential Information/Privacy </w:t>
      </w:r>
      <w:r>
        <w:rPr>
          <w:rFonts w:ascii="Arial" w:cs="Arial" w:eastAsia="Arial" w:hAnsi="Arial"/>
          <w:sz w:val="17"/>
          <w:szCs w:val="17"/>
          <w:color w:val="auto"/>
        </w:rPr>
        <w:t>No employee, officer or director of the Company who is entrusted with information of a confidential or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nature (about the Company, its suppliers, customers or other constituents) shall disclose that information outside the Company, either during or after service with the Company, except with written authorization of the Company or as may be otherwise required by law. Employees, officers and directors may not use confidential information for their own personal benefit or the benefit of persons or entities outside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includes all non-public information learned as an employee, officer or director of the Company. It includes, but is not limited to:</w:t>
      </w:r>
    </w:p>
    <w:p>
      <w:pPr>
        <w:spacing w:after="0" w:line="248" w:lineRule="exact"/>
        <w:rPr>
          <w:sz w:val="20"/>
          <w:szCs w:val="20"/>
          <w:color w:val="auto"/>
        </w:rPr>
      </w:pPr>
    </w:p>
    <w:p>
      <w:pPr>
        <w:ind w:left="980" w:right="80" w:hanging="324"/>
        <w:spacing w:after="0" w:line="277" w:lineRule="auto"/>
        <w:tabs>
          <w:tab w:leader="none" w:pos="9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Non-public information that might be (i) of use to competitors, suppliers, vendors, joint venture partners or others, (ii) of interest to the press, or (iii) harmful to the Company or its customers, if disclosed;</w:t>
      </w:r>
    </w:p>
    <w:p>
      <w:pPr>
        <w:spacing w:after="0" w:line="170"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Non-public information about the Company’s financial condition, prospects or plans, its marketing and sales programs and research and development information, as well as information relating to mergers and acquisitions, stock splits and divestitures;</w:t>
      </w:r>
    </w:p>
    <w:p>
      <w:pPr>
        <w:spacing w:after="0" w:line="146" w:lineRule="exact"/>
        <w:rPr>
          <w:rFonts w:ascii="Arial" w:cs="Arial" w:eastAsia="Arial" w:hAnsi="Arial"/>
          <w:sz w:val="17"/>
          <w:szCs w:val="17"/>
          <w:color w:val="auto"/>
        </w:rPr>
      </w:pPr>
    </w:p>
    <w:p>
      <w:pPr>
        <w:ind w:left="980" w:right="200" w:hanging="324"/>
        <w:spacing w:after="0" w:line="277" w:lineRule="auto"/>
        <w:tabs>
          <w:tab w:leader="none" w:pos="9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Non-public information concerning possible transactions with other companies or information about the Company’s customers, suppliers or joint venture partners, which the Company is under an obligation to maintain as confidential;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Non-public information about discussions and deliberations, relating to business issues and decisions, between and among employees, officers and directors. See section relating to Insider Trading;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Non-public information about fellow employees or any other individuals about whom the Company may hold information from time to time.</w:t>
      </w:r>
    </w:p>
    <w:p>
      <w:pPr>
        <w:spacing w:after="0" w:line="2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i w:val="1"/>
          <w:iCs w:val="1"/>
          <w:color w:val="auto"/>
        </w:rPr>
        <w:t>Network Use, Integrity &amp; Security</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reserves the right to monitor or review any and all data and information contained on any employee’s or officer’s computer or other electronic device issued by the Company. In addition, the Company reserves the right to monitor or review an employee’s or officer’s use of the Internet, Company Intranet and Company e-mail or any other electronic communications without prior notice.</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Access to Company systems will be revoked and disciplinary action may be taken in the event that such systems are used to commit illegal acts, or to violate the nondiscrimination, harassment, pornography, solicitation or proprietary information terms of this Code, or any other terms of this Code.</w:t>
      </w:r>
    </w:p>
    <w:p>
      <w:pPr>
        <w:spacing w:after="0" w:line="12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order to maintain systems integrity and protect the Company network, no employee or officer should divulge any passwords used to access any Company computer or database. Any suspected breach of the Company’s network security systems should be reported to a responsible supervisor or appropriate internal authority immediately.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employees and officers should refrain from using or distributing software that may damage or disrupt the Company’s work environment by transmitting a virus or conflicting with Company systems. No employee or officer should engage in the unauthorized use, copying, distribution or alteration of computer software whether obtained from outside sources or developed internally. All software, including “shareware,” contains terms of use that must be adhered to.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3" w:name="page394"/>
    <w:bookmarkEnd w:id="393"/>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i w:val="1"/>
          <w:iCs w:val="1"/>
          <w:color w:val="auto"/>
        </w:rPr>
        <w:t>Company Books and Records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the Company’s policy to fully and fairly disclose the financial condition of the Company in compliance with applicable accounting principles, laws, rules and regulations and to make full, fair, accurate timely and understandable disclosure in our periodic reports filed with the Securities and Exchange Commission and in other communications to securities analysts, rating agencies and investors. Honest and accurate recording and reporting of information is critical to our ability to make responsible business decisions. The Company’s accounting records are relied upon to produce reports for the Company’s management, rating agencies, investors, creditors, governmental agencies and others. Our financial statements and the books and records on which they are based must accurately reflect all corporate transactions and conform to all legal and accounting requirements and our system of internal controls.</w:t>
      </w:r>
    </w:p>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All employees, officers and directors and, in particular, the chief executive officer of the Company (the “</w:t>
      </w:r>
      <w:r>
        <w:rPr>
          <w:rFonts w:ascii="Arial" w:cs="Arial" w:eastAsia="Arial" w:hAnsi="Arial"/>
          <w:sz w:val="18"/>
          <w:szCs w:val="18"/>
          <w:b w:val="1"/>
          <w:bCs w:val="1"/>
          <w:color w:val="auto"/>
        </w:rPr>
        <w:t>Chief Executive Officer</w:t>
      </w:r>
      <w:r>
        <w:rPr>
          <w:rFonts w:ascii="Arial" w:cs="Arial" w:eastAsia="Arial" w:hAnsi="Arial"/>
          <w:sz w:val="18"/>
          <w:szCs w:val="18"/>
          <w:color w:val="auto"/>
        </w:rPr>
        <w:t>”) and the chief financial officer (or an equivalent position) of the Company, have a responsibility to ensure that the Company’s accounting records do not contain any false or intentionally misleading entries. We do not tolerate intentional misclassification of transactions as to accounts, departments or accounting periods and, in particular:</w:t>
      </w:r>
    </w:p>
    <w:p>
      <w:pPr>
        <w:spacing w:after="0" w:line="184" w:lineRule="exact"/>
        <w:rPr>
          <w:sz w:val="20"/>
          <w:szCs w:val="20"/>
          <w:color w:val="auto"/>
        </w:rPr>
      </w:pPr>
    </w:p>
    <w:p>
      <w:pPr>
        <w:ind w:left="980" w:right="420" w:hanging="324"/>
        <w:spacing w:after="0" w:line="277" w:lineRule="auto"/>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accounting records, as well as reports produced from those records, are to be kept and presented in accordance with the laws of each applicable jurisdiction;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records are to fairly and accurately reflect the transactions or occurrences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records are to fairly and accurately reflect in reasonable detail the Company’s assets, liabilities, revenues and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accounting records are to contain any intentionally false or misleading entries;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transactions are to be misclassified as to accounts, departments or accounting periods;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transactions are to be supported by accurate documentation in reasonable detail and recorded in the proper account and in the proper accounting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accounting records are to comply with generally accepted accounting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Company’s system of internal accounting controls, including compensation controls, is required to be followed at all times.</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Any effort to mislead or coerce the independent auditors or a member of internal audit staff concerning issues related to audit, accounting or financial disclosure has serious legal consequences for the perpetrator, including criminal sanctions, and for the Company, and is strictly prohibited. If an employee, officer or directors become aware of any violation of this policy, they must report the matter immediately to the Audit Committee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Trident Digital Tech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Consistent with the reporting and recordkeeping commitments discussed above and elsewhere in the Code, all employees, officers and directors should accurately and truthfully complete all records used to determine compensation or expense reimbursement. This includes, among other items, reporting of hours worked (including overtime), reimbursable expenses (including travel and meals), and sales activity.</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Compliance with the Company’s records retention procedures is mandatory. Destroying or altering a document with the intent to impair the document’s integrity or availability for use in any potential official proceeding is a crime. Destruction of corporate records may only take place in compliance with the records retention policy. Documents relevant to any pending, threatened or anticipated litigation, investigation or audit shall not be destroyed for any reason. Any belief that Company records are being improperly altered or destroyed should be reported to a responsible supervisor, the Chief Executive Officer or the chairperson of the Audit Committee.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94" w:name="page395"/>
    <w:bookmarkEnd w:id="394"/>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i w:val="1"/>
          <w:iCs w:val="1"/>
          <w:color w:val="auto"/>
        </w:rPr>
        <w:t>Compliance with Laws, Rules and Regulations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requires its employees, officers and directors to comply with all applicable laws, rules and regulations in countries where the Company does business. Violation of domestic or foreign laws and regulations may subject an individual, as well as the Company, to civil and/or criminal penalties.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Legal compliance is not always intuitive. To comply with the law, employees, officers and directors must learn enough about the national, state and local laws that affect the Company to spot potential issues and to obtain proper guidance on the right way to proceed. This means, for example, that employees and officers whose day-to-day work is directly affected by particular laws have a responsibility to understand them well enough to recognize potential problem areas and to know when and where to seek advice. When there is any doubt as to the lawfulness of any proposed activity, advice should be sought from the General Counsel, who may retain outside legal counsel to investigate the proposed activity.</w:t>
      </w:r>
    </w:p>
    <w:p>
      <w:pPr>
        <w:spacing w:after="0" w:line="1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Specific laws and regulations apply to participation in international business. Employees and officers involved in foreign business transactions must be fully familiar with, and strictly adhere to, all applicable foreign and domestic laws and regulations. Employees and officers involved in international business matters must, at a minimum, be familiar with and comply with all applicable laws controlling exports or regulating with whom the Company and its employees may do business. These laws include export control and licensing laws, economic sanctions, anti-boycott laws and various laws regulating the transnational movement of technology, goods and services. Questions regarding whether particular international transactions are permissible and compliance with applicable laws and this policy must be directed to the General Counsel.</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i w:val="1"/>
          <w:iCs w:val="1"/>
          <w:color w:val="auto"/>
        </w:rPr>
        <w:t>Insider Trading</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is intended to provide a summary of certain provisions of the Company’s “Insider Trading Policy,” as adopted by the Board and as amended from time to time (the “</w:t>
      </w:r>
      <w:r>
        <w:rPr>
          <w:rFonts w:ascii="Arial" w:cs="Arial" w:eastAsia="Arial" w:hAnsi="Arial"/>
          <w:sz w:val="16"/>
          <w:szCs w:val="16"/>
          <w:b w:val="1"/>
          <w:bCs w:val="1"/>
          <w:color w:val="auto"/>
        </w:rPr>
        <w:t>Trading Policy</w:t>
      </w:r>
      <w:r>
        <w:rPr>
          <w:rFonts w:ascii="Arial" w:cs="Arial" w:eastAsia="Arial" w:hAnsi="Arial"/>
          <w:sz w:val="16"/>
          <w:szCs w:val="16"/>
          <w:color w:val="auto"/>
        </w:rPr>
        <w:t>”), and should be read in conjunction with the Trading Policy. Employees, officers and directors are required to abide by all of the terms of the Trading Policy. Nothing in this summary is intended to amend, modify or limit the terms of the Trading Policy.</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Employees, officers and directors are prohibited by Company policy and the law from buying or selling securities of the Company at a time when in possession of “material nonpublic information.” (There is, however, an exception for trades made pursuant to a pre-existing trading plan, discussed below.) This conduct is known as “insider trading.” Passing such information on to someone who may buy or sell securities, known as “tipping,” is also illegal. The prohibition applies to Company securities and to securities of other companies if employees, officers and directors learn material nonpublic information about other companies, such as the Company’s customers, in the course of the employees’, officers’ and directors’ duties for the Company.</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is “material” if (a) there is a substantial likelihood that a reasonable investor would find the information “important” in determining whether to trade in a security; or (b) the information, if made public, likely would affect the market price of a company’s securities. Examples of types of material information include unannounced dividends, earnings, financial results, new or lost contracts or products, sales results, important personnel changes, business plans, possible mergers, acquisitions, divestitures or joint ventures, important litigation developments, and important regulatory, judicial or legislative actions. Information may be material even if it relates to future, speculative or contingent events and even if it is significant only when considered in combination with publicly available information.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Information is considered to be nonpublic unless it has been adequately disclosed to the public, which means that the information must be publicly disclosed, and adequate time must have passed for the securities markets to digest the information. Examples of adequate disclosure include public filings with securities regulatory authorities and the issuance of press releases, and may also include meetings with members of the press and the public. A delay of one or two business days is generally considered a sufficient period for routine information to be absorbed by the market. Nevertheless, a longer period of delay might be considered appropriate in more complex disclosures. The appropriate amount of time is something that must be discussed, before trading, with the General Counsel.</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Trading Policy establishes restrictions on the trading of the Company’s securities by directors, officers and certain “Restricted Employees” (as defined in the Trading Policy). Such persons are not permitted to trade the Company’s securities during “blackout periods.” In addition, directors and offers must have their trades cleared by the General Counsel prior to completing the trade.</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Employees, officers and directors are not permitted to disclose material nonpublic information to anyone, including co-workers, unless the person receiving the information has a legitimate need to know the information for purposes of carrying out the Company’s business. Employees, officers and directors that leave the Company must maintain the confidentiality of all such information until it has been adequately disclosed to the public by the Company. If there is any question as to whether information regarding the Company or another company with which the Company has dealings is material or has been adequately disclosed to the public, employees, officers and directors should contact the General Counsel.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5" w:name="page396"/>
    <w:bookmarkEnd w:id="395"/>
    <w:p>
      <w:pPr>
        <w:ind w:right="140"/>
        <w:spacing w:after="0" w:line="257" w:lineRule="auto"/>
        <w:rPr>
          <w:sz w:val="20"/>
          <w:szCs w:val="20"/>
          <w:color w:val="auto"/>
        </w:rPr>
      </w:pPr>
      <w:r>
        <w:rPr>
          <w:rFonts w:ascii="Arial" w:cs="Arial" w:eastAsia="Arial" w:hAnsi="Arial"/>
          <w:sz w:val="18"/>
          <w:szCs w:val="18"/>
          <w:color w:val="auto"/>
        </w:rPr>
        <w:t>Notwithstanding the prohibition against insider trading, the law and Company policy permit employees, directors and officers to trade in Company securities regardless of their awareness of material nonpublic information if the transaction is made pursuant to a pre-arranged trading plan that was established in compliance with applicable law and was entered into when the person was not in possession of material nonpublic information. A person who wishes to enter into a trading plan must submit the plan to the General Counsel for approval prior to the adoption, modification or termination of the trading plan.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i w:val="1"/>
          <w:iCs w:val="1"/>
          <w:color w:val="auto"/>
        </w:rPr>
        <w:t>Documentation</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Employees, officers and directors who are authorized to make expenditures or enter into transactions on behalf of the Company must ensure that the applicable records comply with the Company’s accounting and purchasing policies and that all transactions are recorded properly.</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i w:val="1"/>
          <w:iCs w:val="1"/>
          <w:color w:val="auto"/>
        </w:rPr>
        <w:t>Responding to Inquiries from the Press and Others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Company employees who are not official Company spokespersons may not speak with the press, securities analysts, other members of the financial community, shareholders or groups or organizations as a Company representative or about Company business unless specifically authorized to do so by Investor Relations. Requests for financial or other information about the Company from the media, the press, the financial community, shareholders or the public should be referred to the Investor Relations Manager or the General Counsel. Requests for information from regulators or the government should be referred to the General Counsel.</w:t>
      </w:r>
    </w:p>
    <w:p>
      <w:pPr>
        <w:spacing w:after="0" w:line="184" w:lineRule="exact"/>
        <w:rPr>
          <w:sz w:val="20"/>
          <w:szCs w:val="20"/>
          <w:color w:val="auto"/>
        </w:rPr>
      </w:pPr>
    </w:p>
    <w:p>
      <w:pPr>
        <w:ind w:left="660" w:hanging="652"/>
        <w:spacing w:after="0"/>
        <w:tabs>
          <w:tab w:leader="none" w:pos="66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FAIR DEALING</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All employees, officers and directors should deal fairly with the Company’s customers, competitors, suppliers and employees. Employees, officers and directors must never take unfair advantage of others through manipulation, concealment, abuse of privileged information, misrepresentation of material facts or any other unfair dealing practice.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Trade Practice and Antitrust Compliance</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efforts in the marketplace must be conducted in accordance with all applicable antitrust and competition laws. Moreover, failure to comply with antitrust and other trade regulation laws in every jurisdiction in which the Company does business could result in serious consequences both for the Company and the offending individuals, including significant civil and criminal penalties and damage to the Company’s reputation. Therefore, it is the Company’s policy to compete solely on the basis of its superior and innovative products and services, through the efforts and contributions of its employees, officers and directors, and to avoid improper actions that unreasonably restrain trade. Every Company employee, officer and director is expected to support Company efforts to compete vigorously in the marketplace in compliance with both the letter and the spirit of all applicable federal, state and foreign antitrust laws. Antitrust and trade regulation issues are very complex. Determining what actions unreasonably restrain trade or are otherwise improper will depend on the structure of the market and a number of other factors. Employees, officers and directors should consult the General Counsel for further guidance if they are involved in any conduct that could potentially raise antitrust concerns.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avoid even the perception of unlawful conduct, employees should avoid: (a) discussing with a competitor: prices, costs, products and services, bidding practices, other non-public business matters, or customers; and (b) restricting the right of a customer to sell or lease a product or service at or above any price. In addition, the following practices should not be engaged in without advanced written approval by the General Counsel: (a) conditioning the sale or lease of a product or service on the sale or lease of another product or service; (b) conditioning the purchase, sale or lease of a product or service on a reciprocal agreement with a customer or supplier; (c) entering into an exclusive dealing arrangement with a customer (including a lessee) or supplier; (d) limiting a customer (including a lessee) as to the territories in which, or the customers to whom, a product or service can be resold or leased; and (e) discriminating in the prices or allowances offered to competing customers (including lessees).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96" w:name="page397"/>
    <w:bookmarkEnd w:id="396"/>
    <w:p>
      <w:pPr>
        <w:ind w:left="660" w:hanging="652"/>
        <w:spacing w:after="0"/>
        <w:tabs>
          <w:tab w:leader="none" w:pos="66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TO OUR PEOPLE</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5"/>
          <w:szCs w:val="15"/>
          <w:b w:val="1"/>
          <w:bCs w:val="1"/>
          <w:i w:val="1"/>
          <w:iCs w:val="1"/>
          <w:color w:val="auto"/>
        </w:rPr>
        <w:t>Respecting One Another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employees want and deserve a work place where they are respected and appreciated. Everyone who works for the Company must contribute to the creation and maintenance of such an environment, and supervisors and managers have a special responsibility to foster a workplace that supports honesty, integrity, respect and trust.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i w:val="1"/>
          <w:iCs w:val="1"/>
          <w:color w:val="auto"/>
        </w:rPr>
        <w:t>Employee Privacy</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respects the privacy and dignity of all individuals. The Company collects and maintains personal information that relates to the employment of employees, officers and directors, including medical and benefit information. Special care is taken to limit access to personal information to Company personnel with a need to know such information for a legitimate purpose. Employees who are responsible for maintaining personal information and those who are provided access to such information must not disclose private information in violation of applicable law or in violation of the Company’s policies.</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Employees, directors and officers should not search for or retrieve items from another employee’s workspace without prior approval of that employee or management. Similarly, employees, directors and officers should not use communication or information systems to obtain access to information directed to or created by others without the prior approval of management, unless such access is part of their job function and responsibilities at the Company.</w:t>
      </w:r>
    </w:p>
    <w:p>
      <w:pPr>
        <w:spacing w:after="0" w:line="14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Personal items, messages or information that is considered to be private should not be placed or kept in telephone systems, computer or electronic mail systems, office systems, offices, work spaces, desks, credenzas or file cabinets. The Company reserves all rights, to the fullest extent permitted by law, to inspect such systems and areas and to retrieve information or property from them when deemed appropriate in the judgment of management.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i w:val="1"/>
          <w:iCs w:val="1"/>
          <w:color w:val="auto"/>
        </w:rPr>
        <w:t>Equal Employment Opportunity and Nondiscrimination</w:t>
      </w:r>
    </w:p>
    <w:p>
      <w:pPr>
        <w:spacing w:after="0" w:line="22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The Company is an equal opportunity employer in hiring and promoting practices, benefits and wages. The Company will not tolerate discrimination against any person on the basis of race, religion, color, gender, age, marital status, pregnancy, national origin, sexual orientation, citizenship, disabled veteran status or disability (where the applicant or employee is qualified to perform the essential functions of the job with or without reasonable accommodation), or any other basis prohibited by law in recruiting, hiring, placement, promotion, or any other condition of employment.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Company people, employees, customers, suppliers and others must be treated with respect and dignity.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i w:val="1"/>
          <w:iCs w:val="1"/>
          <w:color w:val="auto"/>
        </w:rPr>
        <w:t>Sexual and Other Forms of Harassment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policy strictly prohibits any form of harassment in the workplace, including sexual harassment. The Company will take prompt and appropriate action to prevent and, where necessary, discipline behavior that violates this policy.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Sexual harassment consists of unwelcome sexual advances, requests for sexual favors and other verbal or physical conduct of a sexual nature when:</w:t>
      </w:r>
    </w:p>
    <w:p>
      <w:pPr>
        <w:spacing w:after="0" w:line="248" w:lineRule="exact"/>
        <w:rPr>
          <w:sz w:val="20"/>
          <w:szCs w:val="20"/>
          <w:color w:val="auto"/>
        </w:rPr>
      </w:pPr>
    </w:p>
    <w:p>
      <w:pPr>
        <w:ind w:left="980" w:hanging="324"/>
        <w:spacing w:after="0"/>
        <w:tabs>
          <w:tab w:leader="none" w:pos="9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submission to such conduct is made a term or condition of employment;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submission to or rejection of such conduct is used as a basis for employment decisions; or</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such conduct has the purpose or effect of unreasonably interfering with an individual’s work performance or creating an intimidating, offensive or hostile work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Forms of sexual harassment include, but are not limited to, the following:</w:t>
      </w:r>
    </w:p>
    <w:p>
      <w:pPr>
        <w:spacing w:after="0" w:line="225" w:lineRule="exact"/>
        <w:rPr>
          <w:sz w:val="20"/>
          <w:szCs w:val="20"/>
          <w:color w:val="auto"/>
        </w:rPr>
      </w:pPr>
    </w:p>
    <w:p>
      <w:pPr>
        <w:ind w:left="980" w:hanging="324"/>
        <w:spacing w:after="0"/>
        <w:tabs>
          <w:tab w:leader="none" w:pos="9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verbal harassment, such as unwelcome comments, jokes or slurs of a sexual nature;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physical harassment, such as unnecessary or offensive touching, or impeding or blocking movement;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visual harassment, such as derogatory or offensive posters, cards, cartoons, graffiti, drawings or gestures.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97" w:name="page398"/>
    <w:bookmarkEnd w:id="397"/>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i w:val="1"/>
          <w:iCs w:val="1"/>
          <w:color w:val="auto"/>
        </w:rPr>
        <w:t>Other Forms of Harassment</w:t>
      </w:r>
    </w:p>
    <w:p>
      <w:pPr>
        <w:spacing w:after="0" w:line="22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Harassment on the basis of other characteristics is also strictly prohibited. Under this policy, harassment is verbal or physical conduct that degrades or shows hostility or hatred toward an individual because of his or her race, gender, color, national origin, sexual orientation, citizenship, religion, marital status, age, mental or physical handicap or disability, veteran status or any other characteristic protected by law, which:</w:t>
      </w:r>
    </w:p>
    <w:p>
      <w:pPr>
        <w:spacing w:after="0" w:line="149" w:lineRule="exact"/>
        <w:rPr>
          <w:sz w:val="20"/>
          <w:szCs w:val="20"/>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has the purpose or effect of creating an intimidating, hostile, or offensive work environment;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has the purpose or effect of unreasonably interfering with an individual’s work performance;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otherwise adversely affects an individual’s employment.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Harassing conduct includes, but is not limited to, the following: epithets; slurs; negative stereotyping; threatening, intimidating or hostile acts; and written or graphic material that ridicules or shows hostility or aversion to an individual or group and that is posted on Company premises or circulated in the workplace.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i w:val="1"/>
          <w:iCs w:val="1"/>
          <w:color w:val="auto"/>
        </w:rPr>
        <w:t>Reporting Responsibilities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Harassment of any kind should be promptly reported to the General Counsel. The harassed persons may also wish to confront the offender and state that the conduct is unacceptable and must stop. Complaints of harassment, abuse or discrimination will be investigated promptly and thoroughly and will be kept confidential to the extent possible. The Company will not in any way retaliate against any employee for making a good faith complaint or report of harassment or participating in the investigation of such a complaint or report.</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encourages the prompt reporting of all incidents of harassment, regardless of the offender’s identity and relationship to the Company. This procedure should also be followed for dealings with non-employees who have engaged in prohibited conduct. Supervisors must promptly report all complaints of harassment to the General Counsel.</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employee who is found to be responsible for harassment, or for retaliating against any individual for reporting a claim of harassment or cooperating in an investigation, will be subject to disciplinary action, up to and include discharge.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Regardless of legal definitions, the Company expects employees to interact with each other in a professional and respectful manner.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i w:val="1"/>
          <w:iCs w:val="1"/>
          <w:color w:val="auto"/>
        </w:rPr>
        <w:t>Safety in the Workplace</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safety and security of employees is of primary importance. All employees, officers and directors are responsible for maintaining the Company’s facilities free from recognized hazards and obeying all Company safety rules. Working conditions should be maintained in a clean and orderly state to encourage efficient operations and promote good safety practices.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Weapons and Workplace Violence </w:t>
      </w:r>
      <w:r>
        <w:rPr>
          <w:rFonts w:ascii="Arial" w:cs="Arial" w:eastAsia="Arial" w:hAnsi="Arial"/>
          <w:sz w:val="17"/>
          <w:szCs w:val="17"/>
          <w:color w:val="auto"/>
        </w:rPr>
        <w:t>No employees, officers or directors may bring firearms, explosives, incendiary devices or any other weapons into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workplace or any work-related setting, regardless of whether or not they are licensed to carry such weapons. Similarly, the Company will not tolerate any level of violence in the workplace or in any work-related setting. Violations of this policy must be referred to a supervisor, manager or the human resources department of the Company immediately. Threats or assaults that require immediate attention should be reported to the police.</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Drugs and Alcohol </w:t>
      </w:r>
      <w:r>
        <w:rPr>
          <w:rFonts w:ascii="Arial" w:cs="Arial" w:eastAsia="Arial" w:hAnsi="Arial"/>
          <w:sz w:val="16"/>
          <w:szCs w:val="16"/>
          <w:color w:val="auto"/>
        </w:rPr>
        <w:t>The Company intends to maintain a drug-free work environment. Except at approved Company functions, employees,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not use, possess or be under the influence of alcohol on Company premises. Employees, officers and directors cannot use, sell, attempt to use or sell, purchase, possess or be under the influence of any illegal drug on Company premises or while performing Company business on or off the premises.</w:t>
      </w:r>
    </w:p>
    <w:p>
      <w:pPr>
        <w:spacing w:after="0" w:line="145" w:lineRule="exact"/>
        <w:rPr>
          <w:sz w:val="20"/>
          <w:szCs w:val="20"/>
          <w:color w:val="auto"/>
        </w:rPr>
      </w:pPr>
    </w:p>
    <w:p>
      <w:pPr>
        <w:ind w:left="660" w:hanging="652"/>
        <w:spacing w:after="0"/>
        <w:tabs>
          <w:tab w:leader="none" w:pos="66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INTERACTING WITH GOVERNMENT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i w:val="1"/>
          <w:iCs w:val="1"/>
          <w:color w:val="auto"/>
        </w:rPr>
        <w:t>Prohibition on Gifts to Government Officials and Employees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branches and levels of governments of various jurisdictions have different laws restricting gifts, including meals, entertainment, transportation and lodging, that may be provided to government officials and government employees. Employees, officers and directors are prohibited from providing gifts, meals or anything of value to government officials or employees or members of their families without prior written approval from General Counsel and/or the compliance officer of the Company (the “</w:t>
      </w:r>
      <w:r>
        <w:rPr>
          <w:rFonts w:ascii="Arial" w:cs="Arial" w:eastAsia="Arial" w:hAnsi="Arial"/>
          <w:sz w:val="18"/>
          <w:szCs w:val="18"/>
          <w:b w:val="1"/>
          <w:bCs w:val="1"/>
          <w:color w:val="auto"/>
        </w:rPr>
        <w:t>Compliance Officer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8" w:name="page399"/>
    <w:bookmarkEnd w:id="398"/>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i w:val="1"/>
          <w:iCs w:val="1"/>
          <w:color w:val="auto"/>
        </w:rPr>
        <w:t>Political Contributions and Activities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Laws of certain jurisdictions prohibit the use of Company funds, assets, services or facilities on behalf of a political party or candidate. Payments of Company funds to any political party, candidate or campaign may be made only if permitted under applicable law and approved in writing and in advance by General Counsel and/or the Compliance Officer. Indirect political contributions or payments of political contributions through third parties (such as suppliers or consultants) in the name of the Company are not permitted, unless permitted under applicable law and approved in writing and in advance by General Counsel and/or the Compliance Officer.</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work time of an employee, officer or director may be considered the equivalent of a contribution by the Company, and as such, employees, officers and directors will not be paid by the Company for any time spent running for public office, serving as an elected official, or campaigning for a political candidate. The Company will not compensate or reimburse an employee, officer or director, in any form, for a political contribution made or intended to be made.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Employees, officers and directors may make personal contributions, but they must avoid any appearance that the contribution is made with Company funds or on behalf of the Company. Personal political contributions will not be reimbursed by the Company.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i w:val="1"/>
          <w:iCs w:val="1"/>
          <w:color w:val="auto"/>
        </w:rPr>
        <w:t>Lobbying Activities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Laws of some jurisdictions require registration and reporting by anyone who engages in a lobbying activity. Generally, lobbying includes: (1) communicating with any member or employee of a legislative branch of government for the purpose of influencing legislation; (2) communicating with certain government officials for the purpose of influencing government action; or (3) engaging in research or other activities to support or prepare for such communication. Employees, directors and officers must notify the Legal Department before engaging in any activity on behalf of the Company that might be considered “lobbying” as described above.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i w:val="1"/>
          <w:iCs w:val="1"/>
          <w:color w:val="auto"/>
        </w:rPr>
        <w:t>Bribery of Foreign Officials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strictly prohibits giving or promising, directly or indirectly, anything of value to any employee or official of a government (including state-owned companies) or a political party, candidate for office, or to any person performing public duties or state functions, anywhere in the world, in order to obtain or retain business or to secure an improper advantage (including the failure by such individual to perform his/her official duty), the purpose of which is to obtain favored treatment with respect to any aspect of the Company’s business. Under no circumstance is it acceptable for any employee, officer or director to offer, give, solicit or receive any form of bribe, kickback, payoff, or inducement.</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company listed in the United States, the Company is subject to the Foreign Corrupt Practices Act, as amended (the “</w:t>
      </w:r>
      <w:r>
        <w:rPr>
          <w:rFonts w:ascii="Arial" w:cs="Arial" w:eastAsia="Arial" w:hAnsi="Arial"/>
          <w:sz w:val="16"/>
          <w:szCs w:val="16"/>
          <w:b w:val="1"/>
          <w:bCs w:val="1"/>
          <w:color w:val="auto"/>
        </w:rPr>
        <w:t>Foreign Corrupt Practices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which makes it illegal for the Company to offer, pay, give, promise or authorize the payment of any money or of anything of value,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to any foreign government official or employee, foreign political party or candidate for foreign political office for the purpose of obtaining or retaining business or to secure an improper advantage, and comparable laws in other countries. Under the Foreign Corrupt Practices Act, improper payments are defined expansively to include payments, both direct and indirect (for example through agents or contactors); gifts; entertainment; and certain travel expenses. Although written local law may permit gift-giving or the payment of entertainment expenses, the General Counsel and/or the Compliance Officer must approve in advance any such payments. Although the anti-bribery laws permit in narrow circumstances small “facilitation” payments to expedite the routine performance of legitimate duties, this area is not always clear, and the situation must be discussed with the General Counsel and/or the Compliance Officer prior to any action being taken. Any question as to whether a gift or payment would be considered improper under the Company’s guidelines or national or foreign laws must be discussed with the General Counsel and/or the Compliance Officer.</w:t>
      </w:r>
    </w:p>
    <w:p>
      <w:pPr>
        <w:spacing w:after="0" w:line="161" w:lineRule="exact"/>
        <w:rPr>
          <w:sz w:val="20"/>
          <w:szCs w:val="20"/>
          <w:color w:val="auto"/>
        </w:rPr>
      </w:pPr>
    </w:p>
    <w:p>
      <w:pPr>
        <w:ind w:left="660" w:hanging="652"/>
        <w:spacing w:after="0"/>
        <w:tabs>
          <w:tab w:leader="none" w:pos="66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CODE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employee, officer and director is responsible compliance with the Code. Copies of this Code are available from the Legal Department. A statement of compliance with the Code must be signed by all officers, directors and employees on an annual basis. If there are any questions regarding any of the policies discussed in this Code or if the best course of action is unclear, guidance should be sought from supervisors, managers, or the other resources identified in this Code.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9" w:name="page400"/>
    <w:bookmarkEnd w:id="399"/>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i w:val="1"/>
          <w:iCs w:val="1"/>
          <w:color w:val="auto"/>
        </w:rPr>
        <w:t>Reporting Violations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Each employee, officer and director is responsible for promptly reporting to the Company any circumstances that such person believes in good faith may constitute a violation of this Code, or any other Company policy, or applicable law, regulations and rules.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complaint regarding accounting, internal accounting controls or auditing matters (including confidential complaints) should be reported to the Audit Committee. Employees, officers and directors may make a confidential report by:</w:t>
      </w:r>
    </w:p>
    <w:p>
      <w:pPr>
        <w:spacing w:after="0" w:line="170" w:lineRule="exact"/>
        <w:rPr>
          <w:sz w:val="20"/>
          <w:szCs w:val="20"/>
          <w:color w:val="auto"/>
        </w:rPr>
      </w:pPr>
    </w:p>
    <w:p>
      <w:pPr>
        <w:ind w:left="980" w:right="200" w:hanging="324"/>
        <w:spacing w:after="0" w:line="277" w:lineRule="auto"/>
        <w:tabs>
          <w:tab w:leader="none" w:pos="9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Sending a letter to Audit Committee, Trident Digital Tech Holdings Ltd at Suntec Tower 3, 8 Temasek Boulevard Road, #24-03, Singapore, 038988.</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No retribution against any individual who reports violations of this Code in good faith will be permitted, and mechanisms for reporting in a confidential manner are noted above. Every effort will be made to investigate confidential reports within the confines of the limits on information or disclosure such reports entail.</w:t>
      </w:r>
    </w:p>
    <w:p>
      <w:pPr>
        <w:spacing w:after="0" w:line="184"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While self-reporting a violation will not excuse the violation itself, the extent and promptness of such reporting will be considered in determining any appropriate sanction, including dismissal. The Company will investigate any matter which is reported and will take any appropriate corrective action.</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Investigations of Suspected Violations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All reported violations will be promptly and thoroughly investigated and treated confidentially to the extent reasonably possible. It is imperative that reporting persons not conduct their own preliminary investigations. Investigations of alleged violations may involve complex legal issues. Employees, officers and directors are encouraged not to act on their own as that action may compromise the integrity of an investigation and lead to adverse consequences.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i w:val="1"/>
          <w:iCs w:val="1"/>
          <w:color w:val="auto"/>
        </w:rPr>
        <w:t>Subpoenas and Government Investigations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general matter, it is the Company’s policy to cooperate in any government investigations and inquiries. All subpoenas, information document requests, or other inquiries should be referred immediately to the General Counsel.</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Discipline for Violations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intends to use every reasonable effort to prevent the occurrence of conduct not in compliance with its Code and to halt any such conduct that may occur as soon as reasonably possible after its discovery. Subject to applicable law and agreements, Company personnel who violate this Code and other Company policies and procedures may be subject to disciplinary action, up to and including discharge.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i w:val="1"/>
          <w:iCs w:val="1"/>
          <w:color w:val="auto"/>
        </w:rPr>
        <w:t>Waivers of the Code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will waive application of the policies set forth in this Code only where circumstances warrant granting a waiver. Waivers of the Code for directors and executive officers may be made only by the Board as a whole or the Audit Committee and must be promptly disclosed as required by law or regulation. Any waiver given shall not constitute a waiver for future purposes or bind the Company to give any such waiver in the future.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i w:val="1"/>
          <w:iCs w:val="1"/>
          <w:color w:val="auto"/>
        </w:rPr>
        <w:t>No Rights Created</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Code is a statement of the fundamental principles and key policies and procedures that govern the conduct of the Company’s business. It is not intended to and does not create any obligations to or rights in any employee, director, officer, client, supplier, competitor, shareholder or any other person or entity.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ACKNOWLEDGMENT FORM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have received and read the Code of Business Conduct and Ethics (the “Code”), and I understand its contents. I agree to comply fully with the standards, policies and procedures contained in the Code and Trident Digital Tech Holdings Ltd’s related policies and procedures. I understand that I have an obligation to report to human resources department, the general counsel or the compliance officer any suspected violations of the Code that I am aware of. I acknowledge that the Code is a statement of policies for business conduct and does not, in any way, constitute an employment contract or an assurance of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265430</wp:posOffset>
            </wp:positionV>
            <wp:extent cx="284607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426085</wp:posOffset>
            </wp:positionV>
            <wp:extent cx="284607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5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448310</wp:posOffset>
            </wp:positionV>
            <wp:extent cx="284607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1" w:name="page402"/>
    <w:bookmarkEnd w:id="401"/>
    <w:p>
      <w:pPr>
        <w:ind w:left="103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97355" cy="4540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Resource Law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Collyer Quay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#18-01 Ocean Financial Centre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Singapore 049315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+65 6805 7300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 6805 7399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resourcelawasia.com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 October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Ref: 405456.00001</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 (THE “COMPANY”) – REGISTRATION STATEMENT ON FORM F-1 OF THE COMPANY</w:t>
      </w:r>
    </w:p>
    <w:p>
      <w:pPr>
        <w:spacing w:after="0" w:line="225" w:lineRule="exact"/>
        <w:rPr>
          <w:sz w:val="20"/>
          <w:szCs w:val="20"/>
          <w:color w:val="auto"/>
        </w:rPr>
      </w:pPr>
    </w:p>
    <w:p>
      <w:pPr>
        <w:ind w:left="760" w:hanging="752"/>
        <w:spacing w:after="0"/>
        <w:tabs>
          <w:tab w:leader="none" w:pos="7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ind w:left="78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act as Singapore legal counsel to the Company, a company incorporated under the laws of the Cayman Islands, in connection with (a) the proposed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certain number of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 each ADS representing certain number of Class B ordinary shares, par value of US$0.00001 per share, of the Company, by the Company as set forth in the Company’s registration statement on Form F-1, including all amendments or supplements thereto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the Company with the Securities and Exchange Commission under the U.S. Securities Act of 1933 (as amended) in relation to the Offering, and (b) the Company’s proposed listing of the ADSs on the Nasdaq Capital Market (the “</w:t>
      </w:r>
      <w:r>
        <w:rPr>
          <w:rFonts w:ascii="Arial" w:cs="Arial" w:eastAsia="Arial" w:hAnsi="Arial"/>
          <w:sz w:val="17"/>
          <w:szCs w:val="17"/>
          <w:b w:val="1"/>
          <w:bCs w:val="1"/>
          <w:color w:val="auto"/>
        </w:rPr>
        <w:t>Listing</w:t>
      </w:r>
      <w:r>
        <w:rPr>
          <w:rFonts w:ascii="Arial" w:cs="Arial" w:eastAsia="Arial" w:hAnsi="Arial"/>
          <w:sz w:val="17"/>
          <w:szCs w:val="17"/>
          <w:color w:val="auto"/>
        </w:rPr>
        <w:t>”).</w:t>
      </w:r>
    </w:p>
    <w:p>
      <w:pPr>
        <w:spacing w:after="0" w:line="174" w:lineRule="exact"/>
        <w:rPr>
          <w:sz w:val="20"/>
          <w:szCs w:val="20"/>
          <w:color w:val="auto"/>
        </w:rPr>
      </w:pPr>
    </w:p>
    <w:p>
      <w:pPr>
        <w:ind w:left="760" w:hanging="752"/>
        <w:spacing w:after="0"/>
        <w:tabs>
          <w:tab w:leader="none" w:pos="76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Scope of opinion</w:t>
      </w:r>
    </w:p>
    <w:p>
      <w:pPr>
        <w:spacing w:after="0" w:line="229" w:lineRule="exact"/>
        <w:rPr>
          <w:rFonts w:ascii="Arial" w:cs="Arial" w:eastAsia="Arial" w:hAnsi="Arial"/>
          <w:sz w:val="18"/>
          <w:szCs w:val="18"/>
          <w:b w:val="1"/>
          <w:bCs w:val="1"/>
          <w:color w:val="auto"/>
        </w:rPr>
      </w:pPr>
    </w:p>
    <w:p>
      <w:pPr>
        <w:ind w:left="1520" w:hanging="756"/>
        <w:spacing w:after="0" w:line="275" w:lineRule="auto"/>
        <w:tabs>
          <w:tab w:leader="none" w:pos="152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This opinion is given only with respect to Singapore law in force at the date of this opinion as applied by the Singapore courts. Statements relating to taxation are based on Singapore law (including case law) as applied by the Singapore courts as at the date of this opinion. We assume no obligation or responsibility to notify you of any change in Singapore law which may occur after today or to update or supplement this opinion in any respect. Save as expressly provided in this opinion, we do not express any views as to matters of taxation or tax consequences of any transactions contemplated by the Offering.</w:t>
      </w:r>
    </w:p>
    <w:p>
      <w:pPr>
        <w:spacing w:after="0" w:line="176" w:lineRule="exact"/>
        <w:rPr>
          <w:rFonts w:ascii="Arial" w:cs="Arial" w:eastAsia="Arial" w:hAnsi="Arial"/>
          <w:sz w:val="17"/>
          <w:szCs w:val="17"/>
          <w:color w:val="auto"/>
        </w:rPr>
      </w:pPr>
    </w:p>
    <w:p>
      <w:pPr>
        <w:ind w:left="1520" w:hanging="756"/>
        <w:spacing w:after="0"/>
        <w:tabs>
          <w:tab w:leader="none" w:pos="152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We express no opinion with regard to any other system of law.</w:t>
      </w:r>
    </w:p>
    <w:p>
      <w:pPr>
        <w:spacing w:after="0" w:line="200" w:lineRule="exact"/>
        <w:rPr>
          <w:sz w:val="20"/>
          <w:szCs w:val="20"/>
          <w:color w:val="auto"/>
        </w:rPr>
      </w:pPr>
    </w:p>
    <w:p>
      <w:pPr>
        <w:spacing w:after="0" w:line="237"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Resource Law LLC (UEN 201540803D) is registered as an exempt private company in Singapore with limited liability and with its address at 10 Collyer Quay, #18-01 Ocean Financial Centre, Singapore 049315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41" w:lineRule="exact"/>
        <w:rPr>
          <w:sz w:val="20"/>
          <w:szCs w:val="20"/>
          <w:color w:val="auto"/>
        </w:rPr>
      </w:pPr>
    </w:p>
    <w:p>
      <w:pPr>
        <w:ind w:left="1520" w:right="300" w:hanging="756"/>
        <w:spacing w:after="0" w:line="277" w:lineRule="auto"/>
        <w:tabs>
          <w:tab w:leader="none" w:pos="15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the extent that foreign laws are or may be relevant, we have made no independent investigation of such laws, and our opinion is subject to the effect of such laws.</w:t>
      </w:r>
    </w:p>
    <w:p>
      <w:pPr>
        <w:spacing w:after="0" w:line="170" w:lineRule="exact"/>
        <w:rPr>
          <w:rFonts w:ascii="Arial" w:cs="Arial" w:eastAsia="Arial" w:hAnsi="Arial"/>
          <w:sz w:val="18"/>
          <w:szCs w:val="18"/>
          <w:color w:val="auto"/>
        </w:rPr>
      </w:pPr>
    </w:p>
    <w:p>
      <w:pPr>
        <w:ind w:left="1520" w:hanging="756"/>
        <w:spacing w:after="0" w:line="259" w:lineRule="auto"/>
        <w:tabs>
          <w:tab w:leader="none" w:pos="15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This opinion is strictly limited to the matters stated in paragraph 5 of this opinion, do not extend to any other matters and is intended to be used in the context which is specifically referred to herein. In particular, this opinion does not relate to any additional documents or statements concerning the Registration Statement, the Company, the Offering or the Listing that may be made by any person or any other conduct that any person may engage in concerning the Registration Statement.</w:t>
      </w:r>
    </w:p>
    <w:p>
      <w:pPr>
        <w:spacing w:after="0" w:line="183" w:lineRule="exact"/>
        <w:rPr>
          <w:sz w:val="20"/>
          <w:szCs w:val="20"/>
          <w:color w:val="auto"/>
        </w:rPr>
      </w:pPr>
    </w:p>
    <w:p>
      <w:pPr>
        <w:ind w:left="760" w:hanging="752"/>
        <w:spacing w:after="0"/>
        <w:tabs>
          <w:tab w:leader="none" w:pos="7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For the purposes of giving this opinion, we have examined originals or copies certified or otherwise authenticated to our satisfaction of such agreements, documents, certificates and other statements provided by the Company and of corporate officers and representatives of the Company and such other papers as we have deemed relevant and necessary as a basis for such opinion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161" w:lineRule="exact"/>
        <w:rPr>
          <w:sz w:val="20"/>
          <w:szCs w:val="20"/>
          <w:color w:val="auto"/>
        </w:rPr>
      </w:pPr>
    </w:p>
    <w:p>
      <w:pPr>
        <w:ind w:left="760" w:hanging="752"/>
        <w:spacing w:after="0"/>
        <w:tabs>
          <w:tab w:leader="none" w:pos="7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Searches</w:t>
      </w:r>
    </w:p>
    <w:p>
      <w:pPr>
        <w:spacing w:after="0" w:line="229"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We are not instructed to make, and have not made, any enquiries or searches concerning any of the parties to the Documents.</w:t>
      </w:r>
    </w:p>
    <w:p>
      <w:pPr>
        <w:spacing w:after="0" w:line="221" w:lineRule="exact"/>
        <w:rPr>
          <w:sz w:val="20"/>
          <w:szCs w:val="20"/>
          <w:color w:val="auto"/>
        </w:rPr>
      </w:pPr>
    </w:p>
    <w:p>
      <w:pPr>
        <w:ind w:left="760" w:hanging="752"/>
        <w:spacing w:after="0"/>
        <w:tabs>
          <w:tab w:leader="none" w:pos="76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78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set out above, and subject to the assumptions in Appendix 1 (</w:t>
      </w:r>
      <w:r>
        <w:rPr>
          <w:rFonts w:ascii="Arial" w:cs="Arial" w:eastAsia="Arial" w:hAnsi="Arial"/>
          <w:sz w:val="18"/>
          <w:szCs w:val="18"/>
          <w:i w:val="1"/>
          <w:iCs w:val="1"/>
          <w:color w:val="auto"/>
        </w:rPr>
        <w:t>Assumptions</w:t>
      </w:r>
      <w:r>
        <w:rPr>
          <w:rFonts w:ascii="Arial" w:cs="Arial" w:eastAsia="Arial" w:hAnsi="Arial"/>
          <w:sz w:val="18"/>
          <w:szCs w:val="18"/>
          <w:color w:val="auto"/>
        </w:rPr>
        <w:t>) and the qualifications in Appendix 2 (</w:t>
      </w:r>
      <w:r>
        <w:rPr>
          <w:rFonts w:ascii="Arial" w:cs="Arial" w:eastAsia="Arial" w:hAnsi="Arial"/>
          <w:sz w:val="18"/>
          <w:szCs w:val="18"/>
          <w:i w:val="1"/>
          <w:iCs w:val="1"/>
          <w:color w:val="auto"/>
        </w:rPr>
        <w:t>Qualifications</w:t>
      </w:r>
      <w:r>
        <w:rPr>
          <w:rFonts w:ascii="Arial" w:cs="Arial" w:eastAsia="Arial" w:hAnsi="Arial"/>
          <w:sz w:val="18"/>
          <w:szCs w:val="18"/>
          <w:color w:val="auto"/>
        </w:rPr>
        <w:t>), we are of the opinion that the statements set forth in the Registration Statement under the captions:</w:t>
      </w:r>
    </w:p>
    <w:p>
      <w:pPr>
        <w:spacing w:after="0" w:line="170" w:lineRule="exact"/>
        <w:rPr>
          <w:rFonts w:ascii="Arial" w:cs="Arial" w:eastAsia="Arial" w:hAnsi="Arial"/>
          <w:sz w:val="18"/>
          <w:szCs w:val="18"/>
          <w:b w:val="1"/>
          <w:bCs w:val="1"/>
          <w:color w:val="auto"/>
        </w:rPr>
      </w:pPr>
    </w:p>
    <w:p>
      <w:pPr>
        <w:ind w:left="1520" w:hanging="756"/>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“Enforceability of Civil Liabilities – Singapore”;</w:t>
      </w:r>
    </w:p>
    <w:p>
      <w:pPr>
        <w:spacing w:after="0" w:line="225" w:lineRule="exact"/>
        <w:rPr>
          <w:rFonts w:ascii="Arial" w:cs="Arial" w:eastAsia="Arial" w:hAnsi="Arial"/>
          <w:sz w:val="18"/>
          <w:szCs w:val="18"/>
          <w:color w:val="auto"/>
        </w:rPr>
      </w:pPr>
    </w:p>
    <w:p>
      <w:pPr>
        <w:ind w:left="1520" w:hanging="756"/>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“Regulation – Regulations in Singapore”; and</w:t>
      </w:r>
    </w:p>
    <w:p>
      <w:pPr>
        <w:spacing w:after="0" w:line="225" w:lineRule="exact"/>
        <w:rPr>
          <w:rFonts w:ascii="Arial" w:cs="Arial" w:eastAsia="Arial" w:hAnsi="Arial"/>
          <w:sz w:val="18"/>
          <w:szCs w:val="18"/>
          <w:color w:val="auto"/>
        </w:rPr>
      </w:pPr>
    </w:p>
    <w:p>
      <w:pPr>
        <w:ind w:left="1520" w:hanging="756"/>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“Taxation – Certain Singapore Taxation Considerations”,</w:t>
      </w:r>
    </w:p>
    <w:p>
      <w:pPr>
        <w:spacing w:after="0" w:line="225"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insofar as such statements constitute summaries of the Singapore legal matters referred to therein as of the date of this opinion, fairly present the information called for with respect to such legal matters and fairly summarise the matters referred to therein as of the date of this opinion.</w:t>
      </w:r>
    </w:p>
    <w:p>
      <w:pPr>
        <w:spacing w:after="0" w:line="120" w:lineRule="exact"/>
        <w:rPr>
          <w:sz w:val="20"/>
          <w:szCs w:val="20"/>
          <w:color w:val="auto"/>
        </w:rPr>
      </w:pPr>
    </w:p>
    <w:p>
      <w:pPr>
        <w:ind w:left="760" w:hanging="752"/>
        <w:spacing w:after="0"/>
        <w:tabs>
          <w:tab w:leader="none" w:pos="7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Benefit of the opinion</w:t>
      </w:r>
    </w:p>
    <w:p>
      <w:pPr>
        <w:spacing w:after="0" w:line="229" w:lineRule="exact"/>
        <w:rPr>
          <w:rFonts w:ascii="Arial" w:cs="Arial" w:eastAsia="Arial" w:hAnsi="Arial"/>
          <w:sz w:val="18"/>
          <w:szCs w:val="18"/>
          <w:b w:val="1"/>
          <w:bCs w:val="1"/>
          <w:color w:val="auto"/>
        </w:rPr>
      </w:pPr>
    </w:p>
    <w:p>
      <w:pPr>
        <w:ind w:left="1520" w:right="60" w:hanging="756"/>
        <w:spacing w:after="0" w:line="273" w:lineRule="auto"/>
        <w:tabs>
          <w:tab w:leader="none" w:pos="15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This opinion is addressed to the Company and is solely for the Company’s benefit in connection with the filing of the Registration Statement with the Securities and Exchange Commission and, except with our prior written consent, this opinion may not, in whole or in part, be used, relied on or referred to in any manner for any other purpose or be disclosed to or relied on by any other person or quoted or made public in any way or filed with any authority, other than for the purposes of filing this opinion with the Securities and Exchange Commission as an exhibit to the Registration Statement but on the strict basis that (i) it will not be relied upon by any person; and (ii) we accept no duty or liability to any other person as a result of such disclosure.</w:t>
      </w:r>
    </w:p>
    <w:p>
      <w:pPr>
        <w:spacing w:after="0" w:line="177" w:lineRule="exact"/>
        <w:rPr>
          <w:rFonts w:ascii="Arial" w:cs="Arial" w:eastAsia="Arial" w:hAnsi="Arial"/>
          <w:sz w:val="17"/>
          <w:szCs w:val="17"/>
          <w:color w:val="auto"/>
        </w:rPr>
      </w:pPr>
    </w:p>
    <w:p>
      <w:pPr>
        <w:ind w:left="1520" w:right="120" w:hanging="756"/>
        <w:spacing w:after="0" w:line="263" w:lineRule="auto"/>
        <w:tabs>
          <w:tab w:leader="none" w:pos="15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We consent to the reference to our name in the Registration Statement. In giving such consent, we do not thereby admit that we come within the category of persons whose consent is required under Section 7 of the U.S. Securities Act of 1933, as amended, or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7" w:lineRule="exact"/>
        <w:rPr>
          <w:sz w:val="20"/>
          <w:szCs w:val="20"/>
          <w:color w:val="auto"/>
        </w:rPr>
      </w:pPr>
    </w:p>
    <w:p>
      <w:pPr>
        <w:ind w:left="760" w:hanging="752"/>
        <w:spacing w:after="0"/>
        <w:tabs>
          <w:tab w:leader="none" w:pos="76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rFonts w:ascii="Arial" w:cs="Arial" w:eastAsia="Arial" w:hAnsi="Arial"/>
          <w:sz w:val="18"/>
          <w:szCs w:val="18"/>
          <w:b w:val="1"/>
          <w:bCs w:val="1"/>
          <w:color w:val="auto"/>
        </w:rPr>
      </w:pPr>
    </w:p>
    <w:p>
      <w:pPr>
        <w:ind w:left="7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opinion and any non-contractual obligations arising out of or in connection with it are governed by Singapore law and the Singapore courts shall have exclusive jurisdiction, to which the Company and we submit, in relation to all disputes (including claims for set-off and counterclaims) arising out of or in connection with this opinion. Having requested production of this opinion and in order to rely on its contents, the Company agrees to be bound by its terms.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Resource Law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Law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alliance with Reed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this opinion, we have assumed, without independent verification, that:</w:t>
      </w:r>
    </w:p>
    <w:p>
      <w:pPr>
        <w:spacing w:after="0" w:line="221" w:lineRule="exact"/>
        <w:rPr>
          <w:sz w:val="20"/>
          <w:szCs w:val="20"/>
          <w:color w:val="auto"/>
        </w:rPr>
      </w:pPr>
    </w:p>
    <w:p>
      <w:pPr>
        <w:ind w:left="760" w:hanging="752"/>
        <w:spacing w:after="0"/>
        <w:tabs>
          <w:tab w:leader="none" w:pos="7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Factual assumptions</w:t>
      </w:r>
    </w:p>
    <w:p>
      <w:pPr>
        <w:spacing w:after="0" w:line="229"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Any factual assumptions made by us are accurate. The addressee of this opinion has no actual knowledge that any of our factual assumptions are inaccurate.</w:t>
      </w:r>
    </w:p>
    <w:p>
      <w:pPr>
        <w:spacing w:after="0" w:line="166" w:lineRule="exact"/>
        <w:rPr>
          <w:sz w:val="20"/>
          <w:szCs w:val="20"/>
          <w:color w:val="auto"/>
        </w:rPr>
      </w:pPr>
    </w:p>
    <w:p>
      <w:pPr>
        <w:ind w:left="760" w:hanging="752"/>
        <w:spacing w:after="0"/>
        <w:tabs>
          <w:tab w:leader="none" w:pos="76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etc. genuine</w:t>
      </w:r>
    </w:p>
    <w:p>
      <w:pPr>
        <w:spacing w:after="0" w:line="229" w:lineRule="exact"/>
        <w:rPr>
          <w:sz w:val="20"/>
          <w:szCs w:val="20"/>
          <w:color w:val="auto"/>
        </w:rPr>
      </w:pPr>
    </w:p>
    <w:p>
      <w:pPr>
        <w:ind w:left="780" w:right="120"/>
        <w:spacing w:after="0" w:line="263" w:lineRule="auto"/>
        <w:rPr>
          <w:sz w:val="20"/>
          <w:szCs w:val="20"/>
          <w:color w:val="auto"/>
        </w:rPr>
      </w:pPr>
      <w:r>
        <w:rPr>
          <w:rFonts w:ascii="Arial" w:cs="Arial" w:eastAsia="Arial" w:hAnsi="Arial"/>
          <w:sz w:val="18"/>
          <w:szCs w:val="18"/>
          <w:color w:val="auto"/>
        </w:rPr>
        <w:t>All signatures, stamps and seals on all documents submitted to us (if any) are genuine and were made or done in a manner recognised by law as valid signatures of or affixing of the seal to (as applicable) the documents and all signatures which purport to have been attested were made in the presence of the relevant witness.</w:t>
      </w:r>
    </w:p>
    <w:p>
      <w:pPr>
        <w:spacing w:after="0" w:line="180" w:lineRule="exact"/>
        <w:rPr>
          <w:sz w:val="20"/>
          <w:szCs w:val="20"/>
          <w:color w:val="auto"/>
        </w:rPr>
      </w:pPr>
    </w:p>
    <w:p>
      <w:pPr>
        <w:ind w:left="760" w:hanging="752"/>
        <w:spacing w:after="0"/>
        <w:tabs>
          <w:tab w:leader="none" w:pos="76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Originals</w:t>
      </w:r>
    </w:p>
    <w:p>
      <w:pPr>
        <w:spacing w:after="0" w:line="229" w:lineRule="exact"/>
        <w:rPr>
          <w:rFonts w:ascii="Arial" w:cs="Arial" w:eastAsia="Arial" w:hAnsi="Arial"/>
          <w:sz w:val="18"/>
          <w:szCs w:val="18"/>
          <w:b w:val="1"/>
          <w:bCs w:val="1"/>
          <w:color w:val="auto"/>
        </w:rPr>
      </w:pPr>
    </w:p>
    <w:p>
      <w:pPr>
        <w:ind w:left="78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documents submitted to us as originals are authentic, accurate and complete and all documents submitted to us as copies, whether or not certified by any person, are true, complete and up-to-date and conform to the originals.</w:t>
      </w:r>
    </w:p>
    <w:p>
      <w:pPr>
        <w:spacing w:after="0" w:line="166" w:lineRule="exact"/>
        <w:rPr>
          <w:sz w:val="20"/>
          <w:szCs w:val="20"/>
          <w:color w:val="auto"/>
        </w:rPr>
      </w:pPr>
    </w:p>
    <w:p>
      <w:pPr>
        <w:ind w:left="760" w:hanging="752"/>
        <w:spacing w:after="0"/>
        <w:tabs>
          <w:tab w:leader="none" w:pos="76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Natural Persons</w:t>
      </w:r>
    </w:p>
    <w:p>
      <w:pPr>
        <w:spacing w:after="0" w:line="229"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Each natural person executing the Documents has the legal capacity to execute the Documents.</w:t>
      </w:r>
    </w:p>
    <w:p>
      <w:pPr>
        <w:spacing w:after="0" w:line="221" w:lineRule="exact"/>
        <w:rPr>
          <w:sz w:val="20"/>
          <w:szCs w:val="20"/>
          <w:color w:val="auto"/>
        </w:rPr>
      </w:pPr>
    </w:p>
    <w:p>
      <w:pPr>
        <w:ind w:left="760" w:hanging="752"/>
        <w:spacing w:after="0"/>
        <w:tabs>
          <w:tab w:leader="none" w:pos="7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capacity</w:t>
      </w:r>
    </w:p>
    <w:p>
      <w:pPr>
        <w:spacing w:after="0" w:line="229"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Each party (not a natural person) to the Documents is duly established and existing under the laws of its jurisdiction of incorporation; has the corporate capacity, power and authority to enter into, exercise its rights and to perform its obligations under the Documents to which it is a party; and has duly authorised, executed and delivered the Documents to which it is a party, in each case under all applicable laws.</w:t>
      </w:r>
    </w:p>
    <w:p>
      <w:pPr>
        <w:spacing w:after="0" w:line="161" w:lineRule="exact"/>
        <w:rPr>
          <w:sz w:val="20"/>
          <w:szCs w:val="20"/>
          <w:color w:val="auto"/>
        </w:rPr>
      </w:pPr>
    </w:p>
    <w:p>
      <w:pPr>
        <w:ind w:left="760" w:hanging="752"/>
        <w:spacing w:after="0"/>
        <w:tabs>
          <w:tab w:leader="none" w:pos="76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Validity and enforceability under other laws</w:t>
      </w:r>
    </w:p>
    <w:p>
      <w:pPr>
        <w:spacing w:after="0" w:line="229" w:lineRule="exact"/>
        <w:rPr>
          <w:rFonts w:ascii="Arial" w:cs="Arial" w:eastAsia="Arial" w:hAnsi="Arial"/>
          <w:sz w:val="18"/>
          <w:szCs w:val="18"/>
          <w:b w:val="1"/>
          <w:bCs w:val="1"/>
          <w:color w:val="auto"/>
        </w:rPr>
      </w:pPr>
    </w:p>
    <w:p>
      <w:pPr>
        <w:ind w:left="780" w:right="1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Each of the Documents, upon execution, constitutes the legal, valid, binding and enforceable obligations of each party to it, in each case under all applicable laws (other than the laws of Singapore). Insofar as the laws of any jurisdiction (other than Singapore) may be relevant to the obligations or rights of any of the parties under any of the Documents or any of the transactions contemplated by the Documents, such laws and regulations (other than Singapore) do not prohibit and are not inconsistent with the execution and delivery of the Documents and the entering into and performance of any such obligations, rights and transactions.</w:t>
      </w:r>
    </w:p>
    <w:p>
      <w:pPr>
        <w:spacing w:after="0" w:line="172" w:lineRule="exact"/>
        <w:rPr>
          <w:sz w:val="20"/>
          <w:szCs w:val="20"/>
          <w:color w:val="auto"/>
        </w:rPr>
      </w:pPr>
    </w:p>
    <w:p>
      <w:pPr>
        <w:ind w:left="760" w:hanging="752"/>
        <w:spacing w:after="0"/>
        <w:tabs>
          <w:tab w:leader="none" w:pos="7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Consents etc</w:t>
      </w:r>
    </w:p>
    <w:p>
      <w:pPr>
        <w:spacing w:after="0" w:line="229" w:lineRule="exact"/>
        <w:rPr>
          <w:rFonts w:ascii="Arial" w:cs="Arial" w:eastAsia="Arial" w:hAnsi="Arial"/>
          <w:sz w:val="18"/>
          <w:szCs w:val="18"/>
          <w:b w:val="1"/>
          <w:bCs w:val="1"/>
          <w:color w:val="auto"/>
        </w:rPr>
      </w:pPr>
    </w:p>
    <w:p>
      <w:pPr>
        <w:ind w:left="78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consents, licences, approvals, notices, filings and registrations which are necessary under any applicable laws (other than the laws of Singapore) in order to permit the execution, delivery and performance of the Documents or to protect, perfect or preserve any of the interest created by the Documents, have been made or obtained or will be made and obtained within the period permitted or required by such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37" w:lineRule="exact"/>
        <w:rPr>
          <w:sz w:val="20"/>
          <w:szCs w:val="20"/>
          <w:color w:val="auto"/>
        </w:rPr>
      </w:pPr>
    </w:p>
    <w:p>
      <w:pPr>
        <w:ind w:left="760" w:hanging="752"/>
        <w:spacing w:after="0"/>
        <w:tabs>
          <w:tab w:leader="none" w:pos="76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No sanctioned person</w:t>
      </w:r>
    </w:p>
    <w:p>
      <w:pPr>
        <w:spacing w:after="0" w:line="229" w:lineRule="exact"/>
        <w:rPr>
          <w:rFonts w:ascii="Arial" w:cs="Arial" w:eastAsia="Arial" w:hAnsi="Arial"/>
          <w:sz w:val="18"/>
          <w:szCs w:val="18"/>
          <w:b w:val="1"/>
          <w:bCs w:val="1"/>
          <w:color w:val="auto"/>
        </w:rPr>
      </w:pPr>
    </w:p>
    <w:p>
      <w:pPr>
        <w:ind w:left="78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None of the parties to any of the Documents is controlled by or otherwise connected with a person or is itself resident in, incorporated in, or constituted under the laws of or exercising public functions in a country which is the subject of United Nations or other sanctions implemented or effective in Singapore or is otherwise the target of any such sanctions.</w:t>
      </w:r>
    </w:p>
    <w:p>
      <w:pPr>
        <w:spacing w:after="0" w:line="180" w:lineRule="exact"/>
        <w:rPr>
          <w:sz w:val="20"/>
          <w:szCs w:val="20"/>
          <w:color w:val="auto"/>
        </w:rPr>
      </w:pPr>
    </w:p>
    <w:p>
      <w:pPr>
        <w:ind w:left="760" w:hanging="752"/>
        <w:spacing w:after="0"/>
        <w:tabs>
          <w:tab w:leader="none" w:pos="7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 are complete</w:t>
      </w:r>
    </w:p>
    <w:p>
      <w:pPr>
        <w:spacing w:after="0" w:line="229" w:lineRule="exact"/>
        <w:rPr>
          <w:sz w:val="20"/>
          <w:szCs w:val="20"/>
          <w:color w:val="auto"/>
        </w:rPr>
      </w:pPr>
    </w:p>
    <w:p>
      <w:pPr>
        <w:ind w:left="780" w:right="20"/>
        <w:spacing w:after="0" w:line="257" w:lineRule="auto"/>
        <w:rPr>
          <w:sz w:val="20"/>
          <w:szCs w:val="20"/>
          <w:color w:val="auto"/>
        </w:rPr>
      </w:pPr>
      <w:r>
        <w:rPr>
          <w:rFonts w:ascii="Arial" w:cs="Arial" w:eastAsia="Arial" w:hAnsi="Arial"/>
          <w:sz w:val="18"/>
          <w:szCs w:val="18"/>
          <w:color w:val="auto"/>
        </w:rPr>
        <w:t>The Documents accurately describe and contain the mutual understanding of the parties thereto and all relevant information which is material for the purposes of our opinion, and there is no other agreement, undertaking, representation or warranty (oral or written) and no other arrangement (whether legally binding or not) between all or any of the parties to any of the Documents which modify the terms of or supersede any of the Documents or which may render such information inaccurate, incomplete or misleading or which may otherwise affect the conclusions stated in this opinion.</w:t>
      </w:r>
    </w:p>
    <w:p>
      <w:pPr>
        <w:spacing w:after="0" w:line="184" w:lineRule="exact"/>
        <w:rPr>
          <w:sz w:val="20"/>
          <w:szCs w:val="20"/>
          <w:color w:val="auto"/>
        </w:rPr>
      </w:pPr>
    </w:p>
    <w:p>
      <w:pPr>
        <w:ind w:left="760" w:hanging="752"/>
        <w:spacing w:after="0"/>
        <w:tabs>
          <w:tab w:leader="none" w:pos="7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No other facts or circumstances</w:t>
      </w:r>
    </w:p>
    <w:p>
      <w:pPr>
        <w:spacing w:after="0" w:line="229" w:lineRule="exact"/>
        <w:rPr>
          <w:rFonts w:ascii="Arial" w:cs="Arial" w:eastAsia="Arial" w:hAnsi="Arial"/>
          <w:sz w:val="18"/>
          <w:szCs w:val="18"/>
          <w:b w:val="1"/>
          <w:bCs w:val="1"/>
          <w:color w:val="auto"/>
        </w:rPr>
      </w:pPr>
    </w:p>
    <w:p>
      <w:pPr>
        <w:ind w:left="78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are no other facts or circumstances (and no documents, agreements, instruments or correspondence) which are not apparent from the face of the Documents or which have not been disclosed to us which may affect the validity or enforceability of the Documents or any obligation in them or otherwise affect the conclusions stated in this opinion.</w:t>
      </w:r>
    </w:p>
    <w:p>
      <w:pPr>
        <w:spacing w:after="0" w:line="179" w:lineRule="exact"/>
        <w:rPr>
          <w:rFonts w:ascii="Arial" w:cs="Arial" w:eastAsia="Arial" w:hAnsi="Arial"/>
          <w:sz w:val="18"/>
          <w:szCs w:val="18"/>
          <w:b w:val="1"/>
          <w:bCs w:val="1"/>
          <w:color w:val="auto"/>
        </w:rPr>
      </w:pPr>
    </w:p>
    <w:p>
      <w:pPr>
        <w:ind w:left="760" w:hanging="752"/>
        <w:spacing w:after="0"/>
        <w:tabs>
          <w:tab w:leader="none" w:pos="7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Arm’s Length Terms</w:t>
      </w:r>
    </w:p>
    <w:p>
      <w:pPr>
        <w:spacing w:after="0" w:line="229"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7"/>
          <w:szCs w:val="17"/>
          <w:color w:val="auto"/>
        </w:rPr>
        <w:t>The Documents have been entered into for bona fide commercial reasons and on arm’s length terms by each of the parties to them.</w:t>
      </w:r>
    </w:p>
    <w:p>
      <w:pPr>
        <w:spacing w:after="0" w:line="232" w:lineRule="exact"/>
        <w:rPr>
          <w:rFonts w:ascii="Arial" w:cs="Arial" w:eastAsia="Arial" w:hAnsi="Arial"/>
          <w:sz w:val="18"/>
          <w:szCs w:val="18"/>
          <w:b w:val="1"/>
          <w:bCs w:val="1"/>
          <w:color w:val="auto"/>
        </w:rPr>
      </w:pPr>
    </w:p>
    <w:p>
      <w:pPr>
        <w:ind w:left="760" w:hanging="752"/>
        <w:spacing w:after="0"/>
        <w:tabs>
          <w:tab w:leader="none" w:pos="7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rFonts w:ascii="Arial" w:cs="Arial" w:eastAsia="Arial" w:hAnsi="Arial"/>
          <w:sz w:val="18"/>
          <w:szCs w:val="18"/>
          <w:b w:val="1"/>
          <w:bCs w:val="1"/>
          <w:color w:val="auto"/>
        </w:rPr>
      </w:pPr>
    </w:p>
    <w:p>
      <w:pPr>
        <w:ind w:left="7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representations and warranties by the parties in the Documents are, or were, as applicable, true, correct, accurate and complete in all respects on the date such representations and warranties were expressed to be made and that the terms of the Documents have been and will be observed and performed by each of the parties to them.</w:t>
      </w:r>
    </w:p>
    <w:p>
      <w:pPr>
        <w:spacing w:after="0" w:line="179" w:lineRule="exact"/>
        <w:rPr>
          <w:rFonts w:ascii="Arial" w:cs="Arial" w:eastAsia="Arial" w:hAnsi="Arial"/>
          <w:sz w:val="18"/>
          <w:szCs w:val="18"/>
          <w:b w:val="1"/>
          <w:bCs w:val="1"/>
          <w:color w:val="auto"/>
        </w:rPr>
      </w:pPr>
    </w:p>
    <w:p>
      <w:pPr>
        <w:ind w:left="760" w:hanging="752"/>
        <w:spacing w:after="0"/>
        <w:tabs>
          <w:tab w:leader="none" w:pos="7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Not insolvent</w:t>
      </w:r>
    </w:p>
    <w:p>
      <w:pPr>
        <w:spacing w:after="0" w:line="229" w:lineRule="exact"/>
        <w:rPr>
          <w:rFonts w:ascii="Arial" w:cs="Arial" w:eastAsia="Arial" w:hAnsi="Arial"/>
          <w:sz w:val="18"/>
          <w:szCs w:val="18"/>
          <w:b w:val="1"/>
          <w:bCs w:val="1"/>
          <w:color w:val="auto"/>
        </w:rPr>
      </w:pPr>
    </w:p>
    <w:p>
      <w:pPr>
        <w:ind w:left="78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parties under the Documents are not insolvent or unable to pay their debts at the time of entering into the Documents and each of the parties under the Documents will not become insolvent or unable to pay its debts in consequence of doing so and no equivalent event has occurred in any other jurisdiction.</w:t>
      </w:r>
    </w:p>
    <w:p>
      <w:pPr>
        <w:spacing w:after="0" w:line="179" w:lineRule="exact"/>
        <w:rPr>
          <w:rFonts w:ascii="Arial" w:cs="Arial" w:eastAsia="Arial" w:hAnsi="Arial"/>
          <w:sz w:val="18"/>
          <w:szCs w:val="18"/>
          <w:b w:val="1"/>
          <w:bCs w:val="1"/>
          <w:color w:val="auto"/>
        </w:rPr>
      </w:pPr>
    </w:p>
    <w:p>
      <w:pPr>
        <w:ind w:left="760" w:hanging="752"/>
        <w:spacing w:after="0"/>
        <w:tabs>
          <w:tab w:leader="none" w:pos="7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No insolvency steps or proceedings</w:t>
      </w:r>
    </w:p>
    <w:p>
      <w:pPr>
        <w:spacing w:after="0" w:line="229" w:lineRule="exact"/>
        <w:rPr>
          <w:rFonts w:ascii="Arial" w:cs="Arial" w:eastAsia="Arial" w:hAnsi="Arial"/>
          <w:sz w:val="18"/>
          <w:szCs w:val="18"/>
          <w:b w:val="1"/>
          <w:bCs w:val="1"/>
          <w:color w:val="auto"/>
        </w:rPr>
      </w:pPr>
    </w:p>
    <w:p>
      <w:pPr>
        <w:ind w:left="78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Prior to or at the time of execution of the Documents and immediately after the execution and delivery of the Documents, each of the parties under the Documents is solvent and will not be rendered insolvent as a result of its execution and delivery of any of the Documents to which it is party. Each of the parties under the Documents has not passed a resolution for its winding-up, nor has any step been taken in relation to its winding-up, liquidation, receivership, judicial management or analogous circumstances or proceedings in Singapore or in any other jurisdiction. For this purpose, “any step” includes, without limitation presenting a petition, making an application, passing a resolution or filing or serving a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37" w:lineRule="exact"/>
        <w:rPr>
          <w:sz w:val="20"/>
          <w:szCs w:val="20"/>
          <w:color w:val="auto"/>
        </w:rPr>
      </w:pPr>
    </w:p>
    <w:p>
      <w:pPr>
        <w:ind w:left="760" w:hanging="752"/>
        <w:spacing w:after="0"/>
        <w:tabs>
          <w:tab w:leader="none" w:pos="7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Bad faith etc</w:t>
      </w:r>
    </w:p>
    <w:p>
      <w:pPr>
        <w:spacing w:after="0" w:line="229" w:lineRule="exact"/>
        <w:rPr>
          <w:rFonts w:ascii="Arial" w:cs="Arial" w:eastAsia="Arial" w:hAnsi="Arial"/>
          <w:sz w:val="18"/>
          <w:szCs w:val="18"/>
          <w:b w:val="1"/>
          <w:bCs w:val="1"/>
          <w:color w:val="auto"/>
        </w:rPr>
      </w:pPr>
    </w:p>
    <w:p>
      <w:pPr>
        <w:ind w:left="780" w:right="3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is no bad faith, breach of duty, breach of trust, fraud, coercion, incapacity, duress, undue influence or mistake on the part of any of the parties to the Documents and their respective directors, employees, agents and advisers (excepting, of course ourselves).</w:t>
      </w:r>
    </w:p>
    <w:p>
      <w:pPr>
        <w:spacing w:after="0" w:line="142" w:lineRule="exact"/>
        <w:rPr>
          <w:rFonts w:ascii="Arial" w:cs="Arial" w:eastAsia="Arial" w:hAnsi="Arial"/>
          <w:sz w:val="18"/>
          <w:szCs w:val="18"/>
          <w:b w:val="1"/>
          <w:bCs w:val="1"/>
          <w:color w:val="auto"/>
        </w:rPr>
      </w:pPr>
    </w:p>
    <w:p>
      <w:pPr>
        <w:ind w:left="760" w:hanging="752"/>
        <w:spacing w:after="0"/>
        <w:tabs>
          <w:tab w:leader="none" w:pos="7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No unlawful activity</w:t>
      </w:r>
    </w:p>
    <w:p>
      <w:pPr>
        <w:spacing w:after="0" w:line="229" w:lineRule="exact"/>
        <w:rPr>
          <w:rFonts w:ascii="Arial" w:cs="Arial" w:eastAsia="Arial" w:hAnsi="Arial"/>
          <w:sz w:val="18"/>
          <w:szCs w:val="18"/>
          <w:b w:val="1"/>
          <w:bCs w:val="1"/>
          <w:color w:val="auto"/>
        </w:rPr>
      </w:pPr>
    </w:p>
    <w:p>
      <w:pPr>
        <w:ind w:left="78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parties to the Documents are compliant with all applicable anti-terrorism, anti-corruption, anti-money laundering, sanctions and human rights laws and regulations and the performance and enforcement of the Documents is, and will continue to be, consistent with all such laws and regulations.</w:t>
      </w:r>
    </w:p>
    <w:p>
      <w:pPr>
        <w:spacing w:after="0" w:line="179" w:lineRule="exact"/>
        <w:rPr>
          <w:rFonts w:ascii="Arial" w:cs="Arial" w:eastAsia="Arial" w:hAnsi="Arial"/>
          <w:sz w:val="18"/>
          <w:szCs w:val="18"/>
          <w:b w:val="1"/>
          <w:bCs w:val="1"/>
          <w:color w:val="auto"/>
        </w:rPr>
      </w:pPr>
    </w:p>
    <w:p>
      <w:pPr>
        <w:ind w:left="760" w:hanging="752"/>
        <w:spacing w:after="0"/>
        <w:tabs>
          <w:tab w:leader="none" w:pos="7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No other agreements</w:t>
      </w:r>
    </w:p>
    <w:p>
      <w:pPr>
        <w:spacing w:after="0" w:line="229" w:lineRule="exact"/>
        <w:rPr>
          <w:rFonts w:ascii="Arial" w:cs="Arial" w:eastAsia="Arial" w:hAnsi="Arial"/>
          <w:sz w:val="18"/>
          <w:szCs w:val="18"/>
          <w:b w:val="1"/>
          <w:bCs w:val="1"/>
          <w:color w:val="auto"/>
        </w:rPr>
      </w:pPr>
    </w:p>
    <w:p>
      <w:pPr>
        <w:jc w:val="both"/>
        <w:ind w:left="78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parties under the Documents is not precluded by any agreement to which it is party from entering into or performing its obligations under any of the Documents to which it is a party, and no party was on notice of any contractual prohibition or restriction on any party entering into, performing its obligations under or exercising its rights under the Documents.</w:t>
      </w:r>
    </w:p>
    <w:p>
      <w:pPr>
        <w:spacing w:after="0" w:line="179" w:lineRule="exact"/>
        <w:rPr>
          <w:rFonts w:ascii="Arial" w:cs="Arial" w:eastAsia="Arial" w:hAnsi="Arial"/>
          <w:sz w:val="18"/>
          <w:szCs w:val="18"/>
          <w:b w:val="1"/>
          <w:bCs w:val="1"/>
          <w:color w:val="auto"/>
        </w:rPr>
      </w:pPr>
    </w:p>
    <w:p>
      <w:pPr>
        <w:ind w:left="760" w:hanging="752"/>
        <w:spacing w:after="0"/>
        <w:tabs>
          <w:tab w:leader="none" w:pos="7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No injunctive proceedings</w:t>
      </w:r>
    </w:p>
    <w:p>
      <w:pPr>
        <w:spacing w:after="0" w:line="229" w:lineRule="exact"/>
        <w:rPr>
          <w:rFonts w:ascii="Arial" w:cs="Arial" w:eastAsia="Arial" w:hAnsi="Arial"/>
          <w:sz w:val="18"/>
          <w:szCs w:val="18"/>
          <w:b w:val="1"/>
          <w:bCs w:val="1"/>
          <w:color w:val="auto"/>
        </w:rPr>
      </w:pPr>
    </w:p>
    <w:p>
      <w:pPr>
        <w:ind w:left="7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proceedings have been commenced or injunction granted against each of the parties under the Documents to restrain it from performing any of its obligations under the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out herein are subject to the qualifications set out below:</w:t>
      </w:r>
    </w:p>
    <w:p>
      <w:pPr>
        <w:spacing w:after="0" w:line="221" w:lineRule="exact"/>
        <w:rPr>
          <w:sz w:val="20"/>
          <w:szCs w:val="20"/>
          <w:color w:val="auto"/>
        </w:rPr>
      </w:pPr>
    </w:p>
    <w:p>
      <w:pPr>
        <w:ind w:left="760" w:hanging="752"/>
        <w:spacing w:after="0"/>
        <w:tabs>
          <w:tab w:leader="none" w:pos="7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of laws</w:t>
      </w:r>
    </w:p>
    <w:p>
      <w:pPr>
        <w:spacing w:after="0" w:line="229" w:lineRule="exact"/>
        <w:rPr>
          <w:rFonts w:ascii="Arial" w:cs="Arial" w:eastAsia="Arial" w:hAnsi="Arial"/>
          <w:sz w:val="18"/>
          <w:szCs w:val="18"/>
          <w:b w:val="1"/>
          <w:bCs w:val="1"/>
          <w:color w:val="auto"/>
        </w:rPr>
      </w:pPr>
    </w:p>
    <w:p>
      <w:pPr>
        <w:ind w:left="7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Opinion is issued based on our understanding of the laws of Singapore. For matters not explicitly provided under the laws of Singapore, the interpretation, implementation and application of the specific requirements under the laws of Singapore are subject to the final discretion of competent Singapore legislative, administrative and judicial authorities, and there can be no assurance that the government agencies will ultimately take a view that is not contrary to our opinion stated herein.</w:t>
      </w:r>
    </w:p>
    <w:p>
      <w:pPr>
        <w:spacing w:after="0" w:line="183" w:lineRule="exact"/>
        <w:rPr>
          <w:sz w:val="20"/>
          <w:szCs w:val="20"/>
          <w:color w:val="auto"/>
        </w:rPr>
      </w:pPr>
    </w:p>
    <w:p>
      <w:pPr>
        <w:ind w:left="760" w:hanging="752"/>
        <w:spacing w:after="0"/>
        <w:tabs>
          <w:tab w:leader="none" w:pos="76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Foreign laws</w:t>
      </w:r>
    </w:p>
    <w:p>
      <w:pPr>
        <w:spacing w:after="0" w:line="229" w:lineRule="exact"/>
        <w:rPr>
          <w:sz w:val="20"/>
          <w:szCs w:val="20"/>
          <w:color w:val="auto"/>
        </w:rPr>
      </w:pPr>
    </w:p>
    <w:p>
      <w:pPr>
        <w:ind w:left="780" w:right="20"/>
        <w:spacing w:after="0" w:line="311" w:lineRule="auto"/>
        <w:rPr>
          <w:sz w:val="20"/>
          <w:szCs w:val="20"/>
          <w:color w:val="auto"/>
        </w:rPr>
      </w:pPr>
      <w:r>
        <w:rPr>
          <w:rFonts w:ascii="Arial" w:cs="Arial" w:eastAsia="Arial" w:hAnsi="Arial"/>
          <w:sz w:val="16"/>
          <w:szCs w:val="16"/>
          <w:color w:val="auto"/>
        </w:rPr>
        <w:t>We have made no investigation into, and do not express or imply any views on, the laws or regulations of any country other than Singapore or on any non-legal regulation or standard such as but not limited to accounting, financial or technical rules or standard. In respect of the Registration Statement, we have assumed due compliance with all matters concerning the laws of all other jurisdictions other than Singapore.</w:t>
      </w:r>
    </w:p>
    <w:p>
      <w:pPr>
        <w:spacing w:after="0" w:line="145" w:lineRule="exact"/>
        <w:rPr>
          <w:sz w:val="20"/>
          <w:szCs w:val="20"/>
          <w:color w:val="auto"/>
        </w:rPr>
      </w:pPr>
    </w:p>
    <w:p>
      <w:pPr>
        <w:ind w:left="760" w:hanging="752"/>
        <w:spacing w:after="0"/>
        <w:tabs>
          <w:tab w:leader="none" w:pos="76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Foreign courts</w:t>
      </w:r>
    </w:p>
    <w:p>
      <w:pPr>
        <w:spacing w:after="0" w:line="229" w:lineRule="exact"/>
        <w:rPr>
          <w:sz w:val="20"/>
          <w:szCs w:val="20"/>
          <w:color w:val="auto"/>
        </w:rPr>
      </w:pPr>
    </w:p>
    <w:p>
      <w:pPr>
        <w:ind w:left="780" w:right="500"/>
        <w:spacing w:after="0" w:line="277" w:lineRule="auto"/>
        <w:rPr>
          <w:sz w:val="20"/>
          <w:szCs w:val="20"/>
          <w:color w:val="auto"/>
        </w:rPr>
      </w:pPr>
      <w:r>
        <w:rPr>
          <w:rFonts w:ascii="Arial" w:cs="Arial" w:eastAsia="Arial" w:hAnsi="Arial"/>
          <w:sz w:val="18"/>
          <w:szCs w:val="18"/>
          <w:color w:val="auto"/>
        </w:rPr>
        <w:t>We express no opinion as to whether or not a foreign court (applying its own conflict of laws rules) will act in accordance with the parties’ agreement as to dispute resolution mechanism and/or choice of law.</w:t>
      </w:r>
    </w:p>
    <w:p>
      <w:pPr>
        <w:spacing w:after="0" w:line="166" w:lineRule="exact"/>
        <w:rPr>
          <w:sz w:val="20"/>
          <w:szCs w:val="20"/>
          <w:color w:val="auto"/>
        </w:rPr>
      </w:pPr>
    </w:p>
    <w:p>
      <w:pPr>
        <w:ind w:left="760" w:hanging="752"/>
        <w:spacing w:after="0"/>
        <w:tabs>
          <w:tab w:leader="none" w:pos="76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29" w:lineRule="exact"/>
        <w:rPr>
          <w:rFonts w:ascii="Arial" w:cs="Arial" w:eastAsia="Arial" w:hAnsi="Arial"/>
          <w:sz w:val="18"/>
          <w:szCs w:val="18"/>
          <w:b w:val="1"/>
          <w:bCs w:val="1"/>
          <w:color w:val="auto"/>
        </w:rPr>
      </w:pPr>
    </w:p>
    <w:p>
      <w:pPr>
        <w:ind w:left="7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Any provision in the Documents providing for the severance of any provision which is illegal, invalid or unenforceable may not be binding under the Singapore Laws as it depends on the nature of the illegality, invalidity or unenforceability in question which issue would be determined by a court of Singapore at its discretion.</w:t>
      </w:r>
    </w:p>
    <w:p>
      <w:pPr>
        <w:spacing w:after="0" w:line="180" w:lineRule="exact"/>
        <w:rPr>
          <w:sz w:val="20"/>
          <w:szCs w:val="20"/>
          <w:color w:val="auto"/>
        </w:rPr>
      </w:pPr>
    </w:p>
    <w:p>
      <w:pPr>
        <w:ind w:left="760" w:hanging="752"/>
        <w:spacing w:after="0"/>
        <w:tabs>
          <w:tab w:leader="none" w:pos="76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Enforceability</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enforcement of the Documents in the courts of Singapore will be subject to the application rules of civil procedure of Singapore.</w:t>
      </w:r>
    </w:p>
    <w:p>
      <w:pPr>
        <w:spacing w:after="0" w:line="233" w:lineRule="exact"/>
        <w:rPr>
          <w:sz w:val="20"/>
          <w:szCs w:val="20"/>
          <w:color w:val="auto"/>
        </w:rPr>
      </w:pPr>
    </w:p>
    <w:p>
      <w:pPr>
        <w:ind w:left="760" w:hanging="752"/>
        <w:spacing w:after="0"/>
        <w:tabs>
          <w:tab w:leader="none" w:pos="7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Power</w:t>
      </w:r>
    </w:p>
    <w:p>
      <w:pPr>
        <w:spacing w:after="0" w:line="229" w:lineRule="exact"/>
        <w:rPr>
          <w:rFonts w:ascii="Arial" w:cs="Arial" w:eastAsia="Arial" w:hAnsi="Arial"/>
          <w:sz w:val="18"/>
          <w:szCs w:val="18"/>
          <w:b w:val="1"/>
          <w:bCs w:val="1"/>
          <w:color w:val="auto"/>
        </w:rPr>
      </w:pPr>
    </w:p>
    <w:p>
      <w:pPr>
        <w:ind w:left="78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provision of the Documents which constitutes or purports to constitute a restriction on the exercise of any statutory power by any party to the Documents or any other person may be ineffective.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37" w:lineRule="exact"/>
        <w:rPr>
          <w:sz w:val="20"/>
          <w:szCs w:val="20"/>
          <w:color w:val="auto"/>
        </w:rPr>
      </w:pPr>
    </w:p>
    <w:p>
      <w:pPr>
        <w:ind w:left="760" w:hanging="752"/>
        <w:spacing w:after="0"/>
        <w:tabs>
          <w:tab w:leader="none" w:pos="7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Anti-trust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not considered and express no opinion on whether the entry into the Documents complies with anti-trust or competition laws.</w:t>
      </w:r>
    </w:p>
    <w:p>
      <w:pPr>
        <w:spacing w:after="0" w:line="221" w:lineRule="exact"/>
        <w:rPr>
          <w:sz w:val="20"/>
          <w:szCs w:val="20"/>
          <w:color w:val="auto"/>
        </w:rPr>
      </w:pPr>
    </w:p>
    <w:p>
      <w:pPr>
        <w:ind w:left="760" w:hanging="752"/>
        <w:spacing w:after="0"/>
        <w:tabs>
          <w:tab w:leader="none" w:pos="7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Factual Matters</w:t>
      </w:r>
    </w:p>
    <w:p>
      <w:pPr>
        <w:spacing w:after="0" w:line="229" w:lineRule="exact"/>
        <w:rPr>
          <w:rFonts w:ascii="Arial" w:cs="Arial" w:eastAsia="Arial" w:hAnsi="Arial"/>
          <w:sz w:val="18"/>
          <w:szCs w:val="18"/>
          <w:b w:val="1"/>
          <w:bCs w:val="1"/>
          <w:color w:val="auto"/>
        </w:rPr>
      </w:pPr>
    </w:p>
    <w:p>
      <w:pPr>
        <w:ind w:left="78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express no opinion on matters of fact. As to any facts material to our opinion, we have relied, to extent that we deemed such reliance proper, upon the representations, confirmations, certificates and other statements of officers and representatives of the Company or its subsidiaries. We have not undertaken any independent investigation to determine the existence or absence of any facts and no inference as to our knowledge of the existence or absence of such facts should be drawn from our serving as counsel in giving this opinion.</w:t>
      </w:r>
    </w:p>
    <w:p>
      <w:pPr>
        <w:spacing w:after="0" w:line="167" w:lineRule="exact"/>
        <w:rPr>
          <w:sz w:val="20"/>
          <w:szCs w:val="20"/>
          <w:color w:val="auto"/>
        </w:rPr>
      </w:pPr>
    </w:p>
    <w:p>
      <w:pPr>
        <w:ind w:left="760" w:hanging="752"/>
        <w:spacing w:after="0"/>
        <w:tabs>
          <w:tab w:leader="none" w:pos="7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provided to us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This Opinion is based solely on the Documents provided to us. We are not responsible for any inadequacy of failing in such information.</w:t>
      </w:r>
    </w:p>
    <w:p>
      <w:pPr>
        <w:spacing w:after="0" w:line="233" w:lineRule="exact"/>
        <w:rPr>
          <w:sz w:val="20"/>
          <w:szCs w:val="20"/>
          <w:color w:val="auto"/>
        </w:rPr>
      </w:pPr>
    </w:p>
    <w:p>
      <w:pPr>
        <w:ind w:left="760" w:hanging="752"/>
        <w:spacing w:after="0"/>
        <w:tabs>
          <w:tab w:leader="none" w:pos="76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False or misleading statements</w:t>
      </w:r>
    </w:p>
    <w:p>
      <w:pPr>
        <w:spacing w:after="0" w:line="229" w:lineRule="exact"/>
        <w:rPr>
          <w:rFonts w:ascii="Arial" w:cs="Arial" w:eastAsia="Arial" w:hAnsi="Arial"/>
          <w:sz w:val="18"/>
          <w:szCs w:val="18"/>
          <w:b w:val="1"/>
          <w:bCs w:val="1"/>
          <w:color w:val="auto"/>
        </w:rPr>
      </w:pPr>
    </w:p>
    <w:p>
      <w:pPr>
        <w:jc w:val="both"/>
        <w:ind w:left="780" w:right="2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a person for whose benefit our opinion is given is actually aware of or believes there to be a false or misleading statement or an omission of the information requested to be provided to us in connection with the work performed by us in rendering this opinion, that person may not rely on this opinion in relation to that statement or omission and should seek legal advice on the specific matter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9" w:name="page410"/>
    <w:bookmarkEnd w:id="409"/>
    <w:p>
      <w:pPr>
        <w:ind w:left="10320"/>
        <w:spacing w:after="0"/>
        <w:rPr>
          <w:sz w:val="20"/>
          <w:szCs w:val="20"/>
          <w:color w:val="auto"/>
        </w:rPr>
      </w:pPr>
      <w:r>
        <w:rPr>
          <w:rFonts w:ascii="Arial" w:cs="Arial" w:eastAsia="Arial" w:hAnsi="Arial"/>
          <w:sz w:val="16"/>
          <w:szCs w:val="16"/>
          <w:b w:val="1"/>
          <w:bCs w:val="1"/>
          <w:color w:val="auto"/>
        </w:rPr>
        <w:t>Exhibit 99.3</w:t>
      </w:r>
    </w:p>
    <w:p>
      <w:pPr>
        <w:spacing w:after="0" w:line="25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Suite 3006, Two Exchange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57325" cy="436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Tel: 852 2191 7566</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Fax: 852 2191 7995</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www.frost.com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4,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Consent of Frost &amp; Sullivan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Reference is made to the registration statement on Form F-1 (the “Registration Statement”) filed by Trident Digital Tech Holdings Ltd (the “Company”) with the United States Securities and Exchange Commission (the “SEC”) under the Securities Act of 1933, as amended, in connection with its proposed initial public offering (the “Proposed IPO”).</w:t>
      </w:r>
    </w:p>
    <w:p>
      <w:pPr>
        <w:spacing w:after="0" w:line="1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hereby consent to the use of and references to our name and the inclusion of information, data and statements from our research reports and amendments thereto, including, without limitation, the industry report titled “Digital Solutions and E-commerce Market Independent Market Research” (collectively, the “Reports”), and any subsequent amendments to the Reports, as well as the citation of our independent industry reports and amendments thereto, (i) in the Registration Statement and any amendments thereto, including, but not limited to, under the “Prospectus Summary”, “Industry” and “Business” sections; (ii) in any written correspondence with the SEC, (iii) in any other future filings with the SEC by the Company, including, without limitation, filings on Form 20-F, Form 6-K and other SEC filings (collectively, the “SEC Filings”), (iv) on the websites or in the publicity materials of the Company and its subsidiaries and affiliates, (v) in institutional and retail roadshows and other activities in connection with the Proposed IPO, and (vi) in other publicity and marketing materials in connection with the Proposed IPO.</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further hereby consent to the filing of this letter as an exhibit to the Registration Statement and any amendments thereto and as an exhibit to any other SEC Filings by the Company for the use of our data and information cited for the above-mentioned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0" w:name="page411"/>
    <w:bookmarkEnd w:id="410"/>
    <w:p>
      <w:pPr>
        <w:ind w:left="7880"/>
        <w:spacing w:after="0"/>
        <w:rPr>
          <w:sz w:val="20"/>
          <w:szCs w:val="20"/>
          <w:color w:val="auto"/>
        </w:rPr>
      </w:pPr>
      <w:r>
        <w:rPr>
          <w:rFonts w:ascii="Arial" w:cs="Arial" w:eastAsia="Arial" w:hAnsi="Arial"/>
          <w:sz w:val="16"/>
          <w:szCs w:val="16"/>
          <w:color w:val="auto"/>
        </w:rPr>
        <w:t>Suite 3006, Two Exchange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457325" cy="4368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Tel: 852 2191 7566</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Fax: 852 2191 7995</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www.frost.com</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Frost &amp; Sullivan Limited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Charles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Charles Lau</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908" w:right="1219" w:bottom="1440" w:gutter="0" w:footer="0" w:header="0"/>
        </w:sectPr>
      </w:pPr>
    </w:p>
    <w:bookmarkStart w:id="411" w:name="page412"/>
    <w:bookmarkEnd w:id="411"/>
    <w:p>
      <w:pPr>
        <w:ind w:left="10260"/>
        <w:spacing w:after="0"/>
        <w:rPr>
          <w:sz w:val="20"/>
          <w:szCs w:val="20"/>
          <w:color w:val="auto"/>
        </w:rPr>
      </w:pPr>
      <w:r>
        <w:rPr>
          <w:rFonts w:ascii="Arial" w:cs="Arial" w:eastAsia="Arial" w:hAnsi="Arial"/>
          <w:sz w:val="17"/>
          <w:szCs w:val="17"/>
          <w:b w:val="1"/>
          <w:bCs w:val="1"/>
          <w:color w:val="auto"/>
        </w:rPr>
        <w:t>Exhibit 99.4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October 4,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Pursuant to Rule 438 under the Securities Act of 1933, as amended, I hereby consent to the references to my name in the Registration Statement on Form F-1 (the “Registration Statement”) of Trident Digital Tech Holdings Ltd (the “Company”) and any amendments thereto, which indicate that I have accepted the nomination to become a director of the Company. I further agree that immediately upon the United States Securities and Exchange Commission’s declaration of effectiveness of the Registration Statement, I will serve as a member of the board of directors of the Company.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Poh Kiong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[Signature Page to Consent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3" w:name="page414"/>
    <w:bookmarkEnd w:id="413"/>
    <w:p>
      <w:pPr>
        <w:jc w:val="right"/>
        <w:spacing w:after="0"/>
        <w:rPr>
          <w:sz w:val="20"/>
          <w:szCs w:val="20"/>
          <w:color w:val="auto"/>
        </w:rPr>
      </w:pPr>
      <w:r>
        <w:rPr>
          <w:rFonts w:ascii="Arial" w:cs="Arial" w:eastAsia="Arial" w:hAnsi="Arial"/>
          <w:sz w:val="22"/>
          <w:szCs w:val="22"/>
          <w:b w:val="1"/>
          <w:bCs w:val="1"/>
          <w:color w:val="auto"/>
        </w:rPr>
        <w:t>Exhibit 99.5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Pursuant to Rule 438 under the Securities Act of 1933, as amended, I hereby consent to the references to my name in the Registration Statement on Form F-1 (the “Registration Statement”) of Trident Digital Tech Holdings Ltd (the “Company”) and any amendments thereto, which indicate that I have accepted the nomination to become a director of the Company. I further agree that immediately upon the United States Securities and Exchange Commission’s declaration of effectiveness of the Registration Statement, I will serve as a member of the board of directors of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How Teck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2599"/>
        <w:spacing w:after="0"/>
        <w:rPr>
          <w:sz w:val="20"/>
          <w:szCs w:val="20"/>
          <w:color w:val="auto"/>
        </w:rPr>
      </w:pPr>
      <w:r>
        <w:rPr>
          <w:rFonts w:ascii="Arial" w:cs="Arial" w:eastAsia="Arial" w:hAnsi="Arial"/>
          <w:sz w:val="18"/>
          <w:szCs w:val="18"/>
          <w:i w:val="1"/>
          <w:iCs w:val="1"/>
          <w:color w:val="auto"/>
        </w:rPr>
        <w:t>[Signature Page to Consent of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Pursuant to Rule 438 under the Securities Act of 1933, as amended, I hereby consent to the references to my name in the Registration Statement on Form F-1 (the “Registration Statement”) of Trident Digital Tech Holdings Ltd (the “Company”) and any amendments thereto, which indicate that I have accepted the nomination to become a director of the Company. I further agree that immediately upon the United States Securities and Exchange Commission’s declaration of effectiveness of the Registration Statement, I will serve as a member of the board of directors of the Company.</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Noi Keng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2599"/>
        <w:spacing w:after="0"/>
        <w:rPr>
          <w:sz w:val="20"/>
          <w:szCs w:val="20"/>
          <w:color w:val="auto"/>
        </w:rPr>
      </w:pPr>
      <w:r>
        <w:rPr>
          <w:rFonts w:ascii="Arial" w:cs="Arial" w:eastAsia="Arial" w:hAnsi="Arial"/>
          <w:sz w:val="18"/>
          <w:szCs w:val="18"/>
          <w:i w:val="1"/>
          <w:iCs w:val="1"/>
          <w:color w:val="auto"/>
        </w:rPr>
        <w:t>[Signature Page to Consent of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7" w:name="page418"/>
    <w:bookmarkEnd w:id="417"/>
    <w:p>
      <w:pPr>
        <w:jc w:val="right"/>
        <w:spacing w:after="0"/>
        <w:rPr>
          <w:sz w:val="20"/>
          <w:szCs w:val="20"/>
          <w:color w:val="auto"/>
        </w:rPr>
      </w:pPr>
      <w:r>
        <w:rPr>
          <w:rFonts w:ascii="Arial" w:cs="Arial" w:eastAsia="Arial" w:hAnsi="Arial"/>
          <w:sz w:val="22"/>
          <w:szCs w:val="22"/>
          <w:b w:val="1"/>
          <w:bCs w:val="1"/>
          <w:color w:val="auto"/>
        </w:rPr>
        <w:t>Exhibit 99.7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Suntec Tower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Pursuant to Rule 438 under the Securities Act of 1933, as amended, I hereby consent to the references to my name in the Registration Statement on Form F-1 (the “Registration Statement”) of Trident Digital Tech Holdings Ltd (the “Company”) and any amendments thereto, which indicate that I have accepted the nomination to become a director of the Company. I further agree that immediately upon the United States Securities and Exchange Commission’s declaration of effectiveness of the Registration Statement, I will serve as a member of the board of directors of the Company.</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Chwee Koh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2599"/>
        <w:spacing w:after="0"/>
        <w:rPr>
          <w:sz w:val="20"/>
          <w:szCs w:val="20"/>
          <w:color w:val="auto"/>
        </w:rPr>
      </w:pPr>
      <w:r>
        <w:rPr>
          <w:rFonts w:ascii="Arial" w:cs="Arial" w:eastAsia="Arial" w:hAnsi="Arial"/>
          <w:sz w:val="18"/>
          <w:szCs w:val="18"/>
          <w:i w:val="1"/>
          <w:iCs w:val="1"/>
          <w:color w:val="auto"/>
        </w:rPr>
        <w:t>[Signature Page to Consent of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6"/>
          </w:tcPr>
          <w:p>
            <w:pPr>
              <w:ind w:left="500"/>
              <w:spacing w:after="0"/>
              <w:rPr>
                <w:sz w:val="20"/>
                <w:szCs w:val="20"/>
                <w:color w:val="auto"/>
              </w:rPr>
            </w:pPr>
            <w:r>
              <w:rPr>
                <w:rFonts w:ascii="Arial" w:cs="Arial" w:eastAsia="Arial" w:hAnsi="Arial"/>
                <w:sz w:val="18"/>
                <w:szCs w:val="18"/>
                <w:color w:val="auto"/>
                <w:w w:val="90"/>
              </w:rPr>
              <w:t>Table 1 – Newly Registered Securities</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Security Class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Fee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Offering</w:t>
            </w:r>
          </w:p>
        </w:tc>
        <w:tc>
          <w:tcPr>
            <w:tcW w:w="20" w:type="dxa"/>
            <w:vAlign w:val="bottom"/>
          </w:tcPr>
          <w:p>
            <w:pPr>
              <w:spacing w:after="0"/>
              <w:rPr>
                <w:sz w:val="18"/>
                <w:szCs w:val="18"/>
                <w:color w:val="auto"/>
              </w:rPr>
            </w:pPr>
          </w:p>
        </w:tc>
        <w:tc>
          <w:tcPr>
            <w:tcW w:w="19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6"/>
              </w:rPr>
              <w:t>Maximum</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920" w:type="dxa"/>
            <w:vAlign w:val="bottom"/>
            <w:gridSpan w:val="2"/>
          </w:tcPr>
          <w:p>
            <w:pPr>
              <w:ind w:left="120"/>
              <w:spacing w:after="0" w:line="181" w:lineRule="exact"/>
              <w:rPr>
                <w:sz w:val="20"/>
                <w:szCs w:val="20"/>
                <w:color w:val="auto"/>
              </w:rPr>
            </w:pPr>
            <w:r>
              <w:rPr>
                <w:rFonts w:ascii="Arial" w:cs="Arial" w:eastAsia="Arial" w:hAnsi="Arial"/>
                <w:sz w:val="18"/>
                <w:szCs w:val="18"/>
                <w:b w:val="1"/>
                <w:bCs w:val="1"/>
                <w:color w:val="auto"/>
              </w:rPr>
              <w:t>Security</w:t>
            </w:r>
          </w:p>
        </w:tc>
        <w:tc>
          <w:tcPr>
            <w:tcW w:w="1780" w:type="dxa"/>
            <w:vAlign w:val="bottom"/>
            <w:gridSpan w:val="2"/>
            <w:vMerge w:val="continue"/>
          </w:tcPr>
          <w:p>
            <w:pPr>
              <w:spacing w:after="0"/>
              <w:rPr>
                <w:sz w:val="15"/>
                <w:szCs w:val="15"/>
                <w:color w:val="auto"/>
              </w:rPr>
            </w:pPr>
          </w:p>
        </w:tc>
        <w:tc>
          <w:tcPr>
            <w:tcW w:w="11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Calculation</w:t>
            </w:r>
          </w:p>
        </w:tc>
        <w:tc>
          <w:tcPr>
            <w:tcW w:w="10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Amount</w:t>
            </w:r>
          </w:p>
        </w:tc>
        <w:tc>
          <w:tcPr>
            <w:tcW w:w="108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15"/>
                <w:szCs w:val="15"/>
                <w:color w:val="auto"/>
              </w:rPr>
            </w:pPr>
          </w:p>
        </w:tc>
        <w:tc>
          <w:tcPr>
            <w:tcW w:w="1960" w:type="dxa"/>
            <w:vAlign w:val="bottom"/>
            <w:gridSpan w:val="3"/>
          </w:tcPr>
          <w:p>
            <w:pPr>
              <w:jc w:val="center"/>
              <w:ind w:right="520"/>
              <w:spacing w:after="0" w:line="181" w:lineRule="exact"/>
              <w:rPr>
                <w:sz w:val="20"/>
                <w:szCs w:val="20"/>
                <w:color w:val="auto"/>
              </w:rPr>
            </w:pPr>
            <w:r>
              <w:rPr>
                <w:rFonts w:ascii="Arial" w:cs="Arial" w:eastAsia="Arial" w:hAnsi="Arial"/>
                <w:sz w:val="18"/>
                <w:szCs w:val="18"/>
                <w:b w:val="1"/>
                <w:bCs w:val="1"/>
                <w:color w:val="auto"/>
                <w:w w:val="89"/>
              </w:rPr>
              <w:t>Aggregate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60"/>
              <w:spacing w:after="0" w:line="181" w:lineRule="exact"/>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Type</w:t>
            </w:r>
          </w:p>
        </w:tc>
        <w:tc>
          <w:tcPr>
            <w:tcW w:w="178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5"/>
              </w:rPr>
              <w:t>Title</w:t>
            </w:r>
            <w:r>
              <w:rPr>
                <w:rFonts w:ascii="Arial" w:cs="Arial" w:eastAsia="Arial" w:hAnsi="Arial"/>
                <w:sz w:val="29"/>
                <w:szCs w:val="29"/>
                <w:b w:val="1"/>
                <w:bCs w:val="1"/>
                <w:color w:val="auto"/>
                <w:w w:val="85"/>
                <w:vertAlign w:val="superscript"/>
              </w:rPr>
              <w:t>(1)</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Rule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Registered</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 Unit</w:t>
            </w:r>
          </w:p>
        </w:tc>
        <w:tc>
          <w:tcPr>
            <w:tcW w:w="20" w:type="dxa"/>
            <w:vAlign w:val="bottom"/>
          </w:tcPr>
          <w:p>
            <w:pPr>
              <w:spacing w:after="0"/>
              <w:rPr>
                <w:sz w:val="24"/>
                <w:szCs w:val="24"/>
                <w:color w:val="auto"/>
              </w:rPr>
            </w:pPr>
          </w:p>
        </w:tc>
        <w:tc>
          <w:tcPr>
            <w:tcW w:w="19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2"/>
              </w:rPr>
              <w:t>Offering Price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Fee Rate</w:t>
            </w:r>
          </w:p>
        </w:tc>
        <w:tc>
          <w:tcPr>
            <w:tcW w:w="380" w:type="dxa"/>
            <w:vAlign w:val="bottom"/>
          </w:tcPr>
          <w:p>
            <w:pPr>
              <w:spacing w:after="0"/>
              <w:rPr>
                <w:sz w:val="24"/>
                <w:szCs w:val="2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184"/>
        </w:trPr>
        <w:tc>
          <w:tcPr>
            <w:tcW w:w="10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Fees to Be</w:t>
            </w:r>
          </w:p>
        </w:tc>
        <w:tc>
          <w:tcPr>
            <w:tcW w:w="880" w:type="dxa"/>
            <w:vAlign w:val="bottom"/>
            <w:tcBorders>
              <w:top w:val="single" w:sz="8" w:color="auto"/>
            </w:tcBorders>
            <w:shd w:val="clear" w:color="auto" w:fill="CCEEFF"/>
          </w:tcPr>
          <w:p>
            <w:pPr>
              <w:ind w:left="240"/>
              <w:spacing w:after="0" w:line="184" w:lineRule="exact"/>
              <w:rPr>
                <w:sz w:val="20"/>
                <w:szCs w:val="20"/>
                <w:color w:val="auto"/>
              </w:rPr>
            </w:pPr>
            <w:r>
              <w:rPr>
                <w:rFonts w:ascii="Arial" w:cs="Arial" w:eastAsia="Arial" w:hAnsi="Arial"/>
                <w:sz w:val="18"/>
                <w:szCs w:val="18"/>
                <w:color w:val="auto"/>
              </w:rPr>
              <w:t>Equity</w:t>
            </w:r>
          </w:p>
        </w:tc>
        <w:tc>
          <w:tcPr>
            <w:tcW w:w="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84" w:lineRule="exact"/>
              <w:rPr>
                <w:sz w:val="20"/>
                <w:szCs w:val="20"/>
                <w:color w:val="auto"/>
              </w:rPr>
            </w:pPr>
            <w:r>
              <w:rPr>
                <w:rFonts w:ascii="Arial" w:cs="Arial" w:eastAsia="Arial" w:hAnsi="Arial"/>
                <w:sz w:val="18"/>
                <w:szCs w:val="18"/>
                <w:color w:val="auto"/>
                <w:w w:val="92"/>
              </w:rPr>
              <w:t>Class B ordinary</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4" w:lineRule="exact"/>
              <w:rPr>
                <w:sz w:val="20"/>
                <w:szCs w:val="20"/>
                <w:color w:val="auto"/>
              </w:rPr>
            </w:pPr>
            <w:r>
              <w:rPr>
                <w:rFonts w:ascii="Arial" w:cs="Arial" w:eastAsia="Arial" w:hAnsi="Arial"/>
                <w:sz w:val="18"/>
                <w:szCs w:val="18"/>
                <w:color w:val="auto"/>
                <w:w w:val="91"/>
              </w:rPr>
              <w:t>Rule 457(o)</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Paid</w:t>
            </w: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shares, par value</w:t>
            </w: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(3)</w:t>
            </w:r>
          </w:p>
        </w:tc>
        <w:tc>
          <w:tcPr>
            <w:tcW w:w="12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980" w:type="dxa"/>
            <w:vAlign w:val="bottom"/>
            <w:gridSpan w:val="4"/>
            <w:vMerge w:val="restart"/>
            <w:shd w:val="clear" w:color="auto" w:fill="CCEEFF"/>
          </w:tcPr>
          <w:p>
            <w:pPr>
              <w:jc w:val="center"/>
              <w:ind w:right="500"/>
              <w:spacing w:after="0"/>
              <w:rPr>
                <w:sz w:val="20"/>
                <w:szCs w:val="20"/>
                <w:color w:val="auto"/>
              </w:rPr>
            </w:pPr>
            <w:r>
              <w:rPr>
                <w:rFonts w:ascii="Arial" w:cs="Arial" w:eastAsia="Arial" w:hAnsi="Arial"/>
                <w:sz w:val="18"/>
                <w:szCs w:val="18"/>
                <w:color w:val="auto"/>
                <w:w w:val="92"/>
              </w:rPr>
              <w:t>US$ 50,000,000.00</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0.0001476</w:t>
            </w: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US$</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29"/>
        </w:trPr>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780" w:type="dxa"/>
            <w:vAlign w:val="bottom"/>
            <w:gridSpan w:val="2"/>
            <w:shd w:val="clear" w:color="auto" w:fill="CCEEFF"/>
          </w:tcPr>
          <w:p>
            <w:pPr>
              <w:jc w:val="center"/>
              <w:ind w:right="40"/>
              <w:spacing w:after="0" w:line="30" w:lineRule="exact"/>
              <w:rPr>
                <w:sz w:val="20"/>
                <w:szCs w:val="20"/>
                <w:color w:val="auto"/>
              </w:rPr>
            </w:pPr>
            <w:r>
              <w:rPr>
                <w:rFonts w:ascii="Arial" w:cs="Arial" w:eastAsia="Arial" w:hAnsi="Arial"/>
                <w:sz w:val="3"/>
                <w:szCs w:val="3"/>
                <w:color w:val="auto"/>
              </w:rPr>
              <w:t>US$0.00001 per share</w:t>
            </w: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1980" w:type="dxa"/>
            <w:vAlign w:val="bottom"/>
            <w:gridSpan w:val="4"/>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380" w:type="dxa"/>
            <w:vAlign w:val="bottom"/>
            <w:vMerge w:val="continue"/>
            <w:shd w:val="clear" w:color="auto" w:fill="CCEEFF"/>
          </w:tcPr>
          <w:p>
            <w:pPr>
              <w:spacing w:after="0"/>
              <w:rPr>
                <w:sz w:val="2"/>
                <w:szCs w:val="2"/>
                <w:color w:val="auto"/>
              </w:rPr>
            </w:pPr>
          </w:p>
        </w:tc>
        <w:tc>
          <w:tcPr>
            <w:tcW w:w="8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Arial" w:cs="Arial" w:eastAsia="Arial" w:hAnsi="Arial"/>
                <w:sz w:val="18"/>
                <w:szCs w:val="18"/>
                <w:b w:val="1"/>
                <w:bCs w:val="1"/>
                <w:color w:val="auto"/>
              </w:rPr>
              <w:t>Fees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b w:val="1"/>
                <w:bCs w:val="1"/>
                <w:color w:val="auto"/>
                <w:w w:val="92"/>
              </w:rPr>
              <w:t>Previously</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Paid</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96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00" w:type="dxa"/>
            <w:vAlign w:val="bottom"/>
            <w:gridSpan w:val="4"/>
            <w:shd w:val="clear" w:color="auto" w:fill="CCEEFF"/>
          </w:tcPr>
          <w:p>
            <w:pPr>
              <w:jc w:val="center"/>
              <w:ind w:left="77"/>
              <w:spacing w:after="0"/>
              <w:rPr>
                <w:sz w:val="20"/>
                <w:szCs w:val="20"/>
                <w:color w:val="auto"/>
              </w:rPr>
            </w:pPr>
            <w:r>
              <w:rPr>
                <w:rFonts w:ascii="Arial" w:cs="Arial" w:eastAsia="Arial" w:hAnsi="Arial"/>
                <w:sz w:val="18"/>
                <w:szCs w:val="18"/>
                <w:b w:val="1"/>
                <w:bCs w:val="1"/>
                <w:color w:val="auto"/>
                <w:w w:val="93"/>
              </w:rPr>
              <w:t>Total Offering Amount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color w:val="auto"/>
                <w:w w:val="92"/>
              </w:rPr>
              <w:t>US$ 50,000,000.00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00" w:type="dxa"/>
            <w:vAlign w:val="bottom"/>
            <w:gridSpan w:val="4"/>
          </w:tcPr>
          <w:p>
            <w:pPr>
              <w:jc w:val="center"/>
              <w:ind w:left="77"/>
              <w:spacing w:after="0"/>
              <w:rPr>
                <w:sz w:val="20"/>
                <w:szCs w:val="20"/>
                <w:color w:val="auto"/>
              </w:rPr>
            </w:pPr>
            <w:r>
              <w:rPr>
                <w:rFonts w:ascii="Arial" w:cs="Arial" w:eastAsia="Arial" w:hAnsi="Arial"/>
                <w:sz w:val="18"/>
                <w:szCs w:val="18"/>
                <w:b w:val="1"/>
                <w:bCs w:val="1"/>
                <w:color w:val="auto"/>
                <w:w w:val="88"/>
              </w:rPr>
              <w:t>Total Fees Previously Paid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00" w:type="dxa"/>
            <w:vAlign w:val="bottom"/>
            <w:gridSpan w:val="4"/>
            <w:shd w:val="clear" w:color="auto" w:fill="CCEEFF"/>
          </w:tcPr>
          <w:p>
            <w:pPr>
              <w:jc w:val="center"/>
              <w:ind w:left="77"/>
              <w:spacing w:after="0"/>
              <w:rPr>
                <w:sz w:val="20"/>
                <w:szCs w:val="20"/>
                <w:color w:val="auto"/>
              </w:rPr>
            </w:pPr>
            <w:r>
              <w:rPr>
                <w:rFonts w:ascii="Arial" w:cs="Arial" w:eastAsia="Arial" w:hAnsi="Arial"/>
                <w:sz w:val="18"/>
                <w:szCs w:val="18"/>
                <w:b w:val="1"/>
                <w:bCs w:val="1"/>
                <w:color w:val="auto"/>
                <w:w w:val="88"/>
              </w:rPr>
              <w:t>Total Fee Offsets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00" w:type="dxa"/>
            <w:vAlign w:val="bottom"/>
            <w:gridSpan w:val="4"/>
          </w:tcPr>
          <w:p>
            <w:pPr>
              <w:jc w:val="center"/>
              <w:ind w:left="77"/>
              <w:spacing w:after="0"/>
              <w:rPr>
                <w:sz w:val="20"/>
                <w:szCs w:val="20"/>
                <w:color w:val="auto"/>
              </w:rPr>
            </w:pPr>
            <w:r>
              <w:rPr>
                <w:rFonts w:ascii="Arial" w:cs="Arial" w:eastAsia="Arial" w:hAnsi="Arial"/>
                <w:sz w:val="18"/>
                <w:szCs w:val="18"/>
                <w:b w:val="1"/>
                <w:bCs w:val="1"/>
                <w:color w:val="auto"/>
                <w:w w:val="90"/>
              </w:rPr>
              <w:t>Net Fee Due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399"/>
        </w:trPr>
        <w:tc>
          <w:tcPr>
            <w:tcW w:w="11240" w:type="dxa"/>
            <w:vAlign w:val="bottom"/>
            <w:gridSpan w:val="20"/>
          </w:tcPr>
          <w:p>
            <w:pPr>
              <w:spacing w:after="0"/>
              <w:rPr>
                <w:sz w:val="20"/>
                <w:szCs w:val="20"/>
                <w:color w:val="auto"/>
              </w:rPr>
            </w:pPr>
            <w:r>
              <w:rPr>
                <w:rFonts w:ascii="Arial" w:cs="Arial" w:eastAsia="Arial" w:hAnsi="Arial"/>
                <w:sz w:val="18"/>
                <w:szCs w:val="18"/>
                <w:color w:val="auto"/>
                <w:w w:val="95"/>
              </w:rPr>
              <w:t>(1)  American depositary shares issuable upon deposit of Class B ordinary shares registered hereby will be registered under a separate registration</w:t>
            </w:r>
          </w:p>
        </w:tc>
        <w:tc>
          <w:tcPr>
            <w:tcW w:w="0" w:type="dxa"/>
            <w:vAlign w:val="bottom"/>
          </w:tcPr>
          <w:p>
            <w:pPr>
              <w:spacing w:after="0"/>
              <w:rPr>
                <w:sz w:val="1"/>
                <w:szCs w:val="1"/>
                <w:color w:val="auto"/>
              </w:rPr>
            </w:pPr>
          </w:p>
        </w:tc>
      </w:tr>
      <w:tr>
        <w:trPr>
          <w:trHeight w:val="230"/>
        </w:trPr>
        <w:tc>
          <w:tcPr>
            <w:tcW w:w="7020" w:type="dxa"/>
            <w:vAlign w:val="bottom"/>
            <w:gridSpan w:val="11"/>
          </w:tcPr>
          <w:p>
            <w:pPr>
              <w:ind w:left="340"/>
              <w:spacing w:after="0"/>
              <w:rPr>
                <w:sz w:val="20"/>
                <w:szCs w:val="20"/>
                <w:color w:val="auto"/>
              </w:rPr>
            </w:pPr>
            <w:r>
              <w:rPr>
                <w:rFonts w:ascii="Arial" w:cs="Arial" w:eastAsia="Arial" w:hAnsi="Arial"/>
                <w:sz w:val="18"/>
                <w:szCs w:val="18"/>
                <w:color w:val="auto"/>
                <w:w w:val="90"/>
              </w:rPr>
              <w:t>statement on Form F-6 (Registration No. 333- ). Each American depositary share represents</w:t>
            </w:r>
          </w:p>
        </w:tc>
        <w:tc>
          <w:tcPr>
            <w:tcW w:w="20" w:type="dxa"/>
            <w:vAlign w:val="bottom"/>
          </w:tcPr>
          <w:p>
            <w:pPr>
              <w:spacing w:after="0"/>
              <w:rPr>
                <w:sz w:val="20"/>
                <w:szCs w:val="20"/>
                <w:color w:val="auto"/>
              </w:rPr>
            </w:pPr>
          </w:p>
        </w:tc>
        <w:tc>
          <w:tcPr>
            <w:tcW w:w="1960" w:type="dxa"/>
            <w:vAlign w:val="bottom"/>
            <w:gridSpan w:val="3"/>
          </w:tcPr>
          <w:p>
            <w:pPr>
              <w:ind w:left="180"/>
              <w:spacing w:after="0"/>
              <w:rPr>
                <w:sz w:val="20"/>
                <w:szCs w:val="20"/>
                <w:color w:val="auto"/>
              </w:rPr>
            </w:pPr>
            <w:r>
              <w:rPr>
                <w:rFonts w:ascii="Arial" w:cs="Arial" w:eastAsia="Arial" w:hAnsi="Arial"/>
                <w:sz w:val="18"/>
                <w:szCs w:val="18"/>
                <w:color w:val="auto"/>
                <w:w w:val="89"/>
              </w:rPr>
              <w:t>Class B ordinary shares.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79" w:lineRule="auto"/>
        <w:tabs>
          <w:tab w:leader="none" w:pos="34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Includes Class B ordinary shares that are issuable upon the exercise of the underwriters’ over-allotment option. Also includes Class B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B ordinary shares are not being registered for the purpose of sales outside the United States.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Estimated solely for the purpose of determining the amount of registration fee in accordance with Rule 457(o) under the Securities Act of 1933.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47FE4"/>
    <w:multiLevelType w:val="hybridMultilevel"/>
    <w:lvl w:ilvl="0">
      <w:lvlJc w:val="left"/>
      <w:lvlText w:val="†"/>
      <w:numFmt w:val="bullet"/>
      <w:start w:val="1"/>
    </w:lvl>
  </w:abstractNum>
  <w:abstractNum w:abstractNumId="1">
    <w:nsid w:val="E0BB885"/>
    <w:multiLevelType w:val="hybridMultilevel"/>
    <w:lvl w:ilvl="0">
      <w:lvlJc w:val="left"/>
      <w:lvlText w:val="["/>
      <w:numFmt w:val="bullet"/>
      <w:start w:val="1"/>
    </w:lvl>
  </w:abstractNum>
  <w:abstractNum w:abstractNumId="2">
    <w:nsid w:val="565976F1"/>
    <w:multiLevelType w:val="hybridMultilevel"/>
    <w:lvl w:ilvl="0">
      <w:lvlJc w:val="left"/>
      <w:lvlText w:val="(%1)"/>
      <w:numFmt w:val="decimal"/>
      <w:start w:val="1"/>
    </w:lvl>
  </w:abstractNum>
  <w:abstractNum w:abstractNumId="3">
    <w:nsid w:val="64212B8C"/>
    <w:multiLevelType w:val="hybridMultilevel"/>
    <w:lvl w:ilvl="0">
      <w:lvlJc w:val="left"/>
      <w:lvlText w:val="•"/>
      <w:numFmt w:val="bullet"/>
      <w:start w:val="1"/>
    </w:lvl>
  </w:abstractNum>
  <w:abstractNum w:abstractNumId="4">
    <w:nsid w:val="5C17530C"/>
    <w:multiLevelType w:val="hybridMultilevel"/>
    <w:lvl w:ilvl="0">
      <w:lvlJc w:val="left"/>
      <w:lvlText w:val="•"/>
      <w:numFmt w:val="bullet"/>
      <w:start w:val="1"/>
    </w:lvl>
  </w:abstractNum>
  <w:abstractNum w:abstractNumId="5">
    <w:nsid w:val="19A52566"/>
    <w:multiLevelType w:val="hybridMultilevel"/>
    <w:lvl w:ilvl="0">
      <w:lvlJc w:val="left"/>
      <w:lvlText w:val="•"/>
      <w:numFmt w:val="bullet"/>
      <w:start w:val="1"/>
    </w:lvl>
  </w:abstractNum>
  <w:abstractNum w:abstractNumId="6">
    <w:nsid w:val="335A1DF1"/>
    <w:multiLevelType w:val="hybridMultilevel"/>
    <w:lvl w:ilvl="0">
      <w:lvlJc w:val="left"/>
      <w:lvlText w:val="•"/>
      <w:numFmt w:val="bullet"/>
      <w:start w:val="1"/>
    </w:lvl>
  </w:abstractNum>
  <w:abstractNum w:abstractNumId="7">
    <w:nsid w:val="28677B7C"/>
    <w:multiLevelType w:val="hybridMultilevel"/>
    <w:lvl w:ilvl="0">
      <w:lvlJc w:val="left"/>
      <w:lvlText w:val="•"/>
      <w:numFmt w:val="bullet"/>
      <w:start w:val="1"/>
    </w:lvl>
  </w:abstractNum>
  <w:abstractNum w:abstractNumId="8">
    <w:nsid w:val="378D97C0"/>
    <w:multiLevelType w:val="hybridMultilevel"/>
    <w:lvl w:ilvl="0">
      <w:lvlJc w:val="left"/>
      <w:lvlText w:val="•"/>
      <w:numFmt w:val="bullet"/>
      <w:start w:val="1"/>
    </w:lvl>
  </w:abstractNum>
  <w:abstractNum w:abstractNumId="9">
    <w:nsid w:val="1D91467C"/>
    <w:multiLevelType w:val="hybridMultilevel"/>
    <w:lvl w:ilvl="0">
      <w:lvlJc w:val="left"/>
      <w:lvlText w:val="•"/>
      <w:numFmt w:val="bullet"/>
      <w:start w:val="1"/>
    </w:lvl>
  </w:abstractNum>
  <w:abstractNum w:abstractNumId="10">
    <w:nsid w:val="316032BB"/>
    <w:multiLevelType w:val="hybridMultilevel"/>
    <w:lvl w:ilvl="0">
      <w:lvlJc w:val="left"/>
      <w:lvlText w:val="•"/>
      <w:numFmt w:val="bullet"/>
      <w:start w:val="1"/>
    </w:lvl>
  </w:abstractNum>
  <w:abstractNum w:abstractNumId="11">
    <w:nsid w:val="44344C22"/>
    <w:multiLevelType w:val="hybridMultilevel"/>
    <w:lvl w:ilvl="0">
      <w:lvlJc w:val="left"/>
      <w:lvlText w:val="["/>
      <w:numFmt w:val="bullet"/>
      <w:start w:val="1"/>
    </w:lvl>
  </w:abstractNum>
  <w:abstractNum w:abstractNumId="12">
    <w:nsid w:val="13CDFCFC"/>
    <w:multiLevelType w:val="hybridMultilevel"/>
    <w:lvl w:ilvl="0">
      <w:lvlJc w:val="left"/>
      <w:lvlText w:val="•"/>
      <w:numFmt w:val="bullet"/>
      <w:start w:val="1"/>
    </w:lvl>
  </w:abstractNum>
  <w:abstractNum w:abstractNumId="13">
    <w:nsid w:val="471745E4"/>
    <w:multiLevelType w:val="hybridMultilevel"/>
    <w:lvl w:ilvl="0">
      <w:lvlJc w:val="left"/>
      <w:lvlText w:val="•"/>
      <w:numFmt w:val="bullet"/>
      <w:start w:val="1"/>
    </w:lvl>
  </w:abstractNum>
  <w:abstractNum w:abstractNumId="14">
    <w:nsid w:val="1DDBC66"/>
    <w:multiLevelType w:val="hybridMultilevel"/>
    <w:lvl w:ilvl="0">
      <w:lvlJc w:val="left"/>
      <w:lvlText w:val="•"/>
      <w:numFmt w:val="bullet"/>
      <w:start w:val="1"/>
    </w:lvl>
  </w:abstractNum>
  <w:abstractNum w:abstractNumId="15">
    <w:nsid w:val="30AADFDA"/>
    <w:multiLevelType w:val="hybridMultilevel"/>
    <w:lvl w:ilvl="0">
      <w:lvlJc w:val="left"/>
      <w:lvlText w:val="•"/>
      <w:numFmt w:val="bullet"/>
      <w:start w:val="1"/>
    </w:lvl>
  </w:abstractNum>
  <w:abstractNum w:abstractNumId="16">
    <w:nsid w:val="30EADA61"/>
    <w:multiLevelType w:val="hybridMultilevel"/>
    <w:lvl w:ilvl="0">
      <w:lvlJc w:val="left"/>
      <w:lvlText w:val="$"/>
      <w:numFmt w:val="bullet"/>
      <w:start w:val="1"/>
    </w:lvl>
  </w:abstractNum>
  <w:abstractNum w:abstractNumId="17">
    <w:nsid w:val="27179C0B"/>
    <w:multiLevelType w:val="hybridMultilevel"/>
    <w:lvl w:ilvl="0">
      <w:lvlJc w:val="left"/>
      <w:lvlText w:val="•"/>
      <w:numFmt w:val="bullet"/>
      <w:start w:val="1"/>
    </w:lvl>
  </w:abstractNum>
  <w:abstractNum w:abstractNumId="18">
    <w:nsid w:val="5E636063"/>
    <w:multiLevelType w:val="hybridMultilevel"/>
    <w:lvl w:ilvl="0">
      <w:lvlJc w:val="left"/>
      <w:lvlText w:val="•"/>
      <w:numFmt w:val="bullet"/>
      <w:start w:val="1"/>
    </w:lvl>
  </w:abstractNum>
  <w:abstractNum w:abstractNumId="19">
    <w:nsid w:val="215641AF"/>
    <w:multiLevelType w:val="hybridMultilevel"/>
    <w:lvl w:ilvl="0">
      <w:lvlJc w:val="left"/>
      <w:lvlText w:val="•"/>
      <w:numFmt w:val="bullet"/>
      <w:start w:val="1"/>
    </w:lvl>
  </w:abstractNum>
  <w:abstractNum w:abstractNumId="20">
    <w:nsid w:val="53280662"/>
    <w:multiLevelType w:val="hybridMultilevel"/>
    <w:lvl w:ilvl="0">
      <w:lvlJc w:val="left"/>
      <w:lvlText w:val="•"/>
      <w:numFmt w:val="bullet"/>
      <w:start w:val="1"/>
    </w:lvl>
  </w:abstractNum>
  <w:abstractNum w:abstractNumId="21">
    <w:nsid w:val="46B24DBC"/>
    <w:multiLevelType w:val="hybridMultilevel"/>
    <w:lvl w:ilvl="0">
      <w:lvlJc w:val="left"/>
      <w:lvlText w:val="•"/>
      <w:numFmt w:val="bullet"/>
      <w:start w:val="1"/>
    </w:lvl>
  </w:abstractNum>
  <w:abstractNum w:abstractNumId="22">
    <w:nsid w:val="75B52783"/>
    <w:multiLevelType w:val="hybridMultilevel"/>
    <w:lvl w:ilvl="0">
      <w:lvlJc w:val="left"/>
      <w:lvlText w:val="•"/>
      <w:numFmt w:val="bullet"/>
      <w:start w:val="1"/>
    </w:lvl>
  </w:abstractNum>
  <w:abstractNum w:abstractNumId="23">
    <w:nsid w:val="57CE66B4"/>
    <w:multiLevelType w:val="hybridMultilevel"/>
    <w:lvl w:ilvl="0">
      <w:lvlJc w:val="left"/>
      <w:lvlText w:val="•"/>
      <w:numFmt w:val="bullet"/>
      <w:start w:val="1"/>
    </w:lvl>
  </w:abstractNum>
  <w:abstractNum w:abstractNumId="24">
    <w:nsid w:val="67A70B69"/>
    <w:multiLevelType w:val="hybridMultilevel"/>
    <w:lvl w:ilvl="0">
      <w:lvlJc w:val="left"/>
      <w:lvlText w:val="•"/>
      <w:numFmt w:val="bullet"/>
      <w:start w:val="1"/>
    </w:lvl>
  </w:abstractNum>
  <w:abstractNum w:abstractNumId="25">
    <w:nsid w:val="5953172F"/>
    <w:multiLevelType w:val="hybridMultilevel"/>
    <w:lvl w:ilvl="0">
      <w:lvlJc w:val="left"/>
      <w:lvlText w:val="•"/>
      <w:numFmt w:val="bullet"/>
      <w:start w:val="1"/>
    </w:lvl>
  </w:abstractNum>
  <w:abstractNum w:abstractNumId="26">
    <w:nsid w:val="27EDFE3A"/>
    <w:multiLevelType w:val="hybridMultilevel"/>
    <w:lvl w:ilvl="0">
      <w:lvlJc w:val="left"/>
      <w:lvlText w:val="•"/>
      <w:numFmt w:val="bullet"/>
      <w:start w:val="1"/>
    </w:lvl>
  </w:abstractNum>
  <w:abstractNum w:abstractNumId="27">
    <w:nsid w:val="52AC7DFF"/>
    <w:multiLevelType w:val="hybridMultilevel"/>
    <w:lvl w:ilvl="0">
      <w:lvlJc w:val="left"/>
      <w:lvlText w:val="•"/>
      <w:numFmt w:val="bullet"/>
      <w:start w:val="1"/>
    </w:lvl>
  </w:abstractNum>
  <w:abstractNum w:abstractNumId="28">
    <w:nsid w:val="C4C3AF"/>
    <w:multiLevelType w:val="hybridMultilevel"/>
    <w:lvl w:ilvl="0">
      <w:lvlJc w:val="left"/>
      <w:lvlText w:val="•"/>
      <w:numFmt w:val="bullet"/>
      <w:start w:val="1"/>
    </w:lvl>
  </w:abstractNum>
  <w:abstractNum w:abstractNumId="29">
    <w:nsid w:val="44380727"/>
    <w:multiLevelType w:val="hybridMultilevel"/>
    <w:lvl w:ilvl="0">
      <w:lvlJc w:val="left"/>
      <w:lvlText w:val="•"/>
      <w:numFmt w:val="bullet"/>
      <w:start w:val="1"/>
    </w:lvl>
  </w:abstractNum>
  <w:abstractNum w:abstractNumId="30">
    <w:nsid w:val="6C053B16"/>
    <w:multiLevelType w:val="hybridMultilevel"/>
    <w:lvl w:ilvl="0">
      <w:lvlJc w:val="left"/>
      <w:lvlText w:val="(%1)"/>
      <w:numFmt w:val="decimal"/>
      <w:start w:val="1"/>
    </w:lvl>
  </w:abstractNum>
  <w:abstractNum w:abstractNumId="31">
    <w:nsid w:val="4F294393"/>
    <w:multiLevelType w:val="hybridMultilevel"/>
    <w:lvl w:ilvl="0">
      <w:lvlJc w:val="left"/>
      <w:lvlText w:val="•"/>
      <w:numFmt w:val="bullet"/>
      <w:start w:val="1"/>
    </w:lvl>
  </w:abstractNum>
  <w:abstractNum w:abstractNumId="32">
    <w:nsid w:val="5243BFAC"/>
    <w:multiLevelType w:val="hybridMultilevel"/>
    <w:lvl w:ilvl="0">
      <w:lvlJc w:val="left"/>
      <w:lvlText w:val="•"/>
      <w:numFmt w:val="bullet"/>
      <w:start w:val="1"/>
    </w:lvl>
  </w:abstractNum>
  <w:abstractNum w:abstractNumId="33">
    <w:nsid w:val="425EB207"/>
    <w:multiLevelType w:val="hybridMultilevel"/>
    <w:lvl w:ilvl="0">
      <w:lvlJc w:val="left"/>
      <w:lvlText w:val="•"/>
      <w:numFmt w:val="bullet"/>
      <w:start w:val="1"/>
    </w:lvl>
  </w:abstractNum>
  <w:abstractNum w:abstractNumId="34">
    <w:nsid w:val="334A6F1F"/>
    <w:multiLevelType w:val="hybridMultilevel"/>
    <w:lvl w:ilvl="0">
      <w:lvlJc w:val="left"/>
      <w:lvlText w:val="(%1)"/>
      <w:numFmt w:val="lowerLetter"/>
      <w:start w:val="1"/>
    </w:lvl>
  </w:abstractNum>
  <w:abstractNum w:abstractNumId="35">
    <w:nsid w:val="2E5B12B8"/>
    <w:multiLevelType w:val="hybridMultilevel"/>
    <w:lvl w:ilvl="0">
      <w:lvlJc w:val="left"/>
      <w:lvlText w:val="(%1)"/>
      <w:numFmt w:val="lowerRoman"/>
      <w:start w:val="3"/>
    </w:lvl>
  </w:abstractNum>
  <w:abstractNum w:abstractNumId="36">
    <w:nsid w:val="5C03D76D"/>
    <w:multiLevelType w:val="hybridMultilevel"/>
    <w:lvl w:ilvl="0">
      <w:lvlJc w:val="left"/>
      <w:lvlText w:val="(%1)"/>
      <w:numFmt w:val="lowerRoman"/>
      <w:start w:val="1"/>
    </w:lvl>
  </w:abstractNum>
  <w:abstractNum w:abstractNumId="37">
    <w:nsid w:val="66A48D11"/>
    <w:multiLevelType w:val="hybridMultilevel"/>
    <w:lvl w:ilvl="0">
      <w:lvlJc w:val="left"/>
      <w:lvlText w:val="(%1)"/>
      <w:numFmt w:val="lowerRoman"/>
      <w:start w:val="2"/>
    </w:lvl>
  </w:abstractNum>
  <w:abstractNum w:abstractNumId="38">
    <w:nsid w:val="56C28E34"/>
    <w:multiLevelType w:val="hybridMultilevel"/>
    <w:lvl w:ilvl="0">
      <w:lvlJc w:val="left"/>
      <w:lvlText w:val="(%1)"/>
      <w:numFmt w:val="lowerRoman"/>
      <w:start w:val="2"/>
    </w:lvl>
  </w:abstractNum>
  <w:abstractNum w:abstractNumId="39">
    <w:nsid w:val="13916F2D"/>
    <w:multiLevelType w:val="hybridMultilevel"/>
    <w:lvl w:ilvl="0">
      <w:lvlJc w:val="left"/>
      <w:lvlText w:val="(%1)"/>
      <w:numFmt w:val="lowerRoman"/>
      <w:start w:val="2"/>
    </w:lvl>
  </w:abstractNum>
  <w:abstractNum w:abstractNumId="40">
    <w:nsid w:val="435D38D"/>
    <w:multiLevelType w:val="hybridMultilevel"/>
    <w:lvl w:ilvl="0">
      <w:lvlJc w:val="left"/>
      <w:lvlText w:val="•"/>
      <w:numFmt w:val="bullet"/>
      <w:start w:val="1"/>
    </w:lvl>
  </w:abstractNum>
  <w:abstractNum w:abstractNumId="41">
    <w:nsid w:val="822C0EF"/>
    <w:multiLevelType w:val="hybridMultilevel"/>
    <w:lvl w:ilvl="0">
      <w:lvlJc w:val="left"/>
      <w:lvlText w:val="•"/>
      <w:numFmt w:val="bullet"/>
      <w:start w:val="1"/>
    </w:lvl>
  </w:abstractNum>
  <w:abstractNum w:abstractNumId="42">
    <w:nsid w:val="57C5BB4F"/>
    <w:multiLevelType w:val="hybridMultilevel"/>
    <w:lvl w:ilvl="0">
      <w:lvlJc w:val="left"/>
      <w:lvlText w:val="•"/>
      <w:numFmt w:val="bullet"/>
      <w:start w:val="1"/>
    </w:lvl>
  </w:abstractNum>
  <w:abstractNum w:abstractNumId="43">
    <w:nsid w:val="1803D089"/>
    <w:multiLevelType w:val="hybridMultilevel"/>
    <w:lvl w:ilvl="0">
      <w:lvlJc w:val="left"/>
      <w:lvlText w:val="•"/>
      <w:numFmt w:val="bullet"/>
      <w:start w:val="1"/>
    </w:lvl>
  </w:abstractNum>
  <w:abstractNum w:abstractNumId="44">
    <w:nsid w:val="4F3A06D4"/>
    <w:multiLevelType w:val="hybridMultilevel"/>
    <w:lvl w:ilvl="0">
      <w:lvlJc w:val="left"/>
      <w:lvlText w:val="•"/>
      <w:numFmt w:val="bullet"/>
      <w:start w:val="1"/>
    </w:lvl>
  </w:abstractNum>
  <w:abstractNum w:abstractNumId="45">
    <w:nsid w:val="59A377B6"/>
    <w:multiLevelType w:val="hybridMultilevel"/>
    <w:lvl w:ilvl="0">
      <w:lvlJc w:val="left"/>
      <w:lvlText w:val="•"/>
      <w:numFmt w:val="bullet"/>
      <w:start w:val="1"/>
    </w:lvl>
  </w:abstractNum>
  <w:abstractNum w:abstractNumId="46">
    <w:nsid w:val="48AEB063"/>
    <w:multiLevelType w:val="hybridMultilevel"/>
    <w:lvl w:ilvl="0">
      <w:lvlJc w:val="left"/>
      <w:lvlText w:val="•"/>
      <w:numFmt w:val="bullet"/>
      <w:start w:val="1"/>
    </w:lvl>
  </w:abstractNum>
  <w:abstractNum w:abstractNumId="47">
    <w:nsid w:val="24E135"/>
    <w:multiLevelType w:val="hybridMultilevel"/>
    <w:lvl w:ilvl="0">
      <w:lvlJc w:val="left"/>
      <w:lvlText w:val="•"/>
      <w:numFmt w:val="bullet"/>
      <w:start w:val="1"/>
    </w:lvl>
  </w:abstractNum>
  <w:abstractNum w:abstractNumId="48">
    <w:nsid w:val="BB13C1"/>
    <w:multiLevelType w:val="hybridMultilevel"/>
    <w:lvl w:ilvl="0">
      <w:lvlJc w:val="left"/>
      <w:lvlText w:val="•"/>
      <w:numFmt w:val="bullet"/>
      <w:start w:val="1"/>
    </w:lvl>
  </w:abstractNum>
  <w:abstractNum w:abstractNumId="49">
    <w:nsid w:val="271210C7"/>
    <w:multiLevelType w:val="hybridMultilevel"/>
    <w:lvl w:ilvl="0">
      <w:lvlJc w:val="left"/>
      <w:lvlText w:val="•"/>
      <w:numFmt w:val="bullet"/>
      <w:start w:val="1"/>
    </w:lvl>
  </w:abstractNum>
  <w:abstractNum w:abstractNumId="50">
    <w:nsid w:val="217B22E4"/>
    <w:multiLevelType w:val="hybridMultilevel"/>
    <w:lvl w:ilvl="0">
      <w:lvlJc w:val="left"/>
      <w:lvlText w:val="•"/>
      <w:numFmt w:val="bullet"/>
      <w:start w:val="1"/>
    </w:lvl>
  </w:abstractNum>
  <w:abstractNum w:abstractNumId="51">
    <w:nsid w:val="53E31A24"/>
    <w:multiLevelType w:val="hybridMultilevel"/>
    <w:lvl w:ilvl="0">
      <w:lvlJc w:val="left"/>
      <w:lvlText w:val="(%1)"/>
      <w:numFmt w:val="lowerRoman"/>
      <w:start w:val="1"/>
    </w:lvl>
  </w:abstractNum>
  <w:abstractNum w:abstractNumId="52">
    <w:nsid w:val="6DC45E83"/>
    <w:multiLevelType w:val="hybridMultilevel"/>
    <w:lvl w:ilvl="0">
      <w:lvlJc w:val="left"/>
      <w:lvlText w:val="(%1)"/>
      <w:numFmt w:val="lowerRoman"/>
      <w:start w:val="10"/>
    </w:lvl>
  </w:abstractNum>
  <w:abstractNum w:abstractNumId="53">
    <w:nsid w:val="17304A67"/>
    <w:multiLevelType w:val="hybridMultilevel"/>
    <w:lvl w:ilvl="0">
      <w:lvlJc w:val="left"/>
      <w:lvlText w:val="*"/>
      <w:numFmt w:val="bullet"/>
      <w:start w:val="1"/>
    </w:lvl>
  </w:abstractNum>
  <w:abstractNum w:abstractNumId="54">
    <w:nsid w:val="2BB180D8"/>
    <w:multiLevelType w:val="hybridMultilevel"/>
    <w:lvl w:ilvl="0">
      <w:lvlJc w:val="left"/>
      <w:lvlText w:val="•"/>
      <w:numFmt w:val="bullet"/>
      <w:start w:val="1"/>
    </w:lvl>
  </w:abstractNum>
  <w:abstractNum w:abstractNumId="55">
    <w:nsid w:val="556B69ED"/>
    <w:multiLevelType w:val="hybridMultilevel"/>
    <w:lvl w:ilvl="0">
      <w:lvlJc w:val="left"/>
      <w:lvlText w:val="•"/>
      <w:numFmt w:val="bullet"/>
      <w:start w:val="1"/>
    </w:lvl>
  </w:abstractNum>
  <w:abstractNum w:abstractNumId="56">
    <w:nsid w:val="70836196"/>
    <w:multiLevelType w:val="hybridMultilevel"/>
    <w:lvl w:ilvl="0">
      <w:lvlJc w:val="left"/>
      <w:lvlText w:val="•"/>
      <w:numFmt w:val="bullet"/>
      <w:start w:val="1"/>
    </w:lvl>
  </w:abstractNum>
  <w:abstractNum w:abstractNumId="57">
    <w:nsid w:val="539F7F12"/>
    <w:multiLevelType w:val="hybridMultilevel"/>
    <w:lvl w:ilvl="0">
      <w:lvlJc w:val="left"/>
      <w:lvlText w:val="•"/>
      <w:numFmt w:val="bullet"/>
      <w:start w:val="1"/>
    </w:lvl>
  </w:abstractNum>
  <w:abstractNum w:abstractNumId="58">
    <w:nsid w:val="2817E7EC"/>
    <w:multiLevelType w:val="hybridMultilevel"/>
    <w:lvl w:ilvl="0">
      <w:lvlJc w:val="left"/>
      <w:lvlText w:val="•"/>
      <w:numFmt w:val="bullet"/>
      <w:start w:val="1"/>
    </w:lvl>
  </w:abstractNum>
  <w:abstractNum w:abstractNumId="59">
    <w:nsid w:val="71482545"/>
    <w:multiLevelType w:val="hybridMultilevel"/>
    <w:lvl w:ilvl="0">
      <w:lvlJc w:val="left"/>
      <w:lvlText w:val="(%1)"/>
      <w:numFmt w:val="lowerRoman"/>
      <w:start w:val="6"/>
    </w:lvl>
  </w:abstractNum>
  <w:abstractNum w:abstractNumId="60">
    <w:nsid w:val="17D78639"/>
    <w:multiLevelType w:val="hybridMultilevel"/>
    <w:lvl w:ilvl="0">
      <w:lvlJc w:val="left"/>
      <w:lvlText w:val="•"/>
      <w:numFmt w:val="bullet"/>
      <w:start w:val="1"/>
    </w:lvl>
  </w:abstractNum>
  <w:abstractNum w:abstractNumId="61">
    <w:nsid w:val="141D2302"/>
    <w:multiLevelType w:val="hybridMultilevel"/>
    <w:lvl w:ilvl="0">
      <w:lvlJc w:val="left"/>
      <w:lvlText w:val="*"/>
      <w:numFmt w:val="bullet"/>
      <w:start w:val="1"/>
    </w:lvl>
  </w:abstractNum>
  <w:abstractNum w:abstractNumId="62">
    <w:nsid w:val="407168D8"/>
    <w:multiLevelType w:val="hybridMultilevel"/>
    <w:lvl w:ilvl="0">
      <w:lvlJc w:val="left"/>
      <w:lvlText w:val="†"/>
      <w:numFmt w:val="bullet"/>
      <w:start w:val="1"/>
    </w:lvl>
  </w:abstractNum>
  <w:abstractNum w:abstractNumId="63">
    <w:nsid w:val="6A1B45E5"/>
    <w:multiLevelType w:val="hybridMultilevel"/>
    <w:lvl w:ilvl="0">
      <w:lvlJc w:val="left"/>
      <w:lvlText w:val="††"/>
      <w:numFmt w:val="bullet"/>
      <w:start w:val="1"/>
    </w:lvl>
  </w:abstractNum>
  <w:abstractNum w:abstractNumId="64">
    <w:nsid w:val="567BD50A"/>
    <w:multiLevelType w:val="hybridMultilevel"/>
    <w:lvl w:ilvl="0">
      <w:lvlJc w:val="left"/>
      <w:lvlText w:val="(%1)"/>
      <w:numFmt w:val="decimal"/>
      <w:start w:val="1"/>
    </w:lvl>
  </w:abstractNum>
  <w:abstractNum w:abstractNumId="65">
    <w:nsid w:val="73BBD7F8"/>
    <w:multiLevelType w:val="hybridMultilevel"/>
    <w:lvl w:ilvl="0">
      <w:lvlJc w:val="left"/>
      <w:lvlText w:val="(%1)"/>
      <w:numFmt w:val="decimal"/>
      <w:start w:val="2"/>
    </w:lvl>
  </w:abstractNum>
  <w:abstractNum w:abstractNumId="66">
    <w:nsid w:val="1876589D"/>
    <w:multiLevelType w:val="hybridMultilevel"/>
    <w:lvl w:ilvl="0">
      <w:lvlJc w:val="left"/>
      <w:lvlText w:val="•"/>
      <w:numFmt w:val="bullet"/>
      <w:start w:val="1"/>
    </w:lvl>
  </w:abstractNum>
  <w:abstractNum w:abstractNumId="67">
    <w:nsid w:val="327FAC77"/>
    <w:multiLevelType w:val="hybridMultilevel"/>
    <w:lvl w:ilvl="0">
      <w:lvlJc w:val="left"/>
      <w:lvlText w:val="(%1)"/>
      <w:numFmt w:val="decimal"/>
      <w:start w:val="2"/>
    </w:lvl>
  </w:abstractNum>
  <w:abstractNum w:abstractNumId="68">
    <w:nsid w:val="5A606509"/>
    <w:multiLevelType w:val="hybridMultilevel"/>
    <w:lvl w:ilvl="0">
      <w:lvlJc w:val="left"/>
      <w:lvlText w:val="•"/>
      <w:numFmt w:val="bullet"/>
      <w:start w:val="1"/>
    </w:lvl>
  </w:abstractNum>
  <w:abstractNum w:abstractNumId="69">
    <w:nsid w:val="6F38E6D1"/>
    <w:multiLevelType w:val="hybridMultilevel"/>
    <w:lvl w:ilvl="0">
      <w:lvlJc w:val="left"/>
      <w:lvlText w:val="•"/>
      <w:numFmt w:val="bullet"/>
      <w:start w:val="1"/>
    </w:lvl>
  </w:abstractNum>
  <w:abstractNum w:abstractNumId="70">
    <w:nsid w:val="46111BA5"/>
    <w:multiLevelType w:val="hybridMultilevel"/>
    <w:lvl w:ilvl="0">
      <w:lvlJc w:val="left"/>
      <w:lvlText w:val="•"/>
      <w:numFmt w:val="bullet"/>
      <w:start w:val="1"/>
    </w:lvl>
  </w:abstractNum>
  <w:abstractNum w:abstractNumId="71">
    <w:nsid w:val="5E963896"/>
    <w:multiLevelType w:val="hybridMultilevel"/>
    <w:lvl w:ilvl="0">
      <w:lvlJc w:val="left"/>
      <w:lvlText w:val="•"/>
      <w:numFmt w:val="bullet"/>
      <w:start w:val="1"/>
    </w:lvl>
  </w:abstractNum>
  <w:abstractNum w:abstractNumId="72">
    <w:nsid w:val="775BA7C1"/>
    <w:multiLevelType w:val="hybridMultilevel"/>
    <w:lvl w:ilvl="0">
      <w:lvlJc w:val="left"/>
      <w:lvlText w:val="•"/>
      <w:numFmt w:val="bullet"/>
      <w:start w:val="1"/>
    </w:lvl>
  </w:abstractNum>
  <w:abstractNum w:abstractNumId="73">
    <w:nsid w:val="1DD6D6F4"/>
    <w:multiLevelType w:val="hybridMultilevel"/>
    <w:lvl w:ilvl="0">
      <w:lvlJc w:val="left"/>
      <w:lvlText w:val="•"/>
      <w:numFmt w:val="bullet"/>
      <w:start w:val="1"/>
    </w:lvl>
  </w:abstractNum>
  <w:abstractNum w:abstractNumId="74">
    <w:nsid w:val="769A091F"/>
    <w:multiLevelType w:val="hybridMultilevel"/>
    <w:lvl w:ilvl="0">
      <w:lvlJc w:val="left"/>
      <w:lvlText w:val="•"/>
      <w:numFmt w:val="bullet"/>
      <w:start w:val="1"/>
    </w:lvl>
  </w:abstractNum>
  <w:abstractNum w:abstractNumId="75">
    <w:nsid w:val="4695AE95"/>
    <w:multiLevelType w:val="hybridMultilevel"/>
    <w:lvl w:ilvl="0">
      <w:lvlJc w:val="left"/>
      <w:lvlText w:val="•"/>
      <w:numFmt w:val="bullet"/>
      <w:start w:val="1"/>
    </w:lvl>
  </w:abstractNum>
  <w:abstractNum w:abstractNumId="76">
    <w:nsid w:val="777A4EAA"/>
    <w:multiLevelType w:val="hybridMultilevel"/>
    <w:lvl w:ilvl="0">
      <w:lvlJc w:val="left"/>
      <w:lvlText w:val="•"/>
      <w:numFmt w:val="bullet"/>
      <w:start w:val="1"/>
    </w:lvl>
  </w:abstractNum>
  <w:abstractNum w:abstractNumId="77">
    <w:nsid w:val="3F48B982"/>
    <w:multiLevelType w:val="hybridMultilevel"/>
    <w:lvl w:ilvl="0">
      <w:lvlJc w:val="left"/>
      <w:lvlText w:val="•"/>
      <w:numFmt w:val="bullet"/>
      <w:start w:val="1"/>
    </w:lvl>
  </w:abstractNum>
  <w:abstractNum w:abstractNumId="78">
    <w:nsid w:val="46BA8FCA"/>
    <w:multiLevelType w:val="hybridMultilevel"/>
    <w:lvl w:ilvl="0">
      <w:lvlJc w:val="left"/>
      <w:lvlText w:val="2"/>
      <w:numFmt w:val="bullet"/>
      <w:start w:val="1"/>
    </w:lvl>
  </w:abstractNum>
  <w:abstractNum w:abstractNumId="79">
    <w:nsid w:val="7835626C"/>
    <w:multiLevelType w:val="hybridMultilevel"/>
    <w:lvl w:ilvl="0">
      <w:lvlJc w:val="left"/>
      <w:lvlText w:val="•"/>
      <w:numFmt w:val="bullet"/>
      <w:start w:val="1"/>
    </w:lvl>
  </w:abstractNum>
  <w:abstractNum w:abstractNumId="80">
    <w:nsid w:val="665ACA49"/>
    <w:multiLevelType w:val="hybridMultilevel"/>
    <w:lvl w:ilvl="0">
      <w:lvlJc w:val="left"/>
      <w:lvlText w:val="•"/>
      <w:numFmt w:val="bullet"/>
      <w:start w:val="1"/>
    </w:lvl>
  </w:abstractNum>
  <w:abstractNum w:abstractNumId="81">
    <w:nsid w:val="6835B2AE"/>
    <w:multiLevelType w:val="hybridMultilevel"/>
    <w:lvl w:ilvl="0">
      <w:lvlJc w:val="left"/>
      <w:lvlText w:val="•"/>
      <w:numFmt w:val="bullet"/>
      <w:start w:val="1"/>
    </w:lvl>
  </w:abstractNum>
  <w:abstractNum w:abstractNumId="82">
    <w:nsid w:val="4C187C90"/>
    <w:multiLevelType w:val="hybridMultilevel"/>
    <w:lvl w:ilvl="0">
      <w:lvlJc w:val="left"/>
      <w:lvlText w:val="(%1)"/>
      <w:numFmt w:val="lowerRoman"/>
      <w:start w:val="2"/>
    </w:lvl>
  </w:abstractNum>
  <w:abstractNum w:abstractNumId="83">
    <w:nsid w:val="541F28CD"/>
    <w:multiLevelType w:val="hybridMultilevel"/>
    <w:lvl w:ilvl="0">
      <w:lvlJc w:val="left"/>
      <w:lvlText w:val="•"/>
      <w:numFmt w:val="bullet"/>
      <w:start w:val="1"/>
    </w:lvl>
  </w:abstractNum>
  <w:abstractNum w:abstractNumId="84">
    <w:nsid w:val="7F65FD16"/>
    <w:multiLevelType w:val="hybridMultilevel"/>
    <w:lvl w:ilvl="0">
      <w:lvlJc w:val="left"/>
      <w:lvlText w:val="•"/>
      <w:numFmt w:val="bullet"/>
      <w:start w:val="1"/>
    </w:lvl>
  </w:abstractNum>
  <w:abstractNum w:abstractNumId="85">
    <w:nsid w:val="77C9FD68"/>
    <w:multiLevelType w:val="hybridMultilevel"/>
    <w:lvl w:ilvl="0">
      <w:lvlJc w:val="left"/>
      <w:lvlText w:val="•"/>
      <w:numFmt w:val="bullet"/>
      <w:start w:val="1"/>
    </w:lvl>
  </w:abstractNum>
  <w:abstractNum w:abstractNumId="86">
    <w:nsid w:val="298A92BA"/>
    <w:multiLevelType w:val="hybridMultilevel"/>
    <w:lvl w:ilvl="0">
      <w:lvlJc w:val="left"/>
      <w:lvlText w:val="•"/>
      <w:numFmt w:val="bullet"/>
      <w:start w:val="1"/>
    </w:lvl>
  </w:abstractNum>
  <w:abstractNum w:abstractNumId="87">
    <w:nsid w:val="6FE95EAC"/>
    <w:multiLevelType w:val="hybridMultilevel"/>
    <w:lvl w:ilvl="0">
      <w:lvlJc w:val="left"/>
      <w:lvlText w:val="•"/>
      <w:numFmt w:val="bullet"/>
      <w:start w:val="1"/>
    </w:lvl>
  </w:abstractNum>
  <w:abstractNum w:abstractNumId="88">
    <w:nsid w:val="4B697C7A"/>
    <w:multiLevelType w:val="hybridMultilevel"/>
    <w:lvl w:ilvl="0">
      <w:lvlJc w:val="left"/>
      <w:lvlText w:val="(%1)"/>
      <w:numFmt w:val="lowerLetter"/>
      <w:start w:val="1"/>
    </w:lvl>
  </w:abstractNum>
  <w:abstractNum w:abstractNumId="89">
    <w:nsid w:val="51A27AA6"/>
    <w:multiLevelType w:val="hybridMultilevel"/>
    <w:lvl w:ilvl="0">
      <w:lvlJc w:val="left"/>
      <w:lvlText w:val="(%1)"/>
      <w:numFmt w:val="lowerLetter"/>
      <w:start w:val="1"/>
    </w:lvl>
  </w:abstractNum>
  <w:abstractNum w:abstractNumId="90">
    <w:nsid w:val="613183F2"/>
    <w:multiLevelType w:val="hybridMultilevel"/>
    <w:lvl w:ilvl="0">
      <w:lvlJc w:val="left"/>
      <w:lvlText w:val="(%1)"/>
      <w:numFmt w:val="lowerLetter"/>
      <w:start w:val="1"/>
    </w:lvl>
  </w:abstractNum>
  <w:abstractNum w:abstractNumId="91">
    <w:nsid w:val="634102B4"/>
    <w:multiLevelType w:val="hybridMultilevel"/>
    <w:lvl w:ilvl="0">
      <w:lvlJc w:val="left"/>
      <w:lvlText w:val="(%1)"/>
      <w:numFmt w:val="lowerLetter"/>
      <w:start w:val="2"/>
    </w:lvl>
  </w:abstractNum>
  <w:abstractNum w:abstractNumId="92">
    <w:nsid w:val="65BF9DA8"/>
    <w:multiLevelType w:val="hybridMultilevel"/>
    <w:lvl w:ilvl="0">
      <w:lvlJc w:val="left"/>
      <w:lvlText w:val="(%1)"/>
      <w:numFmt w:val="lowerLetter"/>
      <w:start w:val="1"/>
    </w:lvl>
  </w:abstractNum>
  <w:abstractNum w:abstractNumId="93">
    <w:nsid w:val="21A2ECCA"/>
    <w:multiLevelType w:val="hybridMultilevel"/>
    <w:lvl w:ilvl="0">
      <w:lvlJc w:val="left"/>
      <w:lvlText w:val="(%1)"/>
      <w:numFmt w:val="lowerLetter"/>
      <w:start w:val="1"/>
    </w:lvl>
  </w:abstractNum>
  <w:abstractNum w:abstractNumId="94">
    <w:nsid w:val="4D5C4899"/>
    <w:multiLevelType w:val="hybridMultilevel"/>
    <w:lvl w:ilvl="0">
      <w:lvlJc w:val="left"/>
      <w:lvlText w:val="•"/>
      <w:numFmt w:val="bullet"/>
      <w:start w:val="1"/>
    </w:lvl>
  </w:abstractNum>
  <w:abstractNum w:abstractNumId="95">
    <w:nsid w:val="3C3B72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155EC4C2"/>
    <w:multiLevelType w:val="hybridMultilevel"/>
    <w:lvl w:ilvl="0">
      <w:lvlJc w:val="left"/>
      <w:lvlText w:val="\emdash "/>
      <w:numFmt w:val="bullet"/>
      <w:start w:val="1"/>
    </w:lvl>
  </w:abstractNum>
  <w:abstractNum w:abstractNumId="97">
    <w:nsid w:val="65D2A137"/>
    <w:multiLevelType w:val="hybridMultilevel"/>
    <w:lvl w:ilvl="0">
      <w:lvlJc w:val="left"/>
      <w:lvlText w:val="•"/>
      <w:numFmt w:val="bullet"/>
      <w:start w:val="1"/>
    </w:lvl>
  </w:abstractNum>
  <w:abstractNum w:abstractNumId="98">
    <w:nsid w:val="6EBB1F2A"/>
    <w:multiLevelType w:val="hybridMultilevel"/>
    <w:lvl w:ilvl="0">
      <w:lvlJc w:val="left"/>
      <w:lvlText w:val="•"/>
      <w:numFmt w:val="bullet"/>
      <w:start w:val="1"/>
    </w:lvl>
  </w:abstractNum>
  <w:abstractNum w:abstractNumId="99">
    <w:nsid w:val="6FBF29CB"/>
    <w:multiLevelType w:val="hybridMultilevel"/>
    <w:lvl w:ilvl="0">
      <w:lvlJc w:val="left"/>
      <w:lvlText w:val="(%1)"/>
      <w:numFmt w:val="lowerRoman"/>
      <w:start w:val="3"/>
    </w:lvl>
  </w:abstractNum>
  <w:abstractNum w:abstractNumId="100">
    <w:nsid w:val="550B8808"/>
    <w:multiLevelType w:val="hybridMultilevel"/>
    <w:lvl w:ilvl="0">
      <w:lvlJc w:val="left"/>
      <w:lvlText w:val="•"/>
      <w:numFmt w:val="bullet"/>
      <w:start w:val="1"/>
    </w:lvl>
  </w:abstractNum>
  <w:abstractNum w:abstractNumId="101">
    <w:nsid w:val="34CC3ACF"/>
    <w:multiLevelType w:val="hybridMultilevel"/>
    <w:lvl w:ilvl="0">
      <w:lvlJc w:val="left"/>
      <w:lvlText w:val="•"/>
      <w:numFmt w:val="bullet"/>
      <w:start w:val="1"/>
    </w:lvl>
  </w:abstractNum>
  <w:abstractNum w:abstractNumId="102">
    <w:nsid w:val="4E556261"/>
    <w:multiLevelType w:val="hybridMultilevel"/>
    <w:lvl w:ilvl="0">
      <w:lvlJc w:val="left"/>
      <w:lvlText w:val="•"/>
      <w:numFmt w:val="bullet"/>
      <w:start w:val="1"/>
    </w:lvl>
  </w:abstractNum>
  <w:abstractNum w:abstractNumId="103">
    <w:nsid w:val="4C672FC9"/>
    <w:multiLevelType w:val="hybridMultilevel"/>
    <w:lvl w:ilvl="0">
      <w:lvlJc w:val="left"/>
      <w:lvlText w:val="•"/>
      <w:numFmt w:val="bullet"/>
      <w:start w:val="1"/>
    </w:lvl>
  </w:abstractNum>
  <w:abstractNum w:abstractNumId="104">
    <w:nsid w:val="52A311C3"/>
    <w:multiLevelType w:val="hybridMultilevel"/>
    <w:lvl w:ilvl="0">
      <w:lvlJc w:val="left"/>
      <w:lvlText w:val="•"/>
      <w:numFmt w:val="bullet"/>
      <w:start w:val="1"/>
    </w:lvl>
  </w:abstractNum>
  <w:abstractNum w:abstractNumId="105">
    <w:nsid w:val="44EF6B80"/>
    <w:multiLevelType w:val="hybridMultilevel"/>
    <w:lvl w:ilvl="0">
      <w:lvlJc w:val="left"/>
      <w:lvlText w:val="*"/>
      <w:numFmt w:val="bullet"/>
      <w:start w:val="1"/>
    </w:lvl>
  </w:abstractNum>
  <w:abstractNum w:abstractNumId="106">
    <w:nsid w:val="12FCDE5E"/>
    <w:multiLevelType w:val="hybridMultilevel"/>
    <w:lvl w:ilvl="0">
      <w:lvlJc w:val="left"/>
      <w:lvlText w:val="*"/>
      <w:numFmt w:val="bullet"/>
      <w:start w:val="1"/>
    </w:lvl>
  </w:abstractNum>
  <w:abstractNum w:abstractNumId="107">
    <w:nsid w:val="4A1D606E"/>
    <w:multiLevelType w:val="hybridMultilevel"/>
    <w:lvl w:ilvl="0">
      <w:lvlJc w:val="left"/>
      <w:lvlText w:val="*"/>
      <w:numFmt w:val="bullet"/>
      <w:start w:val="1"/>
    </w:lvl>
  </w:abstractNum>
  <w:abstractNum w:abstractNumId="108">
    <w:nsid w:val="4382503"/>
    <w:multiLevelType w:val="hybridMultilevel"/>
    <w:lvl w:ilvl="0">
      <w:lvlJc w:val="left"/>
      <w:lvlText w:val="%1."/>
      <w:numFmt w:val="decimal"/>
      <w:start w:val="1"/>
    </w:lvl>
  </w:abstractNum>
  <w:abstractNum w:abstractNumId="109">
    <w:nsid w:val="59B76E28"/>
    <w:multiLevelType w:val="hybridMultilevel"/>
    <w:lvl w:ilvl="0">
      <w:lvlJc w:val="left"/>
      <w:lvlText w:val="%1."/>
      <w:numFmt w:val="decimal"/>
      <w:start w:val="2"/>
    </w:lvl>
    <w:lvl w:ilvl="1">
      <w:lvlJc w:val="left"/>
      <w:lvlText w:val="(%2)"/>
      <w:numFmt w:val="lowerLetter"/>
      <w:start w:val="1"/>
    </w:lvl>
  </w:abstractNum>
  <w:abstractNum w:abstractNumId="110">
    <w:nsid w:val="4252C2DA"/>
    <w:multiLevelType w:val="hybridMultilevel"/>
    <w:lvl w:ilvl="0">
      <w:lvlJc w:val="left"/>
      <w:lvlText w:val="%1."/>
      <w:numFmt w:val="decimal"/>
      <w:start w:val="2"/>
    </w:lvl>
  </w:abstractNum>
  <w:abstractNum w:abstractNumId="111">
    <w:nsid w:val="6A92EF4C"/>
    <w:multiLevelType w:val="hybridMultilevel"/>
    <w:lvl w:ilvl="0">
      <w:lvlJc w:val="left"/>
      <w:lvlText w:val="(%1)"/>
      <w:numFmt w:val="lowerLetter"/>
      <w:start w:val="3"/>
    </w:lvl>
  </w:abstractNum>
  <w:abstractNum w:abstractNumId="112">
    <w:nsid w:val="41ED20D7"/>
    <w:multiLevelType w:val="hybridMultilevel"/>
    <w:lvl w:ilvl="0">
      <w:lvlJc w:val="left"/>
      <w:lvlText w:val="(%1)"/>
      <w:numFmt w:val="lowerLetter"/>
      <w:start w:val="5"/>
    </w:lvl>
  </w:abstractNum>
  <w:abstractNum w:abstractNumId="113">
    <w:nsid w:val="E6B3F6A"/>
    <w:multiLevelType w:val="hybridMultilevel"/>
    <w:lvl w:ilvl="0">
      <w:lvlJc w:val="left"/>
      <w:lvlText w:val="(%1)"/>
      <w:numFmt w:val="lowerLetter"/>
      <w:start w:val="6"/>
    </w:lvl>
  </w:abstractNum>
  <w:abstractNum w:abstractNumId="114">
    <w:nsid w:val="3EB21819"/>
    <w:multiLevelType w:val="hybridMultilevel"/>
    <w:lvl w:ilvl="0">
      <w:lvlJc w:val="left"/>
      <w:lvlText w:val="%1."/>
      <w:numFmt w:val="decimal"/>
      <w:start w:val="2"/>
    </w:lvl>
  </w:abstractNum>
  <w:abstractNum w:abstractNumId="115">
    <w:nsid w:val="41531DED"/>
    <w:multiLevelType w:val="hybridMultilevel"/>
    <w:lvl w:ilvl="0">
      <w:lvlJc w:val="left"/>
      <w:lvlText w:val="•"/>
      <w:numFmt w:val="bullet"/>
      <w:start w:val="1"/>
    </w:lvl>
  </w:abstractNum>
  <w:abstractNum w:abstractNumId="116">
    <w:nsid w:val="6353CD2"/>
    <w:multiLevelType w:val="hybridMultilevel"/>
    <w:lvl w:ilvl="0">
      <w:lvlJc w:val="left"/>
      <w:lvlText w:val="%1."/>
      <w:numFmt w:val="decimal"/>
      <w:start w:val="2"/>
    </w:lvl>
  </w:abstractNum>
  <w:abstractNum w:abstractNumId="117">
    <w:nsid w:val="683CAAD3"/>
    <w:multiLevelType w:val="hybridMultilevel"/>
    <w:lvl w:ilvl="0">
      <w:lvlJc w:val="left"/>
      <w:lvlText w:val="(%1)"/>
      <w:numFmt w:val="lowerRoman"/>
      <w:start w:val="1"/>
    </w:lvl>
  </w:abstractNum>
  <w:abstractNum w:abstractNumId="118">
    <w:nsid w:val="313C7C99"/>
    <w:multiLevelType w:val="hybridMultilevel"/>
    <w:lvl w:ilvl="0">
      <w:lvlJc w:val="left"/>
      <w:lvlText w:val="%1."/>
      <w:numFmt w:val="decimal"/>
      <w:start w:val="2"/>
    </w:lvl>
  </w:abstractNum>
  <w:abstractNum w:abstractNumId="119">
    <w:nsid w:val="519EB94C"/>
    <w:multiLevelType w:val="hybridMultilevel"/>
    <w:lvl w:ilvl="0">
      <w:lvlJc w:val="left"/>
      <w:lvlText w:val="%1."/>
      <w:numFmt w:val="decimal"/>
      <w:start w:val="2"/>
    </w:lvl>
  </w:abstractNum>
  <w:abstractNum w:abstractNumId="120">
    <w:nsid w:val="39DF2579"/>
    <w:multiLevelType w:val="hybridMultilevel"/>
    <w:lvl w:ilvl="0">
      <w:lvlJc w:val="left"/>
      <w:lvlText w:val="(%1)"/>
      <w:numFmt w:val="lowerLetter"/>
      <w:start w:val="10"/>
    </w:lvl>
  </w:abstractNum>
  <w:abstractNum w:abstractNumId="121">
    <w:nsid w:val="126E008B"/>
    <w:multiLevelType w:val="hybridMultilevel"/>
    <w:lvl w:ilvl="0">
      <w:lvlJc w:val="left"/>
      <w:lvlText w:val="%1."/>
      <w:numFmt w:val="decimal"/>
      <w:start w:val="2"/>
    </w:lvl>
  </w:abstractNum>
  <w:abstractNum w:abstractNumId="122">
    <w:nsid w:val="34DFBC00"/>
    <w:multiLevelType w:val="hybridMultilevel"/>
    <w:lvl w:ilvl="0">
      <w:lvlJc w:val="left"/>
      <w:lvlText w:val="(%1)"/>
      <w:numFmt w:val="lowerLetter"/>
      <w:start w:val="12"/>
    </w:lvl>
  </w:abstractNum>
  <w:abstractNum w:abstractNumId="123">
    <w:nsid w:val="1F9EC322"/>
    <w:multiLevelType w:val="hybridMultilevel"/>
    <w:lvl w:ilvl="0">
      <w:lvlJc w:val="left"/>
      <w:lvlText w:val="%1."/>
      <w:numFmt w:val="decimal"/>
      <w:start w:val="2"/>
    </w:lvl>
  </w:abstractNum>
  <w:abstractNum w:abstractNumId="124">
    <w:nsid w:val="3410ED56"/>
    <w:multiLevelType w:val="hybridMultilevel"/>
    <w:lvl w:ilvl="0">
      <w:lvlJc w:val="left"/>
      <w:lvlText w:val="(%1)"/>
      <w:numFmt w:val="lowerLetter"/>
      <w:start w:val="18"/>
    </w:lvl>
  </w:abstractNum>
  <w:abstractNum w:abstractNumId="125">
    <w:nsid w:val="23C049A"/>
    <w:multiLevelType w:val="hybridMultilevel"/>
    <w:lvl w:ilvl="0">
      <w:lvlJc w:val="left"/>
      <w:lvlText w:val="(%1)"/>
      <w:numFmt w:val="lowerLetter"/>
      <w:start w:val="19"/>
    </w:lvl>
  </w:abstractNum>
  <w:abstractNum w:abstractNumId="126">
    <w:nsid w:val="5BDA35D4"/>
    <w:multiLevelType w:val="hybridMultilevel"/>
    <w:lvl w:ilvl="0">
      <w:lvlJc w:val="left"/>
      <w:lvlText w:val="%1."/>
      <w:numFmt w:val="decimal"/>
      <w:start w:val="2"/>
    </w:lvl>
  </w:abstractNum>
  <w:abstractNum w:abstractNumId="127">
    <w:nsid w:val="496FB218"/>
    <w:multiLevelType w:val="hybridMultilevel"/>
    <w:lvl w:ilvl="0">
      <w:lvlJc w:val="left"/>
      <w:lvlText w:val="%1."/>
      <w:numFmt w:val="decimal"/>
      <w:start w:val="3"/>
    </w:lvl>
  </w:abstractNum>
  <w:abstractNum w:abstractNumId="128">
    <w:nsid w:val="680EA5D1"/>
    <w:multiLevelType w:val="hybridMultilevel"/>
    <w:lvl w:ilvl="0">
      <w:lvlJc w:val="left"/>
      <w:lvlText w:val="%1."/>
      <w:numFmt w:val="decimal"/>
      <w:start w:val="4"/>
    </w:lvl>
  </w:abstractNum>
  <w:abstractNum w:abstractNumId="129">
    <w:nsid w:val="4A9554FE"/>
    <w:multiLevelType w:val="hybridMultilevel"/>
    <w:lvl w:ilvl="0">
      <w:lvlJc w:val="left"/>
      <w:lvlText w:val="%1."/>
      <w:numFmt w:val="decimal"/>
      <w:start w:val="5"/>
    </w:lvl>
  </w:abstractNum>
  <w:abstractNum w:abstractNumId="130">
    <w:nsid w:val="392EDBE4"/>
    <w:multiLevelType w:val="hybridMultilevel"/>
    <w:lvl w:ilvl="0">
      <w:lvlJc w:val="left"/>
      <w:lvlText w:val="%1."/>
      <w:numFmt w:val="decimal"/>
      <w:start w:val="6"/>
    </w:lvl>
  </w:abstractNum>
  <w:abstractNum w:abstractNumId="131">
    <w:nsid w:val="3D1A2DD9"/>
    <w:multiLevelType w:val="hybridMultilevel"/>
    <w:lvl w:ilvl="0">
      <w:lvlJc w:val="left"/>
      <w:lvlText w:val="(%1)"/>
      <w:numFmt w:val="decimal"/>
      <w:start w:val="1"/>
    </w:lvl>
  </w:abstractNum>
  <w:abstractNum w:abstractNumId="132">
    <w:nsid w:val="7F618FCD"/>
    <w:multiLevelType w:val="hybridMultilevel"/>
    <w:lvl w:ilvl="0">
      <w:lvlJc w:val="left"/>
      <w:lvlText w:val="%1."/>
      <w:numFmt w:val="decimal"/>
      <w:start w:val="7"/>
    </w:lvl>
  </w:abstractNum>
  <w:abstractNum w:abstractNumId="133">
    <w:nsid w:val="7843E45"/>
    <w:multiLevelType w:val="hybridMultilevel"/>
    <w:lvl w:ilvl="0">
      <w:lvlJc w:val="left"/>
      <w:lvlText w:val="%1."/>
      <w:numFmt w:val="decimal"/>
      <w:start w:val="8"/>
    </w:lvl>
  </w:abstractNum>
  <w:abstractNum w:abstractNumId="134">
    <w:nsid w:val="9815DA3"/>
    <w:multiLevelType w:val="hybridMultilevel"/>
    <w:lvl w:ilvl="0">
      <w:lvlJc w:val="left"/>
      <w:lvlText w:val="%1."/>
      <w:numFmt w:val="decimal"/>
      <w:start w:val="8"/>
    </w:lvl>
  </w:abstractNum>
  <w:abstractNum w:abstractNumId="135">
    <w:nsid w:val="5204A191"/>
    <w:multiLevelType w:val="hybridMultilevel"/>
    <w:lvl w:ilvl="0">
      <w:lvlJc w:val="left"/>
      <w:lvlText w:val="%1."/>
      <w:numFmt w:val="decimal"/>
      <w:start w:val="9"/>
    </w:lvl>
  </w:abstractNum>
  <w:abstractNum w:abstractNumId="136">
    <w:nsid w:val="4C73A9C6"/>
    <w:multiLevelType w:val="hybridMultilevel"/>
    <w:lvl w:ilvl="0">
      <w:lvlJc w:val="left"/>
      <w:lvlText w:val="%1."/>
      <w:numFmt w:val="decimal"/>
      <w:start w:val="9"/>
    </w:lvl>
  </w:abstractNum>
  <w:abstractNum w:abstractNumId="137">
    <w:nsid w:val="1C7E3C01"/>
    <w:multiLevelType w:val="hybridMultilevel"/>
    <w:lvl w:ilvl="0">
      <w:lvlJc w:val="left"/>
      <w:lvlText w:val="(%1)"/>
      <w:numFmt w:val="decimal"/>
      <w:start w:val="1"/>
    </w:lvl>
  </w:abstractNum>
  <w:abstractNum w:abstractNumId="138">
    <w:nsid w:val="1C2201FF"/>
    <w:multiLevelType w:val="hybridMultilevel"/>
    <w:lvl w:ilvl="0">
      <w:lvlJc w:val="left"/>
      <w:lvlText w:val="(%1)"/>
      <w:numFmt w:val="decimal"/>
      <w:start w:val="1"/>
    </w:lvl>
  </w:abstractNum>
  <w:abstractNum w:abstractNumId="139">
    <w:nsid w:val="50ABCEC9"/>
    <w:multiLevelType w:val="hybridMultilevel"/>
    <w:lvl w:ilvl="0">
      <w:lvlJc w:val="left"/>
      <w:lvlText w:val="(%1)"/>
      <w:numFmt w:val="decimal"/>
      <w:start w:val="1"/>
    </w:lvl>
  </w:abstractNum>
  <w:abstractNum w:abstractNumId="140">
    <w:nsid w:val="7635AA2A"/>
    <w:multiLevelType w:val="hybridMultilevel"/>
    <w:lvl w:ilvl="0">
      <w:lvlJc w:val="left"/>
      <w:lvlText w:val="*"/>
      <w:numFmt w:val="bullet"/>
      <w:start w:val="1"/>
    </w:lvl>
  </w:abstractNum>
  <w:abstractNum w:abstractNumId="141">
    <w:nsid w:val="5E74C4D9"/>
    <w:multiLevelType w:val="hybridMultilevel"/>
    <w:lvl w:ilvl="0">
      <w:lvlJc w:val="left"/>
      <w:lvlText w:val="*"/>
      <w:numFmt w:val="bullet"/>
      <w:start w:val="1"/>
    </w:lvl>
  </w:abstractNum>
  <w:abstractNum w:abstractNumId="142">
    <w:nsid w:val="3B3EBE15"/>
    <w:multiLevelType w:val="hybridMultilevel"/>
    <w:lvl w:ilvl="0">
      <w:lvlJc w:val="left"/>
      <w:lvlText w:val="*"/>
      <w:numFmt w:val="bullet"/>
      <w:start w:val="1"/>
    </w:lvl>
  </w:abstractNum>
  <w:abstractNum w:abstractNumId="143">
    <w:nsid w:val="3822CB01"/>
    <w:multiLevelType w:val="hybridMultilevel"/>
    <w:lvl w:ilvl="0">
      <w:lvlJc w:val="left"/>
      <w:lvlText w:val="*"/>
      <w:numFmt w:val="bullet"/>
      <w:start w:val="1"/>
    </w:lvl>
  </w:abstractNum>
  <w:abstractNum w:abstractNumId="144">
    <w:nsid w:val="6CE00443"/>
    <w:multiLevelType w:val="hybridMultilevel"/>
    <w:lvl w:ilvl="0">
      <w:lvlJc w:val="left"/>
      <w:lvlText w:val="%1."/>
      <w:numFmt w:val="decimal"/>
      <w:start w:val="1"/>
    </w:lvl>
  </w:abstractNum>
  <w:abstractNum w:abstractNumId="145">
    <w:nsid w:val="79F0D62F"/>
    <w:multiLevelType w:val="hybridMultilevel"/>
    <w:lvl w:ilvl="0">
      <w:lvlJc w:val="left"/>
      <w:lvlText w:val="%1."/>
      <w:numFmt w:val="decimal"/>
      <w:start w:val="2"/>
    </w:lvl>
    <w:lvl w:ilvl="1">
      <w:lvlJc w:val="left"/>
      <w:lvlText w:val="(%2)"/>
      <w:numFmt w:val="lowerLetter"/>
      <w:start w:val="1"/>
    </w:lvl>
  </w:abstractNum>
  <w:abstractNum w:abstractNumId="146">
    <w:nsid w:val="7975E8EE"/>
    <w:multiLevelType w:val="hybridMultilevel"/>
    <w:lvl w:ilvl="0">
      <w:lvlJc w:val="left"/>
      <w:lvlText w:val="%1."/>
      <w:numFmt w:val="decimal"/>
      <w:start w:val="2"/>
    </w:lvl>
  </w:abstractNum>
  <w:abstractNum w:abstractNumId="147">
    <w:nsid w:val="73154115"/>
    <w:multiLevelType w:val="hybridMultilevel"/>
    <w:lvl w:ilvl="0">
      <w:lvlJc w:val="left"/>
      <w:lvlText w:val="(%1)"/>
      <w:numFmt w:val="lowerLetter"/>
      <w:start w:val="3"/>
    </w:lvl>
  </w:abstractNum>
  <w:abstractNum w:abstractNumId="148">
    <w:nsid w:val="622D8102"/>
    <w:multiLevelType w:val="hybridMultilevel"/>
    <w:lvl w:ilvl="0">
      <w:lvlJc w:val="left"/>
      <w:lvlText w:val="%1."/>
      <w:numFmt w:val="decimal"/>
      <w:start w:val="2"/>
    </w:lvl>
  </w:abstractNum>
  <w:abstractNum w:abstractNumId="149">
    <w:nsid w:val="2AB26587"/>
    <w:multiLevelType w:val="hybridMultilevel"/>
    <w:lvl w:ilvl="0">
      <w:lvlJc w:val="left"/>
      <w:lvlText w:val="%1."/>
      <w:numFmt w:val="decimal"/>
      <w:start w:val="2"/>
    </w:lvl>
  </w:abstractNum>
  <w:abstractNum w:abstractNumId="150">
    <w:nsid w:val="44B3FA61"/>
    <w:multiLevelType w:val="hybridMultilevel"/>
    <w:lvl w:ilvl="0">
      <w:lvlJc w:val="left"/>
      <w:lvlText w:val="(%1)"/>
      <w:numFmt w:val="lowerLetter"/>
      <w:start w:val="5"/>
    </w:lvl>
  </w:abstractNum>
  <w:abstractNum w:abstractNumId="151">
    <w:nsid w:val="1C0CA67C"/>
    <w:multiLevelType w:val="hybridMultilevel"/>
    <w:lvl w:ilvl="0">
      <w:lvlJc w:val="left"/>
      <w:lvlText w:val="%1."/>
      <w:numFmt w:val="decimal"/>
      <w:start w:val="2"/>
    </w:lvl>
  </w:abstractNum>
  <w:abstractNum w:abstractNumId="152">
    <w:nsid w:val="3D206613"/>
    <w:multiLevelType w:val="hybridMultilevel"/>
    <w:lvl w:ilvl="0">
      <w:lvlJc w:val="left"/>
      <w:lvlText w:val="(%1)"/>
      <w:numFmt w:val="lowerLetter"/>
      <w:start w:val="6"/>
    </w:lvl>
  </w:abstractNum>
  <w:abstractNum w:abstractNumId="153">
    <w:nsid w:val="7993B662"/>
    <w:multiLevelType w:val="hybridMultilevel"/>
    <w:lvl w:ilvl="0">
      <w:lvlJc w:val="left"/>
      <w:lvlText w:val="%1."/>
      <w:numFmt w:val="decimal"/>
      <w:start w:val="3"/>
    </w:lvl>
  </w:abstractNum>
  <w:abstractNum w:abstractNumId="154">
    <w:nsid w:val="3BAB699E"/>
    <w:multiLevelType w:val="hybridMultilevel"/>
    <w:lvl w:ilvl="0">
      <w:lvlJc w:val="left"/>
      <w:lvlText w:val="%1."/>
      <w:numFmt w:val="decimal"/>
      <w:start w:val="4"/>
    </w:lvl>
  </w:abstractNum>
  <w:abstractNum w:abstractNumId="155">
    <w:nsid w:val="71315369"/>
    <w:multiLevelType w:val="hybridMultilevel"/>
    <w:lvl w:ilvl="0">
      <w:lvlJc w:val="left"/>
      <w:lvlText w:val="%1."/>
      <w:numFmt w:val="decimal"/>
      <w:start w:val="5"/>
    </w:lvl>
  </w:abstractNum>
  <w:abstractNum w:abstractNumId="156">
    <w:nsid w:val="7BCFBAFC"/>
    <w:multiLevelType w:val="hybridMultilevel"/>
    <w:lvl w:ilvl="0">
      <w:lvlJc w:val="left"/>
      <w:lvlText w:val="%1."/>
      <w:numFmt w:val="decimal"/>
      <w:start w:val="6"/>
    </w:lvl>
  </w:abstractNum>
  <w:abstractNum w:abstractNumId="157">
    <w:nsid w:val="17859F72"/>
    <w:multiLevelType w:val="hybridMultilevel"/>
    <w:lvl w:ilvl="0">
      <w:lvlJc w:val="left"/>
      <w:lvlText w:val="(%1)"/>
      <w:numFmt w:val="decimal"/>
      <w:start w:val="1"/>
    </w:lvl>
  </w:abstractNum>
  <w:abstractNum w:abstractNumId="158">
    <w:nsid w:val="3AA10581"/>
    <w:multiLevelType w:val="hybridMultilevel"/>
    <w:lvl w:ilvl="0">
      <w:lvlJc w:val="left"/>
      <w:lvlText w:val="%1."/>
      <w:numFmt w:val="decimal"/>
      <w:start w:val="7"/>
    </w:lvl>
  </w:abstractNum>
  <w:abstractNum w:abstractNumId="159">
    <w:nsid w:val="63DE60CD"/>
    <w:multiLevelType w:val="hybridMultilevel"/>
    <w:lvl w:ilvl="0">
      <w:lvlJc w:val="left"/>
      <w:lvlText w:val="%1."/>
      <w:numFmt w:val="decimal"/>
      <w:start w:val="8"/>
    </w:lvl>
  </w:abstractNum>
  <w:abstractNum w:abstractNumId="160">
    <w:nsid w:val="621AF471"/>
    <w:multiLevelType w:val="hybridMultilevel"/>
    <w:lvl w:ilvl="0">
      <w:lvlJc w:val="left"/>
      <w:lvlText w:val="%1."/>
      <w:numFmt w:val="decimal"/>
      <w:start w:val="9"/>
    </w:lvl>
  </w:abstractNum>
  <w:abstractNum w:abstractNumId="161">
    <w:nsid w:val="73CFE165"/>
    <w:multiLevelType w:val="hybridMultilevel"/>
    <w:lvl w:ilvl="0">
      <w:lvlJc w:val="left"/>
      <w:lvlText w:val="%1."/>
      <w:numFmt w:val="decimal"/>
      <w:start w:val="9"/>
    </w:lvl>
  </w:abstractNum>
  <w:abstractNum w:abstractNumId="162">
    <w:nsid w:val="20F88EA6"/>
    <w:multiLevelType w:val="hybridMultilevel"/>
    <w:lvl w:ilvl="0">
      <w:lvlJc w:val="left"/>
      <w:lvlText w:val="(%1)"/>
      <w:numFmt w:val="decimal"/>
      <w:start w:val="1"/>
    </w:lvl>
  </w:abstractNum>
  <w:abstractNum w:abstractNumId="163">
    <w:nsid w:val="617C843E"/>
    <w:multiLevelType w:val="hybridMultilevel"/>
    <w:lvl w:ilvl="0">
      <w:lvlJc w:val="left"/>
      <w:lvlText w:val="(%1)"/>
      <w:numFmt w:val="decimal"/>
      <w:start w:val="1"/>
    </w:lvl>
  </w:abstractNum>
  <w:abstractNum w:abstractNumId="164">
    <w:nsid w:val="7B541FAB"/>
    <w:multiLevelType w:val="hybridMultilevel"/>
    <w:lvl w:ilvl="0">
      <w:lvlJc w:val="left"/>
      <w:lvlText w:val="(%1)"/>
      <w:numFmt w:val="decimal"/>
      <w:start w:val="1"/>
    </w:lvl>
  </w:abstractNum>
  <w:abstractNum w:abstractNumId="165">
    <w:nsid w:val="2A79EC49"/>
    <w:multiLevelType w:val="hybridMultilevel"/>
    <w:lvl w:ilvl="0">
      <w:lvlJc w:val="left"/>
      <w:lvlText w:val="(%1)"/>
      <w:numFmt w:val="decimal"/>
      <w:start w:val="1"/>
    </w:lvl>
  </w:abstractNum>
  <w:abstractNum w:abstractNumId="166">
    <w:nsid w:val="338125CF"/>
    <w:multiLevelType w:val="hybridMultilevel"/>
    <w:lvl w:ilvl="0">
      <w:lvlJc w:val="left"/>
      <w:lvlText w:val="(%1)"/>
      <w:numFmt w:val="lowerLetter"/>
      <w:start w:val="1"/>
    </w:lvl>
  </w:abstractNum>
  <w:abstractNum w:abstractNumId="167">
    <w:nsid w:val="47C7C971"/>
    <w:multiLevelType w:val="hybridMultilevel"/>
    <w:lvl w:ilvl="0">
      <w:lvlJc w:val="left"/>
      <w:lvlText w:val="(%1)"/>
      <w:numFmt w:val="decimal"/>
      <w:start w:val="1"/>
    </w:lvl>
  </w:abstractNum>
  <w:abstractNum w:abstractNumId="168">
    <w:nsid w:val="46F8284B"/>
    <w:multiLevelType w:val="hybridMultilevel"/>
    <w:lvl w:ilvl="0">
      <w:lvlJc w:val="left"/>
      <w:lvlText w:val="(%1)"/>
      <w:numFmt w:val="lowerRoman"/>
      <w:start w:val="1"/>
    </w:lvl>
  </w:abstractNum>
  <w:abstractNum w:abstractNumId="169">
    <w:nsid w:val="4FA327CE"/>
    <w:multiLevelType w:val="hybridMultilevel"/>
    <w:lvl w:ilvl="0">
      <w:lvlJc w:val="left"/>
      <w:lvlText w:val="%1"/>
      <w:numFmt w:val="decimal"/>
      <w:start w:val="107"/>
    </w:lvl>
  </w:abstractNum>
  <w:abstractNum w:abstractNumId="170">
    <w:nsid w:val="1873983A"/>
    <w:multiLevelType w:val="hybridMultilevel"/>
    <w:lvl w:ilvl="0">
      <w:lvlJc w:val="left"/>
      <w:lvlText w:val="*"/>
      <w:numFmt w:val="bullet"/>
      <w:start w:val="1"/>
    </w:lvl>
  </w:abstractNum>
  <w:abstractNum w:abstractNumId="171">
    <w:nsid w:val="3D2DD275"/>
    <w:multiLevelType w:val="hybridMultilevel"/>
    <w:lvl w:ilvl="0">
      <w:lvlJc w:val="left"/>
      <w:lvlText w:val="1"/>
      <w:numFmt w:val="bullet"/>
      <w:start w:val="1"/>
    </w:lvl>
  </w:abstractNum>
  <w:abstractNum w:abstractNumId="172">
    <w:nsid w:val="2E17ECA7"/>
    <w:multiLevelType w:val="hybridMultilevel"/>
    <w:lvl w:ilvl="0">
      <w:lvlJc w:val="left"/>
      <w:lvlText w:val="2"/>
      <w:numFmt w:val="bullet"/>
      <w:start w:val="1"/>
    </w:lvl>
  </w:abstractNum>
  <w:abstractNum w:abstractNumId="173">
    <w:nsid w:val="53B2564F"/>
    <w:multiLevelType w:val="hybridMultilevel"/>
    <w:lvl w:ilvl="0">
      <w:lvlJc w:val="left"/>
      <w:lvlText w:val="3"/>
      <w:numFmt w:val="bullet"/>
      <w:start w:val="1"/>
    </w:lvl>
  </w:abstractNum>
  <w:abstractNum w:abstractNumId="174">
    <w:nsid w:val="75509D76"/>
    <w:multiLevelType w:val="hybridMultilevel"/>
    <w:lvl w:ilvl="0">
      <w:lvlJc w:val="left"/>
      <w:lvlText w:val="4"/>
      <w:numFmt w:val="bullet"/>
      <w:start w:val="1"/>
    </w:lvl>
  </w:abstractNum>
  <w:abstractNum w:abstractNumId="175">
    <w:nsid w:val="1AF7F0EA"/>
    <w:multiLevelType w:val="hybridMultilevel"/>
    <w:lvl w:ilvl="0">
      <w:lvlJc w:val="left"/>
      <w:lvlText w:val="5"/>
      <w:numFmt w:val="bullet"/>
      <w:start w:val="1"/>
    </w:lvl>
    <w:lvl w:ilvl="1">
      <w:lvlJc w:val="left"/>
      <w:lvlText w:val="(%2)"/>
      <w:numFmt w:val="lowerLetter"/>
      <w:start w:val="1"/>
    </w:lvl>
  </w:abstractNum>
  <w:abstractNum w:abstractNumId="176">
    <w:nsid w:val="4DA32C7E"/>
    <w:multiLevelType w:val="hybridMultilevel"/>
    <w:lvl w:ilvl="0">
      <w:lvlJc w:val="left"/>
      <w:lvlText w:val="6"/>
      <w:numFmt w:val="bullet"/>
      <w:start w:val="1"/>
    </w:lvl>
  </w:abstractNum>
  <w:abstractNum w:abstractNumId="177">
    <w:nsid w:val="6EC68664"/>
    <w:multiLevelType w:val="hybridMultilevel"/>
    <w:lvl w:ilvl="0">
      <w:lvlJc w:val="left"/>
      <w:lvlText w:val="7"/>
      <w:numFmt w:val="bullet"/>
      <w:start w:val="1"/>
    </w:lvl>
  </w:abstractNum>
  <w:abstractNum w:abstractNumId="178">
    <w:nsid w:val="E0D31FF"/>
    <w:multiLevelType w:val="hybridMultilevel"/>
    <w:lvl w:ilvl="0">
      <w:lvlJc w:val="left"/>
      <w:lvlText w:val="8"/>
      <w:numFmt w:val="bullet"/>
      <w:start w:val="1"/>
    </w:lvl>
  </w:abstractNum>
  <w:abstractNum w:abstractNumId="179">
    <w:nsid w:val="2FD0AD81"/>
    <w:multiLevelType w:val="hybridMultilevel"/>
    <w:lvl w:ilvl="0">
      <w:lvlJc w:val="left"/>
      <w:lvlText w:val="9"/>
      <w:numFmt w:val="bullet"/>
      <w:start w:val="1"/>
    </w:lvl>
  </w:abstractNum>
  <w:abstractNum w:abstractNumId="180">
    <w:nsid w:val="1978EBEB"/>
    <w:multiLevelType w:val="hybridMultilevel"/>
    <w:lvl w:ilvl="0">
      <w:lvlJc w:val="left"/>
      <w:lvlText w:val="%1"/>
      <w:numFmt w:val="decimal"/>
      <w:start w:val="10"/>
    </w:lvl>
  </w:abstractNum>
  <w:abstractNum w:abstractNumId="181">
    <w:nsid w:val="52C12C61"/>
    <w:multiLevelType w:val="hybridMultilevel"/>
    <w:lvl w:ilvl="0">
      <w:lvlJc w:val="left"/>
      <w:lvlText w:val="1"/>
      <w:numFmt w:val="bullet"/>
      <w:start w:val="1"/>
    </w:lvl>
  </w:abstractNum>
  <w:abstractNum w:abstractNumId="182">
    <w:nsid w:val="4BDD53FD"/>
    <w:multiLevelType w:val="hybridMultilevel"/>
    <w:lvl w:ilvl="0">
      <w:lvlJc w:val="left"/>
      <w:lvlText w:val="(%1)"/>
      <w:numFmt w:val="lowerLetter"/>
      <w:start w:val="1"/>
    </w:lvl>
  </w:abstractNum>
  <w:abstractNum w:abstractNumId="183">
    <w:nsid w:val="569951FE"/>
    <w:multiLevelType w:val="hybridMultilevel"/>
    <w:lvl w:ilvl="0">
      <w:lvlJc w:val="left"/>
      <w:lvlText w:val="(%1)"/>
      <w:numFmt w:val="lowerLetter"/>
      <w:start w:val="1"/>
    </w:lvl>
  </w:abstractNum>
  <w:abstractNum w:abstractNumId="184">
    <w:nsid w:val="4C54E2C3"/>
    <w:multiLevelType w:val="hybridMultilevel"/>
    <w:lvl w:ilvl="0">
      <w:lvlJc w:val="left"/>
      <w:lvlText w:val="(%1)"/>
      <w:numFmt w:val="lowerLetter"/>
      <w:start w:val="1"/>
    </w:lvl>
  </w:abstractNum>
  <w:abstractNum w:abstractNumId="185">
    <w:nsid w:val="788BD9B"/>
    <w:multiLevelType w:val="hybridMultilevel"/>
    <w:lvl w:ilvl="0">
      <w:lvlJc w:val="left"/>
      <w:lvlText w:val="2"/>
      <w:numFmt w:val="bullet"/>
      <w:start w:val="1"/>
    </w:lvl>
  </w:abstractNum>
  <w:abstractNum w:abstractNumId="186">
    <w:nsid w:val="47CAA567"/>
    <w:multiLevelType w:val="hybridMultilevel"/>
    <w:lvl w:ilvl="0">
      <w:lvlJc w:val="left"/>
      <w:lvlText w:val="3"/>
      <w:numFmt w:val="bullet"/>
      <w:start w:val="1"/>
    </w:lvl>
  </w:abstractNum>
  <w:abstractNum w:abstractNumId="187">
    <w:nsid w:val="48249DBF"/>
    <w:multiLevelType w:val="hybridMultilevel"/>
    <w:lvl w:ilvl="0">
      <w:lvlJc w:val="left"/>
      <w:lvlText w:val="4"/>
      <w:numFmt w:val="bullet"/>
      <w:start w:val="1"/>
    </w:lvl>
  </w:abstractNum>
  <w:abstractNum w:abstractNumId="188">
    <w:nsid w:val="1F0E5D0D"/>
    <w:multiLevelType w:val="hybridMultilevel"/>
    <w:lvl w:ilvl="0">
      <w:lvlJc w:val="left"/>
      <w:lvlText w:val="5"/>
      <w:numFmt w:val="bullet"/>
      <w:start w:val="1"/>
    </w:lvl>
  </w:abstractNum>
  <w:abstractNum w:abstractNumId="189">
    <w:nsid w:val="26BAAE9"/>
    <w:multiLevelType w:val="hybridMultilevel"/>
    <w:lvl w:ilvl="0">
      <w:lvlJc w:val="left"/>
      <w:lvlText w:val="(%1)"/>
      <w:numFmt w:val="lowerLetter"/>
      <w:start w:val="1"/>
    </w:lvl>
  </w:abstractNum>
  <w:abstractNum w:abstractNumId="190">
    <w:nsid w:val="2C02FE8C"/>
    <w:multiLevelType w:val="hybridMultilevel"/>
    <w:lvl w:ilvl="0">
      <w:lvlJc w:val="left"/>
      <w:lvlText w:val="(%1)"/>
      <w:numFmt w:val="lowerLetter"/>
      <w:start w:val="1"/>
    </w:lvl>
  </w:abstractNum>
  <w:abstractNum w:abstractNumId="191">
    <w:nsid w:val="129517E"/>
    <w:multiLevelType w:val="hybridMultilevel"/>
    <w:lvl w:ilvl="0">
      <w:lvlJc w:val="left"/>
      <w:lvlText w:val="(%1)"/>
      <w:numFmt w:val="lowerLetter"/>
      <w:start w:val="1"/>
    </w:lvl>
    <w:lvl w:ilvl="1">
      <w:lvlJc w:val="left"/>
      <w:lvlText w:val="(%2)"/>
      <w:numFmt w:val="lowerRoman"/>
      <w:start w:val="1"/>
    </w:lvl>
  </w:abstractNum>
  <w:abstractNum w:abstractNumId="192">
    <w:nsid w:val="763B8C4E"/>
    <w:multiLevelType w:val="hybridMultilevel"/>
    <w:lvl w:ilvl="0">
      <w:lvlJc w:val="left"/>
      <w:lvlText w:val="(%1)"/>
      <w:numFmt w:val="lowerLetter"/>
      <w:start w:val="3"/>
    </w:lvl>
  </w:abstractNum>
  <w:abstractNum w:abstractNumId="193">
    <w:nsid w:val="4CFB8D32"/>
    <w:multiLevelType w:val="hybridMultilevel"/>
    <w:lvl w:ilvl="0">
      <w:lvlJc w:val="left"/>
      <w:lvlText w:val="6"/>
      <w:numFmt w:val="bullet"/>
      <w:start w:val="1"/>
    </w:lvl>
  </w:abstractNum>
  <w:abstractNum w:abstractNumId="194">
    <w:nsid w:val="62A5D5BD"/>
    <w:multiLevelType w:val="hybridMultilevel"/>
    <w:lvl w:ilvl="0">
      <w:lvlJc w:val="left"/>
      <w:lvlText w:val="7"/>
      <w:numFmt w:val="bullet"/>
      <w:start w:val="1"/>
    </w:lvl>
  </w:abstractNum>
  <w:abstractNum w:abstractNumId="195">
    <w:nsid w:val="718FABF9"/>
    <w:multiLevelType w:val="hybridMultilevel"/>
    <w:lvl w:ilvl="0">
      <w:lvlJc w:val="left"/>
      <w:lvlText w:val="(%1)"/>
      <w:numFmt w:val="lowerLetter"/>
      <w:start w:val="1"/>
    </w:lvl>
  </w:abstractNum>
  <w:abstractNum w:abstractNumId="196">
    <w:nsid w:val="7775797C"/>
    <w:multiLevelType w:val="hybridMultilevel"/>
    <w:lvl w:ilvl="0">
      <w:lvlJc w:val="left"/>
      <w:lvlText w:val="(%1)"/>
      <w:numFmt w:val="lowerLetter"/>
      <w:start w:val="1"/>
    </w:lvl>
  </w:abstractNum>
  <w:abstractNum w:abstractNumId="197">
    <w:nsid w:val="1626FB8C"/>
    <w:multiLevelType w:val="hybridMultilevel"/>
    <w:lvl w:ilvl="0">
      <w:lvlJc w:val="left"/>
      <w:lvlText w:val="(%1)"/>
      <w:numFmt w:val="lowerLetter"/>
      <w:start w:val="1"/>
    </w:lvl>
  </w:abstractNum>
  <w:abstractNum w:abstractNumId="198">
    <w:nsid w:val="3957756A"/>
    <w:multiLevelType w:val="hybridMultilevel"/>
    <w:lvl w:ilvl="0">
      <w:lvlJc w:val="left"/>
      <w:lvlText w:val="8"/>
      <w:numFmt w:val="bullet"/>
      <w:start w:val="1"/>
    </w:lvl>
  </w:abstractNum>
  <w:abstractNum w:abstractNumId="199">
    <w:nsid w:val="3E6DA1C7"/>
    <w:multiLevelType w:val="hybridMultilevel"/>
    <w:lvl w:ilvl="0">
      <w:lvlJc w:val="left"/>
      <w:lvlText w:val="9"/>
      <w:numFmt w:val="bullet"/>
      <w:start w:val="1"/>
    </w:lvl>
  </w:abstractNum>
  <w:abstractNum w:abstractNumId="200">
    <w:nsid w:val="65CA235B"/>
    <w:multiLevelType w:val="hybridMultilevel"/>
    <w:lvl w:ilvl="0">
      <w:lvlJc w:val="left"/>
      <w:lvlText w:val="(%1)"/>
      <w:numFmt w:val="lowerLetter"/>
      <w:start w:val="1"/>
    </w:lvl>
  </w:abstractNum>
  <w:abstractNum w:abstractNumId="201">
    <w:nsid w:val="51CB0DA4"/>
    <w:multiLevelType w:val="hybridMultilevel"/>
    <w:lvl w:ilvl="0">
      <w:lvlJc w:val="left"/>
      <w:lvlText w:val="(%1)"/>
      <w:numFmt w:val="lowerLetter"/>
      <w:start w:val="1"/>
    </w:lvl>
  </w:abstractNum>
  <w:abstractNum w:abstractNumId="202">
    <w:nsid w:val="7B9B743C"/>
    <w:multiLevelType w:val="hybridMultilevel"/>
    <w:lvl w:ilvl="0">
      <w:lvlJc w:val="left"/>
      <w:lvlText w:val="(%1)"/>
      <w:numFmt w:val="lowerLetter"/>
      <w:start w:val="1"/>
    </w:lvl>
  </w:abstractNum>
  <w:abstractNum w:abstractNumId="203">
    <w:nsid w:val="13E21002"/>
    <w:multiLevelType w:val="hybridMultilevel"/>
    <w:lvl w:ilvl="0">
      <w:lvlJc w:val="left"/>
      <w:lvlText w:val="(%1)"/>
      <w:numFmt w:val="lowerLetter"/>
      <w:start w:val="1"/>
    </w:lvl>
  </w:abstractNum>
  <w:abstractNum w:abstractNumId="204">
    <w:nsid w:val="257D63F4"/>
    <w:multiLevelType w:val="hybridMultilevel"/>
    <w:lvl w:ilvl="0">
      <w:lvlJc w:val="left"/>
      <w:lvlText w:val="(%1)"/>
      <w:numFmt w:val="lowerLetter"/>
      <w:start w:val="1"/>
    </w:lvl>
  </w:abstractNum>
  <w:abstractNum w:abstractNumId="205">
    <w:nsid w:val="70EC11B2"/>
    <w:multiLevelType w:val="hybridMultilevel"/>
    <w:lvl w:ilvl="0">
      <w:lvlJc w:val="left"/>
      <w:lvlText w:val="(%1)"/>
      <w:numFmt w:val="lowerLetter"/>
      <w:start w:val="3"/>
    </w:lvl>
  </w:abstractNum>
  <w:abstractNum w:abstractNumId="206">
    <w:nsid w:val="2EDA00ED"/>
    <w:multiLevelType w:val="hybridMultilevel"/>
    <w:lvl w:ilvl="0">
      <w:lvlJc w:val="left"/>
      <w:lvlText w:val="(%1)"/>
      <w:numFmt w:val="lowerLetter"/>
      <w:start w:val="1"/>
    </w:lvl>
  </w:abstractNum>
  <w:abstractNum w:abstractNumId="207">
    <w:nsid w:val="73209072"/>
    <w:multiLevelType w:val="hybridMultilevel"/>
    <w:lvl w:ilvl="0">
      <w:lvlJc w:val="left"/>
      <w:lvlText w:val="(%1)"/>
      <w:numFmt w:val="lowerLetter"/>
      <w:start w:val="1"/>
    </w:lvl>
  </w:abstractNum>
  <w:abstractNum w:abstractNumId="208">
    <w:nsid w:val="5FB29816"/>
    <w:multiLevelType w:val="hybridMultilevel"/>
    <w:lvl w:ilvl="0">
      <w:lvlJc w:val="left"/>
      <w:lvlText w:val="(%1)"/>
      <w:numFmt w:val="lowerLetter"/>
      <w:start w:val="3"/>
    </w:lvl>
  </w:abstractNum>
  <w:abstractNum w:abstractNumId="209">
    <w:nsid w:val="3CE732EC"/>
    <w:multiLevelType w:val="hybridMultilevel"/>
    <w:lvl w:ilvl="0">
      <w:lvlJc w:val="left"/>
      <w:lvlText w:val="(%1)"/>
      <w:numFmt w:val="lowerLetter"/>
      <w:start w:val="1"/>
    </w:lvl>
  </w:abstractNum>
  <w:abstractNum w:abstractNumId="210">
    <w:nsid w:val="22F13DF3"/>
    <w:multiLevelType w:val="hybridMultilevel"/>
    <w:lvl w:ilvl="0">
      <w:lvlJc w:val="left"/>
      <w:lvlText w:val="%1."/>
      <w:numFmt w:val="decimal"/>
      <w:start w:val="1"/>
    </w:lvl>
  </w:abstractNum>
  <w:abstractNum w:abstractNumId="211">
    <w:nsid w:val="792B8401"/>
    <w:multiLevelType w:val="hybridMultilevel"/>
    <w:lvl w:ilvl="0">
      <w:lvlJc w:val="left"/>
      <w:lvlText w:val="%1."/>
      <w:numFmt w:val="decimal"/>
      <w:start w:val="1"/>
    </w:lvl>
  </w:abstractNum>
  <w:abstractNum w:abstractNumId="212">
    <w:nsid w:val="FA85F4D"/>
    <w:multiLevelType w:val="hybridMultilevel"/>
    <w:lvl w:ilvl="0">
      <w:lvlJc w:val="left"/>
      <w:lvlText w:val="%1."/>
      <w:numFmt w:val="decimal"/>
      <w:start w:val="2"/>
    </w:lvl>
    <w:lvl w:ilvl="1">
      <w:lvlJc w:val="left"/>
      <w:lvlText w:val="(%2)"/>
      <w:numFmt w:val="lowerLetter"/>
      <w:start w:val="1"/>
    </w:lvl>
  </w:abstractNum>
  <w:abstractNum w:abstractNumId="213">
    <w:nsid w:val="6ECE91F0"/>
    <w:multiLevelType w:val="hybridMultilevel"/>
    <w:lvl w:ilvl="0">
      <w:lvlJc w:val="left"/>
      <w:lvlText w:val="%1."/>
      <w:numFmt w:val="decimal"/>
      <w:start w:val="4"/>
    </w:lvl>
  </w:abstractNum>
  <w:abstractNum w:abstractNumId="214">
    <w:nsid w:val="4FC4D600"/>
    <w:multiLevelType w:val="hybridMultilevel"/>
    <w:lvl w:ilvl="0">
      <w:lvlJc w:val="left"/>
      <w:lvlText w:val="%1."/>
      <w:numFmt w:val="decimal"/>
      <w:start w:val="8"/>
    </w:lvl>
    <w:lvl w:ilvl="1">
      <w:lvlJc w:val="left"/>
      <w:lvlText w:val="(%2)"/>
      <w:numFmt w:val="lowerLetter"/>
      <w:start w:val="1"/>
    </w:lvl>
  </w:abstractNum>
  <w:abstractNum w:abstractNumId="215">
    <w:nsid w:val="5BFD4210"/>
    <w:multiLevelType w:val="hybridMultilevel"/>
    <w:lvl w:ilvl="0">
      <w:lvlJc w:val="left"/>
      <w:lvlText w:val="(%1)"/>
      <w:numFmt w:val="lowerLetter"/>
      <w:start w:val="2"/>
    </w:lvl>
  </w:abstractNum>
  <w:abstractNum w:abstractNumId="216">
    <w:nsid w:val="76574F8B"/>
    <w:multiLevelType w:val="hybridMultilevel"/>
    <w:lvl w:ilvl="0">
      <w:lvlJc w:val="left"/>
      <w:lvlText w:val="%1."/>
      <w:numFmt w:val="decimal"/>
      <w:start w:val="10"/>
    </w:lvl>
    <w:lvl w:ilvl="1">
      <w:lvlJc w:val="left"/>
      <w:lvlText w:val="(%2)"/>
      <w:numFmt w:val="lowerLetter"/>
      <w:start w:val="1"/>
    </w:lvl>
  </w:abstractNum>
  <w:abstractNum w:abstractNumId="217">
    <w:nsid w:val="178F7B67"/>
    <w:multiLevelType w:val="hybridMultilevel"/>
    <w:lvl w:ilvl="0">
      <w:lvlJc w:val="left"/>
      <w:lvlText w:val="%1"/>
      <w:numFmt w:val="decimal"/>
      <w:start w:val="1"/>
    </w:lvl>
    <w:lvl w:ilvl="1">
      <w:lvlJc w:val="left"/>
      <w:lvlText w:val="(%2)"/>
      <w:numFmt w:val="lowerLetter"/>
      <w:start w:val="2"/>
    </w:lvl>
  </w:abstractNum>
  <w:abstractNum w:abstractNumId="218">
    <w:nsid w:val="2421DFCF"/>
    <w:multiLevelType w:val="hybridMultilevel"/>
    <w:lvl w:ilvl="0">
      <w:lvlJc w:val="left"/>
      <w:lvlText w:val="%1."/>
      <w:numFmt w:val="decimal"/>
      <w:start w:val="16"/>
    </w:lvl>
    <w:lvl w:ilvl="1">
      <w:lvlJc w:val="left"/>
      <w:lvlText w:val="%2"/>
      <w:numFmt w:val="lowerLetter"/>
      <w:start w:val="1"/>
    </w:lvl>
  </w:abstractNum>
  <w:abstractNum w:abstractNumId="219">
    <w:nsid w:val="1565AC99"/>
    <w:multiLevelType w:val="hybridMultilevel"/>
    <w:lvl w:ilvl="0">
      <w:lvlJc w:val="left"/>
      <w:lvlText w:val="%1."/>
      <w:numFmt w:val="decimal"/>
      <w:start w:val="18"/>
    </w:lvl>
  </w:abstractNum>
  <w:abstractNum w:abstractNumId="220">
    <w:nsid w:val="19FB2650"/>
    <w:multiLevelType w:val="hybridMultilevel"/>
    <w:lvl w:ilvl="0">
      <w:lvlJc w:val="left"/>
      <w:lvlText w:val="%1."/>
      <w:numFmt w:val="decimal"/>
      <w:start w:val="19"/>
    </w:lvl>
  </w:abstractNum>
  <w:abstractNum w:abstractNumId="221">
    <w:nsid w:val="5024DE5B"/>
    <w:multiLevelType w:val="hybridMultilevel"/>
    <w:lvl w:ilvl="0">
      <w:lvlJc w:val="left"/>
      <w:lvlText w:val="%1."/>
      <w:numFmt w:val="decimal"/>
      <w:start w:val="20"/>
    </w:lvl>
  </w:abstractNum>
  <w:abstractNum w:abstractNumId="222">
    <w:nsid w:val="168EFE17"/>
    <w:multiLevelType w:val="hybridMultilevel"/>
    <w:lvl w:ilvl="0">
      <w:lvlJc w:val="left"/>
      <w:lvlText w:val="%1."/>
      <w:numFmt w:val="decimal"/>
      <w:start w:val="24"/>
    </w:lvl>
  </w:abstractNum>
  <w:abstractNum w:abstractNumId="223">
    <w:nsid w:val="1036B29F"/>
    <w:multiLevelType w:val="hybridMultilevel"/>
    <w:lvl w:ilvl="0">
      <w:lvlJc w:val="left"/>
      <w:lvlText w:val="%1."/>
      <w:numFmt w:val="decimal"/>
      <w:start w:val="25"/>
    </w:lvl>
  </w:abstractNum>
  <w:abstractNum w:abstractNumId="224">
    <w:nsid w:val="1D206B8E"/>
    <w:multiLevelType w:val="hybridMultilevel"/>
    <w:lvl w:ilvl="0">
      <w:lvlJc w:val="left"/>
      <w:lvlText w:val="%1."/>
      <w:numFmt w:val="decimal"/>
      <w:start w:val="26"/>
    </w:lvl>
  </w:abstractNum>
  <w:abstractNum w:abstractNumId="225">
    <w:nsid w:val="7934D3D4"/>
    <w:multiLevelType w:val="hybridMultilevel"/>
    <w:lvl w:ilvl="0">
      <w:lvlJc w:val="left"/>
      <w:lvlText w:val="%1."/>
      <w:numFmt w:val="decimal"/>
      <w:start w:val="30"/>
    </w:lvl>
  </w:abstractNum>
  <w:abstractNum w:abstractNumId="226">
    <w:nsid w:val="1C65E98"/>
    <w:multiLevelType w:val="hybridMultilevel"/>
    <w:lvl w:ilvl="0">
      <w:lvlJc w:val="left"/>
      <w:lvlText w:val="%1."/>
      <w:numFmt w:val="decimal"/>
      <w:start w:val="31"/>
    </w:lvl>
  </w:abstractNum>
  <w:abstractNum w:abstractNumId="227">
    <w:nsid w:val="1495E50A"/>
    <w:multiLevelType w:val="hybridMultilevel"/>
    <w:lvl w:ilvl="0">
      <w:lvlJc w:val="left"/>
      <w:lvlText w:val="%1."/>
      <w:numFmt w:val="decimal"/>
      <w:start w:val="36"/>
    </w:lvl>
  </w:abstractNum>
  <w:abstractNum w:abstractNumId="228">
    <w:nsid w:val="F5BCF61"/>
    <w:multiLevelType w:val="hybridMultilevel"/>
    <w:lvl w:ilvl="0">
      <w:lvlJc w:val="left"/>
      <w:lvlText w:val="%1."/>
      <w:numFmt w:val="decimal"/>
      <w:start w:val="39"/>
    </w:lvl>
  </w:abstractNum>
  <w:abstractNum w:abstractNumId="229">
    <w:nsid w:val="3B1DD403"/>
    <w:multiLevelType w:val="hybridMultilevel"/>
    <w:lvl w:ilvl="0">
      <w:lvlJc w:val="left"/>
      <w:lvlText w:val="%1."/>
      <w:numFmt w:val="decimal"/>
      <w:start w:val="44"/>
    </w:lvl>
  </w:abstractNum>
  <w:abstractNum w:abstractNumId="230">
    <w:nsid w:val="530386D1"/>
    <w:multiLevelType w:val="hybridMultilevel"/>
    <w:lvl w:ilvl="0">
      <w:lvlJc w:val="left"/>
      <w:lvlText w:val="%1."/>
      <w:numFmt w:val="decimal"/>
      <w:start w:val="45"/>
    </w:lvl>
    <w:lvl w:ilvl="1">
      <w:lvlJc w:val="left"/>
      <w:lvlText w:val="(%2)"/>
      <w:numFmt w:val="lowerLetter"/>
      <w:start w:val="2"/>
    </w:lvl>
    <w:lvl w:ilvl="2">
      <w:lvlJc w:val="left"/>
      <w:lvlText w:val="(%3)"/>
      <w:numFmt w:val="lowerRoman"/>
      <w:start w:val="1"/>
    </w:lvl>
  </w:abstractNum>
  <w:abstractNum w:abstractNumId="231">
    <w:nsid w:val="7525F2BC"/>
    <w:multiLevelType w:val="hybridMultilevel"/>
    <w:lvl w:ilvl="0">
      <w:lvlJc w:val="left"/>
      <w:lvlText w:val="%1."/>
      <w:numFmt w:val="decimal"/>
      <w:start w:val="48"/>
    </w:lvl>
  </w:abstractNum>
  <w:abstractNum w:abstractNumId="232">
    <w:nsid w:val="CE8E1A7"/>
    <w:multiLevelType w:val="hybridMultilevel"/>
    <w:lvl w:ilvl="0">
      <w:lvlJc w:val="left"/>
      <w:lvlText w:val="%1."/>
      <w:numFmt w:val="decimal"/>
      <w:start w:val="51"/>
    </w:lvl>
  </w:abstractNum>
  <w:abstractNum w:abstractNumId="233">
    <w:nsid w:val="4E9EFB0D"/>
    <w:multiLevelType w:val="hybridMultilevel"/>
    <w:lvl w:ilvl="0">
      <w:lvlJc w:val="left"/>
      <w:lvlText w:val="%1."/>
      <w:numFmt w:val="decimal"/>
      <w:start w:val="52"/>
    </w:lvl>
    <w:lvl w:ilvl="1">
      <w:lvlJc w:val="left"/>
      <w:lvlText w:val="(%2)"/>
      <w:numFmt w:val="lowerLetter"/>
      <w:start w:val="1"/>
    </w:lvl>
  </w:abstractNum>
  <w:abstractNum w:abstractNumId="234">
    <w:nsid w:val="90802BE"/>
    <w:multiLevelType w:val="hybridMultilevel"/>
    <w:lvl w:ilvl="0">
      <w:lvlJc w:val="left"/>
      <w:lvlText w:val="%1."/>
      <w:numFmt w:val="decimal"/>
      <w:start w:val="55"/>
    </w:lvl>
    <w:lvl w:ilvl="1">
      <w:lvlJc w:val="left"/>
      <w:lvlText w:val="(%2)"/>
      <w:numFmt w:val="lowerLetter"/>
      <w:start w:val="1"/>
    </w:lvl>
  </w:abstractNum>
  <w:abstractNum w:abstractNumId="235">
    <w:nsid w:val="3266459B"/>
    <w:multiLevelType w:val="hybridMultilevel"/>
    <w:lvl w:ilvl="0">
      <w:lvlJc w:val="left"/>
      <w:lvlText w:val="%1"/>
      <w:numFmt w:val="decimal"/>
      <w:start w:val="1"/>
    </w:lvl>
    <w:lvl w:ilvl="1">
      <w:lvlJc w:val="left"/>
      <w:lvlText w:val="(%2)"/>
      <w:numFmt w:val="lowerLetter"/>
      <w:start w:val="3"/>
    </w:lvl>
  </w:abstractNum>
  <w:abstractNum w:abstractNumId="236">
    <w:nsid w:val="3F8B0CBF"/>
    <w:multiLevelType w:val="hybridMultilevel"/>
    <w:lvl w:ilvl="0">
      <w:lvlJc w:val="left"/>
      <w:lvlText w:val="%1."/>
      <w:numFmt w:val="decimal"/>
      <w:start w:val="56"/>
    </w:lvl>
    <w:lvl w:ilvl="1">
      <w:lvlJc w:val="left"/>
      <w:lvlText w:val="%2"/>
      <w:numFmt w:val="lowerLetter"/>
      <w:start w:val="1"/>
    </w:lvl>
  </w:abstractNum>
  <w:abstractNum w:abstractNumId="237">
    <w:nsid w:val="37E203AB"/>
    <w:multiLevelType w:val="hybridMultilevel"/>
    <w:lvl w:ilvl="0">
      <w:lvlJc w:val="left"/>
      <w:lvlText w:val="%1."/>
      <w:numFmt w:val="decimal"/>
      <w:start w:val="59"/>
    </w:lvl>
  </w:abstractNum>
  <w:abstractNum w:abstractNumId="238">
    <w:nsid w:val="2586D60E"/>
    <w:multiLevelType w:val="hybridMultilevel"/>
    <w:lvl w:ilvl="0">
      <w:lvlJc w:val="left"/>
      <w:lvlText w:val="%1."/>
      <w:numFmt w:val="decimal"/>
      <w:start w:val="61"/>
    </w:lvl>
    <w:lvl w:ilvl="1">
      <w:lvlJc w:val="left"/>
      <w:lvlText w:val="(%2)"/>
      <w:numFmt w:val="lowerLetter"/>
      <w:start w:val="2"/>
    </w:lvl>
  </w:abstractNum>
  <w:abstractNum w:abstractNumId="239">
    <w:nsid w:val="1F3DA4D5"/>
    <w:multiLevelType w:val="hybridMultilevel"/>
    <w:lvl w:ilvl="0">
      <w:lvlJc w:val="left"/>
      <w:lvlText w:val="(%1)"/>
      <w:numFmt w:val="lowerLetter"/>
      <w:start w:val="4"/>
    </w:lvl>
  </w:abstractNum>
  <w:abstractNum w:abstractNumId="240">
    <w:nsid w:val="74C93698"/>
    <w:multiLevelType w:val="hybridMultilevel"/>
    <w:lvl w:ilvl="0">
      <w:lvlJc w:val="left"/>
      <w:lvlText w:val="%1."/>
      <w:numFmt w:val="decimal"/>
      <w:start w:val="64"/>
    </w:lvl>
    <w:lvl w:ilvl="1">
      <w:lvlJc w:val="left"/>
      <w:lvlText w:val="(%2)"/>
      <w:numFmt w:val="lowerLetter"/>
      <w:start w:val="1"/>
    </w:lvl>
  </w:abstractNum>
  <w:abstractNum w:abstractNumId="241">
    <w:nsid w:val="48781401"/>
    <w:multiLevelType w:val="hybridMultilevel"/>
    <w:lvl w:ilvl="0">
      <w:lvlJc w:val="left"/>
      <w:lvlText w:val="%1."/>
      <w:numFmt w:val="decimal"/>
      <w:start w:val="66"/>
    </w:lvl>
  </w:abstractNum>
  <w:abstractNum w:abstractNumId="242">
    <w:nsid w:val="186928D6"/>
    <w:multiLevelType w:val="hybridMultilevel"/>
    <w:lvl w:ilvl="0">
      <w:lvlJc w:val="left"/>
      <w:lvlText w:val="%1."/>
      <w:numFmt w:val="decimal"/>
      <w:start w:val="69"/>
    </w:lvl>
  </w:abstractNum>
  <w:abstractNum w:abstractNumId="243">
    <w:nsid w:val="47195E5"/>
    <w:multiLevelType w:val="hybridMultilevel"/>
    <w:lvl w:ilvl="0">
      <w:lvlJc w:val="left"/>
      <w:lvlText w:val="%1."/>
      <w:numFmt w:val="decimal"/>
      <w:start w:val="74"/>
    </w:lvl>
  </w:abstractNum>
  <w:abstractNum w:abstractNumId="244">
    <w:nsid w:val="3746A5F2"/>
    <w:multiLevelType w:val="hybridMultilevel"/>
    <w:lvl w:ilvl="0">
      <w:lvlJc w:val="left"/>
      <w:lvlText w:val="%1."/>
      <w:numFmt w:val="decimal"/>
      <w:start w:val="77"/>
    </w:lvl>
  </w:abstractNum>
  <w:abstractNum w:abstractNumId="245">
    <w:nsid w:val="682DFED6"/>
    <w:multiLevelType w:val="hybridMultilevel"/>
    <w:lvl w:ilvl="0">
      <w:lvlJc w:val="left"/>
      <w:lvlText w:val="%1."/>
      <w:numFmt w:val="decimal"/>
      <w:start w:val="83"/>
    </w:lvl>
    <w:lvl w:ilvl="1">
      <w:lvlJc w:val="left"/>
      <w:lvlText w:val="(%2)"/>
      <w:numFmt w:val="lowerLetter"/>
      <w:start w:val="1"/>
    </w:lvl>
  </w:abstractNum>
  <w:abstractNum w:abstractNumId="246">
    <w:nsid w:val="606ED7F6"/>
    <w:multiLevelType w:val="hybridMultilevel"/>
    <w:lvl w:ilvl="0">
      <w:lvlJc w:val="left"/>
      <w:lvlText w:val="%1."/>
      <w:numFmt w:val="decimal"/>
      <w:start w:val="85"/>
    </w:lvl>
  </w:abstractNum>
  <w:abstractNum w:abstractNumId="247">
    <w:nsid w:val="2D9DF57D"/>
    <w:multiLevelType w:val="hybridMultilevel"/>
    <w:lvl w:ilvl="0">
      <w:lvlJc w:val="left"/>
      <w:lvlText w:val="%1."/>
      <w:numFmt w:val="decimal"/>
      <w:start w:val="87"/>
    </w:lvl>
  </w:abstractNum>
  <w:abstractNum w:abstractNumId="248">
    <w:nsid w:val="7FBD7A3E"/>
    <w:multiLevelType w:val="hybridMultilevel"/>
    <w:lvl w:ilvl="0">
      <w:lvlJc w:val="left"/>
      <w:lvlText w:val="%1."/>
      <w:numFmt w:val="decimal"/>
      <w:start w:val="88"/>
    </w:lvl>
  </w:abstractNum>
  <w:abstractNum w:abstractNumId="249">
    <w:nsid w:val="490B7C5"/>
    <w:multiLevelType w:val="hybridMultilevel"/>
    <w:lvl w:ilvl="0">
      <w:lvlJc w:val="left"/>
      <w:lvlText w:val="%1."/>
      <w:numFmt w:val="decimal"/>
      <w:start w:val="89"/>
    </w:lvl>
    <w:lvl w:ilvl="1">
      <w:lvlJc w:val="left"/>
      <w:lvlText w:val="(%2)"/>
      <w:numFmt w:val="lowerLetter"/>
      <w:start w:val="2"/>
    </w:lvl>
  </w:abstractNum>
  <w:abstractNum w:abstractNumId="250">
    <w:nsid w:val="4303A216"/>
    <w:multiLevelType w:val="hybridMultilevel"/>
    <w:lvl w:ilvl="0">
      <w:lvlJc w:val="left"/>
      <w:lvlText w:val="%1."/>
      <w:numFmt w:val="decimal"/>
      <w:start w:val="91"/>
    </w:lvl>
  </w:abstractNum>
  <w:abstractNum w:abstractNumId="251">
    <w:nsid w:val="19B8A08E"/>
    <w:multiLevelType w:val="hybridMultilevel"/>
    <w:lvl w:ilvl="0">
      <w:lvlJc w:val="left"/>
      <w:lvlText w:val="%1."/>
      <w:numFmt w:val="decimal"/>
      <w:start w:val="95"/>
    </w:lvl>
  </w:abstractNum>
  <w:abstractNum w:abstractNumId="252">
    <w:nsid w:val="54B59621"/>
    <w:multiLevelType w:val="hybridMultilevel"/>
    <w:lvl w:ilvl="0">
      <w:lvlJc w:val="left"/>
      <w:lvlText w:val="%1."/>
      <w:numFmt w:val="decimal"/>
      <w:start w:val="97"/>
    </w:lvl>
  </w:abstractNum>
  <w:abstractNum w:abstractNumId="253">
    <w:nsid w:val="5992A02E"/>
    <w:multiLevelType w:val="hybridMultilevel"/>
    <w:lvl w:ilvl="0">
      <w:lvlJc w:val="left"/>
      <w:lvlText w:val="%1."/>
      <w:numFmt w:val="decimal"/>
      <w:start w:val="102"/>
    </w:lvl>
  </w:abstractNum>
  <w:abstractNum w:abstractNumId="254">
    <w:nsid w:val="29EF532D"/>
    <w:multiLevelType w:val="hybridMultilevel"/>
    <w:lvl w:ilvl="0">
      <w:lvlJc w:val="left"/>
      <w:lvlText w:val="%1."/>
      <w:numFmt w:val="decimal"/>
      <w:start w:val="106"/>
    </w:lvl>
  </w:abstractNum>
  <w:abstractNum w:abstractNumId="255">
    <w:nsid w:val="71D601AF"/>
    <w:multiLevelType w:val="hybridMultilevel"/>
    <w:lvl w:ilvl="0">
      <w:lvlJc w:val="left"/>
      <w:lvlText w:val="%1."/>
      <w:numFmt w:val="decimal"/>
      <w:start w:val="107"/>
    </w:lvl>
  </w:abstractNum>
  <w:abstractNum w:abstractNumId="256">
    <w:nsid w:val="52C77402"/>
    <w:multiLevelType w:val="hybridMultilevel"/>
    <w:lvl w:ilvl="0">
      <w:lvlJc w:val="left"/>
      <w:lvlText w:val="%1."/>
      <w:numFmt w:val="decimal"/>
      <w:start w:val="109"/>
    </w:lvl>
  </w:abstractNum>
  <w:abstractNum w:abstractNumId="257">
    <w:nsid w:val="2BB5B1C6"/>
    <w:multiLevelType w:val="hybridMultilevel"/>
    <w:lvl w:ilvl="0">
      <w:lvlJc w:val="left"/>
      <w:lvlText w:val="%1."/>
      <w:numFmt w:val="decimal"/>
      <w:start w:val="110"/>
    </w:lvl>
    <w:lvl w:ilvl="1">
      <w:lvlJc w:val="left"/>
      <w:lvlText w:val="(%2)"/>
      <w:numFmt w:val="lowerLetter"/>
      <w:start w:val="1"/>
    </w:lvl>
  </w:abstractNum>
  <w:abstractNum w:abstractNumId="258">
    <w:nsid w:val="66BE6B9"/>
    <w:multiLevelType w:val="hybridMultilevel"/>
    <w:lvl w:ilvl="0">
      <w:lvlJc w:val="left"/>
      <w:lvlText w:val="%1."/>
      <w:numFmt w:val="decimal"/>
      <w:start w:val="111"/>
    </w:lvl>
  </w:abstractNum>
  <w:abstractNum w:abstractNumId="259">
    <w:nsid w:val="62234363"/>
    <w:multiLevelType w:val="hybridMultilevel"/>
    <w:lvl w:ilvl="0">
      <w:lvlJc w:val="left"/>
      <w:lvlText w:val="%1."/>
      <w:numFmt w:val="decimal"/>
      <w:start w:val="114"/>
    </w:lvl>
    <w:lvl w:ilvl="1">
      <w:lvlJc w:val="left"/>
      <w:lvlText w:val="(%2)"/>
      <w:numFmt w:val="lowerLetter"/>
      <w:start w:val="1"/>
    </w:lvl>
  </w:abstractNum>
  <w:abstractNum w:abstractNumId="260">
    <w:nsid w:val="66D385C9"/>
    <w:multiLevelType w:val="hybridMultilevel"/>
    <w:lvl w:ilvl="0">
      <w:lvlJc w:val="left"/>
      <w:lvlText w:val="%1."/>
      <w:numFmt w:val="decimal"/>
      <w:start w:val="118"/>
    </w:lvl>
  </w:abstractNum>
  <w:abstractNum w:abstractNumId="261">
    <w:nsid w:val="596F6D8A"/>
    <w:multiLevelType w:val="hybridMultilevel"/>
    <w:lvl w:ilvl="0">
      <w:lvlJc w:val="left"/>
      <w:lvlText w:val="%1."/>
      <w:numFmt w:val="decimal"/>
      <w:start w:val="124"/>
    </w:lvl>
  </w:abstractNum>
  <w:abstractNum w:abstractNumId="262">
    <w:nsid w:val="5749361F"/>
    <w:multiLevelType w:val="hybridMultilevel"/>
    <w:lvl w:ilvl="0">
      <w:lvlJc w:val="left"/>
      <w:lvlText w:val="%1."/>
      <w:numFmt w:val="decimal"/>
      <w:start w:val="125"/>
    </w:lvl>
  </w:abstractNum>
  <w:abstractNum w:abstractNumId="263">
    <w:nsid w:val="73BC6770"/>
    <w:multiLevelType w:val="hybridMultilevel"/>
    <w:lvl w:ilvl="0">
      <w:lvlJc w:val="left"/>
      <w:lvlText w:val="%1."/>
      <w:numFmt w:val="decimal"/>
      <w:start w:val="134"/>
    </w:lvl>
  </w:abstractNum>
  <w:abstractNum w:abstractNumId="264">
    <w:nsid w:val="280E6897"/>
    <w:multiLevelType w:val="hybridMultilevel"/>
    <w:lvl w:ilvl="0">
      <w:lvlJc w:val="left"/>
      <w:lvlText w:val="%1."/>
      <w:numFmt w:val="decimal"/>
      <w:start w:val="142"/>
    </w:lvl>
    <w:lvl w:ilvl="1">
      <w:lvlJc w:val="left"/>
      <w:lvlText w:val="(%2)"/>
      <w:numFmt w:val="lowerLetter"/>
      <w:start w:val="1"/>
    </w:lvl>
  </w:abstractNum>
  <w:abstractNum w:abstractNumId="265">
    <w:nsid w:val="605138DE"/>
    <w:multiLevelType w:val="hybridMultilevel"/>
    <w:lvl w:ilvl="0">
      <w:lvlJc w:val="left"/>
      <w:lvlText w:val="(%1)"/>
      <w:numFmt w:val="lowerLetter"/>
      <w:start w:val="2"/>
    </w:lvl>
    <w:lvl w:ilvl="1">
      <w:lvlJc w:val="left"/>
      <w:lvlText w:val="(%2)"/>
      <w:numFmt w:val="lowerRoman"/>
      <w:start w:val="1"/>
    </w:lvl>
  </w:abstractNum>
  <w:abstractNum w:abstractNumId="266">
    <w:nsid w:val="2622AD0C"/>
    <w:multiLevelType w:val="hybridMultilevel"/>
    <w:lvl w:ilvl="0">
      <w:lvlJc w:val="left"/>
      <w:lvlText w:val="(%1)"/>
      <w:numFmt w:val="lowerLetter"/>
      <w:start w:val="3"/>
    </w:lvl>
    <w:lvl w:ilvl="1">
      <w:lvlJc w:val="left"/>
      <w:lvlText w:val="(%2)"/>
      <w:numFmt w:val="lowerRoman"/>
      <w:start w:val="1"/>
    </w:lvl>
  </w:abstractNum>
  <w:abstractNum w:abstractNumId="267">
    <w:nsid w:val="67997556"/>
    <w:multiLevelType w:val="hybridMultilevel"/>
    <w:lvl w:ilvl="0">
      <w:lvlJc w:val="left"/>
      <w:lvlText w:val="%1"/>
      <w:numFmt w:val="decimal"/>
      <w:start w:val="1"/>
    </w:lvl>
    <w:lvl w:ilvl="1">
      <w:lvlJc w:val="left"/>
      <w:lvlText w:val="(%2)"/>
      <w:numFmt w:val="lowerLetter"/>
      <w:start w:val="5"/>
    </w:lvl>
  </w:abstractNum>
  <w:abstractNum w:abstractNumId="268">
    <w:nsid w:val="18333C89"/>
    <w:multiLevelType w:val="hybridMultilevel"/>
    <w:lvl w:ilvl="0">
      <w:lvlJc w:val="left"/>
      <w:lvlText w:val="%1."/>
      <w:numFmt w:val="decimal"/>
      <w:start w:val="143"/>
    </w:lvl>
    <w:lvl w:ilvl="1">
      <w:lvlJc w:val="left"/>
      <w:lvlText w:val="(%2)"/>
      <w:numFmt w:val="lowerLetter"/>
      <w:start w:val="1"/>
    </w:lvl>
  </w:abstractNum>
  <w:abstractNum w:abstractNumId="269">
    <w:nsid w:val="4BA9831A"/>
    <w:multiLevelType w:val="hybridMultilevel"/>
    <w:lvl w:ilvl="0">
      <w:lvlJc w:val="left"/>
      <w:lvlText w:val="(%1)"/>
      <w:numFmt w:val="lowerLetter"/>
      <w:start w:val="2"/>
    </w:lvl>
  </w:abstractNum>
  <w:abstractNum w:abstractNumId="270">
    <w:nsid w:val="6D71A2B"/>
    <w:multiLevelType w:val="hybridMultilevel"/>
    <w:lvl w:ilvl="0">
      <w:lvlJc w:val="left"/>
      <w:lvlText w:val="%1."/>
      <w:numFmt w:val="decimal"/>
      <w:start w:val="144"/>
    </w:lvl>
  </w:abstractNum>
  <w:abstractNum w:abstractNumId="271">
    <w:nsid w:val="CFC7321"/>
    <w:multiLevelType w:val="hybridMultilevel"/>
    <w:lvl w:ilvl="0">
      <w:lvlJc w:val="left"/>
      <w:lvlText w:val="%1."/>
      <w:numFmt w:val="decimal"/>
      <w:start w:val="146"/>
    </w:lvl>
    <w:lvl w:ilvl="1">
      <w:lvlJc w:val="left"/>
      <w:lvlText w:val="(%2)"/>
      <w:numFmt w:val="lowerLetter"/>
      <w:start w:val="1"/>
    </w:lvl>
  </w:abstractNum>
  <w:abstractNum w:abstractNumId="272">
    <w:nsid w:val="1421971B"/>
    <w:multiLevelType w:val="hybridMultilevel"/>
    <w:lvl w:ilvl="0">
      <w:lvlJc w:val="left"/>
      <w:lvlText w:val="(%1)"/>
      <w:numFmt w:val="lowerLetter"/>
      <w:start w:val="2"/>
    </w:lvl>
  </w:abstractNum>
  <w:abstractNum w:abstractNumId="273">
    <w:nsid w:val="1F404301"/>
    <w:multiLevelType w:val="hybridMultilevel"/>
    <w:lvl w:ilvl="0">
      <w:lvlJc w:val="left"/>
      <w:lvlText w:val="%1."/>
      <w:numFmt w:val="decimal"/>
      <w:start w:val="150"/>
    </w:lvl>
    <w:lvl w:ilvl="1">
      <w:lvlJc w:val="left"/>
      <w:lvlText w:val="(%2)"/>
      <w:numFmt w:val="lowerLetter"/>
      <w:start w:val="1"/>
    </w:lvl>
  </w:abstractNum>
  <w:abstractNum w:abstractNumId="274">
    <w:nsid w:val="116E0907"/>
    <w:multiLevelType w:val="hybridMultilevel"/>
    <w:lvl w:ilvl="0">
      <w:lvlJc w:val="left"/>
      <w:lvlText w:val="%1."/>
      <w:numFmt w:val="decimal"/>
      <w:start w:val="152"/>
    </w:lvl>
  </w:abstractNum>
  <w:abstractNum w:abstractNumId="275">
    <w:nsid w:val="4B683D0D"/>
    <w:multiLevelType w:val="hybridMultilevel"/>
    <w:lvl w:ilvl="0">
      <w:lvlJc w:val="left"/>
      <w:lvlText w:val="%1."/>
      <w:numFmt w:val="decimal"/>
      <w:start w:val="154"/>
    </w:lvl>
    <w:lvl w:ilvl="1">
      <w:lvlJc w:val="left"/>
      <w:lvlText w:val="(%2)"/>
      <w:numFmt w:val="lowerLetter"/>
      <w:start w:val="1"/>
    </w:lvl>
  </w:abstractNum>
  <w:abstractNum w:abstractNumId="276">
    <w:nsid w:val="76E41D8"/>
    <w:multiLevelType w:val="hybridMultilevel"/>
    <w:lvl w:ilvl="0">
      <w:lvlJc w:val="left"/>
      <w:lvlText w:val="%1."/>
      <w:numFmt w:val="decimal"/>
      <w:start w:val="156"/>
    </w:lvl>
  </w:abstractNum>
  <w:abstractNum w:abstractNumId="277">
    <w:nsid w:val="71DCE0FD"/>
    <w:multiLevelType w:val="hybridMultilevel"/>
    <w:lvl w:ilvl="0">
      <w:lvlJc w:val="left"/>
      <w:lvlText w:val="%1."/>
      <w:numFmt w:val="decimal"/>
      <w:start w:val="157"/>
    </w:lvl>
  </w:abstractNum>
  <w:abstractNum w:abstractNumId="278">
    <w:nsid w:val="7906328B"/>
    <w:multiLevelType w:val="hybridMultilevel"/>
    <w:lvl w:ilvl="0">
      <w:lvlJc w:val="left"/>
      <w:lvlText w:val="%1."/>
      <w:numFmt w:val="decimal"/>
      <w:start w:val="158"/>
    </w:lvl>
  </w:abstractNum>
  <w:abstractNum w:abstractNumId="279">
    <w:nsid w:val="72BBC16"/>
    <w:multiLevelType w:val="hybridMultilevel"/>
    <w:lvl w:ilvl="0">
      <w:lvlJc w:val="left"/>
      <w:lvlText w:val="%1."/>
      <w:numFmt w:val="decimal"/>
      <w:start w:val="160"/>
    </w:lvl>
  </w:abstractNum>
  <w:abstractNum w:abstractNumId="280">
    <w:nsid w:val="766D98C2"/>
    <w:multiLevelType w:val="hybridMultilevel"/>
    <w:lvl w:ilvl="0">
      <w:lvlJc w:val="left"/>
      <w:lvlText w:val="%1."/>
      <w:numFmt w:val="decimal"/>
      <w:start w:val="161"/>
    </w:lvl>
  </w:abstractNum>
  <w:abstractNum w:abstractNumId="281">
    <w:nsid w:val="3C09D4A1"/>
    <w:multiLevelType w:val="hybridMultilevel"/>
    <w:lvl w:ilvl="0">
      <w:lvlJc w:val="left"/>
      <w:lvlText w:val="%1."/>
      <w:numFmt w:val="decimal"/>
      <w:start w:val="163"/>
    </w:lvl>
  </w:abstractNum>
  <w:abstractNum w:abstractNumId="282">
    <w:nsid w:val="20E45CA4"/>
    <w:multiLevelType w:val="hybridMultilevel"/>
    <w:lvl w:ilvl="0">
      <w:lvlJc w:val="left"/>
      <w:lvlText w:val="%1."/>
      <w:numFmt w:val="decimal"/>
      <w:start w:val="164"/>
    </w:lvl>
  </w:abstractNum>
  <w:abstractNum w:abstractNumId="283">
    <w:nsid w:val="4B232EE3"/>
    <w:multiLevelType w:val="hybridMultilevel"/>
    <w:lvl w:ilvl="0">
      <w:lvlJc w:val="left"/>
      <w:lvlText w:val="%1."/>
      <w:numFmt w:val="decimal"/>
      <w:start w:val="165"/>
    </w:lvl>
  </w:abstractNum>
  <w:abstractNum w:abstractNumId="284">
    <w:nsid w:val="159C74CF"/>
    <w:multiLevelType w:val="hybridMultilevel"/>
    <w:lvl w:ilvl="0">
      <w:lvlJc w:val="left"/>
      <w:lvlText w:val="%1."/>
      <w:numFmt w:val="decimal"/>
      <w:start w:val="166"/>
    </w:lvl>
  </w:abstractNum>
  <w:abstractNum w:abstractNumId="285">
    <w:nsid w:val="4AD3AFD2"/>
    <w:multiLevelType w:val="hybridMultilevel"/>
    <w:lvl w:ilvl="0">
      <w:lvlJc w:val="left"/>
      <w:lvlText w:val="%1."/>
      <w:numFmt w:val="decimal"/>
      <w:start w:val="167"/>
    </w:lvl>
  </w:abstractNum>
  <w:abstractNum w:abstractNumId="286">
    <w:nsid w:val="3CF93092"/>
    <w:multiLevelType w:val="hybridMultilevel"/>
    <w:lvl w:ilvl="0">
      <w:lvlJc w:val="left"/>
      <w:lvlText w:val="(%1)"/>
      <w:numFmt w:val="upperLetter"/>
      <w:start w:val="24"/>
    </w:lvl>
  </w:abstractNum>
  <w:abstractNum w:abstractNumId="287">
    <w:nsid w:val="6863E8D2"/>
    <w:multiLevelType w:val="hybridMultilevel"/>
    <w:lvl w:ilvl="0">
      <w:lvlJc w:val="left"/>
      <w:lvlText w:val="(%1)"/>
      <w:numFmt w:val="lowerRoman"/>
      <w:start w:val="1"/>
    </w:lvl>
  </w:abstractNum>
  <w:abstractNum w:abstractNumId="288">
    <w:nsid w:val="76896198"/>
    <w:multiLevelType w:val="hybridMultilevel"/>
    <w:lvl w:ilvl="0">
      <w:lvlJc w:val="left"/>
      <w:lvlText w:val="(%1)"/>
      <w:numFmt w:val="lowerLetter"/>
      <w:start w:val="1"/>
    </w:lvl>
  </w:abstractNum>
  <w:abstractNum w:abstractNumId="289">
    <w:nsid w:val="4365174B"/>
    <w:multiLevelType w:val="hybridMultilevel"/>
    <w:lvl w:ilvl="0">
      <w:lvlJc w:val="left"/>
      <w:lvlText w:val="(%1)"/>
      <w:numFmt w:val="lowerLetter"/>
      <w:start w:val="2"/>
    </w:lvl>
  </w:abstractNum>
  <w:abstractNum w:abstractNumId="290">
    <w:nsid w:val="4A872C35"/>
    <w:multiLevelType w:val="hybridMultilevel"/>
    <w:lvl w:ilvl="0">
      <w:lvlJc w:val="left"/>
      <w:lvlText w:val="(%1)"/>
      <w:numFmt w:val="lowerLetter"/>
      <w:start w:val="1"/>
    </w:lvl>
  </w:abstractNum>
  <w:abstractNum w:abstractNumId="291">
    <w:nsid w:val="5D5CE761"/>
    <w:multiLevelType w:val="hybridMultilevel"/>
    <w:lvl w:ilvl="0">
      <w:lvlJc w:val="left"/>
      <w:lvlText w:val="%1"/>
      <w:numFmt w:val="lowerLetter"/>
      <w:start w:val="1"/>
    </w:lvl>
    <w:lvl w:ilvl="1">
      <w:lvlJc w:val="left"/>
      <w:lvlText w:val="(%2)"/>
      <w:numFmt w:val="lowerLetter"/>
      <w:start w:val="2"/>
    </w:lvl>
  </w:abstractNum>
  <w:abstractNum w:abstractNumId="292">
    <w:nsid w:val="1CD484D5"/>
    <w:multiLevelType w:val="hybridMultilevel"/>
    <w:lvl w:ilvl="0">
      <w:lvlJc w:val="left"/>
      <w:lvlText w:val="(%1)"/>
      <w:numFmt w:val="lowerLetter"/>
      <w:start w:val="35"/>
    </w:lvl>
    <w:lvl w:ilvl="1">
      <w:lvlJc w:val="left"/>
      <w:lvlText w:val="(%2)"/>
      <w:numFmt w:val="lowerLetter"/>
      <w:start w:val="3"/>
    </w:lvl>
  </w:abstractNum>
  <w:abstractNum w:abstractNumId="293">
    <w:nsid w:val="21D06255"/>
    <w:multiLevelType w:val="hybridMultilevel"/>
    <w:lvl w:ilvl="0">
      <w:lvlJc w:val="left"/>
      <w:lvlText w:val="(%1)"/>
      <w:numFmt w:val="lowerRoman"/>
      <w:start w:val="2"/>
    </w:lvl>
  </w:abstractNum>
  <w:abstractNum w:abstractNumId="294">
    <w:nsid w:val="51194ED1"/>
    <w:multiLevelType w:val="hybridMultilevel"/>
    <w:lvl w:ilvl="0">
      <w:lvlJc w:val="left"/>
      <w:lvlText w:val="%1"/>
      <w:numFmt w:val="lowerLetter"/>
      <w:start w:val="1"/>
    </w:lvl>
    <w:lvl w:ilvl="1">
      <w:lvlJc w:val="left"/>
      <w:lvlText w:val="(%2)"/>
      <w:numFmt w:val="lowerLetter"/>
      <w:start w:val="1"/>
    </w:lvl>
  </w:abstractNum>
  <w:abstractNum w:abstractNumId="295">
    <w:nsid w:val="44E2ED6C"/>
    <w:multiLevelType w:val="hybridMultilevel"/>
    <w:lvl w:ilvl="0">
      <w:lvlJc w:val="left"/>
      <w:lvlText w:val="(%1)"/>
      <w:numFmt w:val="lowerLetter"/>
      <w:start w:val="61"/>
    </w:lvl>
    <w:lvl w:ilvl="1">
      <w:lvlJc w:val="left"/>
      <w:lvlText w:val="(%2)"/>
      <w:numFmt w:val="lowerLetter"/>
      <w:start w:val="2"/>
    </w:lvl>
  </w:abstractNum>
  <w:abstractNum w:abstractNumId="296">
    <w:nsid w:val="2219B33"/>
    <w:multiLevelType w:val="hybridMultilevel"/>
    <w:lvl w:ilvl="0">
      <w:lvlJc w:val="left"/>
      <w:lvlText w:val="%1"/>
      <w:numFmt w:val="upperLetter"/>
      <w:start w:val="1"/>
    </w:lvl>
    <w:lvl w:ilvl="1">
      <w:lvlJc w:val="left"/>
      <w:lvlText w:val="(%2)"/>
      <w:numFmt w:val="lowerLetter"/>
      <w:start w:val="1"/>
    </w:lvl>
  </w:abstractNum>
  <w:abstractNum w:abstractNumId="297">
    <w:nsid w:val="773BFBDD"/>
    <w:multiLevelType w:val="hybridMultilevel"/>
    <w:lvl w:ilvl="0">
      <w:lvlJc w:val="left"/>
      <w:lvlText w:val="(%1)"/>
      <w:numFmt w:val="upperLetter"/>
      <w:start w:val="1"/>
    </w:lvl>
    <w:lvl w:ilvl="1">
      <w:lvlJc w:val="left"/>
      <w:lvlText w:val="(%2)"/>
      <w:numFmt w:val="lowerLetter"/>
      <w:start w:val="2"/>
    </w:lvl>
  </w:abstractNum>
  <w:abstractNum w:abstractNumId="298">
    <w:nsid w:val="2C7C62C2"/>
    <w:multiLevelType w:val="hybridMultilevel"/>
    <w:lvl w:ilvl="0">
      <w:lvlJc w:val="left"/>
      <w:lvlText w:val="(%1)"/>
      <w:numFmt w:val="lowerRoman"/>
      <w:start w:val="1"/>
    </w:lvl>
  </w:abstractNum>
  <w:abstractNum w:abstractNumId="299">
    <w:nsid w:val="1A54D7BC"/>
    <w:multiLevelType w:val="hybridMultilevel"/>
    <w:lvl w:ilvl="0">
      <w:lvlJc w:val="left"/>
      <w:lvlText w:val="(%1)"/>
      <w:numFmt w:val="lowerRoman"/>
      <w:start w:val="1"/>
    </w:lvl>
  </w:abstractNum>
  <w:abstractNum w:abstractNumId="300">
    <w:nsid w:val="42E57EF7"/>
    <w:multiLevelType w:val="hybridMultilevel"/>
    <w:lvl w:ilvl="0">
      <w:lvlJc w:val="left"/>
      <w:lvlText w:val="(%1)"/>
      <w:numFmt w:val="lowerRoman"/>
      <w:start w:val="10"/>
    </w:lvl>
  </w:abstractNum>
  <w:abstractNum w:abstractNumId="301">
    <w:nsid w:val="33537CED"/>
    <w:multiLevelType w:val="hybridMultilevel"/>
    <w:lvl w:ilvl="0">
      <w:lvlJc w:val="left"/>
      <w:lvlText w:val="(%1)"/>
      <w:numFmt w:val="lowerRoman"/>
      <w:start w:val="2"/>
    </w:lvl>
  </w:abstractNum>
  <w:abstractNum w:abstractNumId="302">
    <w:nsid w:val="27514ADE"/>
    <w:multiLevelType w:val="hybridMultilevel"/>
    <w:lvl w:ilvl="0">
      <w:lvlJc w:val="left"/>
      <w:lvlText w:val="(%1)"/>
      <w:numFmt w:val="lowerLetter"/>
      <w:start w:val="1"/>
    </w:lvl>
  </w:abstractNum>
  <w:abstractNum w:abstractNumId="303">
    <w:nsid w:val="57071613"/>
    <w:multiLevelType w:val="hybridMultilevel"/>
    <w:lvl w:ilvl="0">
      <w:lvlJc w:val="left"/>
      <w:lvlText w:val="%1"/>
      <w:numFmt w:val="lowerLetter"/>
      <w:start w:val="1"/>
    </w:lvl>
    <w:lvl w:ilvl="1">
      <w:lvlJc w:val="left"/>
      <w:lvlText w:val="(%2)"/>
      <w:numFmt w:val="lowerLetter"/>
      <w:start w:val="1"/>
    </w:lvl>
  </w:abstractNum>
  <w:abstractNum w:abstractNumId="304">
    <w:nsid w:val="5293BFEF"/>
    <w:multiLevelType w:val="hybridMultilevel"/>
    <w:lvl w:ilvl="0">
      <w:lvlJc w:val="left"/>
      <w:lvlText w:val="(%1)"/>
      <w:numFmt w:val="lowerLetter"/>
      <w:start w:val="35"/>
    </w:lvl>
    <w:lvl w:ilvl="1">
      <w:lvlJc w:val="left"/>
      <w:lvlText w:val="%2"/>
      <w:numFmt w:val="lowerLetter"/>
      <w:start w:val="1"/>
    </w:lvl>
  </w:abstractNum>
  <w:abstractNum w:abstractNumId="305">
    <w:nsid w:val="38BF53E5"/>
    <w:multiLevelType w:val="hybridMultilevel"/>
    <w:lvl w:ilvl="0">
      <w:lvlJc w:val="left"/>
      <w:lvlText w:val="(%1)"/>
      <w:numFmt w:val="lowerLetter"/>
      <w:start w:val="4"/>
    </w:lvl>
  </w:abstractNum>
  <w:abstractNum w:abstractNumId="306">
    <w:nsid w:val="226F5320"/>
    <w:multiLevelType w:val="hybridMultilevel"/>
    <w:lvl w:ilvl="0">
      <w:lvlJc w:val="left"/>
      <w:lvlText w:val="(%1)"/>
      <w:numFmt w:val="lowerRoman"/>
      <w:start w:val="2"/>
    </w:lvl>
  </w:abstractNum>
  <w:abstractNum w:abstractNumId="307">
    <w:nsid w:val="5A0201C7"/>
    <w:multiLevelType w:val="hybridMultilevel"/>
    <w:lvl w:ilvl="0">
      <w:lvlJc w:val="left"/>
      <w:lvlText w:val="(%1)"/>
      <w:numFmt w:val="lowerRoman"/>
      <w:start w:val="1"/>
    </w:lvl>
  </w:abstractNum>
  <w:abstractNum w:abstractNumId="308">
    <w:nsid w:val="2A9C34E2"/>
    <w:multiLevelType w:val="hybridMultilevel"/>
    <w:lvl w:ilvl="0">
      <w:lvlJc w:val="left"/>
      <w:lvlText w:val="(%1)"/>
      <w:numFmt w:val="lowerRoman"/>
      <w:start w:val="2"/>
    </w:lvl>
  </w:abstractNum>
  <w:abstractNum w:abstractNumId="309">
    <w:nsid w:val="1B7585AB"/>
    <w:multiLevelType w:val="hybridMultilevel"/>
    <w:lvl w:ilvl="0">
      <w:lvlJc w:val="left"/>
      <w:lvlText w:val="(%1)"/>
      <w:numFmt w:val="lowerRoman"/>
      <w:start w:val="4"/>
    </w:lvl>
  </w:abstractNum>
  <w:abstractNum w:abstractNumId="310">
    <w:nsid w:val="612DBDDD"/>
    <w:multiLevelType w:val="hybridMultilevel"/>
    <w:lvl w:ilvl="0">
      <w:lvlJc w:val="left"/>
      <w:lvlText w:val="(%1)"/>
      <w:numFmt w:val="lowerLetter"/>
      <w:start w:val="1"/>
    </w:lvl>
  </w:abstractNum>
  <w:abstractNum w:abstractNumId="311">
    <w:nsid w:val="2109CDA4"/>
    <w:multiLevelType w:val="hybridMultilevel"/>
    <w:lvl w:ilvl="0">
      <w:lvlJc w:val="left"/>
      <w:lvlText w:val="(%1)"/>
      <w:numFmt w:val="lowerLetter"/>
      <w:start w:val="1"/>
    </w:lvl>
  </w:abstractNum>
  <w:abstractNum w:abstractNumId="312">
    <w:nsid w:val="577F5A4D"/>
    <w:multiLevelType w:val="hybridMultilevel"/>
    <w:lvl w:ilvl="0">
      <w:lvlJc w:val="left"/>
      <w:lvlText w:val="(%1)"/>
      <w:numFmt w:val="lowerLetter"/>
      <w:start w:val="1"/>
    </w:lvl>
  </w:abstractNum>
  <w:abstractNum w:abstractNumId="313">
    <w:nsid w:val="2121A81"/>
    <w:multiLevelType w:val="hybridMultilevel"/>
    <w:lvl w:ilvl="0">
      <w:lvlJc w:val="left"/>
      <w:lvlText w:val="%1"/>
      <w:numFmt w:val="lowerLetter"/>
      <w:start w:val="1"/>
    </w:lvl>
    <w:lvl w:ilvl="1">
      <w:lvlJc w:val="left"/>
      <w:lvlText w:val="(%2)"/>
      <w:numFmt w:val="decimal"/>
      <w:start w:val="1"/>
    </w:lvl>
  </w:abstractNum>
  <w:abstractNum w:abstractNumId="314">
    <w:nsid w:val="6C2CFC88"/>
    <w:multiLevelType w:val="hybridMultilevel"/>
    <w:lvl w:ilvl="0">
      <w:lvlJc w:val="left"/>
      <w:lvlText w:val="(%1)"/>
      <w:numFmt w:val="lowerLetter"/>
      <w:start w:val="2"/>
    </w:lvl>
    <w:lvl w:ilvl="1">
      <w:lvlJc w:val="left"/>
      <w:lvlText w:val="%2"/>
      <w:numFmt w:val="decimal"/>
      <w:start w:val="1"/>
    </w:lvl>
  </w:abstractNum>
  <w:abstractNum w:abstractNumId="315">
    <w:nsid w:val="6D1BCF1C"/>
    <w:multiLevelType w:val="hybridMultilevel"/>
    <w:lvl w:ilvl="0">
      <w:lvlJc w:val="left"/>
      <w:lvlText w:val="%1"/>
      <w:numFmt w:val="lowerRoman"/>
      <w:start w:val="1"/>
    </w:lvl>
    <w:lvl w:ilvl="1">
      <w:lvlJc w:val="left"/>
      <w:lvlText w:val="(%2)"/>
      <w:numFmt w:val="decimal"/>
      <w:start w:val="2"/>
    </w:lvl>
  </w:abstractNum>
  <w:abstractNum w:abstractNumId="316">
    <w:nsid w:val="4CE5CA53"/>
    <w:multiLevelType w:val="hybridMultilevel"/>
    <w:lvl w:ilvl="0">
      <w:lvlJc w:val="left"/>
      <w:lvlText w:val="(%1)"/>
      <w:numFmt w:val="lowerRoman"/>
      <w:start w:val="4"/>
    </w:lvl>
    <w:lvl w:ilvl="1">
      <w:lvlJc w:val="left"/>
      <w:lvlText w:val="%2"/>
      <w:numFmt w:val="decimal"/>
      <w:start w:val="1"/>
    </w:lvl>
  </w:abstractNum>
  <w:abstractNum w:abstractNumId="317">
    <w:nsid w:val="29262D1A"/>
    <w:multiLevelType w:val="hybridMultilevel"/>
    <w:lvl w:ilvl="0">
      <w:lvlJc w:val="left"/>
      <w:lvlText w:val="(%1)"/>
      <w:numFmt w:val="decimal"/>
      <w:start w:val="3"/>
    </w:lvl>
  </w:abstractNum>
  <w:abstractNum w:abstractNumId="318">
    <w:nsid w:val="557FB7EE"/>
    <w:multiLevelType w:val="hybridMultilevel"/>
    <w:lvl w:ilvl="0">
      <w:lvlJc w:val="left"/>
      <w:lvlText w:val="(%1)"/>
      <w:numFmt w:val="lowerRoman"/>
      <w:start w:val="2"/>
    </w:lvl>
    <w:lvl w:ilvl="1">
      <w:lvlJc w:val="left"/>
      <w:lvlText w:val="(%2)"/>
      <w:numFmt w:val="decimal"/>
      <w:start w:val="4"/>
    </w:lvl>
  </w:abstractNum>
  <w:abstractNum w:abstractNumId="319">
    <w:nsid w:val="436F2BEB"/>
    <w:multiLevelType w:val="hybridMultilevel"/>
    <w:lvl w:ilvl="0">
      <w:lvlJc w:val="left"/>
      <w:lvlText w:val="(%1)"/>
      <w:numFmt w:val="decimal"/>
      <w:start w:val="5"/>
    </w:lvl>
  </w:abstractNum>
  <w:abstractNum w:abstractNumId="320">
    <w:nsid w:val="6C8B4466"/>
    <w:multiLevelType w:val="hybridMultilevel"/>
    <w:lvl w:ilvl="0">
      <w:lvlJc w:val="left"/>
      <w:lvlText w:val="(%1)"/>
      <w:numFmt w:val="decimal"/>
      <w:start w:val="7"/>
    </w:lvl>
  </w:abstractNum>
  <w:abstractNum w:abstractNumId="321">
    <w:nsid w:val="2006E424"/>
    <w:multiLevelType w:val="hybridMultilevel"/>
    <w:lvl w:ilvl="0">
      <w:lvlJc w:val="left"/>
      <w:lvlText w:val="(%1)"/>
      <w:numFmt w:val="decimal"/>
      <w:start w:val="9"/>
    </w:lvl>
  </w:abstractNum>
  <w:abstractNum w:abstractNumId="322">
    <w:nsid w:val="20CC134C"/>
    <w:multiLevelType w:val="hybridMultilevel"/>
    <w:lvl w:ilvl="0">
      <w:lvlJc w:val="left"/>
      <w:lvlText w:val="(%1)"/>
      <w:numFmt w:val="lowerRoman"/>
      <w:start w:val="1"/>
    </w:lvl>
  </w:abstractNum>
  <w:abstractNum w:abstractNumId="323">
    <w:nsid w:val="95FC93B"/>
    <w:multiLevelType w:val="hybridMultilevel"/>
    <w:lvl w:ilvl="0">
      <w:lvlJc w:val="left"/>
      <w:lvlText w:val="(%1)"/>
      <w:numFmt w:val="lowerRoman"/>
      <w:start w:val="3"/>
    </w:lvl>
  </w:abstractNum>
  <w:abstractNum w:abstractNumId="324">
    <w:nsid w:val="41D74679"/>
    <w:multiLevelType w:val="hybridMultilevel"/>
    <w:lvl w:ilvl="0">
      <w:lvlJc w:val="left"/>
      <w:lvlText w:val="(%1)"/>
      <w:numFmt w:val="lowerRoman"/>
      <w:start w:val="1"/>
    </w:lvl>
  </w:abstractNum>
  <w:abstractNum w:abstractNumId="325">
    <w:nsid w:val="71E5621E"/>
    <w:multiLevelType w:val="hybridMultilevel"/>
    <w:lvl w:ilvl="0">
      <w:lvlJc w:val="left"/>
      <w:lvlText w:val="(%1)"/>
      <w:numFmt w:val="decimal"/>
      <w:start w:val="12"/>
    </w:lvl>
  </w:abstractNum>
  <w:abstractNum w:abstractNumId="326">
    <w:nsid w:val="4E42B6A8"/>
    <w:multiLevelType w:val="hybridMultilevel"/>
    <w:lvl w:ilvl="0">
      <w:lvlJc w:val="left"/>
      <w:lvlText w:val="(%1)"/>
      <w:numFmt w:val="decimal"/>
      <w:start w:val="14"/>
    </w:lvl>
  </w:abstractNum>
  <w:abstractNum w:abstractNumId="327">
    <w:nsid w:val="43F8E1AC"/>
    <w:multiLevelType w:val="hybridMultilevel"/>
    <w:lvl w:ilvl="0">
      <w:lvlJc w:val="left"/>
      <w:lvlText w:val="(%1)"/>
      <w:numFmt w:val="decimal"/>
      <w:start w:val="15"/>
    </w:lvl>
  </w:abstractNum>
  <w:abstractNum w:abstractNumId="328">
    <w:nsid w:val="69215DFB"/>
    <w:multiLevelType w:val="hybridMultilevel"/>
    <w:lvl w:ilvl="0">
      <w:lvlJc w:val="left"/>
      <w:lvlText w:val="%1"/>
      <w:numFmt w:val="lowerLetter"/>
      <w:start w:val="1"/>
    </w:lvl>
    <w:lvl w:ilvl="1">
      <w:lvlJc w:val="left"/>
      <w:lvlText w:val="(%2)"/>
      <w:numFmt w:val="lowerLetter"/>
      <w:start w:val="2"/>
    </w:lvl>
  </w:abstractNum>
  <w:abstractNum w:abstractNumId="329">
    <w:nsid w:val="7ABF196A"/>
    <w:multiLevelType w:val="hybridMultilevel"/>
    <w:lvl w:ilvl="0">
      <w:lvlJc w:val="left"/>
      <w:lvlText w:val="(%1)"/>
      <w:numFmt w:val="lowerLetter"/>
      <w:start w:val="9"/>
    </w:lvl>
    <w:lvl w:ilvl="1">
      <w:lvlJc w:val="left"/>
      <w:lvlText w:val="%2"/>
      <w:numFmt w:val="lowerLetter"/>
      <w:start w:val="1"/>
    </w:lvl>
  </w:abstractNum>
  <w:abstractNum w:abstractNumId="330">
    <w:nsid w:val="5E4DB968"/>
    <w:multiLevelType w:val="hybridMultilevel"/>
    <w:lvl w:ilvl="0">
      <w:lvlJc w:val="left"/>
      <w:lvlText w:val="(%1)"/>
      <w:numFmt w:val="lowerLetter"/>
      <w:start w:val="2"/>
    </w:lvl>
    <w:lvl w:ilvl="1">
      <w:lvlJc w:val="left"/>
      <w:lvlText w:val="%2"/>
      <w:numFmt w:val="lowerLetter"/>
      <w:start w:val="1"/>
    </w:lvl>
  </w:abstractNum>
  <w:abstractNum w:abstractNumId="331">
    <w:nsid w:val="2C06DCF3"/>
    <w:multiLevelType w:val="hybridMultilevel"/>
    <w:lvl w:ilvl="0">
      <w:lvlJc w:val="left"/>
      <w:lvlText w:val="%1"/>
      <w:numFmt w:val="lowerLetter"/>
      <w:start w:val="1"/>
    </w:lvl>
    <w:lvl w:ilvl="1">
      <w:lvlJc w:val="left"/>
      <w:lvlText w:val="(%2)"/>
      <w:numFmt w:val="lowerLetter"/>
      <w:start w:val="3"/>
    </w:lvl>
  </w:abstractNum>
  <w:abstractNum w:abstractNumId="332">
    <w:nsid w:val="2E129658"/>
    <w:multiLevelType w:val="hybridMultilevel"/>
    <w:lvl w:ilvl="0">
      <w:lvlJc w:val="left"/>
      <w:lvlText w:val="(%1)"/>
      <w:numFmt w:val="lowerLetter"/>
      <w:start w:val="35"/>
    </w:lvl>
    <w:lvl w:ilvl="1">
      <w:lvlJc w:val="left"/>
      <w:lvlText w:val="(%2)"/>
      <w:numFmt w:val="lowerLetter"/>
      <w:start w:val="4"/>
    </w:lvl>
  </w:abstractNum>
  <w:abstractNum w:abstractNumId="333">
    <w:nsid w:val="59F0446"/>
    <w:multiLevelType w:val="hybridMultilevel"/>
    <w:lvl w:ilvl="0">
      <w:lvlJc w:val="left"/>
      <w:lvlText w:val="(%1)"/>
      <w:numFmt w:val="lowerLetter"/>
      <w:start w:val="5"/>
    </w:lvl>
  </w:abstractNum>
  <w:abstractNum w:abstractNumId="334">
    <w:nsid w:val="30DF306"/>
    <w:multiLevelType w:val="hybridMultilevel"/>
    <w:lvl w:ilvl="0">
      <w:lvlJc w:val="left"/>
      <w:lvlText w:val="(%1)"/>
      <w:numFmt w:val="decimal"/>
      <w:start w:val="16"/>
    </w:lvl>
  </w:abstractNum>
  <w:abstractNum w:abstractNumId="335">
    <w:nsid w:val="A65647"/>
    <w:multiLevelType w:val="hybridMultilevel"/>
    <w:lvl w:ilvl="0">
      <w:lvlJc w:val="left"/>
      <w:lvlText w:val="(%1)"/>
      <w:numFmt w:val="decimal"/>
      <w:start w:val="17"/>
    </w:lvl>
  </w:abstractNum>
  <w:abstractNum w:abstractNumId="336">
    <w:nsid w:val="3E5E582B"/>
    <w:multiLevelType w:val="hybridMultilevel"/>
    <w:lvl w:ilvl="0">
      <w:lvlJc w:val="left"/>
      <w:lvlText w:val="%1"/>
      <w:numFmt w:val="lowerRoman"/>
      <w:start w:val="1"/>
    </w:lvl>
    <w:lvl w:ilvl="1">
      <w:lvlJc w:val="left"/>
      <w:lvlText w:val="(%2)"/>
      <w:numFmt w:val="decimal"/>
      <w:start w:val="19"/>
    </w:lvl>
  </w:abstractNum>
  <w:abstractNum w:abstractNumId="337">
    <w:nsid w:val="257D4626"/>
    <w:multiLevelType w:val="hybridMultilevel"/>
    <w:lvl w:ilvl="0">
      <w:lvlJc w:val="left"/>
      <w:lvlText w:val="(%1)"/>
      <w:numFmt w:val="lowerRoman"/>
      <w:start w:val="2"/>
    </w:lvl>
    <w:lvl w:ilvl="1">
      <w:lvlJc w:val="left"/>
      <w:lvlText w:val="%2"/>
      <w:numFmt w:val="decimal"/>
      <w:start w:val="1"/>
    </w:lvl>
  </w:abstractNum>
  <w:abstractNum w:abstractNumId="338">
    <w:nsid w:val="5AA8580E"/>
    <w:multiLevelType w:val="hybridMultilevel"/>
    <w:lvl w:ilvl="0">
      <w:lvlJc w:val="left"/>
      <w:lvlText w:val="(%1)"/>
      <w:numFmt w:val="lowerRoman"/>
      <w:start w:val="2"/>
    </w:lvl>
    <w:lvl w:ilvl="1">
      <w:lvlJc w:val="left"/>
      <w:lvlText w:val="%2"/>
      <w:numFmt w:val="decimal"/>
      <w:start w:val="1"/>
    </w:lvl>
  </w:abstractNum>
  <w:abstractNum w:abstractNumId="339">
    <w:nsid w:val="68FA8D0D"/>
    <w:multiLevelType w:val="hybridMultilevel"/>
    <w:lvl w:ilvl="0">
      <w:lvlJc w:val="left"/>
      <w:lvlText w:val="(%1)"/>
      <w:numFmt w:val="decimal"/>
      <w:start w:val="20"/>
    </w:lvl>
  </w:abstractNum>
  <w:abstractNum w:abstractNumId="340">
    <w:nsid w:val="40F2CBD2"/>
    <w:multiLevelType w:val="hybridMultilevel"/>
    <w:lvl w:ilvl="0">
      <w:lvlJc w:val="left"/>
      <w:lvlText w:val="(%1)"/>
      <w:numFmt w:val="decimal"/>
      <w:start w:val="21"/>
    </w:lvl>
  </w:abstractNum>
  <w:abstractNum w:abstractNumId="341">
    <w:nsid w:val="3BD615EB"/>
    <w:multiLevelType w:val="hybridMultilevel"/>
    <w:lvl w:ilvl="0">
      <w:lvlJc w:val="left"/>
      <w:lvlText w:val="(%1)"/>
      <w:numFmt w:val="decimal"/>
      <w:start w:val="22"/>
    </w:lvl>
  </w:abstractNum>
  <w:abstractNum w:abstractNumId="342">
    <w:nsid w:val="A045AB2"/>
    <w:multiLevelType w:val="hybridMultilevel"/>
    <w:lvl w:ilvl="0">
      <w:lvlJc w:val="left"/>
      <w:lvlText w:val="%1"/>
      <w:numFmt w:val="decimal"/>
      <w:start w:val="1"/>
    </w:lvl>
    <w:lvl w:ilvl="1">
      <w:lvlJc w:val="left"/>
      <w:lvlText w:val="(%2)"/>
      <w:numFmt w:val="decimal"/>
      <w:start w:val="23"/>
    </w:lvl>
  </w:abstractNum>
  <w:abstractNum w:abstractNumId="343">
    <w:nsid w:val="1872261F"/>
    <w:multiLevelType w:val="hybridMultilevel"/>
    <w:lvl w:ilvl="0">
      <w:lvlJc w:val="left"/>
      <w:lvlText w:val="(%1)"/>
      <w:numFmt w:val="decimal"/>
      <w:start w:val="30"/>
    </w:lvl>
    <w:lvl w:ilvl="1">
      <w:lvlJc w:val="left"/>
      <w:lvlText w:val="%2"/>
      <w:numFmt w:val="decimal"/>
      <w:start w:val="1"/>
    </w:lvl>
  </w:abstractNum>
  <w:abstractNum w:abstractNumId="344">
    <w:nsid w:val="3DE8306C"/>
    <w:multiLevelType w:val="hybridMultilevel"/>
    <w:lvl w:ilvl="0">
      <w:lvlJc w:val="left"/>
      <w:lvlText w:val="%1"/>
      <w:numFmt w:val="lowerRoman"/>
      <w:start w:val="1"/>
    </w:lvl>
    <w:lvl w:ilvl="1">
      <w:lvlJc w:val="left"/>
      <w:lvlText w:val="(%2)"/>
      <w:numFmt w:val="decimal"/>
      <w:start w:val="24"/>
    </w:lvl>
  </w:abstractNum>
  <w:abstractNum w:abstractNumId="345">
    <w:nsid w:val="7631573A"/>
    <w:multiLevelType w:val="hybridMultilevel"/>
    <w:lvl w:ilvl="0">
      <w:lvlJc w:val="left"/>
      <w:lvlText w:val="(%1)"/>
      <w:numFmt w:val="lowerRoman"/>
      <w:start w:val="1"/>
    </w:lvl>
    <w:lvl w:ilvl="1">
      <w:lvlJc w:val="left"/>
      <w:lvlText w:val="%2"/>
      <w:numFmt w:val="decimal"/>
      <w:start w:val="1"/>
    </w:lvl>
  </w:abstractNum>
  <w:abstractNum w:abstractNumId="346">
    <w:nsid w:val="58DF53B"/>
    <w:multiLevelType w:val="hybridMultilevel"/>
    <w:lvl w:ilvl="0">
      <w:lvlJc w:val="left"/>
      <w:lvlText w:val="(%1)"/>
      <w:numFmt w:val="decimal"/>
      <w:start w:val="25"/>
    </w:lvl>
  </w:abstractNum>
  <w:abstractNum w:abstractNumId="347">
    <w:nsid w:val="ACDFAC0"/>
    <w:multiLevelType w:val="hybridMultilevel"/>
    <w:lvl w:ilvl="0">
      <w:lvlJc w:val="left"/>
      <w:lvlText w:val="(%1)"/>
      <w:numFmt w:val="lowerLetter"/>
      <w:start w:val="2"/>
    </w:lvl>
  </w:abstractNum>
  <w:abstractNum w:abstractNumId="348">
    <w:nsid w:val="1F578454"/>
    <w:multiLevelType w:val="hybridMultilevel"/>
    <w:lvl w:ilvl="0">
      <w:lvlJc w:val="left"/>
      <w:lvlText w:val="%1"/>
      <w:numFmt w:val="lowerRoman"/>
      <w:start w:val="1"/>
    </w:lvl>
    <w:lvl w:ilvl="1">
      <w:lvlJc w:val="left"/>
      <w:lvlText w:val="(%2)"/>
      <w:numFmt w:val="decimal"/>
      <w:start w:val="26"/>
    </w:lvl>
  </w:abstractNum>
  <w:abstractNum w:abstractNumId="349">
    <w:nsid w:val="5B0DAD2A"/>
    <w:multiLevelType w:val="hybridMultilevel"/>
    <w:lvl w:ilvl="0">
      <w:lvlJc w:val="left"/>
      <w:lvlText w:val="(%1)"/>
      <w:numFmt w:val="lowerRoman"/>
      <w:start w:val="4"/>
    </w:lvl>
    <w:lvl w:ilvl="1">
      <w:lvlJc w:val="left"/>
      <w:lvlText w:val="%2"/>
      <w:numFmt w:val="decimal"/>
      <w:start w:val="1"/>
    </w:lvl>
  </w:abstractNum>
  <w:abstractNum w:abstractNumId="350">
    <w:nsid w:val="4E3D26AB"/>
    <w:multiLevelType w:val="hybridMultilevel"/>
    <w:lvl w:ilvl="0">
      <w:lvlJc w:val="left"/>
      <w:lvlText w:val="(%1)"/>
      <w:numFmt w:val="decimal"/>
      <w:start w:val="27"/>
    </w:lvl>
  </w:abstractNum>
  <w:abstractNum w:abstractNumId="351">
    <w:nsid w:val="BE2C8BA"/>
    <w:multiLevelType w:val="hybridMultilevel"/>
    <w:lvl w:ilvl="0">
      <w:lvlJc w:val="left"/>
      <w:lvlText w:val="%1."/>
      <w:numFmt w:val="upperLetter"/>
      <w:start w:val="35"/>
    </w:lvl>
  </w:abstractNum>
  <w:abstractNum w:abstractNumId="352">
    <w:nsid w:val="7B14914E"/>
    <w:multiLevelType w:val="hybridMultilevel"/>
    <w:lvl w:ilvl="0">
      <w:lvlJc w:val="left"/>
      <w:lvlText w:val="(%1)"/>
      <w:numFmt w:val="lowerRoman"/>
      <w:start w:val="1"/>
    </w:lvl>
  </w:abstractNum>
  <w:abstractNum w:abstractNumId="353">
    <w:nsid w:val="6F0939F8"/>
    <w:multiLevelType w:val="hybridMultilevel"/>
    <w:lvl w:ilvl="0">
      <w:lvlJc w:val="left"/>
      <w:lvlText w:val="(%1)"/>
      <w:numFmt w:val="lowerRoman"/>
      <w:start w:val="2"/>
    </w:lvl>
  </w:abstractNum>
  <w:abstractNum w:abstractNumId="354">
    <w:nsid w:val="154291F6"/>
    <w:multiLevelType w:val="hybridMultilevel"/>
    <w:lvl w:ilvl="0">
      <w:lvlJc w:val="left"/>
      <w:lvlText w:val="(%1)"/>
      <w:numFmt w:val="lowerLetter"/>
      <w:start w:val="1"/>
    </w:lvl>
  </w:abstractNum>
  <w:abstractNum w:abstractNumId="355">
    <w:nsid w:val="3CEBD7C7"/>
    <w:multiLevelType w:val="hybridMultilevel"/>
    <w:lvl w:ilvl="0">
      <w:lvlJc w:val="left"/>
      <w:lvlText w:val="(%1)"/>
      <w:numFmt w:val="lowerLetter"/>
      <w:start w:val="2"/>
    </w:lvl>
  </w:abstractNum>
  <w:abstractNum w:abstractNumId="356">
    <w:nsid w:val="60EE9C16"/>
    <w:multiLevelType w:val="hybridMultilevel"/>
    <w:lvl w:ilvl="0">
      <w:lvlJc w:val="left"/>
      <w:lvlText w:val="(%1)"/>
      <w:numFmt w:val="lowerLetter"/>
      <w:start w:val="1"/>
    </w:lvl>
  </w:abstractNum>
  <w:abstractNum w:abstractNumId="357">
    <w:nsid w:val="6385489E"/>
    <w:multiLevelType w:val="hybridMultilevel"/>
    <w:lvl w:ilvl="0">
      <w:lvlJc w:val="left"/>
      <w:lvlText w:val="(%1)"/>
      <w:numFmt w:val="lowerLetter"/>
      <w:start w:val="1"/>
    </w:lvl>
  </w:abstractNum>
  <w:abstractNum w:abstractNumId="358">
    <w:nsid w:val="E4B973"/>
    <w:multiLevelType w:val="hybridMultilevel"/>
    <w:lvl w:ilvl="0">
      <w:lvlJc w:val="left"/>
      <w:lvlText w:val="(%1)"/>
      <w:numFmt w:val="lowerLetter"/>
      <w:start w:val="2"/>
    </w:lvl>
  </w:abstractNum>
  <w:abstractNum w:abstractNumId="359">
    <w:nsid w:val="4A0FFA11"/>
    <w:multiLevelType w:val="hybridMultilevel"/>
    <w:lvl w:ilvl="0">
      <w:lvlJc w:val="left"/>
      <w:lvlText w:val="(%1)"/>
      <w:numFmt w:val="lowerLetter"/>
      <w:start w:val="1"/>
    </w:lvl>
  </w:abstractNum>
  <w:abstractNum w:abstractNumId="360">
    <w:nsid w:val="5E446208"/>
    <w:multiLevelType w:val="hybridMultilevel"/>
    <w:lvl w:ilvl="0">
      <w:lvlJc w:val="left"/>
      <w:lvlText w:val="(%1)"/>
      <w:numFmt w:val="lowerLetter"/>
      <w:start w:val="4"/>
    </w:lvl>
  </w:abstractNum>
  <w:abstractNum w:abstractNumId="361">
    <w:nsid w:val="5F3272DB"/>
    <w:multiLevelType w:val="hybridMultilevel"/>
    <w:lvl w:ilvl="0">
      <w:lvlJc w:val="left"/>
      <w:lvlText w:val="(%1)"/>
      <w:numFmt w:val="lowerLetter"/>
      <w:start w:val="1"/>
    </w:lvl>
  </w:abstractNum>
  <w:abstractNum w:abstractNumId="362">
    <w:nsid w:val="7616D704"/>
    <w:multiLevelType w:val="hybridMultilevel"/>
    <w:lvl w:ilvl="0">
      <w:lvlJc w:val="left"/>
      <w:lvlText w:val="(%1)"/>
      <w:numFmt w:val="lowerLetter"/>
      <w:start w:val="3"/>
    </w:lvl>
  </w:abstractNum>
  <w:abstractNum w:abstractNumId="363">
    <w:nsid w:val="C56F860"/>
    <w:multiLevelType w:val="hybridMultilevel"/>
    <w:lvl w:ilvl="0">
      <w:lvlJc w:val="left"/>
      <w:lvlText w:val="(%1)"/>
      <w:numFmt w:val="lowerLetter"/>
      <w:start w:val="1"/>
    </w:lvl>
  </w:abstractNum>
  <w:abstractNum w:abstractNumId="364">
    <w:nsid w:val="64D17722"/>
    <w:multiLevelType w:val="hybridMultilevel"/>
    <w:lvl w:ilvl="0">
      <w:lvlJc w:val="left"/>
      <w:lvlText w:val="(%1)"/>
      <w:numFmt w:val="lowerLetter"/>
      <w:start w:val="1"/>
    </w:lvl>
  </w:abstractNum>
  <w:abstractNum w:abstractNumId="365">
    <w:nsid w:val="7924CA0A"/>
    <w:multiLevelType w:val="hybridMultilevel"/>
    <w:lvl w:ilvl="0">
      <w:lvlJc w:val="left"/>
      <w:lvlText w:val="(%1)"/>
      <w:numFmt w:val="lowerLetter"/>
      <w:start w:val="4"/>
    </w:lvl>
  </w:abstractNum>
  <w:abstractNum w:abstractNumId="366">
    <w:nsid w:val="CFD4E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7">
    <w:nsid w:val="232FCF4D"/>
    <w:multiLevelType w:val="hybridMultilevel"/>
    <w:lvl w:ilvl="0">
      <w:lvlJc w:val="left"/>
      <w:lvlText w:val="(%1)"/>
      <w:numFmt w:val="lowerRoman"/>
      <w:start w:val="3"/>
    </w:lvl>
  </w:abstractNum>
  <w:abstractNum w:abstractNumId="368">
    <w:nsid w:val="1EA21031"/>
    <w:multiLevelType w:val="hybridMultilevel"/>
    <w:lvl w:ilvl="0">
      <w:lvlJc w:val="left"/>
      <w:lvlText w:val="(%1)"/>
      <w:numFmt w:val="lowerLetter"/>
      <w:start w:val="7"/>
    </w:lvl>
  </w:abstractNum>
  <w:abstractNum w:abstractNumId="369">
    <w:nsid w:val="67A5A6B5"/>
    <w:multiLevelType w:val="hybridMultilevel"/>
    <w:lvl w:ilvl="0">
      <w:lvlJc w:val="left"/>
      <w:lvlText w:val="(%1)"/>
      <w:numFmt w:val="lowerLetter"/>
      <w:start w:val="13"/>
    </w:lvl>
    <w:lvl w:ilvl="1">
      <w:lvlJc w:val="left"/>
      <w:lvlText w:val="(%2)"/>
      <w:numFmt w:val="lowerRoman"/>
      <w:start w:val="1"/>
    </w:lvl>
  </w:abstractNum>
  <w:abstractNum w:abstractNumId="370">
    <w:nsid w:val="C2A5C5B"/>
    <w:multiLevelType w:val="hybridMultilevel"/>
    <w:lvl w:ilvl="0">
      <w:lvlJc w:val="left"/>
      <w:lvlText w:val="(%1)"/>
      <w:numFmt w:val="lowerLetter"/>
      <w:start w:val="23"/>
    </w:lvl>
  </w:abstractNum>
  <w:abstractNum w:abstractNumId="371">
    <w:nsid w:val="5F94DC03"/>
    <w:multiLevelType w:val="hybridMultilevel"/>
    <w:lvl w:ilvl="0">
      <w:lvlJc w:val="left"/>
      <w:lvlText w:val="(%1)"/>
      <w:numFmt w:val="lowerLetter"/>
      <w:start w:val="27"/>
    </w:lvl>
  </w:abstractNum>
  <w:abstractNum w:abstractNumId="372">
    <w:nsid w:val="237BBCA0"/>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373">
    <w:nsid w:val="162EB7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4">
    <w:nsid w:val="7807022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5">
    <w:nsid w:val="6163ED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6">
    <w:nsid w:val="C600E47"/>
    <w:multiLevelType w:val="hybridMultilevel"/>
    <w:lvl w:ilvl="0">
      <w:lvlJc w:val="left"/>
      <w:lvlText w:val="(%1)"/>
      <w:numFmt w:val="lowerRoman"/>
      <w:start w:val="5"/>
    </w:lvl>
  </w:abstractNum>
  <w:abstractNum w:abstractNumId="377">
    <w:nsid w:val="7D94F75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6"/>
    </w:lvl>
  </w:abstractNum>
  <w:abstractNum w:abstractNumId="378">
    <w:nsid w:val="6C31E7CD"/>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4"/>
    </w:lvl>
    <w:lvl w:ilvl="3">
      <w:lvlJc w:val="left"/>
      <w:lvlText w:val="(%4)"/>
      <w:numFmt w:val="lowerRoman"/>
      <w:start w:val="17"/>
    </w:lvl>
  </w:abstractNum>
  <w:abstractNum w:abstractNumId="379">
    <w:nsid w:val="2BB792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80">
    <w:nsid w:val="58A2A487"/>
    <w:multiLevelType w:val="hybridMultilevel"/>
    <w:lvl w:ilvl="0">
      <w:lvlJc w:val="left"/>
      <w:lvlText w:val="(%1)"/>
      <w:numFmt w:val="lowerLetter"/>
      <w:start w:val="3"/>
    </w:lvl>
    <w:lvl w:ilvl="1">
      <w:lvlJc w:val="left"/>
      <w:lvlText w:val="(%2)"/>
      <w:numFmt w:val="lowerRoman"/>
      <w:start w:val="1"/>
    </w:lvl>
  </w:abstractNum>
  <w:abstractNum w:abstractNumId="381">
    <w:nsid w:val="3A6F0E78"/>
    <w:multiLevelType w:val="hybridMultilevel"/>
    <w:lvl w:ilvl="0">
      <w:lvlJc w:val="left"/>
      <w:lvlText w:val="(%1)"/>
      <w:numFmt w:val="lowerRoman"/>
      <w:start w:val="2"/>
    </w:lvl>
  </w:abstractNum>
  <w:abstractNum w:abstractNumId="382">
    <w:nsid w:val="379A5B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83">
    <w:nsid w:val="53B735D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4">
    <w:nsid w:val="297848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5">
    <w:nsid w:val="4CDCED4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86">
    <w:nsid w:val="10A30D9C"/>
    <w:multiLevelType w:val="hybridMultilevel"/>
    <w:lvl w:ilvl="0">
      <w:lvlJc w:val="left"/>
      <w:lvlText w:val="%1"/>
      <w:numFmt w:val="decimal"/>
      <w:start w:val="1"/>
    </w:lvl>
    <w:lvl w:ilvl="1">
      <w:lvlJc w:val="left"/>
      <w:lvlText w:val="(%2)"/>
      <w:numFmt w:val="lowerLetter"/>
      <w:start w:val="2"/>
    </w:lvl>
  </w:abstractNum>
  <w:abstractNum w:abstractNumId="387">
    <w:nsid w:val="A66E486"/>
    <w:multiLevelType w:val="hybridMultilevel"/>
    <w:lvl w:ilvl="0">
      <w:lvlJc w:val="left"/>
      <w:lvlText w:val="%1."/>
      <w:numFmt w:val="decimal"/>
      <w:start w:val="9"/>
    </w:lvl>
    <w:lvl w:ilvl="1">
      <w:lvlJc w:val="left"/>
      <w:lvlText w:val="%2"/>
      <w:numFmt w:val="lowerLetter"/>
      <w:start w:val="1"/>
    </w:lvl>
  </w:abstractNum>
  <w:abstractNum w:abstractNumId="388">
    <w:nsid w:val="306235E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89">
    <w:nsid w:val="1187C7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90">
    <w:nsid w:val="5476DE98"/>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391">
    <w:nsid w:val="EA697F2"/>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392">
    <w:nsid w:val="70BA39EB"/>
    <w:multiLevelType w:val="hybridMultilevel"/>
    <w:lvl w:ilvl="0">
      <w:lvlJc w:val="left"/>
      <w:lvlText w:val="%1."/>
      <w:numFmt w:val="decimal"/>
      <w:start w:val="17"/>
    </w:lvl>
    <w:lvl w:ilvl="1">
      <w:lvlJc w:val="left"/>
      <w:lvlText w:val="(%2)"/>
      <w:numFmt w:val="lowerLetter"/>
      <w:start w:val="1"/>
    </w:lvl>
  </w:abstractNum>
  <w:abstractNum w:abstractNumId="393">
    <w:nsid w:val="4A8DB59C"/>
    <w:multiLevelType w:val="hybridMultilevel"/>
    <w:lvl w:ilvl="0">
      <w:lvlJc w:val="left"/>
      <w:lvlText w:val="%1."/>
      <w:numFmt w:val="decimal"/>
      <w:start w:val="20"/>
    </w:lvl>
  </w:abstractNum>
  <w:abstractNum w:abstractNumId="394">
    <w:nsid w:val="1AFD9053"/>
    <w:multiLevelType w:val="hybridMultilevel"/>
    <w:lvl w:ilvl="0">
      <w:lvlJc w:val="left"/>
      <w:lvlText w:val="%1."/>
      <w:numFmt w:val="decimal"/>
      <w:start w:val="1"/>
    </w:lvl>
  </w:abstractNum>
  <w:abstractNum w:abstractNumId="395">
    <w:nsid w:val="558BB10D"/>
    <w:multiLevelType w:val="hybridMultilevel"/>
    <w:lvl w:ilvl="0">
      <w:lvlJc w:val="left"/>
      <w:lvlText w:val="%1."/>
      <w:numFmt w:val="decimal"/>
      <w:start w:val="2"/>
    </w:lvl>
  </w:abstractNum>
  <w:abstractNum w:abstractNumId="396">
    <w:nsid w:val="43B27FA7"/>
    <w:multiLevelType w:val="hybridMultilevel"/>
    <w:lvl w:ilvl="0">
      <w:lvlJc w:val="left"/>
      <w:lvlText w:val="●"/>
      <w:numFmt w:val="bullet"/>
      <w:start w:val="1"/>
    </w:lvl>
  </w:abstractNum>
  <w:abstractNum w:abstractNumId="397">
    <w:nsid w:val="27FADEFA"/>
    <w:multiLevelType w:val="hybridMultilevel"/>
    <w:lvl w:ilvl="0">
      <w:lvlJc w:val="left"/>
      <w:lvlText w:val="●"/>
      <w:numFmt w:val="bullet"/>
      <w:start w:val="1"/>
    </w:lvl>
  </w:abstractNum>
  <w:abstractNum w:abstractNumId="398">
    <w:nsid w:val="78BB805A"/>
    <w:multiLevelType w:val="hybridMultilevel"/>
    <w:lvl w:ilvl="0">
      <w:lvlJc w:val="left"/>
      <w:lvlText w:val="●"/>
      <w:numFmt w:val="bullet"/>
      <w:start w:val="1"/>
    </w:lvl>
  </w:abstractNum>
  <w:abstractNum w:abstractNumId="399">
    <w:nsid w:val="62548FD8"/>
    <w:multiLevelType w:val="hybridMultilevel"/>
    <w:lvl w:ilvl="0">
      <w:lvlJc w:val="left"/>
      <w:lvlText w:val="%1."/>
      <w:numFmt w:val="decimal"/>
      <w:start w:val="3"/>
    </w:lvl>
  </w:abstractNum>
  <w:abstractNum w:abstractNumId="400">
    <w:nsid w:val="FA085B0"/>
    <w:multiLevelType w:val="hybridMultilevel"/>
    <w:lvl w:ilvl="0">
      <w:lvlJc w:val="left"/>
      <w:lvlText w:val="%1."/>
      <w:numFmt w:val="decimal"/>
      <w:start w:val="4"/>
    </w:lvl>
  </w:abstractNum>
  <w:abstractNum w:abstractNumId="401">
    <w:nsid w:val="4E5DCB5"/>
    <w:multiLevelType w:val="hybridMultilevel"/>
    <w:lvl w:ilvl="0">
      <w:lvlJc w:val="left"/>
      <w:lvlText w:val="●"/>
      <w:numFmt w:val="bullet"/>
      <w:start w:val="1"/>
    </w:lvl>
  </w:abstractNum>
  <w:abstractNum w:abstractNumId="402">
    <w:nsid w:val="41E96BDB"/>
    <w:multiLevelType w:val="hybridMultilevel"/>
    <w:lvl w:ilvl="0">
      <w:lvlJc w:val="left"/>
      <w:lvlText w:val="●"/>
      <w:numFmt w:val="bullet"/>
      <w:start w:val="1"/>
    </w:lvl>
  </w:abstractNum>
  <w:abstractNum w:abstractNumId="403">
    <w:nsid w:val="331C4250"/>
    <w:multiLevelType w:val="hybridMultilevel"/>
    <w:lvl w:ilvl="0">
      <w:lvlJc w:val="left"/>
      <w:lvlText w:val="●"/>
      <w:numFmt w:val="bullet"/>
      <w:start w:val="1"/>
    </w:lvl>
  </w:abstractNum>
  <w:abstractNum w:abstractNumId="404">
    <w:nsid w:val="1B1493C2"/>
    <w:multiLevelType w:val="hybridMultilevel"/>
    <w:lvl w:ilvl="0">
      <w:lvlJc w:val="left"/>
      <w:lvlText w:val="%1."/>
      <w:numFmt w:val="decimal"/>
      <w:start w:val="5"/>
    </w:lvl>
  </w:abstractNum>
  <w:abstractNum w:abstractNumId="405">
    <w:nsid w:val="39F06DFD"/>
    <w:multiLevelType w:val="hybridMultilevel"/>
    <w:lvl w:ilvl="0">
      <w:lvlJc w:val="left"/>
      <w:lvlText w:val="%1."/>
      <w:numFmt w:val="decimal"/>
      <w:start w:val="6"/>
    </w:lvl>
  </w:abstractNum>
  <w:abstractNum w:abstractNumId="406">
    <w:nsid w:val="14802F5D"/>
    <w:multiLevelType w:val="hybridMultilevel"/>
    <w:lvl w:ilvl="0">
      <w:lvlJc w:val="left"/>
      <w:lvlText w:val="●"/>
      <w:numFmt w:val="bullet"/>
      <w:start w:val="1"/>
    </w:lvl>
  </w:abstractNum>
  <w:abstractNum w:abstractNumId="407">
    <w:nsid w:val="2774A209"/>
    <w:multiLevelType w:val="hybridMultilevel"/>
    <w:lvl w:ilvl="0">
      <w:lvlJc w:val="left"/>
      <w:lvlText w:val="1"/>
      <w:numFmt w:val="bullet"/>
      <w:start w:val="1"/>
    </w:lvl>
  </w:abstractNum>
  <w:abstractNum w:abstractNumId="408">
    <w:nsid w:val="3785655A"/>
    <w:multiLevelType w:val="hybridMultilevel"/>
    <w:lvl w:ilvl="0">
      <w:lvlJc w:val="left"/>
      <w:lvlText w:val="2"/>
      <w:numFmt w:val="bullet"/>
      <w:start w:val="1"/>
    </w:lvl>
    <w:lvl w:ilvl="1">
      <w:lvlJc w:val="left"/>
      <w:lvlText w:val="(%2)"/>
      <w:numFmt w:val="lowerLetter"/>
      <w:start w:val="1"/>
    </w:lvl>
  </w:abstractNum>
  <w:abstractNum w:abstractNumId="409">
    <w:nsid w:val="B2172A"/>
    <w:multiLevelType w:val="hybridMultilevel"/>
    <w:lvl w:ilvl="0">
      <w:lvlJc w:val="left"/>
      <w:lvlText w:val="(%1)"/>
      <w:numFmt w:val="lowerLetter"/>
      <w:start w:val="3"/>
    </w:lvl>
  </w:abstractNum>
  <w:abstractNum w:abstractNumId="410">
    <w:nsid w:val="532C34A5"/>
    <w:multiLevelType w:val="hybridMultilevel"/>
    <w:lvl w:ilvl="0">
      <w:lvlJc w:val="left"/>
      <w:lvlText w:val="3"/>
      <w:numFmt w:val="bullet"/>
      <w:start w:val="1"/>
    </w:lvl>
  </w:abstractNum>
  <w:abstractNum w:abstractNumId="411">
    <w:nsid w:val="102809E2"/>
    <w:multiLevelType w:val="hybridMultilevel"/>
    <w:lvl w:ilvl="0">
      <w:lvlJc w:val="left"/>
      <w:lvlText w:val="4"/>
      <w:numFmt w:val="bullet"/>
      <w:start w:val="1"/>
    </w:lvl>
  </w:abstractNum>
  <w:abstractNum w:abstractNumId="412">
    <w:nsid w:val="3B2125A3"/>
    <w:multiLevelType w:val="hybridMultilevel"/>
    <w:lvl w:ilvl="0">
      <w:lvlJc w:val="left"/>
      <w:lvlText w:val="5"/>
      <w:numFmt w:val="bullet"/>
      <w:start w:val="1"/>
    </w:lvl>
    <w:lvl w:ilvl="1">
      <w:lvlJc w:val="left"/>
      <w:lvlText w:val="(%2)"/>
      <w:numFmt w:val="lowerLetter"/>
      <w:start w:val="1"/>
    </w:lvl>
  </w:abstractNum>
  <w:abstractNum w:abstractNumId="413">
    <w:nsid w:val="AC68FFB"/>
    <w:multiLevelType w:val="hybridMultilevel"/>
    <w:lvl w:ilvl="0">
      <w:lvlJc w:val="left"/>
      <w:lvlText w:val="6"/>
      <w:numFmt w:val="bullet"/>
      <w:start w:val="1"/>
    </w:lvl>
    <w:lvl w:ilvl="1">
      <w:lvlJc w:val="left"/>
      <w:lvlText w:val="(%2)"/>
      <w:numFmt w:val="lowerLetter"/>
      <w:start w:val="1"/>
    </w:lvl>
  </w:abstractNum>
  <w:abstractNum w:abstractNumId="414">
    <w:nsid w:val="63DF3FB7"/>
    <w:multiLevelType w:val="hybridMultilevel"/>
    <w:lvl w:ilvl="0">
      <w:lvlJc w:val="left"/>
      <w:lvlText w:val="7"/>
      <w:numFmt w:val="bullet"/>
      <w:start w:val="1"/>
    </w:lvl>
  </w:abstractNum>
  <w:abstractNum w:abstractNumId="415">
    <w:nsid w:val="64996E13"/>
    <w:multiLevelType w:val="hybridMultilevel"/>
    <w:lvl w:ilvl="0">
      <w:lvlJc w:val="left"/>
      <w:lvlText w:val="1"/>
      <w:numFmt w:val="bullet"/>
      <w:start w:val="1"/>
    </w:lvl>
  </w:abstractNum>
  <w:abstractNum w:abstractNumId="416">
    <w:nsid w:val="57A37D47"/>
    <w:multiLevelType w:val="hybridMultilevel"/>
    <w:lvl w:ilvl="0">
      <w:lvlJc w:val="left"/>
      <w:lvlText w:val="2"/>
      <w:numFmt w:val="bullet"/>
      <w:start w:val="1"/>
    </w:lvl>
  </w:abstractNum>
  <w:abstractNum w:abstractNumId="417">
    <w:nsid w:val="74824D54"/>
    <w:multiLevelType w:val="hybridMultilevel"/>
    <w:lvl w:ilvl="0">
      <w:lvlJc w:val="left"/>
      <w:lvlText w:val="3"/>
      <w:numFmt w:val="bullet"/>
      <w:start w:val="1"/>
    </w:lvl>
  </w:abstractNum>
  <w:abstractNum w:abstractNumId="418">
    <w:nsid w:val="6F00529A"/>
    <w:multiLevelType w:val="hybridMultilevel"/>
    <w:lvl w:ilvl="0">
      <w:lvlJc w:val="left"/>
      <w:lvlText w:val="4"/>
      <w:numFmt w:val="bullet"/>
      <w:start w:val="1"/>
    </w:lvl>
  </w:abstractNum>
  <w:abstractNum w:abstractNumId="419">
    <w:nsid w:val="805B331"/>
    <w:multiLevelType w:val="hybridMultilevel"/>
    <w:lvl w:ilvl="0">
      <w:lvlJc w:val="left"/>
      <w:lvlText w:val="5"/>
      <w:numFmt w:val="bullet"/>
      <w:start w:val="1"/>
    </w:lvl>
  </w:abstractNum>
  <w:abstractNum w:abstractNumId="420">
    <w:nsid w:val="60A1463"/>
    <w:multiLevelType w:val="hybridMultilevel"/>
    <w:lvl w:ilvl="0">
      <w:lvlJc w:val="left"/>
      <w:lvlText w:val="6"/>
      <w:numFmt w:val="bullet"/>
      <w:start w:val="1"/>
    </w:lvl>
  </w:abstractNum>
  <w:abstractNum w:abstractNumId="421">
    <w:nsid w:val="43773132"/>
    <w:multiLevelType w:val="hybridMultilevel"/>
    <w:lvl w:ilvl="0">
      <w:lvlJc w:val="left"/>
      <w:lvlText w:val="7"/>
      <w:numFmt w:val="bullet"/>
      <w:start w:val="1"/>
    </w:lvl>
  </w:abstractNum>
  <w:abstractNum w:abstractNumId="422">
    <w:nsid w:val="16AC4B23"/>
    <w:multiLevelType w:val="hybridMultilevel"/>
    <w:lvl w:ilvl="0">
      <w:lvlJc w:val="left"/>
      <w:lvlText w:val="8"/>
      <w:numFmt w:val="bullet"/>
      <w:start w:val="1"/>
    </w:lvl>
  </w:abstractNum>
  <w:abstractNum w:abstractNumId="423">
    <w:nsid w:val="76C44E4E"/>
    <w:multiLevelType w:val="hybridMultilevel"/>
    <w:lvl w:ilvl="0">
      <w:lvlJc w:val="left"/>
      <w:lvlText w:val="9"/>
      <w:numFmt w:val="bullet"/>
      <w:start w:val="1"/>
    </w:lvl>
  </w:abstractNum>
  <w:abstractNum w:abstractNumId="424">
    <w:nsid w:val="E04E6CE"/>
    <w:multiLevelType w:val="hybridMultilevel"/>
    <w:lvl w:ilvl="0">
      <w:lvlJc w:val="left"/>
      <w:lvlText w:val="%1"/>
      <w:numFmt w:val="decimal"/>
      <w:start w:val="10"/>
    </w:lvl>
  </w:abstractNum>
  <w:abstractNum w:abstractNumId="425">
    <w:nsid w:val="31A9DB76"/>
    <w:multiLevelType w:val="hybridMultilevel"/>
    <w:lvl w:ilvl="0">
      <w:lvlJc w:val="left"/>
      <w:lvlText w:val="%1"/>
      <w:numFmt w:val="decimal"/>
      <w:start w:val="15"/>
    </w:lvl>
  </w:abstractNum>
  <w:abstractNum w:abstractNumId="426">
    <w:nsid w:val="4C4FFF5B"/>
    <w:multiLevelType w:val="hybridMultilevel"/>
    <w:lvl w:ilvl="0">
      <w:lvlJc w:val="left"/>
      <w:lvlText w:val="1"/>
      <w:numFmt w:val="bullet"/>
      <w:start w:val="1"/>
    </w:lvl>
  </w:abstractNum>
  <w:abstractNum w:abstractNumId="427">
    <w:nsid w:val="51B76675"/>
    <w:multiLevelType w:val="hybridMultilevel"/>
    <w:lvl w:ilvl="0">
      <w:lvlJc w:val="left"/>
      <w:lvlText w:val="2"/>
      <w:numFmt w:val="bullet"/>
      <w:start w:val="1"/>
    </w:lvl>
  </w:abstractNum>
  <w:abstractNum w:abstractNumId="428">
    <w:nsid w:val="59A4BA71"/>
    <w:multiLevelType w:val="hybridMultilevel"/>
    <w:lvl w:ilvl="0">
      <w:lvlJc w:val="left"/>
      <w:lvlText w:val="3"/>
      <w:numFmt w:val="bullet"/>
      <w:start w:val="1"/>
    </w:lvl>
  </w:abstractNum>
  <w:abstractNum w:abstractNumId="429">
    <w:nsid w:val="450B7FB6"/>
    <w:multiLevelType w:val="hybridMultilevel"/>
    <w:lvl w:ilvl="0">
      <w:lvlJc w:val="left"/>
      <w:lvlText w:val="4"/>
      <w:numFmt w:val="bullet"/>
      <w:start w:val="1"/>
    </w:lvl>
  </w:abstractNum>
  <w:abstractNum w:abstractNumId="430">
    <w:nsid w:val="340BF64D"/>
    <w:multiLevelType w:val="hybridMultilevel"/>
    <w:lvl w:ilvl="0">
      <w:lvlJc w:val="left"/>
      <w:lvlText w:val="5"/>
      <w:numFmt w:val="bullet"/>
      <w:start w:val="1"/>
    </w:lvl>
  </w:abstractNum>
  <w:abstractNum w:abstractNumId="431">
    <w:nsid w:val="69454021"/>
    <w:multiLevelType w:val="hybridMultilevel"/>
    <w:lvl w:ilvl="0">
      <w:lvlJc w:val="left"/>
      <w:lvlText w:val="6"/>
      <w:numFmt w:val="bullet"/>
      <w:start w:val="1"/>
    </w:lvl>
  </w:abstractNum>
  <w:abstractNum w:abstractNumId="432">
    <w:nsid w:val="49F15C6B"/>
    <w:multiLevelType w:val="hybridMultilevel"/>
    <w:lvl w:ilvl="0">
      <w:lvlJc w:val="left"/>
      <w:lvlText w:val="7"/>
      <w:numFmt w:val="bullet"/>
      <w:start w:val="1"/>
    </w:lvl>
  </w:abstractNum>
  <w:abstractNum w:abstractNumId="433">
    <w:nsid w:val="75F56228"/>
    <w:multiLevelType w:val="hybridMultilevel"/>
    <w:lvl w:ilvl="0">
      <w:lvlJc w:val="left"/>
      <w:lvlText w:val="8"/>
      <w:numFmt w:val="bullet"/>
      <w:start w:val="1"/>
    </w:lvl>
  </w:abstractNum>
  <w:abstractNum w:abstractNumId="434">
    <w:nsid w:val="1C618271"/>
    <w:multiLevelType w:val="hybridMultilevel"/>
    <w:lvl w:ilvl="0">
      <w:lvlJc w:val="left"/>
      <w:lvlText w:val="9"/>
      <w:numFmt w:val="bullet"/>
      <w:start w:val="1"/>
    </w:lvl>
  </w:abstractNum>
  <w:abstractNum w:abstractNumId="435">
    <w:nsid w:val="6505F02E"/>
    <w:multiLevelType w:val="hybridMultilevel"/>
    <w:lvl w:ilvl="0">
      <w:lvlJc w:val="left"/>
      <w:lvlText w:val="%1"/>
      <w:numFmt w:val="decimal"/>
      <w:start w:val="10"/>
    </w:lvl>
  </w:abstractNum>
  <w:abstractNum w:abstractNumId="436">
    <w:nsid w:val="2FE5D02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2023-10-04T10:06:06Z</dcterms:created>
  <dcterms:modified xsi:type="dcterms:W3CDTF">2023-10-04T10:06:06Z</dcterms:modified>
</cp:coreProperties>
</file>