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filename1.htm"/>
      <w:bookmarkStart w:id="1" w:name="ksfilename1"/>
      <w:bookmarkEnd w:id="0"/>
      <w:bookmarkEnd w:id="1"/>
      <w:r>
        <w:rPr>
          <w:rFonts w:ascii="Times New Roman PS Std;serif" w:hAnsi="Times New Roman PS Std;serif"/>
          <w:b/>
          <w:i w:val="false"/>
          <w:caps w:val="false"/>
          <w:smallCaps w:val="false"/>
          <w:sz w:val="20"/>
        </w:rPr>
        <w:t xml:space="preserve">This is a draft registration statement that is being confidentially submitted to the </w:t>
        <w:br/>
        <w:t>Securities and Exchange Commission on September 14, 2023.</w:t>
      </w:r>
    </w:p>
    <w:p>
      <w:pPr>
        <w:pStyle w:val="TextBody"/>
        <w:keepNext w:val="false"/>
        <w:pageBreakBefore w:val="false"/>
        <w:widowControl/>
        <w:pBdr/>
        <w:bidi w:val="0"/>
        <w:spacing w:before="40" w:after="283"/>
        <w:ind w:left="0" w:right="80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4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br/>
        <w:t>WASHINGTON, D.C. 20549</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F-1</w:t>
        <w:br/>
        <w:t>REGISTRATION STATEMENT</w:t>
        <w:br/>
        <w:t>UNDER</w:t>
      </w:r>
      <w:r>
        <w:rPr>
          <w:rFonts w:ascii="Times New Roman PS Std;serif" w:hAnsi="Times New Roman PS Std;serif"/>
          <w:b/>
          <w:i/>
          <w:caps w:val="false"/>
          <w:smallCaps w:val="false"/>
          <w:sz w:val="20"/>
        </w:rPr>
        <w:br/>
      </w:r>
      <w:r>
        <w:rPr>
          <w:rFonts w:ascii="Times New Roman PS Std;serif" w:hAnsi="Times New Roman PS Std;serif"/>
          <w:b/>
          <w:i w:val="false"/>
          <w:caps w:val="false"/>
          <w:smallCaps w:val="false"/>
          <w:sz w:val="20"/>
        </w:rPr>
        <w:t>THE SECURITIES ACT OF 1933</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Trident Digital Tech Holdings Ltd</w:t>
        <w:br/>
      </w:r>
      <w:r>
        <w:rPr>
          <w:rFonts w:ascii="Times New Roman PS Std;serif" w:hAnsi="Times New Roman PS Std;serif"/>
          <w:b w:val="false"/>
          <w:i w:val="false"/>
          <w:caps w:val="false"/>
          <w:smallCaps w:val="false"/>
          <w:sz w:val="20"/>
        </w:rPr>
        <w:t>(Exact Name of Registrant as Specified in Its Charter)</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r>
      <w:r>
        <w:rPr>
          <w:rFonts w:ascii="Times New Roman PS Std;serif" w:hAnsi="Times New Roman PS Std;serif"/>
          <w:b w:val="false"/>
          <w:i w:val="false"/>
          <w:caps w:val="false"/>
          <w:smallCaps w:val="false"/>
          <w:sz w:val="20"/>
        </w:rPr>
        <w:t>(Translation of Registrant’s Name into English)</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8590" w:type="dxa"/>
        <w:jc w:val="left"/>
        <w:tblInd w:w="0" w:type="dxa"/>
        <w:tblLayout w:type="fixed"/>
        <w:tblCellMar>
          <w:top w:w="0" w:type="dxa"/>
          <w:left w:w="0" w:type="dxa"/>
          <w:bottom w:w="0" w:type="dxa"/>
          <w:right w:w="0" w:type="dxa"/>
        </w:tblCellMar>
      </w:tblPr>
      <w:tblGrid>
        <w:gridCol w:w="3046"/>
        <w:gridCol w:w="146"/>
        <w:gridCol w:w="2911"/>
        <w:gridCol w:w="146"/>
        <w:gridCol w:w="2341"/>
      </w:tblGrid>
      <w:tr>
        <w:trPr/>
        <w:tc>
          <w:tcPr>
            <w:tcW w:w="30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(State or Other Jurisdiction of </w:t>
              <w:br/>
              <w:t>Incorporation or Organization)</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(Primary Standard Industrial </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(IRS Employer </w:t>
              <w:br/>
              <w:t>Identification Number)</w:t>
            </w:r>
          </w:p>
        </w:tc>
      </w:tr>
    </w:tbl>
    <w:p>
      <w:pPr>
        <w:pStyle w:val="TextBody"/>
        <w:keepNext w:val="true"/>
        <w:pageBreakBefore w:val="false"/>
        <w:widowControl/>
        <w:pBdr/>
        <w:bidi w:val="0"/>
        <w:spacing w:before="1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Suntec Tower 3,</w:t>
        <w:br/>
        <w:t>8 Temasek Boulevard Road, #24-03</w:t>
        <w:br/>
        <w:t>Singapore, 038988</w:t>
        <w:br/>
        <w:t>+65 8813 1312</w:t>
        <w:br/>
      </w: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w:t>
      </w:r>
    </w:p>
    <w:p>
      <w:pPr>
        <w:pStyle w:val="TextBody"/>
        <w:keepNext w:val="tru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true"/>
        <w:pageBreakBefore w:val="false"/>
        <w:widowControl/>
        <w:pBdr/>
        <w:bidi w:val="0"/>
        <w:spacing w:before="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6928" w:type="dxa"/>
        <w:jc w:val="left"/>
        <w:tblInd w:w="0" w:type="dxa"/>
        <w:tblLayout w:type="fixed"/>
        <w:tblCellMar>
          <w:top w:w="0" w:type="dxa"/>
          <w:left w:w="0" w:type="dxa"/>
          <w:bottom w:w="0" w:type="dxa"/>
          <w:right w:w="0" w:type="dxa"/>
        </w:tblCellMar>
      </w:tblPr>
      <w:tblGrid>
        <w:gridCol w:w="3301"/>
        <w:gridCol w:w="146"/>
        <w:gridCol w:w="3481"/>
      </w:tblGrid>
      <w:tr>
        <w:trPr/>
        <w:tc>
          <w:tcPr>
            <w:tcW w:w="330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Stephanie Tang, Esq.</w:t>
              <w:br/>
              <w:t>Hogan Lovells</w:t>
              <w:br/>
              <w:t>11th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 One Pacific Place</w:t>
              <w:br/>
              <w:t>88 Queensway Road</w:t>
              <w:br/>
              <w:t>Hong Kong</w:t>
              <w:br/>
              <w:t>+852 2219 0888</w:t>
            </w:r>
          </w:p>
        </w:tc>
        <w:tc>
          <w:tcPr>
            <w:tcW w:w="146" w:type="dxa"/>
            <w:tcBorders/>
          </w:tcPr>
          <w:p>
            <w:pPr>
              <w:pStyle w:val="TableContents"/>
              <w:bidi w:val="0"/>
              <w:spacing w:before="0" w:after="283"/>
              <w:jc w:val="left"/>
              <w:rPr/>
            </w:pPr>
            <w:r>
              <w:rPr/>
              <w:t> </w:t>
            </w:r>
          </w:p>
        </w:tc>
        <w:tc>
          <w:tcPr>
            <w:tcW w:w="3481" w:type="dxa"/>
            <w:tcBorders/>
          </w:tcPr>
          <w:p>
            <w:pPr>
              <w:pStyle w:val="TableContents"/>
              <w:keepNext w:val="false"/>
              <w:widowControl/>
              <w:pBdr/>
              <w:bidi w:val="0"/>
              <w:spacing w:before="16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Ross David Carmel, Esq.</w:t>
              <w:br/>
              <w:t>Barry P. Biggar, Esq.</w:t>
              <w:br/>
              <w:t>Carmel Milazzo &amp; Feil LLP</w:t>
              <w:br/>
              <w:t>55 West 39th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Street, 4th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10018</w:t>
              <w:br/>
              <w:t>+1 212 658 0458</w:t>
            </w:r>
          </w:p>
        </w:tc>
      </w:tr>
    </w:tbl>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2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CALCULATION OF REGISTRATION FEE</w:t>
      </w:r>
    </w:p>
    <w:tbl>
      <w:tblPr>
        <w:tblW w:w="9205" w:type="dxa"/>
        <w:jc w:val="left"/>
        <w:tblInd w:w="0" w:type="dxa"/>
        <w:tblLayout w:type="fixed"/>
        <w:tblCellMar>
          <w:top w:w="0" w:type="dxa"/>
          <w:left w:w="0" w:type="dxa"/>
          <w:bottom w:w="0" w:type="dxa"/>
          <w:right w:w="0" w:type="dxa"/>
        </w:tblCellMar>
      </w:tblPr>
      <w:tblGrid>
        <w:gridCol w:w="6196"/>
        <w:gridCol w:w="146"/>
        <w:gridCol w:w="1246"/>
        <w:gridCol w:w="146"/>
        <w:gridCol w:w="1471"/>
      </w:tblGrid>
      <w:tr>
        <w:trPr/>
        <w:tc>
          <w:tcPr>
            <w:tcW w:w="61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of Securities To Be Registered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Proposed </w:t>
              <w:br/>
              <w:t xml:space="preserve">Maximum </w:t>
              <w:br/>
              <w:t xml:space="preserve">Aggregate </w:t>
              <w:br/>
              <w:t xml:space="preserve">Offering </w:t>
              <w:br/>
              <w:t>Price(1)</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of </w:t>
              <w:br/>
              <w:t xml:space="preserve">Registration </w:t>
              <w:br/>
              <w:t>Fee</w:t>
            </w:r>
          </w:p>
        </w:tc>
      </w:tr>
      <w:tr>
        <w:trPr/>
        <w:tc>
          <w:tcPr>
            <w:tcW w:w="6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par value US$0.00001 per share(2)(3)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Estimated solely for the purpose of determining the amount of registration fee in accordance with Rule 457(o) under the Securities Act of 1933.</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Class B ordinary shares that are issuable upon the exercise of the underwriters’ option to purchase additional ADSs. Also includes Class B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B ordinary shares are not being registered for the purpose of sales outside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American depositary shares issuable upon deposit of Class B ordinary shares registered hereby will be registered under a separate registration statement on Form F-6 (Registration No. 333-            ). Each American depositary share represents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color w:val="D2232A"/>
          <w:sz w:val="20"/>
        </w:rPr>
        <w:t>PRELIMINARY PROSPECTUS (Subject to Completion)</w:t>
        <w:br/>
      </w:r>
      <w:r>
        <w:rPr>
          <w:rFonts w:ascii="Times New Roman PS Std;serif" w:hAnsi="Times New Roman PS Std;serif"/>
          <w:b w:val="false"/>
          <w:i w:val="false"/>
          <w:caps w:val="false"/>
          <w:smallCaps w:val="false"/>
          <w:color w:val="D2232A"/>
          <w:sz w:val="20"/>
        </w:rPr>
        <w:t>Dated            , 2023.</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            ] American Depositary Shares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[Company Logo]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Trident Digital Tech Holdings Ltd</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5503" w:type="dxa"/>
        <w:jc w:val="left"/>
        <w:tblInd w:w="0" w:type="dxa"/>
        <w:tblLayout w:type="fixed"/>
        <w:tblCellMar>
          <w:top w:w="0" w:type="dxa"/>
          <w:left w:w="0" w:type="dxa"/>
          <w:bottom w:w="0" w:type="dxa"/>
          <w:right w:w="0" w:type="dxa"/>
        </w:tblCellMar>
      </w:tblPr>
      <w:tblGrid>
        <w:gridCol w:w="1921"/>
        <w:gridCol w:w="146"/>
        <w:gridCol w:w="3436"/>
      </w:tblGrid>
      <w:tr>
        <w:trPr/>
        <w:tc>
          <w:tcPr>
            <w:tcW w:w="192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Representing</w:t>
            </w:r>
          </w:p>
        </w:tc>
        <w:tc>
          <w:tcPr>
            <w:tcW w:w="146" w:type="dxa"/>
            <w:tcBorders/>
          </w:tcPr>
          <w:p>
            <w:pPr>
              <w:pStyle w:val="TableContents"/>
              <w:bidi w:val="0"/>
              <w:spacing w:before="0" w:after="283"/>
              <w:jc w:val="left"/>
              <w:rPr/>
            </w:pPr>
            <w:r>
              <w:rPr/>
              <w:t> </w:t>
            </w:r>
          </w:p>
        </w:tc>
        <w:tc>
          <w:tcPr>
            <w:tcW w:w="3436"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B Ordinary Shares</w:t>
            </w:r>
          </w:p>
        </w:tc>
      </w:tr>
    </w:tbl>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This is the initial public offering of American depositary shares, or ADSs, of Trident Digital Tech Holdings Ltd. We are offering            ADSs. Each ADS represents            Class B ordinary shares, par value US$0.00001 per share. We anticipate that the initial public offering price per ADS will be between US$            and 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Prior to this offering, there has been no public market for our ADSs or our Class B ordinary shares. We intend to apply to list the ADSs on the Nasdaq Global Market under the symbol “TDTH.”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We cannot guarantee that we will be successful in listing our ADSs on the Nasdaq Global Market; however, we will not complete this offering unless we are so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Following the completion of this offering, our issued and outstanding share capital will consist of [  ] Class A ordinary shares and [  ] Class B ordinary shares.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will beneficially own all of our issued Class A ordinary shares and will be able to exercise [  ]% of the total voting power of our issued and outstanding share capital immediately following the completion of this offering. Holders of Class A ordinary shares and Class B ordinary shares have the same rights except for voting and conversion rights. Each Class A ordinary share is entitled to sixty votes and is convertible into one Class B ordinary share, and each Class B ordinary share is entitled to one vote. Class A ordinary shares may be converted into the same number of Class B ordinary shares by the holders thereof at any time, while Class B ordinary shares are not convertible into Class A ordinary shares under any circumstances. Upon any sale, transfer, assignment or disposition of any Class A ordinary shares by a holder thereof to any person who is not an affiliate of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Soon Huat Lim, such Class A ordinary shares will be automatically and immediately converted into the same number of Class B ordinary share. See “Description of Share Capital.” Immediately following the completion of this offering, we will be a “controlled company” within the meaning of the Nasdaq Stock Market Rules. See “Principal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 are an “emerging growth company” under applicable U.S. federal securities laws and are eligible for reduced public company reporting requirements.</w:t>
      </w:r>
    </w:p>
    <w:p>
      <w:pPr>
        <w:pStyle w:val="TextBody"/>
        <w:keepNext w:val="false"/>
        <w:pageBreakBefore w:val="false"/>
        <w:widowControl/>
        <w:pBdr/>
        <w:bidi w:val="0"/>
        <w:spacing w:before="8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ADSs involves risks. See “</w:t>
      </w:r>
      <w:r>
        <w:rPr>
          <w:rFonts w:ascii="Times New Roman PS Std;serif" w:hAnsi="Times New Roman PS Std;serif"/>
          <w:b/>
          <w:i/>
          <w:caps w:val="false"/>
          <w:smallCaps w:val="false"/>
          <w:sz w:val="20"/>
          <w:u w:val="single"/>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w:t>
      </w:r>
    </w:p>
    <w:p>
      <w:pPr>
        <w:pStyle w:val="TextBody"/>
        <w:keepNext w:val="true"/>
        <w:pageBreakBefore w:val="false"/>
        <w:widowControl/>
        <w:pBdr/>
        <w:bidi w:val="0"/>
        <w:spacing w:before="120" w:after="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US$            PER ADS</w:t>
      </w:r>
    </w:p>
    <w:p>
      <w:pPr>
        <w:pStyle w:val="TextBody"/>
        <w:keepNext w:val="false"/>
        <w:pageBreakBefore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w:t>
      </w:r>
    </w:p>
    <w:tbl>
      <w:tblPr>
        <w:tblW w:w="5800" w:type="dxa"/>
        <w:jc w:val="left"/>
        <w:tblInd w:w="0" w:type="dxa"/>
        <w:tblLayout w:type="fixed"/>
        <w:tblCellMar>
          <w:top w:w="0" w:type="dxa"/>
          <w:left w:w="0" w:type="dxa"/>
          <w:bottom w:w="0" w:type="dxa"/>
          <w:right w:w="0" w:type="dxa"/>
        </w:tblCellMar>
      </w:tblPr>
      <w:tblGrid>
        <w:gridCol w:w="4021"/>
        <w:gridCol w:w="146"/>
        <w:gridCol w:w="856"/>
        <w:gridCol w:w="146"/>
        <w:gridCol w:w="631"/>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 ADS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Underwriting discounts and commissions</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       See “Underwriting” for additional disclosure regarding underwriting compensation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We expect our total cash expenses for this offering (including cash expenses payable to our underwriters for their out-of-pocket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expenses) to be approximately US$            , exclusive of the above discounts and commissions.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We have granted the underwriters an option to purchase up to an additional            ADSs to cover over-allotments.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underwriters expect to deliver the ADSs against payment in U.S. dollars to purchasers on or about            , 2023.</w:t>
      </w:r>
    </w:p>
    <w:p>
      <w:pPr>
        <w:pStyle w:val="TextBody"/>
        <w:keepNext w:val="true"/>
        <w:pageBreakBefore w:val="false"/>
        <w:widowControl/>
        <w:pBdr/>
        <w:bidi w:val="0"/>
        <w:spacing w:before="30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US Tiger Securities, Inc.</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2023</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[Page intentionally left blank for graphics]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98"/>
        <w:gridCol w:w="146"/>
        <w:gridCol w:w="661"/>
      </w:tblGrid>
      <w:tr>
        <w:trPr/>
        <w:tc>
          <w:tcPr>
            <w:tcW w:w="93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7">
              <w:r>
                <w:rPr>
                  <w:rStyle w:val="InternetLink"/>
                  <w:rFonts w:ascii="Times New Roman PS Std;serif" w:hAnsi="Times New Roman PS Std;serif"/>
                  <w:b w:val="false"/>
                  <w:i w:val="false"/>
                  <w:caps w:val="false"/>
                  <w:smallCaps w:val="false"/>
                  <w:sz w:val="20"/>
                </w:rPr>
                <w:t>PROSPECTUS SUMMARY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6">
              <w:r>
                <w:rPr>
                  <w:rStyle w:val="InternetLink"/>
                  <w:rFonts w:ascii="Times New Roman PS Std;serif" w:hAnsi="Times New Roman PS Std;serif"/>
                  <w:b w:val="false"/>
                  <w:i w:val="false"/>
                  <w:caps w:val="false"/>
                  <w:smallCaps w:val="false"/>
                  <w:sz w:val="20"/>
                </w:rPr>
                <w:t>RISK FACTORS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5">
              <w:r>
                <w:rPr>
                  <w:rStyle w:val="InternetLink"/>
                  <w:rFonts w:ascii="Times New Roman PS Std;serif" w:hAnsi="Times New Roman PS Std;serif"/>
                  <w:b w:val="false"/>
                  <w:i w:val="false"/>
                  <w:caps w:val="false"/>
                  <w:smallCaps w:val="false"/>
                  <w:sz w:val="20"/>
                </w:rPr>
                <w:t>SPECIAL NOTE REGARDING FORWARD-LOOKING STATEMENTS AND INDUSTRY DATA</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4">
              <w:r>
                <w:rPr>
                  <w:rStyle w:val="InternetLink"/>
                  <w:rFonts w:ascii="Times New Roman PS Std;serif" w:hAnsi="Times New Roman PS Std;serif"/>
                  <w:b w:val="false"/>
                  <w:i w:val="false"/>
                  <w:caps w:val="false"/>
                  <w:smallCaps w:val="false"/>
                  <w:sz w:val="20"/>
                </w:rPr>
                <w:t>USE OF PROCEEDS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DIVIDEND POLICY</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CAPITALIZATION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DILUTION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CORPORATE HISTORY AND STRUCTURE</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SELECTED CONSOLIDATED FINANCIAL DATA</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INDUSTRY</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BUSINESS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REGULATION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MANAGEMENT</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PRINCIPAL SHAREHOLDERS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RELATED PARTY TRANSACTIONS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DESCRIPTION OF SHARE CAPITAL</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DESCRIPTION OF AMERICAN DEPOSITARY SHARES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SHARES ELIGIBLE FOR FUTURE SALE</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TAXATION</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UNDERWRITING</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EXPENSES RELATED TO THIS OFFERING</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LEGAL MATTERS</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WHERE YOU CAN FIND ADDITIONAL INFORMATION</w:t>
              </w:r>
            </w:hyperlink>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98" w:type="dxa"/>
            <w:tcBorders/>
            <w:shd w:fill="CCEEFF" w:val="clear"/>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INDEX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current only as of the date of this prospectus, regardless of the time of delivery of this prospectus or of any sale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have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 about and observe any restrictions relating to the offering of the ADSs and the distribution of this prospectus or any filed free writing prospectus outside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Until             , 2023 (the 25th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27"/>
      <w:bookmarkEnd w:id="3"/>
      <w:r>
        <w:rPr>
          <w:rFonts w:ascii="Times New Roman PS Std;serif" w:hAnsi="Times New Roman PS Std;serif"/>
          <w:b/>
          <w:i w:val="false"/>
          <w:caps w:val="false"/>
          <w:smallCaps w:val="false"/>
          <w:sz w:val="20"/>
          <w:bdr w:val="single" w:sz="8" w:space="10" w:color="000000"/>
        </w:rPr>
        <w:t>PROSPECTUS SUMMARY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especially our consolidated financial statements and the related notes and sections titled “Risk Factors,” “Business,” and “Management’s Discussion and Analysis of Financial Condition and Results of Operations.” This prospectus contains information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leading digital transformation enabler in the small and medium enterprise, or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e-commerce enablement and digital optimizing services market in Singapore. According to the Frost &amp; Sullivan Report, among the Singapore-based companies who have been approved to participate in the SMEs Go Digital program led by Infocomm Media Development Authority, a statutory board under the Singapore Ministry of Communications and Information of the Republic of Singapore, we ranked fourth, contributing to 1.5% of the SME segment of the e-commerce enablement and digital optimizing services market in Singapore in 2022.</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Business consulting:    </w:t>
      </w:r>
      <w:r>
        <w:rPr>
          <w:rFonts w:ascii="Times New Roman PS Std;serif" w:hAnsi="Times New Roman PS Std;serif"/>
          <w:b w:val="false"/>
          <w:i w:val="false"/>
          <w:caps w:val="false"/>
          <w:smallCaps w:val="false"/>
          <w:sz w:val="20"/>
          <w:bdr w:val="single" w:sz="8" w:space="10" w:color="00000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i/>
          <w:caps w:val="false"/>
          <w:smallCaps w:val="false"/>
          <w:sz w:val="20"/>
          <w:bdr w:val="single" w:sz="8" w:space="10" w:color="000000"/>
        </w:rPr>
        <w:t>IT customization:    </w:t>
      </w:r>
      <w:r>
        <w:rPr>
          <w:rFonts w:ascii="Times New Roman PS Std;serif" w:hAnsi="Times New Roman PS Std;serif"/>
          <w:b w:val="false"/>
          <w:i w:val="false"/>
          <w:caps w:val="false"/>
          <w:smallCaps w:val="false"/>
          <w:sz w:val="20"/>
          <w:bdr w:val="single" w:sz="8" w:space="10" w:color="00000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Strengths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strengths have contributed to our continued success: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proprietary technology architecture;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unique perspective and efficient operational capabilities;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seasoned and visionary management team with international perspective.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further grow our business by pursuing the following strategies: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capitalize on a generational shift to Web 3.0;</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expand and grow our client base;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broaden our geographical reach;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pursue strategic acquisitions.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rapid growth may not be sustainable or indicative of our future growth. Our business could be harmed if we fail to manage our infrastructure to support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not able to introduce new features or services successfully and to make enhancements to our solutions and services, our business and results of operations could be adversely affected.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the Jurisdictions Where We Operate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exposed to risks in respect of acts of war, terrorist attacks, epidemics, political unrest, natural disasters, adverse weather and other uncontrollable events.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ADSs and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an emerging growth company within the meaning of the Securities Act and may take advantage of certain reduced reporting requirements.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History and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commenced our operations in 2014 through Quality Zone Technologies Pte. Ltd., a company incorporated in Singapore, to offer services and solutions to operate, optimize and transform business processes. In May 2022, we established Trident Digital Tech Pte. Ltd., a company incorporated in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June and July 2023, to facilitate our financing and listing opportunities outside Singapore, we established Trident Digital Tech Holdings Ltd, our holding company incorporated under the laws of the Cayman Islands. Shortly following its incorporation, Trident Digital Tech Holdings Ltd acquired 100% interest in Quality Zone Technologies Pte. Ltd. and then Quality Zone Technologies Pte. Ltd. acquired 100% interest in Trident Digital Tech Pte. Ltd. as part of our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the reorganization, Quality Zone Technologies Pte. Ltd. became a wholly-owned subsidiary of Trident Digital Tech Holdings Ltd and Trident Digital Tech Pte. Ltd. became a wholly-owned subsidiary of Quality Zone Technologies Pte. Ltd.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diagram below illustrates our corporate structure as of the date of this prospectus: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3371850" cy="20694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1850" cy="206946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 of Being an Emerging Growth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US$1.235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this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Controlled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completion of this offering, Mr. Soon Huat Lim, our founder, chairman of board of directors and chief executive officer will beneficially own [            ]% of our total issued and outstanding ordinary shares, representing [            ]% of the total voting power, assuming that the underwriters do not exercise their over-allotment option, or [            ]% of our total issued and outstanding ordinary shares, representing [            ]% of the total voting power, assuming that the over-allotment option is exercised in full. As a result, we will be a “controlled company” as defined under the Nasdaq Stock Market Rules because Mr. Lim will hold more than 50% of the voting power for the election of directors. As a “controlled company,” we are permitted to elect not to comply with certain corporate governance requirements. If we rely on these exemptions, you will not have the same protection afforded to shareholders of companies that are subject to these corporate governance requirements. See “Risk Factors — Risks Relating to Our ADSs and This Offering — We will be a “controlled company” under the Nasdaq Stock Market Rules upon the completion of this offering and, as a result, may rely on exemptions from certain corporate governance requirements that provide protection to shareholders of other companies.”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Rules corporate governance listing standards. See “Risk Factors — Risks Related to Our ADSs and This Offering — As a company incorporated in the Cayman Islands, we are permitted to adopt certain home country practices in relation to corporate governance matters that differ significantly from the Nasdaq Stock Market Rules.”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Suntec Tower 3, 8 Temasek Boulevard Road, #24-03, Singapore, 038988. Our telephone number at this address is +65 8813 1312. Our registered office in the Cayman Islands is located at the Office of Sertus Incorporations (Cayman) Limited, Sertus Chambers, Governors Square, Suite # 5-204, 23 Lime Tree Bay Avenue, P.O. Box 2547, Grand Cayman, KY1-1104, Cayman Islands. Our agent for service of process in the United States is [            ], located at [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Investors should contact us for any inquiries through the address and telephone number of our principal executive offices. Our website is [            ]. The information contained on our website is not a part of this prospectus.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Except where the context otherwise requires and for purposes of this prospectus only: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ADRs” refers to the American depositary receipts that evidence our ADSs;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ADSs” refers to our American depositary shares, each of which represents            Class B ordinary shares;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CAGR” refers to compound annual growth rate;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A ordinary shares” refers to our Class A ordinary shares, par value US$0.00001 per share;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Class B ordinary shares” refers to our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GDP” refers to gross domestic product;</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IMDA” refers to Infocomm Media Development Authority, a statutory board under the Singapore Ministry of Communications and Information of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ordinary shares” refers to our Class A and Class B ordinary shares, par value US$0.00001 per share;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QZT” refers to Quality Zone Technologies Pte. Ltd., a company incorporated in Singapore, and a 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 or “SGD” refers to the Singapore dollar, the legal currency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SEC” refers to the United States Securities and Exchange Commission;</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Singapore” refers to the Republic of Singapore;</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SME” refers to small and medium enterprises;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Southeast Asia” refers to the Brunei Darussalam, the Kingdom of Cambodia, the Republic of Indonesia, the Lao People’s Democratic Republic, the Federation of Malaysia, the Republic of the Union of Myanmar, the Republic of the Philippines, the Republic of Singapore, the Kingdom of Thailand, the Democratic Republic of Timor-Leste and the Socialist Republic of Vietnam;</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Trident Singapore” refers to Trident Digital Tech Pte. Ltd., a company incorporated in Singapore, and an indirect wholly-owned subsidiary of our Company;</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 “dollars,” or “U.S. dollars” refers to the legal currency of the United States;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 GAAP” refers to generally accepted accounting principles in the United States;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“us,” “our company,” the “Company,” “Trident Cayman” and “our” refer to Trident Digital Tech Holdings Ltd, a Cayman Islands company and its subsidiaries.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Substantially all of our revenues and expenditures are denominated in SGD, whereas our reporting currency is the U.S. dollar. This prospectus contains translations of SGD into U.S. dollars solely for the convenience of the reader. Unless otherwise stated, all translations of SGD into U.S. dollars in this prospectus were made at the rate of SGD1.3404 to US$1.00, the noon buying rate on December 31, 2022, as set forth in the H.10 statistical release of the U.S. Federal Reserve Board. We make no representation that the SGD or U.S. dollar amounts referred to in this prospectus could have been or could be converted into U.S. dollars or SGD, as the case may be, at any particular rate or at all.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assumes that the underwriters will not exercise their option to purchase additional ADSs in the offering, unless otherwise indicated.</w:t>
      </w:r>
    </w:p>
    <w:tbl>
      <w:tblPr>
        <w:tblW w:w="10205" w:type="dxa"/>
        <w:jc w:val="left"/>
        <w:tblInd w:w="0" w:type="dxa"/>
        <w:tblLayout w:type="fixed"/>
        <w:tblCellMar>
          <w:top w:w="0" w:type="dxa"/>
          <w:left w:w="0" w:type="dxa"/>
          <w:bottom w:w="0" w:type="dxa"/>
          <w:right w:w="0" w:type="dxa"/>
        </w:tblCellMar>
      </w:tblPr>
      <w:tblGrid>
        <w:gridCol w:w="1756"/>
        <w:gridCol w:w="146"/>
        <w:gridCol w:w="8303"/>
      </w:tblGrid>
      <w:tr>
        <w:trPr/>
        <w:tc>
          <w:tcPr>
            <w:tcW w:w="17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the initial public offering price will be between US$            and US$            per ADS.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offered by us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ADSs (or            ADSs if the underwriters exercise their option to purchase additional ADSs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ADSs (or            ADSs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after this offering</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            Class A ordinary shares and            Class B ordinary shares (or            Class B ordinary shares if the underwriters exercise their option to purchase additional ADS in full).</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Class B ordinary shares, par value US$0.00001 per share. The ADSs generally are uncertificated.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hold the Class B ordinary shares underlying your ADSs and you will have rights as provided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declare dividends on our Class B ordinary shares, the depositary will pay you the cash dividends and other distributions it receives on our Class B ordinary shares, after deducting its fees and expenses in accordance with the terms set forth in the deposit agreement.</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surrender your ADSs to the depositary in exchange for our Class B ordinary shares. The depositary will charge you fees for any exchange. We may amend or terminate the deposit agreement without your consent. If you continue to hold your ADSs, you agree to be bound by the deposit agreement as amended.</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 to purchase additional ADSs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underwriters an option, which is exercisable within            days from the date of this prospectus, to purchase up to            additional ADSs.</w:t>
            </w:r>
          </w:p>
        </w:tc>
      </w:tr>
      <w:tr>
        <w:trPr/>
        <w:tc>
          <w:tcPr>
            <w:tcW w:w="175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30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of approximately US$            million from this offering (or US$            million if the underwriters exercise their option to purchase additional ADSs in full), after deducting the underwriting discounts, commissions, and estimated offering expenses payable by us and assuming an initial public offering price of US$            per ADS, being the mid-point of the estimated range of the initial public offering price shown on the front cover of this prospectus.</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use the net proceeds we receive from this offering to invest in research and development, the Singapore market, and for general corporate purposes. See “Use of Proceeds” for additional information.</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92"/>
        <w:gridCol w:w="146"/>
        <w:gridCol w:w="8667"/>
      </w:tblGrid>
      <w:tr>
        <w:trPr/>
        <w:tc>
          <w:tcPr>
            <w:tcW w:w="139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directors and executive officers, and principal shareholders are expected to enter into lock-up agreements with the Underwriter not to sell, transfer, or dispose of any Class B ordinary shares for a period of up to six months after this offering is completed.] See “Underwriting” for more information.</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[Directed Share Program]</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underwriters have reserved for sale, at the initial public offering price, up to an aggregate of            ADSs offered in this offering to our directors, officers, employees, business associates and related persons.]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investing in the ADSs.</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Listing</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apply to have the ADSs listed on the Nasdaq Global Market under the symbol “TDTH.” Our ADSs and Class B ordinary shares will not be listed on any other stock exchanges or traded on any automated quotation system.</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and Settlement</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are expected to be delivered against payment on            , 2023. They will be registered in the name of a nominee of The Depository Trust Company, or DTC.</w:t>
            </w:r>
          </w:p>
        </w:tc>
      </w:tr>
      <w:tr>
        <w:trPr/>
        <w:tc>
          <w:tcPr>
            <w:tcW w:w="139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Depositary</w:t>
            </w:r>
          </w:p>
        </w:tc>
        <w:tc>
          <w:tcPr>
            <w:tcW w:w="146" w:type="dxa"/>
            <w:tcBorders/>
          </w:tcPr>
          <w:p>
            <w:pPr>
              <w:pStyle w:val="TableContents"/>
              <w:bidi w:val="0"/>
              <w:spacing w:before="0" w:after="283"/>
              <w:jc w:val="left"/>
              <w:rPr/>
            </w:pPr>
            <w:r>
              <w:rPr/>
              <w:t> </w:t>
            </w:r>
          </w:p>
        </w:tc>
        <w:tc>
          <w:tcPr>
            <w:tcW w:w="866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ordinary shares that will be issued and outstanding immediately after this offering:</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is based on            issued and outstanding ordinary shares as of the date of this prospectus;</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includes            Class B ordinary shares in the form of ADSs that we will issue and sell in this offering, assuming the underwriters do not exercise their option to purchase additional ADSs; and</w:t>
      </w:r>
    </w:p>
    <w:p>
      <w:pPr>
        <w:pStyle w:val="TextBody"/>
        <w:keepNext w:val="false"/>
        <w:pageBreakBefore w:val="false"/>
        <w:widowControl/>
        <w:pBdr/>
        <w:bidi w:val="0"/>
        <w:spacing w:before="160" w:after="283"/>
        <w:ind w:left="960" w:right="0" w:hanging="480"/>
        <w:jc w:val="left"/>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excludes ordinary shares issuable upon exercise of our outstanding options, ordinary shares reserved for future issuances under our 2023 Equity Incentive Plan, and ordinary shares that are treated as treasury stock for accounting purposes and are subject to forfeiture if vesting conditions are not met.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following table presents our summary consolidated statements of operations data for the periods indicated. </w:t>
      </w:r>
    </w:p>
    <w:tbl>
      <w:tblPr>
        <w:tblW w:w="10205" w:type="dxa"/>
        <w:jc w:val="left"/>
        <w:tblInd w:w="0" w:type="dxa"/>
        <w:tblLayout w:type="fixed"/>
        <w:tblCellMar>
          <w:top w:w="0" w:type="dxa"/>
          <w:left w:w="0" w:type="dxa"/>
          <w:bottom w:w="0" w:type="dxa"/>
          <w:right w:w="0" w:type="dxa"/>
        </w:tblCellMar>
      </w:tblPr>
      <w:tblGrid>
        <w:gridCol w:w="2604"/>
        <w:gridCol w:w="146"/>
        <w:gridCol w:w="241"/>
        <w:gridCol w:w="1306"/>
        <w:gridCol w:w="196"/>
        <w:gridCol w:w="146"/>
        <w:gridCol w:w="241"/>
        <w:gridCol w:w="1306"/>
        <w:gridCol w:w="196"/>
        <w:gridCol w:w="146"/>
        <w:gridCol w:w="241"/>
        <w:gridCol w:w="1306"/>
        <w:gridCol w:w="196"/>
        <w:gridCol w:w="146"/>
        <w:gridCol w:w="241"/>
        <w:gridCol w:w="1306"/>
        <w:gridCol w:w="241"/>
      </w:tblGrid>
      <w:tr>
        <w:trPr/>
        <w:tc>
          <w:tcPr>
            <w:tcW w:w="2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34,853 </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consolidated balance sheet data as of the dates indicated.</w:t>
      </w:r>
    </w:p>
    <w:tbl>
      <w:tblPr>
        <w:tblW w:w="9477" w:type="dxa"/>
        <w:jc w:val="left"/>
        <w:tblInd w:w="0" w:type="dxa"/>
        <w:tblLayout w:type="fixed"/>
        <w:tblCellMar>
          <w:top w:w="0" w:type="dxa"/>
          <w:left w:w="0" w:type="dxa"/>
          <w:bottom w:w="0" w:type="dxa"/>
          <w:right w:w="0" w:type="dxa"/>
        </w:tblCellMar>
      </w:tblPr>
      <w:tblGrid>
        <w:gridCol w:w="4276"/>
        <w:gridCol w:w="146"/>
        <w:gridCol w:w="241"/>
        <w:gridCol w:w="1291"/>
        <w:gridCol w:w="181"/>
        <w:gridCol w:w="146"/>
        <w:gridCol w:w="241"/>
        <w:gridCol w:w="991"/>
        <w:gridCol w:w="146"/>
        <w:gridCol w:w="241"/>
        <w:gridCol w:w="1336"/>
        <w:gridCol w:w="241"/>
      </w:tblGrid>
      <w:tr>
        <w:trPr/>
        <w:tc>
          <w:tcPr>
            <w:tcW w:w="427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91"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selected consolidated statements of cash flow data for the periods indicated.</w:t>
      </w:r>
    </w:p>
    <w:tbl>
      <w:tblPr>
        <w:tblW w:w="10205" w:type="dxa"/>
        <w:jc w:val="left"/>
        <w:tblInd w:w="0" w:type="dxa"/>
        <w:tblLayout w:type="fixed"/>
        <w:tblCellMar>
          <w:top w:w="0" w:type="dxa"/>
          <w:left w:w="0" w:type="dxa"/>
          <w:bottom w:w="0" w:type="dxa"/>
          <w:right w:w="0" w:type="dxa"/>
        </w:tblCellMar>
      </w:tblPr>
      <w:tblGrid>
        <w:gridCol w:w="3851"/>
        <w:gridCol w:w="146"/>
        <w:gridCol w:w="226"/>
        <w:gridCol w:w="1066"/>
        <w:gridCol w:w="181"/>
        <w:gridCol w:w="146"/>
        <w:gridCol w:w="226"/>
        <w:gridCol w:w="928"/>
        <w:gridCol w:w="181"/>
        <w:gridCol w:w="146"/>
        <w:gridCol w:w="226"/>
        <w:gridCol w:w="1141"/>
        <w:gridCol w:w="181"/>
        <w:gridCol w:w="146"/>
        <w:gridCol w:w="226"/>
        <w:gridCol w:w="961"/>
        <w:gridCol w:w="227"/>
      </w:tblGrid>
      <w:tr>
        <w:trPr/>
        <w:tc>
          <w:tcPr>
            <w:tcW w:w="3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54"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108"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5"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2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273,593 </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6"/>
      <w:bookmarkEnd w:id="4"/>
      <w:r>
        <w:rPr>
          <w:rFonts w:ascii="Times New Roman PS Std;serif" w:hAnsi="Times New Roman PS Std;serif"/>
          <w:b/>
          <w:i w:val="false"/>
          <w:caps w:val="false"/>
          <w:smallCaps w:val="false"/>
          <w:sz w:val="20"/>
        </w:rPr>
        <w:t>RISK FACTORS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rapid growth may not be sustainable or indicative of our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recent rapid growth may not be sustainable or indicative of our future growth. Even though the number of clients who use our solutions has grown rapidly in recent years, there can be no assurance that we will be able to attract new clients or retain existing clients. In future periods, our revenues could grow more slowly than in recent periods or decline for a number of reasons, including any reduction in demand for our solutions and services, increase in competition, limited ability to, or our decision not to, increase pricing, or our failure to capitalize on growth opportunities. We have encountered in the past, and will encounter in the future, risks and uncertainties frequently experienced by growing companies in new and rapidly changing markets.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would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fail to manage our infrastructure to support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rapid growth we have experienced in our business places significant demands on our operational infrastructure. The scalability and flexibility of our solutions and services depend on the functionality of our technology and network infrastructure and its ability to handle increased traffic and demand for bandwidth. The growth in the number of clients and their customers using our solutions and services has increased the amount of data that we process. Any problems with the transmission of increased data could result in harm to our brand or reputation. Moreover, as our business grows, we will need to devote additional resources to improving our operational infrastructure and continuing to enhance its scalability in order to maintain the performance of our solutions and services, including client support, risk and compliance operations, and other solutions services. Any failure of or delay in these efforts could result in service interruptions, impaired system performance, and reduced client satisfaction. If sustained or repeated, these performance issues could reduce the attractiveness of our solutions and services to our clients and could result in lost client opportunities and higher attrition rates, any of which could hurt our revenue growth, client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Substantially all of our revenues are generated by sales to clients in our targeted verticals, and factors, including Singapore and global market and economic conditions, that adversely affect the applicable industry could also adversely affect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substantially all of our sales are to clients in the e-commerce, food and beverage, fintech, healthcare and service, wholesale and retail industries</w:t>
      </w:r>
      <w:r>
        <w:rPr>
          <w:rFonts w:ascii="Times New Roman PS Std;serif" w:hAnsi="Times New Roman PS Std;serif"/>
          <w:b w:val="false"/>
          <w:i/>
          <w:caps w:val="false"/>
          <w:smallCaps w:val="false"/>
          <w:sz w:val="20"/>
        </w:rPr>
        <w:t xml:space="preserve">. </w:t>
      </w:r>
      <w:r>
        <w:rPr>
          <w:rFonts w:ascii="Times New Roman PS Std;serif" w:hAnsi="Times New Roman PS Std;serif"/>
          <w:b w:val="false"/>
          <w:i w:val="false"/>
          <w:caps w:val="false"/>
          <w:smallCaps w:val="false"/>
          <w:sz w:val="20"/>
        </w:rPr>
        <w:t>Demand for our solutions could be affected by factors that are unique to and adversely affect our targeted verticals. For example, changes in applicable laws and regulations could significantly impact the software functionality demanded by our clients and require us to expend significant resources to ensure our solutions continue to meet their evolving needs. In addition, other industry-specific factors, such as industry consolidation or the introduction of competing technology, could lead to a significant reduction in the number of clients that use our solutions within a particular vertical or the services demanded by these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general worldwide economic conditions remain unstable, making it difficult for our clients and us to forecast and plan future business activities accurately. Adverse changes in global economic and political conditions could result in significant decreases in demand for our solutions, including the delay or cancellation of current or anticipated projects, and reduction in IT spending by our clients and potential clients, or could present difficulties in collecting accounts receivables from our clients due to their deteriorating financial condition. Our existing clients may be acquired by or merged into other entities that use our competitors’ solutions and services, or they may decide to terminate their relationships with us for other reasons. As a result, our ability to generate revenues from our clients could be adversely affected by specific factors that affect these industries.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not able to introduce new features or services successfully and to make enhancements to our solutions and services, our business and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attract new clients and increase revenue from existing clients depends in part on our ability to enhance and improve our solutions and to introduce new features and services. For example, we plan to introduce Tridentity, our Web 3.0-enabled e-commerce platform whereby customers and merchants can transact in a transparent and secure way, in the fourth quarter of 2023. To grow our business and remain competitive, we must continue to enhance our solutions and develop features that reflect the constantly evolving nature of technology and our clients’ needs. The success of our solutions, enhancements or developments depends on several factors: our anticipation of market changes, demands, and software features, including timely solution introduction and conclusion, sufficient client demand, cost effectiveness in our solution and service development efforts and the proliferation of new technologies that are able to deliver competitive offerings at lower prices, more efficiently, more conveniently or more securely.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because our solutions are designed to operate with a variety of systems, applications, data, and devices, we will need to continuously modify and enhance our solutions to keep pace with changes and updates in such systems. We may not be successful in developing these modifications and enhancements. Furthermore, the addition of features to our solutions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client adoption of new features. Such uncertainty limits our ability to forecast our future results of operations and subjects us to several challenges, including our ability to plan for and model future growth. If we cannot address such uncertainties and successfully develop new features, enhance our solutions, or otherwise overcome technological challenges and competing technologies, our business and results of operations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solutions, services or pricing models may not accurately reflect the optimal pricing necessary to attract new clients and retain existing clients as the market matures.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market for our solutions and services matures, or as competitors introduce new solutions and services that compete with ours, we may be unable to attract new clients at the same price or based on the same pricing models as we have used historically. We price our solutions and services based on an enterprise size basis with enterprise-wide access to our solutions and services or based on the number of individual users, and therefore, pricing decisions may also impact the mix of adoption among our solutions and services and negatively impact our overall revenues. Further, pricing pressures and increased competition generally could result in reduced sales, reduced margins, losses, or the failure of our solutions and services to achieve or maintain more widespread market acceptance, any of which could harm our business, results of operations, and financial condition. In the future, we may be required to reduce our prices or develop new pricing models, which could adversely affect our revenues, gross margin, profitability, financial position, and cash flow.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adapt and respond effectively to rapidly changing technology, evolving industry standards and regulations, and changing business needs, requirements, or preferences, our solutions and services may become less competitive, and our growth rate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market for our solutions is relatively new and subject to ongoing technological change, evolving industry standards, shifting laws and regulations, and changing client and customer needs, requirements, and preferences. The success of our business will depend, in part, on our ability to adapt and respond effectively to these changes on a timely basis, including launching new solutions. The success of any new solutions, or any enhancements or modifications to existing solutions, depends on several factors, including the timely completion, introduction,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acceptance of such solutions, enhancements and modifications. If we are unable to enhance our solutions or develop new solutions that keep pace with technological and regulatory change and achieve market acceptance, or if new technologies emerge that are able to deliver competitive solutions at lower prices, more efficiently, more conveniently or more securely than our solutions, our business, operating results and financial condition would be adversely affected. Furthermore, modifications to our existing solutions or technology will increase our research and development expenses. Any of the foregoing could reduce the demand for our services, result in client dissatisfaction and adversely affect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offer high-quality client support, if we experience complaints regarding our client support or if our support is more expensive than anticipated, our business and reputation could suffer.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Clients rely on our client support services to resolve issues and realize the full benefits provided by our solutions and services. High-quality support is also important to maintain and drive further adoption by our existing clients and their customers. Certain of our solutions provide client support to clients primarily over email, with some additional support provided over chat and through our solutions. If we do not help our clients and their customers quickly resolve issues and provide effective ongoing support, or if our support personnel or methods of providing support are insufficient to meet the needs of our clients and their customers, our ability to retain clients, increase adoption by our existing clients and acquire new clients could suffer, and our reputation with existing or potential clients could be harmed. In addition, client complaints or negative publicity about our client service could diminish confidence in and use of our solutions or services. Effective client service requires significant expenses, which, if not managed properly, could negatively impact our profitability. If we are not able to meet the client support needs of our clients and their customers during the hours that we currently provide support, we may need to increase our support coverage and provide additional support by other means and methods, which may reduce our profitability.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or perceived errors, failures or bugs in our solutions could adversely affect our business, results of operations, financial condition, and growth prospects.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complex, and therefore, undetected errors, failures or bugs have occurred in the past and may occur in the future. Our solutions are often used in IT environments with different operating systems, system management software, applications, devices, databases, servers, storage, middleware, custom and third-party applications and equipment and networking configurations, which has in the past caused, and may in the future cause, errors or failures in the IT environment into which our solutions are deployed. This diversity increases the likelihood of errors or failures in those IT environments. Despite testing by us, real or perceived errors, failures or bugs may not be found until our clients use our solutions. Real or perceived errors, failures or bugs in our solutions could result in negative publicity, loss of or delay in market acceptance of our solutions and harm our brand, weakening of our competitive position, claims by clients for losses sustained by them or failure to meet the stated service level commitments in our client agreements. In such an event, we may be required, or may choose, for client relations or other reasons, to expend significant additional resources in order to help correct the problem. Any errors, failures or bugs in our solutions could impair our ability to attract new clients, retain existing clients or expand their use of our solutions, which would adversely affect our business, results of operations and financial condition.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face intense competition, which could limit our ability to maintain or expand market share within our industry, and if we do not maintain or expand our market share our business, financial condition, and operating results will be harmed. The market for digital solutions and Web 3.0-enabled e-commerce is highly fragmented. As costs fall and technology improves, increased market saturation may change the competitive landscape in favor of competitors with greater scale than we currently possess.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Some of our competitors have greater name recognition, longer operating histories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cooperative relationships with vendors of complementary solutions, technologies or services to increase the availability of their solutions and services to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marketplace. Accordingly, new competitors or alliances may emerge that have greater market share, larger client bases, more widely adopted proprietary technologies, greater marketing expertise, greater financial resources and larger sales forces than we have, which could put us at a competitive disadvantage.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 light of these advantages, even if our solutions and services are more effective than the offerings of our competitors, current or potential clients might accept our competitors’ offerings in lieu of purchasing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compete on the basis of price. We may be subject to pricing pressures as a result of, among other things, competition within the industry, consolidation of our clients, government action, and financial stress experienced by our clients. If our pricing experiences significant downward pressure or clients acquire or develop competing solutions and services, our business will be less profitable and our results of operations will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we will be able to retain our current clients or expand our client base in this competitive environment. If we do not retain current clients or expand our client base, or if we have to renegotiate existing contracts, our business, financial condition, and results of operations will be harmed. If one or more of our competitors or potential competitors were to merge or partner with another of our competitors, the change in the competitive landscape could also adversely affect our ability to compete effectively and could harm our business,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net losses on an annual basis since we were founded, anticipate increasing our operating expenses in the future, and may not achieve or sustain profitability.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 of approximately US$1.13 million and US$1.86 million in fiscal year 2022 and the six months ended June 30, 2023, respectively. We must generate and sustain higher revenue levels in future periods to become profitable, and, even if we do, we may not be able to maintain or increase our profitability. We expect to continue to incur losses for the foreseeable future as we expend substantial financial and other resources on,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and marketing, including expanding our direct sales team and online marketing programs;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in the development of new solutions and new features for, and enhancements of, our existing services;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of our operations and infrastructure organically and through acquisitions and strategic partnerships;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administration, including legal, risk management, accounting, and other expenses related to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expenditures may not result in additional revenues or the growth of our business. Accordingly, we may not be able to generate sufficient revenues to offset our expected cost increases and achieve and sustain profitability. If we fail to achieve and sustain profitability,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substantially in the foreseeable future as we continue to expend financial resources to grow our business, including to build new solutions and add features and functionality to existing solutions; expand our salesforce and marketing to win new clients; expand into new verticals; pursue strategic acquisitions or strategic investments; improve our technology infrastructure, including systems architecture, scalability, availability, performance and network security; comply with laws and regulations; purchase directors’ and officers’ liability insurance for public companies; and invest in general administration, including increased legal and accounting expenses associated with being a public company. 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achieve or, if achieved, maintain profitability over the long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company operations may prove to be more expensive than we currently anticipate, and we may not succeed in increasing our revenue sufficiently to offset these higher expenses. As a result, we may need to raise additional capital through equity and debt financings in order to fund our operations. If we are unable to effectively manage these risks and difficulties as we encounter them, our business, financial condition, and results of operations may suffer and your investment may be further diluted.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fluctuations in our operating results, making it difficult to project future results, and if we fail to meet the expectations of securities analysts or investors with respect to our operating results, the market price of our ADSs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risks described herein, factors that may affect our operating results include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demand for our digital solutions and e-commerce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new clients and retain and increase adoption by our existing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preference for cloud-based services as a result of security breaches in the industry or privacy concerns, or other security or reliability concerns regarding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client budgets and in the timing of their budget and billing cycles and purchasing decisions;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implementation timeline of our solutions with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and existing clients choosing our competitors’ solutions or developing their own solutions in-house;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or introduction of new solutions that are easier to use or more advanced than our current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or retention of more entrenched or rival services in the markets where we compete or plan to compete;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payment for operating expenses, particularly research and development and sales and marketing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non-cash expenses, including share-based compensation, goodwill impairments and other non-cash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and timing of costs associated with recruiting, training and integrating new employees, and retaining and motivating existing employees;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acquisitions and their integration;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(including inflation), as well as economic conditions specifically affecting industries in which our clients operate;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new accounting pronouncements;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competitive dynamics of our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breaches of, technical difficulties with, or interruptions to, the delivery and use of our solutions from our technology vendors, and/or our own developed technology;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awareness of our brand and our reputation in our target markets.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operating results fall below the expectations of investors and securities analysts who follow our ADSs, the market price of our ADSs could decline substantially, and we could face costly lawsuits, including securities class action lawsuits.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 the past, and may in the future, incur indebtedness that could adversely affect our financial flexibility and expose us to risks that could materially adversely affect our liquidity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we had approximately US$0.6 million of outstanding principal amount of the term loans under our existing credit facility at interest rates which are subject to market fluctuation. These term loans mature in 2026 and 2027. Our indebtedness and related obligations could have important future consequences to us,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borrow additional amounts to fund capital expenditures, acquisitions, debt service requirements, execution of our growth strategy and other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make investments, including acquisitions, loans and advances, and to sell, transfer or otherwise dispose of assets;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competitive disadvantage compared with our competitors that have less debt;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exposing us to risks inherent in interest rate fluctuations if our future borrowings are at variable rates of interest, which could result in higher interest expense in the event of increases in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not be able to generate sufficient cash flow from our operations to repay our future indebtedness when it becomes due and to meet our other cash needs. If we are not able to pay our borrowings under future indebtedness as they become due, we will be required to pursue one or more alternative strategies, such as selling assets, refinancing or restructuring our indebtedness or selling additional debt or equity securities. We may not be able to refinance our future debt or sell additional debt or equity securities or our assets on favorable terms, if at all, and if we must sell our assets, it may negatively affect our business, financial condition and results of operations. In addition, we may be subject to prepayment penalties depending on when we repay our future indebtedness, which amounts could be material.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are subject to risks associated with rising interest rates, which could negatively impact our ability to maintain the current financing and obtain additional financing.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 Additionally, we may need to raise additional financing to support our operations, which could include equity or debt financing, in the immediate and near term. Rising interest rates would negatively impact our ability to obtain such financing on commercially reasonable terms or at all. Recently, due to the fixed interest rates in our terms of loans, our borrowing costs have not increased. However, we cannot predict the ultimate impact on our business of any prolonged or continued interest rate increases. To the extent we are required to obtain financing at higher borrowing costs to support our operations, we may be unable to offset such costs through price increases, other cost control measures, or other means. Any attempts to offset cost increases with price increases may result in reduced sales, increased customer dissatisfaction, or otherwise harm our reputation.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not implement our growth strategies successfully which would limit our growth and cause the market price of our ADS to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implement successfully our growth strategies. We expect to invest substantial amounts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Tridentity offerings;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 new solutions and add features and functionality to existing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grow our salesforce and marketing to win new clients;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relationships with our existing clients;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into new verticals and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pursue strategic acquisitions or strategic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improve our technology infrastructure, including systems architecture, scalability, availability, performance and network security;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comply with regulatory requirements and risk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in these programs will affect adversely our short-term profitability. This would impact revenues adversely and cause our business to suffer.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unsuccessful in entering new market segments or further penetrating our existing market segments, our revenue or revenue growth could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results depend, in part, on our ability to successfully penetrate new markets, as well as to expand further into our existing markets. In order to grow our business, we may expand to other project-focused markets in which we may have less experience. Expanding into new markets requires both considerable investment and coordination of technical, support, sales, marketing and financial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or future solutions and services may not appeal to potential clients in new or existing markets. If we are unable to execute upon this element of our business strategy and expand into new markets or maintain and increase our market share in our existing markets, our revenue or revenue growth may be materially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continually add functionality to our existing solutions and services and add additional solutions through acquisitions to address the specific needs of both existing clients and new clients, we may be unsuccessful in developing appropriate or complete solutions, pursuing effective services and solution development and marketing strategies, or integrating acquired services and solutions with our existing portfolio.</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acquire or invest in companies, which may divert our management’s attention and result in additional dilution to our shareholders. We may be unable to integrate acquired businesses and technologies successfully or achieve the expected benefits of such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in part, on our ability to grow our business in response to changing technologies, client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negatively affect our results of operations because it may require us to incur charges or assume substantial debt or other liabilities, may cause adverse tax consequences or unfavorable accounting treatment, may expose us to claims and disputes by shareholders and third parties, including intellectual property claims and disputes, or may not generate sufficient financial return to offset additional costs and expenses related to the acquisition;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or unforeseen expenditures in integrating the business, technologies, solutions, personnel or operations of any company that we acquire, particularly if key personnel of the acquired company decide not to work for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realize anticipated synergies;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acquisition may disrupt our ongoing business, divert resources, increase our expenses, and distract our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challenges integrating the employees of the acquired company into our company culture;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encounter difficulties in, or may be unable to, successfully sell any acquired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use of cash to pay for acquisitions would limit other potential uses for our cash;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incur debt to fund any acquisitions, such debt may subject us to material restrictions on our ability to conduct our business financial maintenance covenants;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issue a significant amount of equity securities in connection with future acquisitions, existing shareholders may be diluted and earnings per share may decrease.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of these risks could have an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we may fail to assimilate or integrate the businesses, technologies, services, personnel or operations of the acquired companies, retain key personnel necessary to favorably execute the combined companies’ business plan, or retain existing clients or sell acquired services to new clients. Additionally, the assumptions we use to evaluate acquisition opportunities may not prove to be accurate, and intended benefits may not be realized. Our due diligence investigations may fail to identify all of the problems, liabilities or other challenges associated with an acquired business which could result in increased risk of unanticipated or unknown issues or liabilities, including with respect to competition and other regulatory matters, and our mitigation strategies for such risks that are identified may not be effective. As a result, we may not achieve some or any of the benefits, including anticipated synergies or accretion to earnings, that we expect to achieve in connection with our acquisitions, or we may not accurately anticipate the fixed and other costs associated with such acquisitions, or the business may not achieve the performance we anticipated, which may materially adversely affect our business, prospects, financial condition, results of operations, cash flows, as well as the market price of our ADSs. Further, if we fail to achieve the expected synergies from our acquisitions and alliances, particularly if business performance declines or expected growth is not realized, we may experience impairment charges with respect to goodwill, intangible or other long-lived assets. Any future impairment of our goodwill or intangible or other long-lived assets could have an adverse effect on our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Interruptions or performance problems associated with our infrastructure may adversely affect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depends in part on the ability of our existing clients and new clients to access our solutions at any time and within an acceptable amount of time. We have in the past, and may in the future,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Our disaster recovery planning cannot account for all eventualities. In some instances, we may not be able to identify and/or remedy the cause or causes of these performance problems within an acceptable period of time. It may become increasingly difficult to maintain and improve our performance as our solutions and client implementations become more complex. If our solutions or services are unavailable or if our clients are unable to access features of our solutions and services within a reasonable amount of time or at all, or if other performance problems occur, our business, results of operations and financial conditions may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the reliable performance of Internet infrastructure, bandwidth providers, data center providers, cloud providers, mobile infrastructure, and other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reputation, and ability to attract customers to our platform depend on the reliable performance of Internet infrastructure, bandwidth providers, data center providers, cloud providers, mobile infrastructure, and other third parties. As our range of services and the number of platform users expand, our need for additional network capacity and computing power will also grow. Operating our underlying technology systems is expensive and complex, and we could experience operational failures from time to time. If we experience interruptions or failures in these systems, whether due to system failures, computer viruses, physical or electronic break-ins, attacks on domain name servers or other third parties on which we rely, or any other reason, the security and availability of our solutions and services could be affected. Any such event could cause us to incur additional costs, result in delays in our solutions and services, cause detrimental harm to our brand and reputation, and/or create a loss in confidence of our clients who use our solutions or services or the third party service providers whom we work with, resulting in a material adverse effect on our business, prospects,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generates and processes a large amount of consumer data, and the improper use, collection or disclosure of such data could subject us to significant reputational, financial, legal and operational consequences.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regularly collect, store and use client information and personal data in the course of our business and marketing activities. The collection and use of personal data is governed by the various data privacy and protections laws and regulations in the jurisdictions we operate, and we are required to comply with applicable laws, rules and regulations relating to the collection, use, storage, transfer, disclosure and security of personal data. We face risks inherent in handling and protecting a large amount of data that our business generates and processes from the significant number of transactions our platform facilitates, such as protecting the data hosted on our system against attacks on our system or fraudulent behavior or improper use by our employees. Although we employ comprehensive security measures to prevent, detect, address, and mitigate these risks (including access controls, data encryption, vulnerability assessments, and maintenance of backup and protective systems), these threats may still materialize. If any of our security measures are compromised, information of our clients or other data belonging to our clients maybe misappropriated or publicly disseminated, which may result in enforcement action being taken against us by the relevant data protection regulatory bodies, such as fines, revocation of licenses, suspension of relevant operations or other legal or administrative penalties. Furthermore, any failure or perceived failure by us or our business partners to comply with all applicable data privacy and protection laws and regulations may result in negative publicity, which may, in turn, damage our reputation, cause clients to lose trust and confidence in us, and stop using our solutions or services altogether. We may also incur significant costs to remedy such security breaches, such as repairing any system damage and compensation to clients and business partners. If any of these risks were to materialize, it could have a material adverse effect on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regulations continue to evolve and, occasionally, may be inconsistent from one jurisdiction to another. Compliance with applicable privacy regulations may increase our operating costs. If we fail to comply with any of the applicable laws and regulations, depending on the type and severity of any such violation, we may be subject to, amongst others, warnings from relevant authorities, imposition of fines and/or criminal liability, being ordered to close down our business operations and/or suspension of relevant licenses and permits. As a result, our reputation may be harmed and our business, prospects, financial condition and results of operations could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protect our intellectual property or proprietary rights could substantially harm our business and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and ability to compete depends in part on our intellectual property. As of June 30, 2023, we have one registered trademark in Singapore. See “</w:t>
      </w:r>
      <w:r>
        <w:rPr>
          <w:rFonts w:ascii="Times New Roman PS Std;serif" w:hAnsi="Times New Roman PS Std;serif"/>
          <w:b w:val="false"/>
          <w:i/>
          <w:caps w:val="false"/>
          <w:smallCaps w:val="false"/>
          <w:sz w:val="20"/>
        </w:rPr>
        <w:t>Business — Intellectual Property.</w:t>
      </w:r>
      <w:r>
        <w:rPr>
          <w:rFonts w:ascii="Times New Roman PS Std;serif" w:hAnsi="Times New Roman PS Std;serif"/>
          <w:b w:val="false"/>
          <w:i w:val="false"/>
          <w:caps w:val="false"/>
          <w:smallCaps w:val="false"/>
          <w:sz w:val="20"/>
        </w:rPr>
        <w:t>” Any use of trademarks by third parties which are similar or identical to ours may also result in imitation of our platform, which may adversely affect our business, prospects, financial condition and results of operation.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seek to protect our proprietary technology and intellectual property primarily through a combination of intellectual property laws as well as confidentiality procedures and contractual restrictions. Our employees are subject to confidentiality obligations under the terms of their respective employment contracts</w:t>
      </w:r>
      <w:r>
        <w:rPr>
          <w:rFonts w:ascii="Times New Roman PS Std;serif" w:hAnsi="Times New Roman PS Std;serif"/>
          <w:b/>
          <w:i/>
          <w:caps w:val="false"/>
          <w:smallCaps w:val="false"/>
          <w:sz w:val="20"/>
        </w:rPr>
        <w:t xml:space="preserve">. </w:t>
      </w:r>
      <w:r>
        <w:rPr>
          <w:rFonts w:ascii="Times New Roman PS Std;serif" w:hAnsi="Times New Roman PS Std;serif"/>
          <w:b w:val="false"/>
          <w:i w:val="false"/>
          <w:caps w:val="false"/>
          <w:smallCaps w:val="false"/>
          <w:sz w:val="20"/>
        </w:rPr>
        <w:t>However, there can be no assurance that these measures are effective, or that infringement of our intellectual property rights by other parties does not exist now or will not occur in the future. In addition, our intellectual property rights may not be adequately protected because other parties may still misappropriate, copy or reverse engineer our technology despite our internal governance processes or the existence of laws or contracts prohibiting it, and policing unauthorized use of our intellectual property may be difficult, expensive and time consuming, and we may be unable to determine the extent of any unauthorized use.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protect our intellectual property rights and maintain our competitiveness, we may file lawsuits against parties who we believe are infringing upon our intellectual property rights. Such proceedings may be costly and may divert management attention and other resources away from our business. In certain situations, we may have to bring lawsuits in various jurisdictions, in which case we are subject to additional risks as to the result of the proceedings and the amount of damages that we can recover. Any of our intellectual property rights may also be challenged by others or invalidated through administrative processes or litigations. We can provide no assurance that we will prevail in such litigations, and, even if we do prevail, we may not obtain a meaningful relief. Any inability to adequately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 our proprietary rights may have a material negative impact on our ability to compete, to generate revenue and to grow our business. Under such circumstances, our business, prospects, financial condition and results of operations would be materially and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certain technology and software licensed from third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business, we employ certain technology and software licensed from third parties, such as Amazon Web Services and Tencent. We typically do not enter into long-term agreements for the licensing of such software and tools, and the license agreements are typically on subscription and short-term bases. Accordingly, there is no assurance that such third parties will continue to extend such licenses to us after the expiry of the current license period, and if such licenses are renewed, whether such renewals will be on terms favorable to us. Although we believe that there are commercially reasonable alternatives to the third-party software we currently license, this may not always be the case, or it may be difficult or costly to replace. Any failure to maintain the existing licenses or to obtain new licenses on favorable terms or at all may cause a disruption to our platform and service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susceptible to undetected errors or defects in the third-party software or technology, which would in turn impair the usage of our technology, disrupt our platform operations and delay or impede our service offerings to clients. This may cause merchants and clients to lose confidence in our platform and also cause damage to our reputation, which would in turn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Some of our services and technologies may use “open source” software, which may restrict how we use or distribute our services or require that we release the source code of certain solutions subject to those licenses.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our solutions and services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to or derivative works of open source software continue to be licensed under open source licenses. These open source licenses typically mandate that proprietary software, when combined in specific ways with open source software, become subject to the open source license. If we combine our proprietary solutions in such ways with certain open source software, we could be required to release the source code of our proprietary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steps to ensure that our proprietary solutions are not combined with, and do not incorporate, open source software in ways that would require our proprietary solutions to be subject to many of the restrictions in an open source license. However, the manner in which these licenses may be interpreted and enforced is subject to some uncertainty. Additionally, we rely on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solutions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cybersecurity risks with respect to operational systems, security systems, infrastructure, and customer data processed by us or third-party vendors or suppliers and any material failure, weakness, interruption, cyber event, incident or breach of security could prevent us from effectively operating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or customer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or others; jeopardize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of our facilities; or affect the performance of our solutions and services.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the performance of senior management team and highly skilled personnel; if we are unable to retain or motivate key personnel or hire, retain and motivate qualified personnel, our business would be harmed.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success has depended, and continues to depend, on the efforts and talents of our senior management team, particularly our chief executive officer, Mr. Soon Huat Lim, and our chief technology officer, Mr. Poh Kiong Tan, highly skilled team members, including our software engineers, professional consultants and sales personnel. We do not maintain key man insurance on any of our executive officers or key employees. From time to time, there may be changes in our senior management team resulting from the termination or departure of our executive officers and key employees. Many members of our senior management team could terminate their employment with us by providing a notice period of three months or making a compensation equivalent of their salaries during the required notice period in lieu of notice. The loss of any of our senior management could adversely affect our ability to build on the efforts they have undertaken and to execute our business plan, and we may not be able to find adequate replacements. We cannot ensure that we will be able to retain the services of any members of our senior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compete with a number of technology companies to attract and retain software developers with specialized experience in designing, developing, and managing our solutions and services, including our cloud-based software, as well as for skilled developers, engineers and information technology and operations professionals who can successfully implement and deliver our solutions and services. Additionally, we believe that our future growth will depend on the development of our go-to-market strategy and the continued recruiting, retention, and training of our sales teams, including their ability to obtain new clients and to manage our existing client base. Our ability to expand geographically depends, in large part, on our ability to attract, retain and integrate managers to lead the local business and employees with the appropriate skills. Similarly, our profitability depends on our ability to effectively utilize personnel with the right mix of skills and experience to perform services for our clients, including our ability to transition employees to new assignments on a timely basis. Many of the companies with which we compete for experienced personnel have greater resources than we have. We may incur significant costs to attract, train and retain such personnel, and we may lose new employees to our competitors or other technology companies before we realize the benefit of our investment after recruiting and training them. Also, to the extent that we hire personnel from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we may be subject to allegations that such personnel have been improperly solicited or have divulged proprietary or other confidential information. If we are unable to attract, integrate and retain qualified personnel, or if there are delays in hiring required personnel, our business would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While these numbers are based on what we believe to be reasonable calculations for the applicable periods of measurement, there are inherent challenges in measuring such information. Even if the market in which we compete achieves the forecasted growth, our business could fail to grow at similar rates, if at all. The variables that go into the calculation of our market opportunity are subject to change over time, and there is no guarantee that any particular number or percentage of addressable users or companies covered by our market opportunity estimates will purchase our solutions and services at all or generate any particular level of revenue for us. Any expansion in our market depends on a number of factors, including the cost, performance, and perceived value associated with our solutions and services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legal proceedings in the ordinary course of our business. If the outcomes of these proceedings are adverse to us, it could have a material adverse effect on our business, results of operations, and financial condition.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clients, our competitors, governmental entities in civil or criminal investigations and proceedings, or other entities. These claims could be asserted under a variety of laws, including but not limited to product liability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our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liability insurance coverage for our solutions, services and business operations. A successful liability claim against us, regardless of whether due to injuries suffered by our clients could materially and adversely affect our financial condition, results of operations, and reputation. In addition, we do not have any business disruption insurance. Any business disruption event could result in substantial cost to us and diversion of our resources.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Jurisdictions Where We Operate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adverse changes in the political, economic, legal, regulatory taxation or social conditions in the jurisdictions that we operate in or intend to expand our business may have a material adverse effect on our operations, financial performance and future growth.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prospects, financial condition and results of operations are dependent on and may be adversely affected by political, economic, social and legal developments that are beyond our control in each of the jurisdictions that we operate in or in which we intend to expand our business and operations. Such political and economic uncertainties may include risks of war, terrorism, nationalism, expropriation or nullification of contracts, changes in interest rates, economic growth, national fiscal and monetary policies, inflation, deflation, methods of taxation and tax policy. Negative developments in the socio-political climate of these regions may also adversely affect our business, prospects, financial condition and results of operations. These developments may include, but are not limited to, changes in political leadership, nationalization, price and capital controls, sudden restrictive changes to government policies, introduction of new taxes on goods and services and introduction of new laws, as well as demonstrations, riots, coups and war. These may result in the nullification of contracts and/or prohibit us from continuing our business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jurisdictions that we operate in or in which we intend to expand our business and operations may be in a state of rapid political, economic and social changes, and may also be subject to unforeseeable circumstances such as natural disasters and other uncontrollable events, which will entail risks to our business and operations if we are to expand in the region in the future. There can also be no assurance that we will be able to adapt to the local conditions, regulations and business practices and customs of the regions in which we operate in the future. Any changes implemented by the government of these regions resulting in, amongst others, currency and interest rate fluctuations, capital restrictions and changes in duties and taxes detrimental to our business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in respect of acts of war, terrorist attacks, epidemics, political unrest, natural disasters, adverse weather and other uncontrollable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activities are principally carried out in Singapore, and we intend to expand our operations across new markets in Southeast Asia. Our geographic presence in Southeast Asia may make us vulnerable in the event of increased tension or hostilities in certain countries, including the countries in which our clients operate. In addition, unforeseeable circumstances and other factors such as power outages, labor disputes, severe weather conditions, epidemics and natural or other catastrophes may disrupt our operations, and terrorist attacks or other acts of violence may further materially and adversely affect the global financial markets and business and consumer confidence. Any such events may cause damage or disruption to our business, markets, clients and suppliers, any of which could materially and adversely affect our business, prospects, financial condition and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evolving laws, regulations, standards and policies, and any actual or perceived failure to comply could harm our reputation and brand, subject us to significant fines and liability, or otherwise adversely affect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laws, regulations, standards and policies in the jurisdictions in which we operate or may in the future operate are continuously evolving. The costs of compliance, including remediation of any discovered issues and any changes to our operations regulated by new or amended laws, may be significant, and any failures to comply could result in additional expenses, delays or fines. As we expand our business into the new markets, we are in the process of reviewing the applicable laws and regulations in each jurisdiction, including required approvals, licenses and permits. Such laws, regulations, standards and policies continue to rapidly change, which increases the likelihood of a patchwork of complex or conflicting regulations, or which could increase our compliance costs or otherwise affect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ADSs and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or our ADSs may not develop and the trading price for our ADSs may fluctuate significantly.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list our ADSs on the Nasdaq Global Market.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is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may take advantage of certain reduced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B ordinary shares and ADSs may view as beneficial.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have a dual-class share structure after the completion of this offering such that our ordinary shares will consist of Class A ordinary shares and Class B ordinary shares. In respect of matters requiring the votes of shareholders, holders of Class B ordinary shares will be entitled to one vote per share, while holders of Class A ordinary shares will be entitled to 60 votes per share based on our proposed dual-class share structure. We will sell Class B ordinary shares represented by our ADSs in this offering. Each Class A ordinary share is convertible into one Class B ordinary share at any time by the holder thereof, while Class B ordinary shares are not convertible into Class A ordinary shares under any circumstances.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our founder, chairman of board of directors and chief executive officer, Mr. Soon Huat Lim, will together beneficially own all of our issued Class A ordinary shares. These Class A ordinary shares will constitute approximately [          ]% of our total issued and outstanding share capital immediately after the completion of this offering and [          ]% of the aggregate voting power of our total issued and outstanding share capital due to the disparate voting powers associated with our dual-class share structure, assuming the underwriters do not exercise their over-allotment option. As a result of the dual-class share structure and the concentration of ownership, holders of our Class A ordinary shares will have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market price of our ADSs. This concentrated control will limit your ability to influence corporate matters and could discourage others from pursuing any potential merger, takeover or other change of control transactions that holders of Class B ordinary shares and ADSs may view as beneficial.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dual-class voting structure may render the ADSs representing our Class B ordinary shares ineligible for inclusion in certain stock market indices, and thus adversely affect the trading price and liquidity of the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B ordinary shares in such indices, which could adversely affect the trading price and liquidity of the ADSs representing our Class B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do not expect to pay dividends in the foreseeable future after this offering and you must rely on price appreciation of our ADSs for return on your investment.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as to whether to declare dividends, subject to certain requirements of Cayman Islands law. In addition, our shareholders may by ordinary resolution declare a dividend, but no dividend may exceed the amount recommended by our directors. Our post-offering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initial public offering price is substantially higher than our net tangible book value per share, you will experience immediate and substantial 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purchase ADSs in this offering, you will pay more for your ADSs than the amount paid by our existing shareholders for their ordinary shares on a per ADS basis. As a result, you will experience immediate and substantial dilution, representing the difference between the initial public offering price per ADS, and our net tangible book value per ADS, after giving effect to the net proceeds to us from this offering. In addition, you may experience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dilution in connection with the issuance of ordinary shares upon the exercise or vesting, as the case may be, of our share incentive awards. See “Dilution” for a more complete description of how the value of your investment in our ADSs will be diluted upon completion of this offering.</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the ADS price, nor that these net proceeds will be placed only in investments that generate income or appreciate in value.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Substantial future sales or perceived potential sales of our ADSs in the public market could cause the price of our ADSs to decline.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our ADSs in the public market after this offering, or the perception that these sales could occur, could cause the market price of our ADSs to decline. All ADSs sold in this offering will be freely transferable without restriction or additional registration under the Securities Act. The remaining ordinary shares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contain anti-takeover provisions that could have a material adverse effect on the rights of holders of our ordinary shares and the ADSs.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adopt an amended and restated memorandum and articles of association that will become effective immediately prior to the completion of this offering. Our post-offering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including ordinary shares represented by ADSs.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post-offering memorandum and articles of association and the deposit agreement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judicial forum within the U.S. for the resolution of any complaint asserting a cause of action arising out of or relating in any way to the federal securities laws of the United States, including without limitation claims under the Exchange Act or the Securities Act, and any suit, action or proceeding arising out of or relating in any way to the ADSs or the deposit agreement, which could limit the ability of holders of our ordinary shares, the ADSs or other securities to obtain a favorable judicial forum for disputes with us, our directors and officers, the depositary, and potentially others.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 of or relating in any way to the federal securities laws of the United States, regardless of whether such legal suit, action, or proceeding also involves parties other than our company. 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suit, action or proceeding and to settle any dispute between us and the depositary that may arise out of or relate in any way to the deposit agreement including without limitation claims under the Exchange Act or Securities Act.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If a court were to find the federal choice of forum provision contained in our post-offering memorandum and articles of association or the deposit agreement to be inapplicable or unenforceable in an action, we may incur additional costs associated with resolving such action in other jurisdictions. If upheld, the forum selection clause in our post-offering memorandum and articles of association, as well as the forum selection provision in the deposit agreement, may limit a security-holder’s ability to bring a claim against us, our directors and officers, the depositary, and potentially others in his or her preferred judicial forum, and this limitation may discourage such lawsuits. Holders of our shares or the ADSs will not be deemed to have waived our compliance with the federal securities laws and the regulations promulgated thereunder pursuant to the exclusive forum provision in the post-offering memorandum and articles of association and deposit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voting rights of holders of ADSs are limited by the terms of the deposit agreement, and you may not be able to exercise your right to direct the voting of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ADSs do not have the same rights as our registered shareholders. As a holder of ADSs, you will not have any direct right to attend general meetings of our shareholders or to cast any votes at such meetings. You will only be able to exercise the voting rights attached to the ordinary shares underlying your ADSs indirectly by giving voting instructions to the depositary in accordance with the provisions of the deposit agreement. Where any matter is to be put to a vote at a general meeting, then upon receipt of your voting instructions, the depositary will try, as far as is practicable, to vote the underlying ordinary shares represented by your ADSs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show of hands, the depositary bank will vote (or cause the custodian to vote) all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voting by poll, the depository bank will vote (or cause the custodian to vote) the ordinary shares held on deposit in accordance with the voting instructions received from the holders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not be able to directly exercise your right to vote with respect to the underlying ordinary shares unless you withdraw the shares represented by the ADSs and become the registered holder of such shares prior to the record date for the general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general meeting is convened, you may not receive sufficient advance notice of the meeting to withdraw the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ordinary shares represented by your ADSs and from becoming the registered holder of such shares prior to the record date, so that you would not be able to attend the general meeting or to vote directly.] Where any matter is to be put to a vote at a general meeting, upon our instruction the depositary will notify you of the upcoming vote and will arrange to deliver our voting materials to you. We cannot assure you that you will receive the voting materials in time to ensure that you can instruct the depositary to vote the underlying ordinary shares represented by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depositary and its agents are not responsible for failing to carry out voting instructions or for their manner of carrying out your voting instructions. This means that you may not be able to exercise your right to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how the underlying ordinary shares represented by your ADSs are voted and you may have no legal remedy if the underlying ordinary shares represented by your ADSs are not voted as you requested. In addition, in your capacity as an ADS holder, you will not be able to call a shareholders’ meeting.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if voting is by poll and the depositary does not timely receive voting instructions from you, you are deemed to have instructed the depositary to give a discretionary proxy to a person designated by us to vote the Class B ordinary shares represented by the ADSs you hold;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this discretionary proxy is that you cannot prevent the underlying ordinary shares represented by the ADSs from being voted, except under the circumstances described above. This may make it more difficult for ADS holders to influence the management of the company. Holders of ordinary shares are not subject to this discretionary proxy.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ADS holder’s right to pursue claims against the depositary is limited by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a holder of our ADSs, will have irrevocably waived any objection which such holder may have to the laying of venue of any such proceeding, and irrevocably submitted to the exclusive jurisdiction of such courts in any such action or proceeding.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be subject to limitations on transfer of your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dilution of your holdings due to inability to participate in rights offerings.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Our corporate affairs are governed by our memorandum and articles of association,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address of a Cayman company’s registered office in the Cayman Islands, and the name of its registered office provider, are matters of public record. A list of the names of the current directors and alternate directors (if applicable) are made available by the Registrar of Companies in the Cayman Islands for inspection by any person on payment of a fee. The register of mortgages is open to inspection by creditors and members. Shareholders of Cayman Islands exempted companies like us have no general rights under Cayman Islands law to inspect corporate records (other than the company’s memorandum and articles of association, and any special resolutions subsequently passed by the shareholders of the company). Our directors have discretion under our post-offering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the section of this prospectus captioned “Description of Share Capital — Differences in Corporate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our shareholders may not be 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Cayman Islands company and all of our assets are located outside of the United States. Substantially all of our current operations are conducted in Singapore. In addition, a majority of our current directors and officers are nationals and residents of countries other than the United States. Substantially all of the assets of these persons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Singapore may render you unable to enforce a judgment against our assets or the assets of our directors and officers. For more information regarding the relevant laws of the Cayman Islands and Singapore, see “Enforceability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 holders may not be entitled to a jury trial with respect to claims arising under the deposit agreement, which could result in less favorable outcomes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governing the ADSs representing our ordinary shares provides that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the United States District Court for the Southern District of New York or a state court in New York County, New York.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company incorporated in the Cayman Islands, we are permitted to adopt certain home country practices in relation to corporate governance matters that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Cayman Islands company listed on the Nasdaq Global Market, we are subject to the Nasdaq Stock Market Rules, which requires listed companies to have, among other things, a majority of their board members to be independent and independent director oversight of executive compensation and nomination of directors.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rules under the Exchange Act requiring the filing of quarterly reports on Form 10-Q or current reports on Form 8-K with the SEC;</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regulating the solicitation of proxies, consents, or authorizations in respect of a security registered under the Exchange Act;</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selective disclosure rules by issuers of material nonpublic information under Regulation FD;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audit committee independence requirements in Rule 10A-3 of the Exchange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foreign private issuer whose securities are listed on the Nasdaq Global Market, is permitted to follow certain home country corporate governance practices in lieu of the requirements of the Nasdaq Stock Market Rules. If we rely on exemptions available to foreign private issuers, our shareholders may be afforded less protection than they otherwise would under the Nasdaq Stock Market Rules to U.S. domestic issuers.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We will be a “controlled company” under the Nasdaq Stock Market Rules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upon the completion of this offering and, as a result, may rely on exemptions from certain corporate governance requirements that provide protection to shareholders of other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 a “controlled company” as defined under the Nasdaq Stock Market Rules upon the completion of this offering. Upon the completion of this offering, Mr. Soon Huat Lim, our founder, chairman of board of directors and chief executive officer will beneficially own [            ]% of our total issued and outstanding ordinary shares, representing [            ]% of the total voting power, assuming that the underwriters do not exercise their over-allotment option, or [            ]% of our total issued and outstanding ordinary shares, representing [            ]% of the total voting power, assuming that the over-allotment option is exercised in full. For so long as we remain a controlled company under that definition, we are permitted to elect to rely, and may choose to rely, on certain exemptions from corporate governance rules, including an exemption from the rule that a majority of our board of directors must be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 Implications of Being a Foreign Private Issuer”, “—As a company incorporated in the Cayman Islands, we are permitted to adopt certain home country practices in relation to corporate governance matters that differ significantly from the Nasdaq Stock Market Rules.” and “—We are a foreign private issuer within the meaning of the rules under the Exchange Act, and as such we are exempt from certain provisions applicable to U.S. domestic public companies.”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classified as a passive foreign investment company for U.S. federal income tax purposes, which could result in adverse U.S. federal income tax consequences to U.S. Holders of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non-U.S. corporation, such as our company, will generally be classified as a “passive foreign investment company,” or “PFIC,” for U.S. federal income tax purposes, for any taxable year, if either (i) 75% or more of its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including the proceeds from this offering, and projections as to the value of our assets immediately following this offering, we do not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If our market capitalization is less than anticipated or subsequently declines, we may be or become a PFIC for the current taxable year or future taxable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for any taxable year during which a U.S. Holder (as defined in “Taxation — United States Federal Income Tax Considerations”) holds our ADSs or ordinary shares, the PFIC tax rules discussed under “Taxation — United States Federal Income Tax Considerations — Passive Foreign Investment Company Rules” will generally apply to such U.S. Holder for such taxable year and, unless the U.S. Holder makes a “mark-to-market” election, will apply in future years even if we cease to be a PFIC. See the discussion under “Taxation — United States Federal Income Tax Considerations — Passive Foreign Investment Company Rules” concerning the U.S. federal income tax considerations of an investment in our ADSs or ordinary shares if we are or become classified as a PFIC and the possibility of making such election.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being a public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completion of this offering, we will become a public company and expect to incur significant legal, accounting and other expenses that we did not incur as a private company. The Sarbanes-Oxley Act of 2002, as well as rules subsequently implemented by the SEC and Nasdaq Global Market,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our remediation of the material weaknesses is not effective, or we fail to develop and maintain effective internal controls over financial reporting, our ability to produce timely and accurate financial statements or comply with applicable laws and regulations could be impaired.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or Exchange Act, the Sarbanes-Oxley Act of and the rules and regulations of the Nasdaq Global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consolidated financial statements for the financial statements included elsewhere in this prospectus, we identified two material weaknesses in our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standards established by the Public Company Accounting Oversight Board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lack of sufficient and competent accounting staff and resources with appropriate knowledge of U.S. GAAP and SEC reporting and compliance requirements; and ii) lack of robust and formal period-end financial reporting policies and procedures in place to address complex U.S. GAAP technical accounting and the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weaknesses identified prior to this offering, we are in the process of implementing a number of measures to address the material weaknesses identified, including but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and implement a comprehensive set of processes and internal controls to timely and appropriately;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transactions that may be subject to complex U.S. GAAP accounting treatment;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analyze the transactions in accordance with the relevant U.S. GAAP;</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the accounting technical analysis;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hire additional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 ongoing training program to provide sufficient and appropriate trainings for accounting and financial reporting personnel, including trainings related to U.S. GAAP and SEC reporting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measures described above should remediate the material weaknesses identified and strengthen our internal control over financial reporting. The remediation initiatives outlined above are estimated to take place over the next 12 to 18 months, and we can offer no assurance that these initiatives will ultimately have the intended effects. We do not believe that the remediation of these material weaknesses will result in significant incremental cost. However, we cannot assure you that we will not identify additional material weaknesses or significant deficiencies in the future. Another significant financial reporting failure or material weakness in internal control over financial reporting could result in substantial cost to remediate and could cause a loss of investor confidence and decline in the market price of our ADSs. In addition, if we are unable to meet the requirements of Section 404 of the Sarbanes-Oxley Act, our ADSs may not be able to remain listed on the Nasdaq Global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 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reported financial results may be adversely affected by changes in accounting principles generally accepted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GAAP is subject to interpretation by the Financial Accounting Standards Board,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consolidated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judgments relating to our critical accounting policies prove to be incorrect, our results of operations could be adversely 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the disclosure of contingent assets and liabilities at the date of our consolidated financial statements, and the reported amounts of expenses during the reporting periods. We base our estimates on historical experience, known trends and other market-specific or other relevant factors that we believe to be reasonable under the circumstances. The results of these estimates form the basis for making judgments about the carrying values of assets, liabilities, and equity, and the amount of revenue and expenses. Significant estimates and judgments involve: the allowance for receivable, the recoverability of long-lived assets and accounting for deferred income taxes and valuation allowance for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ADSs.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ADSs could be subject to rapid and substantial volatility.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particular, our ADSs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ADSs are low, persons buying or selling in relatively small quantities may easily influence the price of our ADSs. This low volume of trades could also cause the price of our ADSs to fluctuate greatly, with large percentage changes in price occurring in any trading day session. Holders of our ADSs may also not be able to readily liquidate their investment or may be forced to sell at depressed prices due to low volume trading. Broad market fluctuations and general economic and political conditions may also adversely affect the market price of our ADSs. As a result of this volatility, investors may experience losses on their investment in our ADSs. A decline in the market price of our ADSs also could adversely affect our ability to issue additional ADSs or other of our securities and our ability to obtain additional financing in the future. There can be no assurance that an active market in our ADSs will develop or be sustained. If an active market does not develop, holders of our ADSs may be unable to readily sell the shares they hold or may not be able to sell their shares at all.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5"/>
      <w:bookmarkEnd w:id="5"/>
      <w:r>
        <w:rPr>
          <w:rFonts w:ascii="Times New Roman PS Std;serif" w:hAnsi="Times New Roman PS Std;serif"/>
          <w:b/>
          <w:i w:val="false"/>
          <w:caps w:val="false"/>
          <w:smallCaps w:val="false"/>
          <w:sz w:val="20"/>
        </w:rPr>
        <w:t>SPECIAL NOTE REGARDING FORWARD-LOOKING STATEMENTS AND INDUSTRY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involve risks and uncertainties.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outlook of the digital solutions and e-commerce market in Singapore, Southeast Asia and globally;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changes in our revenue, costs or expenditures;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proposed use of proceeds;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 policies and regulations relating to our industry;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Singapore,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industry publications and reports generated by third-party providers of market intelligence. We have not independently verified the accuracy or completeness of the data and information contained in these publications and reports. Statistical data in these publications also include projections based on a number of assumptions. Failure of these markets to grow at the projected rate may have a material and adverse effect on our business and the market price of the ADSs. If any one or more of the assumptions underlying the market data are later found to be incorrect, actual results may differ from the projections based on these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not rely upon forward-looking statements as predictions of future events. We undertake no obligation to update or revise any forward-looking statements, whether as a result of new information, future events or otherwise.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24"/>
      <w:bookmarkEnd w:id="6"/>
      <w:r>
        <w:rPr>
          <w:rFonts w:ascii="Times New Roman PS Std;serif" w:hAnsi="Times New Roman PS Std;serif"/>
          <w:b/>
          <w:i w:val="false"/>
          <w:caps w:val="false"/>
          <w:smallCaps w:val="false"/>
          <w:sz w:val="20"/>
        </w:rPr>
        <w:t>USE OF PROCEEDS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aggregate net proceeds to us from this offering of approximately US$            million, after deducting underwriting discounts and estimated expenses payable by us in connection with this offering, and assuming an initial offering price of US$            per ADS, being the midpoint of the estimated range of the initial public offering price shown on the cover page of this prospectus. Assuming the number of ADSs offered by us as set forth on the cover page of this prospectus remains the same, and after deduction of underwriting discounts and estimated expenses payable by us in connection with this offering, a US$1.00 increase (decrease) in the assumed initial public offering price of US$            per ADS would increase (decrease) the net proceeds of this offering by approximately US$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purposes of this offering are to increase our capitalization and financial flexibility, create a public market for our shares, and retain talented employees by providing them with equity incentives and enable access to the public equity markets for us and our shareholders. We plan to use the net proceeds of this offering for the following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35% of the net proceeds for research and development, including development of infrastructure for our Web 3.0 e-commerce platform and further investment in our solutions;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25% of the net proceeds for investment in the Singapore market;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40% of the net proceeds for general corporate purposes, which may include potential strategic investments and acquisitions in Southeast Asia and globally, although our management has not yet determined the types of businesses that we will target at this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represents our current intentions based upon our present plans and business conditions to use and allocate the net proceeds of this offering. Our management, however, will have discretion in the application of net proceeds to us from this offering, and investors will be relying on the judgment of our management regarding the use of these net proceeds. If an unforeseen event occurs or business conditions change, we may use the proceeds of this offering differently than as described in this prospectus. See “Risk Factors — Risks Relating to Our ADSs and This Offering — We have not determined a specific use for a portion of the net proceeds from this offering and we may use these proceeds in ways with which you may not agree.”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or information as of the date on which these statements are made in this prospectus. We undertake no obligation to update or revise any forward-looking statements, whether as a result of new information, future events or otherwise, after the date of this prospectus.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3"/>
      <w:bookmarkEnd w:id="7"/>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cash dividends on our ordinary shares. We do not have any present plan to pay any cash dividends on our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holding company incorporated in the Cayman Islands. We may rely on dividends from our Singapore subsidiary for our cash requirements, including any payment of dividends to our shareholders. There are no foreign exchange restrictions under Singapore law which would affect the payment or remittance of dividends by our Singapore subsidiary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complete discretion on whether to distribute dividends, subject to applicable laws. In addition, our shareholders may by ordinary resolution declare a dividend, but no dividend may exceed the amount recommended by our board of directors. Under the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pay any dividends on our ordinary shares, we will pay those dividends that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22"/>
      <w:bookmarkEnd w:id="8"/>
      <w:r>
        <w:rPr>
          <w:rFonts w:ascii="Times New Roman PS Std;serif" w:hAnsi="Times New Roman PS Std;serif"/>
          <w:b/>
          <w:i w:val="false"/>
          <w:caps w:val="false"/>
          <w:smallCaps w:val="false"/>
          <w:sz w:val="20"/>
        </w:rPr>
        <w:t>CAPITALIZATION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June 30, 2023:</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            ] Class B ordinary shares in the form of ADSs by us in this offering (without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reflect the issuance and sale of [            ] Class B ordinary shares in the form of ADSs by us in this offering (with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reflected below are subject to change and are based upon available information and certain assumptions that we believe are reasonable. Total shareholders’ equity and total capitalization following the completion of this offering are subject to adjustment based on the actual initial public offering price and other terms of this offering determined at pricing. You should read this table together with our consolidated financial statements and the related notes included elsewhere in this prospectus and the information under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4643"/>
        <w:gridCol w:w="146"/>
        <w:gridCol w:w="1291"/>
        <w:gridCol w:w="196"/>
        <w:gridCol w:w="146"/>
        <w:gridCol w:w="1501"/>
        <w:gridCol w:w="146"/>
        <w:gridCol w:w="2136"/>
      </w:tblGrid>
      <w:tr>
        <w:trPr/>
        <w:tc>
          <w:tcPr>
            <w:tcW w:w="464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41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2023</w:t>
            </w:r>
          </w:p>
        </w:tc>
      </w:tr>
      <w:tr>
        <w:trPr/>
        <w:tc>
          <w:tcPr>
            <w:tcW w:w="46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As Adjusted(1)</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 As Adjusted with Full Exercise of Over-Allotment Option</w:t>
            </w:r>
          </w:p>
        </w:tc>
      </w:tr>
      <w:tr>
        <w:trPr/>
        <w:tc>
          <w:tcPr>
            <w:tcW w:w="46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US$</w:t>
            </w:r>
          </w:p>
        </w:tc>
      </w:tr>
      <w:tr>
        <w:trPr/>
        <w:tc>
          <w:tcPr>
            <w:tcW w:w="46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debt: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36" w:type="dxa"/>
            <w:tcBorders/>
            <w:shd w:fill="CCEEFF" w:val="clear"/>
            <w:vAlign w:val="bottom"/>
          </w:tcPr>
          <w:p>
            <w:pPr>
              <w:pStyle w:val="TableContents"/>
              <w:bidi w:val="0"/>
              <w:spacing w:before="0" w:after="283"/>
              <w:jc w:val="left"/>
              <w:rPr/>
            </w:pPr>
            <w:r>
              <w:rPr/>
              <w:t> </w:t>
            </w:r>
          </w:p>
        </w:tc>
      </w:tr>
      <w:tr>
        <w:trPr/>
        <w:tc>
          <w:tcPr>
            <w:tcW w:w="46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36" w:type="dxa"/>
            <w:tcBorders/>
            <w:shd w:fill="CCEEFF" w:val="clear"/>
            <w:vAlign w:val="bottom"/>
          </w:tcPr>
          <w:p>
            <w:pPr>
              <w:pStyle w:val="TableContents"/>
              <w:bidi w:val="0"/>
              <w:spacing w:before="0" w:after="283"/>
              <w:jc w:val="left"/>
              <w:rPr/>
            </w:pPr>
            <w:r>
              <w:rPr/>
              <w:t> </w:t>
            </w:r>
          </w:p>
        </w:tc>
      </w:tr>
      <w:tr>
        <w:trPr/>
        <w:tc>
          <w:tcPr>
            <w:tcW w:w="46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June 30, 2023 and December 31, 2022, respectively; 4,000,000,000 Class B ordinary shares authorized, 360,205,000 and 360,205,000 Class B ordinary shares issued and outstanding as of June 30, 2023 and December 31, 2022, respectively.)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1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5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1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5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vAlign w:val="bottom"/>
          </w:tcPr>
          <w:p>
            <w:pPr>
              <w:pStyle w:val="TableContents"/>
              <w:bidi w:val="0"/>
              <w:spacing w:before="0" w:after="283"/>
              <w:jc w:val="left"/>
              <w:rPr/>
            </w:pPr>
            <w:r>
              <w:rPr/>
              <w:t> </w:t>
            </w:r>
          </w:p>
        </w:tc>
        <w:tc>
          <w:tcPr>
            <w:tcW w:w="2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464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2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Reflects the issuance and sale of [            ] Class B ordinary shares in the form of ADSs by us in this offering (without full exercise of the underwriter’s over-allotment option), at an assumed initial public offering price of US$[            ] per ADS, the midpoint of the estimated range of the initial public offering price shown on the front cover this prospectus,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21"/>
      <w:bookmarkEnd w:id="9"/>
      <w:r>
        <w:rPr>
          <w:rFonts w:ascii="Times New Roman PS Std;serif" w:hAnsi="Times New Roman PS Std;serif"/>
          <w:b/>
          <w:i w:val="false"/>
          <w:caps w:val="false"/>
          <w:smallCaps w:val="false"/>
          <w:sz w:val="20"/>
        </w:rPr>
        <w:t>DILUTION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tangible book value as of June 30, 2023 was approximately US$            million, or US$          per ordinary share as of that date and US$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Without taking into account any other changes in net tangible book value after June 30, 2023, other than to give effect to our sale of the ADSs offered in this offering at the assumed initial public offering price of US$            per ADS, which is the midpoint of the estimated initial public offering price range shown on the front cover of this prospectus, after deduction of the underwriting discounts and commissions and estimated offering expenses payable by us, our as adjusted net tangible book value as of                      would have been US$            , or US$            per ordinary share and US$            per ADS. This represents an immediate increase in net tangible book value of US$            per ordinary share and US$            per ADS to the existing shareholders and an immediate dilution in net tangible book value of US$            per ordinary share and US$            per ADS to investors purchasing ADSs in this offering. The following table illustrates such dilution:</w:t>
      </w:r>
    </w:p>
    <w:tbl>
      <w:tblPr>
        <w:tblW w:w="10205" w:type="dxa"/>
        <w:jc w:val="left"/>
        <w:tblInd w:w="0" w:type="dxa"/>
        <w:tblLayout w:type="fixed"/>
        <w:tblCellMar>
          <w:top w:w="0" w:type="dxa"/>
          <w:left w:w="0" w:type="dxa"/>
          <w:bottom w:w="0" w:type="dxa"/>
          <w:right w:w="0" w:type="dxa"/>
        </w:tblCellMar>
      </w:tblPr>
      <w:tblGrid>
        <w:gridCol w:w="7034"/>
        <w:gridCol w:w="146"/>
        <w:gridCol w:w="1944"/>
        <w:gridCol w:w="146"/>
        <w:gridCol w:w="935"/>
      </w:tblGrid>
      <w:tr>
        <w:trPr/>
        <w:tc>
          <w:tcPr>
            <w:tcW w:w="70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4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ordinary share</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r>
      <w:tr>
        <w:trPr/>
        <w:tc>
          <w:tcPr>
            <w:tcW w:w="70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initial public offering price</w:t>
            </w:r>
          </w:p>
        </w:tc>
        <w:tc>
          <w:tcPr>
            <w:tcW w:w="146"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as of June 30, 2023</w:t>
            </w:r>
          </w:p>
        </w:tc>
        <w:tc>
          <w:tcPr>
            <w:tcW w:w="146" w:type="dxa"/>
            <w:tcBorders/>
            <w:vAlign w:val="bottom"/>
          </w:tcPr>
          <w:p>
            <w:pPr>
              <w:pStyle w:val="TableContents"/>
              <w:bidi w:val="0"/>
              <w:spacing w:before="0" w:after="283"/>
              <w:jc w:val="left"/>
              <w:rPr/>
            </w:pPr>
            <w:r>
              <w:rPr/>
              <w:t> </w:t>
            </w:r>
          </w:p>
        </w:tc>
        <w:tc>
          <w:tcPr>
            <w:tcW w:w="19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adjusted net tangible book value after giving effect to this offering</w:t>
            </w:r>
          </w:p>
        </w:tc>
        <w:tc>
          <w:tcPr>
            <w:tcW w:w="146" w:type="dxa"/>
            <w:tcBorders/>
            <w:shd w:fill="CCEEFF" w:val="clear"/>
            <w:vAlign w:val="bottom"/>
          </w:tcPr>
          <w:p>
            <w:pPr>
              <w:pStyle w:val="TableContents"/>
              <w:bidi w:val="0"/>
              <w:spacing w:before="0" w:after="283"/>
              <w:jc w:val="left"/>
              <w:rPr/>
            </w:pPr>
            <w:r>
              <w:rPr/>
              <w:t> </w:t>
            </w:r>
          </w:p>
        </w:tc>
        <w:tc>
          <w:tcPr>
            <w:tcW w:w="19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70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of dilution in net tangible book value to new investors in this offering</w:t>
            </w:r>
          </w:p>
        </w:tc>
        <w:tc>
          <w:tcPr>
            <w:tcW w:w="146" w:type="dxa"/>
            <w:tcBorders/>
            <w:vAlign w:val="bottom"/>
          </w:tcPr>
          <w:p>
            <w:pPr>
              <w:pStyle w:val="TableContents"/>
              <w:bidi w:val="0"/>
              <w:spacing w:before="0" w:after="283"/>
              <w:jc w:val="left"/>
              <w:rPr/>
            </w:pPr>
            <w:r>
              <w:rPr/>
              <w:t> </w:t>
            </w:r>
          </w:p>
        </w:tc>
        <w:tc>
          <w:tcPr>
            <w:tcW w:w="19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US$1.00 increase (decrease) in the assumed initial public offering price of US$            per ADS would increase (decrease) our as adjusted net tangible book value after giving effect to this offering by US$            , the as adjusted net tangible book value per ordinary share and per ADS after giving effect to this offering by US$            per ordinary share and US$            per ADS, and the dilution in as adjusted net tangible book value per ordinary share and per ADS to new investors in this offering by US$            per ordinary share and US$            per ADS, assuming no change to the number of ADSs offered by us as set forth on the front cover of this prospectus, and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an as adjusted basis as of June 30, 2023, the differences between existing shareholders and the new investors with respect to the number of ordinary shares (in the form of ADSs or ordinary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tbl>
      <w:tblPr>
        <w:tblW w:w="10022" w:type="dxa"/>
        <w:jc w:val="left"/>
        <w:tblInd w:w="0" w:type="dxa"/>
        <w:tblLayout w:type="fixed"/>
        <w:tblCellMar>
          <w:top w:w="0" w:type="dxa"/>
          <w:left w:w="0" w:type="dxa"/>
          <w:bottom w:w="0" w:type="dxa"/>
          <w:right w:w="0" w:type="dxa"/>
        </w:tblCellMar>
      </w:tblPr>
      <w:tblGrid>
        <w:gridCol w:w="2221"/>
        <w:gridCol w:w="146"/>
        <w:gridCol w:w="1370"/>
        <w:gridCol w:w="214"/>
        <w:gridCol w:w="1327"/>
        <w:gridCol w:w="146"/>
        <w:gridCol w:w="946"/>
        <w:gridCol w:w="150"/>
        <w:gridCol w:w="853"/>
        <w:gridCol w:w="150"/>
        <w:gridCol w:w="146"/>
        <w:gridCol w:w="1081"/>
        <w:gridCol w:w="146"/>
        <w:gridCol w:w="1126"/>
      </w:tblGrid>
      <w:tr>
        <w:trPr/>
        <w:tc>
          <w:tcPr>
            <w:tcW w:w="22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1"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Ordinary Shares Purchased</w:t>
            </w:r>
          </w:p>
        </w:tc>
        <w:tc>
          <w:tcPr>
            <w:tcW w:w="146" w:type="dxa"/>
            <w:tcBorders/>
            <w:vAlign w:val="bottom"/>
          </w:tcPr>
          <w:p>
            <w:pPr>
              <w:pStyle w:val="TableContents"/>
              <w:bidi w:val="0"/>
              <w:spacing w:before="0" w:after="283"/>
              <w:jc w:val="left"/>
              <w:rPr/>
            </w:pPr>
            <w:r>
              <w:rPr/>
              <w:t> </w:t>
            </w:r>
          </w:p>
        </w:tc>
        <w:tc>
          <w:tcPr>
            <w:tcW w:w="209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Consideration</w:t>
            </w:r>
          </w:p>
        </w:tc>
        <w:tc>
          <w:tcPr>
            <w:tcW w:w="146" w:type="dxa"/>
            <w:tcBorders/>
            <w:vAlign w:val="bottom"/>
          </w:tcPr>
          <w:p>
            <w:pPr>
              <w:pStyle w:val="TableContents"/>
              <w:bidi w:val="0"/>
              <w:spacing w:before="0" w:after="283"/>
              <w:jc w:val="left"/>
              <w:rPr/>
            </w:pPr>
            <w:r>
              <w:rPr/>
              <w:t> </w:t>
            </w:r>
          </w:p>
        </w:tc>
        <w:tc>
          <w:tcPr>
            <w:tcW w:w="108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 xml:space="preserve">Ordinary </w:t>
              <w:br/>
              <w:t>Share</w:t>
            </w:r>
          </w:p>
        </w:tc>
        <w:tc>
          <w:tcPr>
            <w:tcW w:w="146" w:type="dxa"/>
            <w:vMerge w:val="restart"/>
            <w:tcBorders/>
            <w:vAlign w:val="bottom"/>
          </w:tcPr>
          <w:p>
            <w:pPr>
              <w:pStyle w:val="TableContents"/>
              <w:bidi w:val="0"/>
              <w:spacing w:before="0" w:after="283"/>
              <w:jc w:val="left"/>
              <w:rPr/>
            </w:pPr>
            <w:r>
              <w:rPr/>
              <w:t> </w:t>
            </w:r>
          </w:p>
        </w:tc>
        <w:tc>
          <w:tcPr>
            <w:tcW w:w="112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Average </w:t>
              <w:br/>
              <w:t xml:space="preserve">Price Per </w:t>
              <w:br/>
              <w:t>ADS</w:t>
            </w:r>
          </w:p>
        </w:tc>
      </w:tr>
      <w:tr>
        <w:trPr/>
        <w:tc>
          <w:tcPr>
            <w:tcW w:w="22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214" w:type="dxa"/>
            <w:tcBorders/>
            <w:vAlign w:val="bottom"/>
          </w:tcPr>
          <w:p>
            <w:pPr>
              <w:pStyle w:val="TableContents"/>
              <w:bidi w:val="0"/>
              <w:spacing w:before="0" w:after="283"/>
              <w:jc w:val="left"/>
              <w:rPr/>
            </w:pPr>
            <w:r>
              <w:rPr/>
              <w:t> </w:t>
            </w:r>
          </w:p>
        </w:tc>
        <w:tc>
          <w:tcPr>
            <w:tcW w:w="132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50" w:type="dxa"/>
            <w:tcBorders/>
            <w:vAlign w:val="bottom"/>
          </w:tcPr>
          <w:p>
            <w:pPr>
              <w:pStyle w:val="TableContents"/>
              <w:bidi w:val="0"/>
              <w:spacing w:before="0" w:after="283"/>
              <w:jc w:val="left"/>
              <w:rPr/>
            </w:pPr>
            <w:r>
              <w:rPr/>
              <w:t> </w:t>
            </w:r>
          </w:p>
        </w:tc>
        <w:tc>
          <w:tcPr>
            <w:tcW w:w="100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08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26" w:type="dxa"/>
            <w:vMerge w:val="continue"/>
            <w:tcBorders/>
            <w:vAlign w:val="bottom"/>
          </w:tcPr>
          <w:p>
            <w:pPr>
              <w:pStyle w:val="Normal"/>
              <w:bidi w:val="0"/>
              <w:jc w:val="left"/>
              <w:rPr/>
            </w:pPr>
            <w:r>
              <w:rPr/>
            </w:r>
          </w:p>
        </w:tc>
      </w:tr>
      <w:tr>
        <w:trPr/>
        <w:tc>
          <w:tcPr>
            <w:tcW w:w="22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shareholders</w:t>
            </w:r>
          </w:p>
        </w:tc>
        <w:tc>
          <w:tcPr>
            <w:tcW w:w="146"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w:t>
            </w:r>
          </w:p>
        </w:tc>
        <w:tc>
          <w:tcPr>
            <w:tcW w:w="146" w:type="dxa"/>
            <w:tcBorders/>
            <w:vAlign w:val="bottom"/>
          </w:tcPr>
          <w:p>
            <w:pPr>
              <w:pStyle w:val="TableContents"/>
              <w:bidi w:val="0"/>
              <w:spacing w:before="0" w:after="283"/>
              <w:jc w:val="left"/>
              <w:rPr/>
            </w:pPr>
            <w:r>
              <w:rPr/>
              <w:t> </w:t>
            </w:r>
          </w:p>
        </w:tc>
        <w:tc>
          <w:tcPr>
            <w:tcW w:w="13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vAlign w:val="bottom"/>
          </w:tcPr>
          <w:p>
            <w:pPr>
              <w:pStyle w:val="TableContents"/>
              <w:bidi w:val="0"/>
              <w:spacing w:before="0" w:after="283"/>
              <w:jc w:val="left"/>
              <w:rPr/>
            </w:pPr>
            <w:r>
              <w:rPr/>
              <w:t> </w:t>
            </w:r>
          </w:p>
        </w:tc>
        <w:tc>
          <w:tcPr>
            <w:tcW w:w="13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vAlign w:val="bottom"/>
          </w:tcPr>
          <w:p>
            <w:pPr>
              <w:pStyle w:val="TableContents"/>
              <w:bidi w:val="0"/>
              <w:spacing w:before="0" w:after="283"/>
              <w:jc w:val="left"/>
              <w:rPr/>
            </w:pPr>
            <w:r>
              <w:rPr/>
              <w:t> </w:t>
            </w:r>
          </w:p>
        </w:tc>
        <w:tc>
          <w:tcPr>
            <w:tcW w:w="8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w:t>
            </w:r>
          </w:p>
        </w:tc>
        <w:tc>
          <w:tcPr>
            <w:tcW w:w="1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222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4" w:type="dxa"/>
            <w:tcBorders/>
            <w:shd w:fill="CCEEFF" w:val="clear"/>
            <w:vAlign w:val="bottom"/>
          </w:tcPr>
          <w:p>
            <w:pPr>
              <w:pStyle w:val="TableContents"/>
              <w:bidi w:val="0"/>
              <w:spacing w:before="0" w:after="283"/>
              <w:jc w:val="left"/>
              <w:rPr/>
            </w:pPr>
            <w:r>
              <w:rPr/>
              <w:t> </w:t>
            </w:r>
          </w:p>
        </w:tc>
        <w:tc>
          <w:tcPr>
            <w:tcW w:w="13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50" w:type="dxa"/>
            <w:tcBorders/>
            <w:shd w:fill="CCEEFF" w:val="clear"/>
            <w:vAlign w:val="bottom"/>
          </w:tcPr>
          <w:p>
            <w:pPr>
              <w:pStyle w:val="TableContents"/>
              <w:bidi w:val="0"/>
              <w:spacing w:before="0" w:after="283"/>
              <w:jc w:val="left"/>
              <w:rPr/>
            </w:pPr>
            <w:r>
              <w:rPr/>
              <w:t> </w:t>
            </w:r>
          </w:p>
        </w:tc>
        <w:tc>
          <w:tcPr>
            <w:tcW w:w="8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5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20"/>
      <w:bookmarkEnd w:id="10"/>
      <w:r>
        <w:rPr>
          <w:rFonts w:ascii="Times New Roman PS Std;serif" w:hAnsi="Times New Roman PS Std;serif"/>
          <w:b/>
          <w:i w:val="false"/>
          <w:caps w:val="false"/>
          <w:smallCaps w:val="false"/>
          <w:sz w:val="20"/>
        </w:rPr>
        <w:t>ENFORCEABILITY OF CIVIL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Cayman Islands as an exempted company with limited liability. We are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memorandum and articles of association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Singapore, and substantially all of our assets are located in Singapore.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            ], located at [            ], as our agent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Maples and Calder (Hong Kong) LLP, our counsel as to Cayman Islands law,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Maples and Calder (Hong Kong) LLP that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(i) is given by a foreign court of competent jurisdiction, (ii) imposes on the judgment debtor a liability to pay a liquidated sum for which the judgment has been given, (iii) is final, (iv) is not in respect of taxes, a fine or a penalty, and (v) was not obtained by fraud, and is not of a kind the enforcement of which is contrary to natural justice or the public policy of the Cayman Islands (awards of punitive or multiple damages may well be held to be contrary to public policy).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courts of the Cayman Islands have yet to rule on whether such judgments are penal or punitive in nature, it is uncertain whether such civil liability judgments from U.S. courts would be enforceable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Cayman Islands court may stay enforcement proceedings if concurrent proceedings are being brought elsewhere.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Singapore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Singapore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a determination as to enforceability of a judgment of the courts of the United States, and subject to the Singapore courts having jurisdiction over the judgment debtor, the Singapore courts would have regard to whether the judgment was final and conclusive and on the merits of the case, given by a court of law of competent jurisdiction, and was expressed to be for a fixed sum of money.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general, an </w:t>
      </w:r>
      <w:r>
        <w:rPr>
          <w:rFonts w:ascii="Times New Roman PS Std;serif" w:hAnsi="Times New Roman PS Std;serif"/>
          <w:b w:val="false"/>
          <w:i/>
          <w:caps w:val="false"/>
          <w:smallCaps w:val="false"/>
          <w:sz w:val="20"/>
        </w:rPr>
        <w:t>in personam</w:t>
      </w:r>
      <w:r>
        <w:rPr>
          <w:rFonts w:ascii="Times New Roman PS Std;serif" w:hAnsi="Times New Roman PS Std;serif"/>
          <w:b w:val="false"/>
          <w:i w:val="false"/>
          <w:caps w:val="false"/>
          <w:smallCaps w:val="false"/>
          <w:sz w:val="20"/>
        </w:rPr>
        <w:t xml:space="preserve"> 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and ascertainable sum of money, may be enforceable as a debt in the Singapore courts under common law unless procured by fraud, or the proceedings in which such judgment was obtained were not conducted in accordance with principles of natural justice, or the enforcement thereof would be contrary to fundamental public policy,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Civil liability provisions of the federal and state securities law of the United States permit the award of punitive damages against us, our directors and officers. Singapore courts would not recognize or enforce judgments against us, our directors and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a judgement given pursuant to foreign penal, revenue or other public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9"/>
      <w:bookmarkEnd w:id="11"/>
      <w:r>
        <w:rPr>
          <w:rFonts w:ascii="Times New Roman PS Std;serif" w:hAnsi="Times New Roman PS Std;serif"/>
          <w:b/>
          <w:i w:val="false"/>
          <w:caps w:val="false"/>
          <w:smallCaps w:val="false"/>
          <w:sz w:val="20"/>
        </w:rPr>
        <w:t>CORPORATE HISTORY AND STRUCTURE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History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commenced our operations in 2014 through QZT, a company incorporated under the laws of Singapore. Our primary business was to offer services and solutions to operate, optimize and transform business processes. In May 2022, we incorporated Trident Singapore to expand our business in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and July 2023, to facilitate our financing and listing opportunities outside Singapore, we established Trident Digital Tech Holdings Ltd, or Trident Cayman, our holding company incorporated under the laws of the Cayman Islands. Shortly following its incorporation, Trident Cayman acquired 100% interest in QZT and then QZT acquired 100% interest in Trident Singapore as part of our reorganization. Upon the completion of the reorganization, QZT became a wholly-owned subsidiary of Trident Cayman and Trident Singapore became a wholly-owned subsidiary of QZT.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Structure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diagram below illustrates our corporate structure as of the date of this prospectus:</w:t>
      </w:r>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3371850" cy="2069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71850" cy="2069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8"/>
      <w:bookmarkEnd w:id="12"/>
      <w:r>
        <w:rPr>
          <w:rFonts w:ascii="Times New Roman PS Std;serif" w:hAnsi="Times New Roman PS Std;serif"/>
          <w:b/>
          <w:i w:val="false"/>
          <w:caps w:val="false"/>
          <w:smallCaps w:val="false"/>
          <w:sz w:val="20"/>
        </w:rPr>
        <w:t>SELECTED CONSOLIDATED FINANCIAL DATA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consolidated statements of operations data and summary consolidated cash flow data for the years ended December 31, 2021 and 2022 and summary consolidated balance sheet data as of December 31, 2021 and 2022 have been derived from our audited consolidated financial statements included elsewhere in this prospectus. The following summary consolidated statements of operations data and summary consolidated statements of cash flows data for the six months ended June 30, 2023 and 2022 and summary consolidated balance sheet data as of June 30, 2023 have been derived from our unaudited interim condensed consolidated financial statements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statements of operations data for the periods indicated.</w:t>
      </w:r>
    </w:p>
    <w:tbl>
      <w:tblPr>
        <w:tblW w:w="10205" w:type="dxa"/>
        <w:jc w:val="left"/>
        <w:tblInd w:w="0" w:type="dxa"/>
        <w:tblLayout w:type="fixed"/>
        <w:tblCellMar>
          <w:top w:w="0" w:type="dxa"/>
          <w:left w:w="0" w:type="dxa"/>
          <w:bottom w:w="0" w:type="dxa"/>
          <w:right w:w="0" w:type="dxa"/>
        </w:tblCellMar>
      </w:tblPr>
      <w:tblGrid>
        <w:gridCol w:w="2604"/>
        <w:gridCol w:w="146"/>
        <w:gridCol w:w="241"/>
        <w:gridCol w:w="1306"/>
        <w:gridCol w:w="196"/>
        <w:gridCol w:w="146"/>
        <w:gridCol w:w="241"/>
        <w:gridCol w:w="1306"/>
        <w:gridCol w:w="196"/>
        <w:gridCol w:w="146"/>
        <w:gridCol w:w="241"/>
        <w:gridCol w:w="1306"/>
        <w:gridCol w:w="196"/>
        <w:gridCol w:w="146"/>
        <w:gridCol w:w="241"/>
        <w:gridCol w:w="1306"/>
        <w:gridCol w:w="241"/>
      </w:tblGrid>
      <w:tr>
        <w:trPr/>
        <w:tc>
          <w:tcPr>
            <w:tcW w:w="26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6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(Loss)/Income before income tax </w:t>
              <w:br/>
              <w:t>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26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Foreign currency translation </w:t>
              <w:br/>
              <w:t>adjustment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summary consolidated balance sheet data as of the dates indicated.</w:t>
      </w:r>
    </w:p>
    <w:tbl>
      <w:tblPr>
        <w:tblW w:w="9492" w:type="dxa"/>
        <w:jc w:val="left"/>
        <w:tblInd w:w="0" w:type="dxa"/>
        <w:tblLayout w:type="fixed"/>
        <w:tblCellMar>
          <w:top w:w="0" w:type="dxa"/>
          <w:left w:w="0" w:type="dxa"/>
          <w:bottom w:w="0" w:type="dxa"/>
          <w:right w:w="0" w:type="dxa"/>
        </w:tblCellMar>
      </w:tblPr>
      <w:tblGrid>
        <w:gridCol w:w="4276"/>
        <w:gridCol w:w="146"/>
        <w:gridCol w:w="241"/>
        <w:gridCol w:w="1291"/>
        <w:gridCol w:w="196"/>
        <w:gridCol w:w="146"/>
        <w:gridCol w:w="241"/>
        <w:gridCol w:w="991"/>
        <w:gridCol w:w="146"/>
        <w:gridCol w:w="241"/>
        <w:gridCol w:w="1336"/>
        <w:gridCol w:w="241"/>
      </w:tblGrid>
      <w:tr>
        <w:trPr/>
        <w:tc>
          <w:tcPr>
            <w:tcW w:w="4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4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our selected consolidated statements of cash flow data for the periods indicated.</w:t>
      </w:r>
    </w:p>
    <w:tbl>
      <w:tblPr>
        <w:tblW w:w="10205" w:type="dxa"/>
        <w:jc w:val="left"/>
        <w:tblInd w:w="0" w:type="dxa"/>
        <w:tblLayout w:type="fixed"/>
        <w:tblCellMar>
          <w:top w:w="0" w:type="dxa"/>
          <w:left w:w="0" w:type="dxa"/>
          <w:bottom w:w="0" w:type="dxa"/>
          <w:right w:w="0" w:type="dxa"/>
        </w:tblCellMar>
      </w:tblPr>
      <w:tblGrid>
        <w:gridCol w:w="3894"/>
        <w:gridCol w:w="146"/>
        <w:gridCol w:w="226"/>
        <w:gridCol w:w="1066"/>
        <w:gridCol w:w="181"/>
        <w:gridCol w:w="146"/>
        <w:gridCol w:w="226"/>
        <w:gridCol w:w="886"/>
        <w:gridCol w:w="181"/>
        <w:gridCol w:w="146"/>
        <w:gridCol w:w="226"/>
        <w:gridCol w:w="1141"/>
        <w:gridCol w:w="181"/>
        <w:gridCol w:w="146"/>
        <w:gridCol w:w="226"/>
        <w:gridCol w:w="961"/>
        <w:gridCol w:w="226"/>
      </w:tblGrid>
      <w:tr>
        <w:trPr/>
        <w:tc>
          <w:tcPr>
            <w:tcW w:w="38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1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8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8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7"/>
      <w:bookmarkEnd w:id="13"/>
      <w:r>
        <w:rPr>
          <w:rFonts w:ascii="Times New Roman PS Std;serif" w:hAnsi="Times New Roman PS Std;serif"/>
          <w:b/>
          <w:i w:val="false"/>
          <w:caps w:val="false"/>
          <w:smallCaps w:val="false"/>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of our financial condition and results of operations in conjunction with the consolidated financial statements and the notes to those statements included elsewhere in this prospectus. The discussion in this prospectus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such as statements of our plans, objectives, expectations and intentions. The cautionary statements made in this prospectus should be read as applying to all related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wherever they appear in this prospectus. Our actual results could differ materially from those discussed here. Factors that could cause or contribute to these differences include those discussed in “Risk Factors,” as well as those discussed elsewhere. See “Risk Factors” and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offerings that address the specific needs of clients in our strategic vertical markets.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Factors Affecting Our 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growth and future success of our business depends on many factors. While these factors present significant opportunities for our business, they also pose important challenges we must successfully address in order to sustain our growth.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our solutions and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launch Tridentity in the fourth quarter of 2023. We may expend significant resources in the development of offerings through Tridentity. Our ability to successfully develop and monetize new services and features may depend on a number of factors, including the availability of capital to invest in innovation, the effectiveness of our marketing efforts, competition, pricing, and our clients’ satisfaction and spending.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Acquiring new clients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Sustaining continued revenue growth relies on the adoption of our solutions by new clients. We will continue to invest in our solutions and introduce new services and features to drive adoption and increase penetration in our core verticals such as food and beverage, wholesale and retail. We plan to continue winning new clients by investing in our salesforce, improving the awareness of our brands and solutions, and building new partnerships and integrations.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Expanding into new verticals and new markets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expand into new verticals and sub-verticals with a particular focus on those with low digital adoption and growing usage of software solutions. We believe there is a significant need for our solutions and services on a global basis and, accordingly, opportunity for us to grow our business through further international expansion. We think these verticals and markets provide an attractive opportunity to introduce our solutions and services and drive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Continued investment in innovation and growth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made substantial investments in research and development and sales and marketing to achieve a leadership position in our market and grow our revenues and client base. We intend to continue to invest in research and development to build new capabilities and maintain the core technology underpinning our solutions and services. In addition, we expect to increase investment in sales and marketing to broaden our reach with new clients and abroad and deepen our penetration with existing clients. We are in the process of increasing our general and administrative spending to support our growing operations and prepare for operating as a public company. With our revenue growth objectives, we expect to continue to make such investments for the foreseeable future.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derive revenues principally from providing business consulting services and IT customization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We provide a wide range of business consulting services to customers of various industries, from business strategy advisory, design of business workflows and processes, brand and reputation, to digital marketing in achieving organization objectives such as enhancing cost efficiency, productivity and customer experience.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We offer IT customization services, including tailor-made IT solutions or packaged software solutions to meet clients’ objectives. Our services cover end-to-end solutions, including IT consultancy, design of the system architecture, planning and design of the solution, implementation, quality assurance, as well as maintenance support services.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customization mainly consists of (i) IT consulting and customization services, including development of customized software solutions, implementation and training, server hosting, and one-year maintenance service; and (ii) management software solutions for clients via an annual subscription-based model, which subscription generally includes support services.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 represents costs and expenses incurred in order to generate revenue. Our cost of revenues primarily consists of (i) fees paid to service suppliers, such as outsourcing service cost, (ii) direct labor costs, (iii) commission costs, which is incremental costs to obtain new sales contract, and (iv) miscellaneous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include general and administrative expenses, selling expenses and research and development expenses. General and administrative expenses mainly consist of (i) salary and social welfare expenses to the management team, (ii) rental cost for offices, and (iii) depreciation expenses. Our selling expenses mainly consist of (i) salary and social welfare expenses to the marketing team, and (ii) advertising costs and market promotion expenses. Our research and development expenses mainly consist of system development expenses for Tridentity, our Web 3.0 e-commerce platform.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 from terminated consulting projects, (iii) referral commission, and (iv) interest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Six months ended June 30, 2023 Compared to Six months ended June 30,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six months ended June 30, 2023 and 2022, respectively.</w:t>
      </w:r>
    </w:p>
    <w:tbl>
      <w:tblPr>
        <w:tblW w:w="10205" w:type="dxa"/>
        <w:jc w:val="left"/>
        <w:tblInd w:w="0" w:type="dxa"/>
        <w:tblLayout w:type="fixed"/>
        <w:tblCellMar>
          <w:top w:w="0" w:type="dxa"/>
          <w:left w:w="0" w:type="dxa"/>
          <w:bottom w:w="0" w:type="dxa"/>
          <w:right w:w="0" w:type="dxa"/>
        </w:tblCellMar>
      </w:tblPr>
      <w:tblGrid>
        <w:gridCol w:w="3222"/>
        <w:gridCol w:w="146"/>
        <w:gridCol w:w="226"/>
        <w:gridCol w:w="1291"/>
        <w:gridCol w:w="196"/>
        <w:gridCol w:w="146"/>
        <w:gridCol w:w="226"/>
        <w:gridCol w:w="1081"/>
        <w:gridCol w:w="196"/>
        <w:gridCol w:w="146"/>
        <w:gridCol w:w="226"/>
        <w:gridCol w:w="1291"/>
        <w:gridCol w:w="196"/>
        <w:gridCol w:w="146"/>
        <w:gridCol w:w="1066"/>
        <w:gridCol w:w="404"/>
      </w:tblGrid>
      <w:tr>
        <w:trPr/>
        <w:tc>
          <w:tcPr>
            <w:tcW w:w="322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br/>
              <w:t>amount</w:t>
            </w:r>
          </w:p>
        </w:tc>
        <w:tc>
          <w:tcPr>
            <w:tcW w:w="146" w:type="dxa"/>
            <w:vMerge w:val="restart"/>
            <w:tcBorders/>
            <w:vAlign w:val="bottom"/>
          </w:tcPr>
          <w:p>
            <w:pPr>
              <w:pStyle w:val="TableContents"/>
              <w:bidi w:val="0"/>
              <w:spacing w:before="0" w:after="283"/>
              <w:jc w:val="left"/>
              <w:rPr/>
            </w:pPr>
            <w:r>
              <w:rPr/>
              <w:t> </w:t>
            </w:r>
          </w:p>
        </w:tc>
        <w:tc>
          <w:tcPr>
            <w:tcW w:w="1470"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w:t>
              <w:br/>
              <w:t>of change</w:t>
            </w:r>
          </w:p>
        </w:tc>
      </w:tr>
      <w:tr>
        <w:trPr/>
        <w:tc>
          <w:tcPr>
            <w:tcW w:w="32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70" w:type="dxa"/>
            <w:gridSpan w:val="2"/>
            <w:vMerge w:val="continue"/>
            <w:tcBorders/>
            <w:vAlign w:val="bottom"/>
          </w:tcPr>
          <w:p>
            <w:pPr>
              <w:pStyle w:val="Normal"/>
              <w:bidi w:val="0"/>
              <w:jc w:val="left"/>
              <w:rPr/>
            </w:pPr>
            <w:r>
              <w:rPr/>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(4,631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(181,813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254.18</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(1,380,893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808.40</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(111,972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138.44</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(1,674,678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518.11</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(1,906,312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(1,679,309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739.77</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(36.13</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(1,704,709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1,087.86</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0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(1,704,709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1,087.86</w:t>
            </w:r>
          </w:p>
        </w:tc>
        <w:tc>
          <w:tcPr>
            <w:tcW w:w="40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six months ended June 30, 2023 and 2022 is summarized below:</w:t>
      </w:r>
    </w:p>
    <w:tbl>
      <w:tblPr>
        <w:tblW w:w="8002" w:type="dxa"/>
        <w:jc w:val="left"/>
        <w:tblInd w:w="0" w:type="dxa"/>
        <w:tblLayout w:type="fixed"/>
        <w:tblCellMar>
          <w:top w:w="0" w:type="dxa"/>
          <w:left w:w="0" w:type="dxa"/>
          <w:bottom w:w="0" w:type="dxa"/>
          <w:right w:w="0" w:type="dxa"/>
        </w:tblCellMar>
      </w:tblPr>
      <w:tblGrid>
        <w:gridCol w:w="2311"/>
        <w:gridCol w:w="146"/>
        <w:gridCol w:w="1271"/>
        <w:gridCol w:w="187"/>
        <w:gridCol w:w="1271"/>
        <w:gridCol w:w="146"/>
        <w:gridCol w:w="961"/>
        <w:gridCol w:w="196"/>
        <w:gridCol w:w="146"/>
        <w:gridCol w:w="946"/>
        <w:gridCol w:w="421"/>
      </w:tblGrid>
      <w:tr>
        <w:trPr/>
        <w:tc>
          <w:tcPr>
            <w:tcW w:w="23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67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Business consultin</w:t>
            </w: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113,764</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192,513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(78,749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(40.91</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367,401</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282,610</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30.00</w:t>
            </w:r>
          </w:p>
        </w:tc>
        <w:tc>
          <w:tcPr>
            <w:tcW w:w="4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130,289</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(142,585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(52.25</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237,112</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227,376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2,335.41</w:t>
            </w:r>
          </w:p>
        </w:tc>
        <w:tc>
          <w:tcPr>
            <w:tcW w:w="42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481,165</w:t>
            </w:r>
          </w:p>
        </w:tc>
        <w:tc>
          <w:tcPr>
            <w:tcW w:w="187" w:type="dxa"/>
            <w:tcBorders/>
            <w:shd w:fill="CCEEFF" w:val="clear"/>
            <w:vAlign w:val="bottom"/>
          </w:tcPr>
          <w:p>
            <w:pPr>
              <w:pStyle w:val="TableContents"/>
              <w:bidi w:val="0"/>
              <w:spacing w:before="0" w:after="283"/>
              <w:jc w:val="left"/>
              <w:rPr/>
            </w:pPr>
            <w:r>
              <w:rPr/>
              <w:t> </w:t>
            </w:r>
          </w:p>
        </w:tc>
        <w:tc>
          <w:tcPr>
            <w:tcW w:w="1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475,123</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6,042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w:t>
            </w:r>
          </w:p>
        </w:tc>
        <w:tc>
          <w:tcPr>
            <w:tcW w:w="42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slightly increased by 1.27%, from US$475,123 for the six months ended June 30, 2022 to US$481,165 for the six months ended June 30, 2023. The increase was primarily due to the rapid development of our management software launched in second quarter of 2022, partially offset by the decrease of revenue from business consulting and IT consulting.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decreased from US$192,513 for the six months ended June 30, 2022 to US$113,764 for the six months ended June 30, 2023, primarily attributed to (i) reduction of business consulting projects were completed, delivered and accepted by customers for the six months ended June 30, 2023; and partially offset by (ii) the appreciation of SGD against USD in our reporting currency translation from 1.3651 for the six months ended June 30, 2022 to 1.3361 for the six months ended June 30, 2023. The average contract price of completed projects were US$37,921 and US$32,086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US$282,610 for the six months ended June 30, 2022 to US$367,401 for the six months ended June 30, 2023, primarily due to (i) our newly engaged business line in providing management software solutions in second quarter of 2022, the business has thrived and generated greater revenue for the six months ended June 30, 2023; (ii) the appreciation of SGD against USD in our reporting currency translation; (iii) the increased of average contract price of $37,857 from $27,287 for the six months ended June 30, 2022 to $65,145; and partially offset by (iv) reduction of IT customization projects were completed, delivered and accepted by customers for the six months ended June 30, 2023.</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six months ended June 30, 2023 and 2022 is summarized below:</w:t>
      </w:r>
    </w:p>
    <w:tbl>
      <w:tblPr>
        <w:tblW w:w="7927" w:type="dxa"/>
        <w:jc w:val="left"/>
        <w:tblInd w:w="0" w:type="dxa"/>
        <w:tblLayout w:type="fixed"/>
        <w:tblCellMar>
          <w:top w:w="0" w:type="dxa"/>
          <w:left w:w="0" w:type="dxa"/>
          <w:bottom w:w="0" w:type="dxa"/>
          <w:right w:w="0" w:type="dxa"/>
        </w:tblCellMar>
      </w:tblPr>
      <w:tblGrid>
        <w:gridCol w:w="2596"/>
        <w:gridCol w:w="146"/>
        <w:gridCol w:w="1271"/>
        <w:gridCol w:w="187"/>
        <w:gridCol w:w="1271"/>
        <w:gridCol w:w="146"/>
        <w:gridCol w:w="856"/>
        <w:gridCol w:w="181"/>
        <w:gridCol w:w="146"/>
        <w:gridCol w:w="721"/>
        <w:gridCol w:w="406"/>
      </w:tblGrid>
      <w:tr>
        <w:trPr/>
        <w:tc>
          <w:tcPr>
            <w:tcW w:w="25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3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246,572</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235,583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10,989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122,142</w:t>
            </w:r>
          </w:p>
        </w:tc>
        <w:tc>
          <w:tcPr>
            <w:tcW w:w="187"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116,761</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5,381</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20,855</w:t>
            </w:r>
          </w:p>
        </w:tc>
        <w:tc>
          <w:tcPr>
            <w:tcW w:w="187"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26,552</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w:t>
            </w:r>
          </w:p>
        </w:tc>
        <w:tc>
          <w:tcPr>
            <w:tcW w:w="40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389,569</w:t>
            </w:r>
          </w:p>
        </w:tc>
        <w:tc>
          <w:tcPr>
            <w:tcW w:w="187" w:type="dxa"/>
            <w:tcBorders/>
            <w:vAlign w:val="bottom"/>
          </w:tcPr>
          <w:p>
            <w:pPr>
              <w:pStyle w:val="TableContents"/>
              <w:bidi w:val="0"/>
              <w:spacing w:before="0" w:after="283"/>
              <w:jc w:val="left"/>
              <w:rPr/>
            </w:pPr>
            <w:r>
              <w:rPr/>
              <w:t> </w:t>
            </w:r>
          </w:p>
        </w:tc>
        <w:tc>
          <w:tcPr>
            <w:tcW w:w="12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378,896</w:t>
            </w:r>
          </w:p>
        </w:tc>
        <w:tc>
          <w:tcPr>
            <w:tcW w:w="146" w:type="dxa"/>
            <w:tcBorders/>
            <w:vAlign w:val="bottom"/>
          </w:tcPr>
          <w:p>
            <w:pPr>
              <w:pStyle w:val="TableContents"/>
              <w:bidi w:val="0"/>
              <w:spacing w:before="0" w:after="283"/>
              <w:jc w:val="left"/>
              <w:rPr/>
            </w:pPr>
            <w:r>
              <w:rPr/>
              <w:t> </w:t>
            </w:r>
          </w:p>
        </w:tc>
        <w:tc>
          <w:tcPr>
            <w:tcW w:w="8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10,673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w:t>
            </w:r>
          </w:p>
        </w:tc>
        <w:tc>
          <w:tcPr>
            <w:tcW w:w="40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slightly increased by 2.82%, from US$378,896 for the six months ended June 30, 2022 to US$389,569 for the six months ended June 30,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US$235,583 for the six months ended June 30, 2022 to US$246,572 for the six months ended June 30, 2023, primarily due to the increase of incremental commission costs related to management software, partially offset by the decrease of service fees paid to suppliers or outsourcers related to business consulting and IT consulting, which in line with the completion status and revenue recognized.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US$116,761 for the six months ended June 30, 2022 to US$122,142 for the six months ended June 30, 2023, primarily related to increases in base salaries and bonuses to our staff since second half of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decreased from US$26,552 for the six months ended June 30, 2022 to US$20,855 for the six months ended June 30, 2023, primarily due to the decrease of our outsourcing contractor fee for general project’s support, which is in line with the decrease of our revenues from business consulting and IT consulting.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by 518.11%, from US$323,230 for the six months ended June 30, 2022 to US$1,997,908 for the six months ended June 30, 2023.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US$71,530 for the six months ended June 30, 2022 to US$253,343 for the six months ended June 30, 2023, primarily as a result of the business development persons hired in the new subsidiary since second half of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US$170,817 for the six months ended June 30, 2022 to US$1,551,710 for the six months ended June 30, 2023. The increase was primarily due to (i) the increase in staff costs from US$77,498 for the six months ended June 30, 2022 to US$561,731 for the six months ended June 30, 2023, as a result of an increase in the number of employees hired to meet our business needs; (ii) the increase in professional service fees from US$8,418 for the six months ended June 30, 2022 to US$483,256 for the six months ended June 30, 2023 related to IPO professional services and the initiation of the Web 3.0 e-commerce platform; (iii) the increase of rent expenses from US$17,874 for the six months ended June 30, 2022 to US$200,292 for the six months ended June 30, 2023, as a result of an increase office spaces rent to meet our expansion of new business; and (iv) the increase of other overhead expenses, as a result of our expansion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US$80,883 for the six months ended June 30, 2022 to US$192,855 for the six months ended June 30, 2023, primarily as a result of the increased of system development expenses for the Web 3.0 e-commerce platform.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referral commission, and (iii)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US$70,300 for the six months ended June 30, 2022 to US$44,900 for the six months ended June 30, 2023, primarily due to the decrease of government subsidies.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net loss of US$1,861,412 and US$156,703 for the six months ended June 30, 2023 and 2022. The increased of net loss was primarily due to our early-stage input on initiating Web 3.0 e-commerce platform, which led to a significant increase of our operating expenses for the six months ended June 30,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Year Ended December 31, 2022 Compared to Year Ended December 31,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our consolidated statements of income for the years ended December 31, 2022 and 2021, respectively.</w:t>
      </w:r>
    </w:p>
    <w:tbl>
      <w:tblPr>
        <w:tblW w:w="10205" w:type="dxa"/>
        <w:jc w:val="left"/>
        <w:tblInd w:w="0" w:type="dxa"/>
        <w:tblLayout w:type="fixed"/>
        <w:tblCellMar>
          <w:top w:w="0" w:type="dxa"/>
          <w:left w:w="0" w:type="dxa"/>
          <w:bottom w:w="0" w:type="dxa"/>
          <w:right w:w="0" w:type="dxa"/>
        </w:tblCellMar>
      </w:tblPr>
      <w:tblGrid>
        <w:gridCol w:w="3280"/>
        <w:gridCol w:w="146"/>
        <w:gridCol w:w="226"/>
        <w:gridCol w:w="1291"/>
        <w:gridCol w:w="196"/>
        <w:gridCol w:w="146"/>
        <w:gridCol w:w="226"/>
        <w:gridCol w:w="1081"/>
        <w:gridCol w:w="196"/>
        <w:gridCol w:w="146"/>
        <w:gridCol w:w="226"/>
        <w:gridCol w:w="1291"/>
        <w:gridCol w:w="196"/>
        <w:gridCol w:w="146"/>
        <w:gridCol w:w="1066"/>
        <w:gridCol w:w="346"/>
      </w:tblGrid>
      <w:tr>
        <w:trPr/>
        <w:tc>
          <w:tcPr>
            <w:tcW w:w="32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6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171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 </w:t>
              <w:br/>
              <w:t>amount</w:t>
            </w:r>
          </w:p>
        </w:tc>
        <w:tc>
          <w:tcPr>
            <w:tcW w:w="146" w:type="dxa"/>
            <w:vMerge w:val="restart"/>
            <w:tcBorders/>
            <w:vAlign w:val="bottom"/>
          </w:tcPr>
          <w:p>
            <w:pPr>
              <w:pStyle w:val="TableContents"/>
              <w:bidi w:val="0"/>
              <w:spacing w:before="0" w:after="283"/>
              <w:jc w:val="left"/>
              <w:rPr/>
            </w:pPr>
            <w:r>
              <w:rPr/>
              <w:t> </w:t>
            </w:r>
          </w:p>
        </w:tc>
        <w:tc>
          <w:tcPr>
            <w:tcW w:w="1412"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of change</w:t>
            </w:r>
          </w:p>
        </w:tc>
      </w:tr>
      <w:tr>
        <w:trPr/>
        <w:tc>
          <w:tcPr>
            <w:tcW w:w="32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71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vMerge w:val="continue"/>
            <w:tcBorders/>
            <w:vAlign w:val="bottom"/>
          </w:tcPr>
          <w:p>
            <w:pPr>
              <w:pStyle w:val="Normal"/>
              <w:bidi w:val="0"/>
              <w:jc w:val="left"/>
              <w:rPr/>
            </w:pPr>
            <w:r>
              <w:rPr/>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605,807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(544,044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119.14</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(117,811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95.37</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(815,397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(1,220,786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409.78</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(97,463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(1,159,023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1189.19</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155,475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(23,685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(Loss)/profit before income tax expense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(1,182,708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-2038.73</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23,252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(loss)/profit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(1,159,456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-3869.11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revenues by revenue streams for the years ended December 31, 2022 and 2021 is summarized below:</w:t>
      </w:r>
    </w:p>
    <w:tbl>
      <w:tblPr>
        <w:tblW w:w="7280" w:type="dxa"/>
        <w:jc w:val="left"/>
        <w:tblInd w:w="0" w:type="dxa"/>
        <w:tblLayout w:type="fixed"/>
        <w:tblCellMar>
          <w:top w:w="0" w:type="dxa"/>
          <w:left w:w="0" w:type="dxa"/>
          <w:bottom w:w="0" w:type="dxa"/>
          <w:right w:w="0" w:type="dxa"/>
        </w:tblCellMar>
      </w:tblPr>
      <w:tblGrid>
        <w:gridCol w:w="2311"/>
        <w:gridCol w:w="146"/>
        <w:gridCol w:w="1201"/>
        <w:gridCol w:w="146"/>
        <w:gridCol w:w="991"/>
        <w:gridCol w:w="146"/>
        <w:gridCol w:w="991"/>
        <w:gridCol w:w="146"/>
        <w:gridCol w:w="856"/>
        <w:gridCol w:w="346"/>
      </w:tblGrid>
      <w:tr>
        <w:trPr/>
        <w:tc>
          <w:tcPr>
            <w:tcW w:w="23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368,979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141.67</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236,828</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59.71</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125,376</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software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3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23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605,807</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significantly increased from US$657,092 in 2021 to US$1,262,899 in 2022, representing a year-on-year increase of 92.20%. The increase was primarily due to our success in helping our clients to optimize and grow their business, resulting in positive feedback and our brand and services developing and expanding in the market and industry, which has brought us more clients and projects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Business consulting.    </w:t>
      </w:r>
      <w:r>
        <w:rPr>
          <w:rFonts w:ascii="Times New Roman PS Std;serif" w:hAnsi="Times New Roman PS Std;serif"/>
          <w:b w:val="false"/>
          <w:i w:val="false"/>
          <w:caps w:val="false"/>
          <w:smallCaps w:val="false"/>
          <w:sz w:val="20"/>
        </w:rPr>
        <w:t>Net revenues from business consulting services increased from US$260,455 in 2021 to US$629,434 in 2022, primarily attributed to (i) more business consulting projects were completed, delivered and accepted by customers in 2022; and (ii) we offered more comprehensive brand consulting services to assist our customers in building international brands in 2022, those contract prices are higher compared to the essential branding services for the local market in 2021. The average contract price of completed projects increased from US$37,208 in 2021 to US$44,960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IT customization.    </w:t>
      </w:r>
      <w:r>
        <w:rPr>
          <w:rFonts w:ascii="Times New Roman PS Std;serif" w:hAnsi="Times New Roman PS Std;serif"/>
          <w:b w:val="false"/>
          <w:i w:val="false"/>
          <w:caps w:val="false"/>
          <w:smallCaps w:val="false"/>
          <w:sz w:val="20"/>
        </w:rPr>
        <w:t>Net revenues from IT customization increased from US$396,637 in 2021 to US$633,465 in 2022, primarily due to (i) more IT customization projects were completed, delivered and accepted by customers in 2022; (ii) increase on average contract price of completed IT consulting projects from US$49,580 in 2021 to US$57,588 in 2022; and (iii) our newly engaged business line in providing management software solutions and the revenue was recognized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breakdown of cost of revenues for the years ended December 31, 2022 and 2021 is summarized below:</w:t>
      </w:r>
    </w:p>
    <w:tbl>
      <w:tblPr>
        <w:tblW w:w="7565" w:type="dxa"/>
        <w:jc w:val="left"/>
        <w:tblInd w:w="0" w:type="dxa"/>
        <w:tblLayout w:type="fixed"/>
        <w:tblCellMar>
          <w:top w:w="0" w:type="dxa"/>
          <w:left w:w="0" w:type="dxa"/>
          <w:bottom w:w="0" w:type="dxa"/>
          <w:right w:w="0" w:type="dxa"/>
        </w:tblCellMar>
      </w:tblPr>
      <w:tblGrid>
        <w:gridCol w:w="2596"/>
        <w:gridCol w:w="146"/>
        <w:gridCol w:w="1201"/>
        <w:gridCol w:w="146"/>
        <w:gridCol w:w="991"/>
        <w:gridCol w:w="146"/>
        <w:gridCol w:w="991"/>
        <w:gridCol w:w="146"/>
        <w:gridCol w:w="856"/>
        <w:gridCol w:w="346"/>
      </w:tblGrid>
      <w:tr>
        <w:trPr/>
        <w:tc>
          <w:tcPr>
            <w:tcW w:w="25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233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Variances</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5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bidi w:val="0"/>
              <w:spacing w:before="0" w:after="283"/>
              <w:jc w:val="left"/>
              <w:rPr/>
            </w:pPr>
            <w:r>
              <w:rPr/>
              <w:t> </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 fees</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710,793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232,290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478,503</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labor costs</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239,296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199,749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39,547</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w:t>
            </w:r>
          </w:p>
        </w:tc>
        <w:tc>
          <w:tcPr>
            <w:tcW w:w="3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Commission cost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4,389</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77.09</w:t>
            </w:r>
          </w:p>
        </w:tc>
        <w:tc>
          <w:tcPr>
            <w:tcW w:w="34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cost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40,518</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18,913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21,605</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114.23</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1,000,689</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456,645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544,044</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119.14</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increased from US$456,645 in 2021 to US$1,000,689 in 2022, representing a year-on-year increase of 119.14%.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Service fees.    </w:t>
      </w:r>
      <w:r>
        <w:rPr>
          <w:rFonts w:ascii="Times New Roman PS Std;serif" w:hAnsi="Times New Roman PS Std;serif"/>
          <w:b w:val="false"/>
          <w:i w:val="false"/>
          <w:caps w:val="false"/>
          <w:smallCaps w:val="false"/>
          <w:sz w:val="20"/>
        </w:rPr>
        <w:t>Service fees increased from US$232,290 in 2021 to US$710,793 in 2022, primarily due to the increase of service fees paid to suppliers or outsourcers, as a result of the fulfillment of increased project demands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 labor costs.    </w:t>
      </w:r>
      <w:r>
        <w:rPr>
          <w:rFonts w:ascii="Times New Roman PS Std;serif" w:hAnsi="Times New Roman PS Std;serif"/>
          <w:b w:val="false"/>
          <w:i w:val="false"/>
          <w:caps w:val="false"/>
          <w:smallCaps w:val="false"/>
          <w:sz w:val="20"/>
        </w:rPr>
        <w:t>Direct labor costs increased from US$199,749 in 2021 to US$239,296 in 2022, primarily related to increases in base salaries and bonuses to our staff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Commission costs.    </w:t>
      </w:r>
      <w:r>
        <w:rPr>
          <w:rFonts w:ascii="Times New Roman PS Std;serif" w:hAnsi="Times New Roman PS Std;serif"/>
          <w:b w:val="false"/>
          <w:i w:val="false"/>
          <w:caps w:val="false"/>
          <w:smallCaps w:val="false"/>
          <w:sz w:val="20"/>
        </w:rPr>
        <w:t>Commission costs increased from US$5,693 in 2021 to US$10,082 in 2022, primarily attributed to the incremental commission costs needed to obtain new sales contracts related to our newly engaged business line in providing management software solutions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Miscellaneous costs.    </w:t>
      </w:r>
      <w:r>
        <w:rPr>
          <w:rFonts w:ascii="Times New Roman PS Std;serif" w:hAnsi="Times New Roman PS Std;serif"/>
          <w:b w:val="false"/>
          <w:i w:val="false"/>
          <w:caps w:val="false"/>
          <w:smallCaps w:val="false"/>
          <w:sz w:val="20"/>
        </w:rPr>
        <w:t>Miscellaneous cost increased from US$18,913 in 2021 to US$40,518 in 2022, primarily due to the increase of our outsourcing contractor fee for general project’s support, which is in line with the increase of our revenues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increased from US$297,910 in 2021 to US$1,518,696 in 2022, representing a year-on-year increase of 409.78%. In anticipation of becoming a listed company, we expect our operating expenses will continue to increase as we hire more research and development personnel, commercial personnel and compliance personnel, and we will also incur additional marketing expenses in connection with the expansion of our business operations.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Selling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selling and marketing expenses increased from US$123,533 in 2021 to US$241,344 in 2022, primarily as a result of the business development persons hired in the new subsidiary in 2022 for the exploration of business opportunities and preparation to initiate our Web 3.0 e-commerce platform.</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general and administrative expenses increased from US$174,377 in 2021 to US$989,774 in 2022. The increase was primarily due to (i) the increase in staff costs from US$87,472 in 2021 to US$501,943 in 2022 as a result of an increase in the number of employees hired to meet our business needs, especially for our newly established subsidiary, (ii) the increase in professional service fees from US$6,139 in 2021 to US$134,523 in 2022 related to the initiation of the Web 3.0 e-commerce platform, and (iii) the increase of other overhead expenses, as a result of our expansion of business.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research and development expenses increased from nil in 2021 to US$287,578 in 2022, primarily as a result of the system development expenses for the Web 3.0 e-commerce platform in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 mainly consists of (i) government subsidies, (ii) non-refundable service fees from terminated consulting projects, (iii) referral commission, and (iv) interest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other income decreased from US$155,475 in 2021 to US$131,790 in 2022, primarily due to the decrease of referral commissions received for client referrals.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we incurred a net loss of US$1,129,489 in 2022, and recorded a net income of US$29,967 in 2021. The net loss in 2022 was primarily due to our early-stage input on initiating Web 3.0 e-commerce platform, which led to a significant increase of our operating expenses in 2022.</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subsidiaries incorporated in Singapore are subject to the Singapore Corporate Tax of 17%.</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primary sources of liquidity have been cash flows from our operating activities, capital contributions from shareholders and loans from banks. As of June 30, 2023 and December 31, 2022, we had cash of US$3,965,607 and US$945,265, and total working capital deficit of US$3,270,695 and US$1,236,728, respectively.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current cash and expected cash provided by this offering will be sufficient to meet our current and anticipated working capital requirements and capital expenditures for at least the next 12 months. We may, however,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of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indicated:</w:t>
      </w:r>
    </w:p>
    <w:tbl>
      <w:tblPr>
        <w:tblW w:w="10205" w:type="dxa"/>
        <w:jc w:val="left"/>
        <w:tblInd w:w="0" w:type="dxa"/>
        <w:tblLayout w:type="fixed"/>
        <w:tblCellMar>
          <w:top w:w="0" w:type="dxa"/>
          <w:left w:w="0" w:type="dxa"/>
          <w:bottom w:w="0" w:type="dxa"/>
          <w:right w:w="0" w:type="dxa"/>
        </w:tblCellMar>
      </w:tblPr>
      <w:tblGrid>
        <w:gridCol w:w="3534"/>
        <w:gridCol w:w="146"/>
        <w:gridCol w:w="241"/>
        <w:gridCol w:w="1066"/>
        <w:gridCol w:w="181"/>
        <w:gridCol w:w="146"/>
        <w:gridCol w:w="241"/>
        <w:gridCol w:w="991"/>
        <w:gridCol w:w="181"/>
        <w:gridCol w:w="146"/>
        <w:gridCol w:w="241"/>
        <w:gridCol w:w="1201"/>
        <w:gridCol w:w="181"/>
        <w:gridCol w:w="146"/>
        <w:gridCol w:w="241"/>
        <w:gridCol w:w="1081"/>
        <w:gridCol w:w="241"/>
      </w:tblGrid>
      <w:tr>
        <w:trPr/>
        <w:tc>
          <w:tcPr>
            <w:tcW w:w="35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5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671,672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255,956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(113,439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beginning of period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5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end of period</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945,265</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160,154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June 30, 2023 was US$2,380,926, primarily attributable to (i) our net loss of US$1,861,412, as adjusted by the reconciliation of net loss to net cash used in operating activities, which primarily comprised depreciation of right-of-use assets of US$163,534 and depreciation and amortization of US$18,837; and (ii) changes in operating assets and liabilities, which was primarily the result of (a) an increase in deferred offering costs of US$437,299, (b) an increase in contract cost assets of US$271,987, (c) a decrease in operating lease liabilities of US$137,438, and (d) a decrease in accrued expenses and other current liabilities of US$73,036, partially offset by an increase in deferred revenue of US$356,621.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for the six months ended June 30, 2022 was US$27,514, primarily attributable to (i) our net loss of US$156,703, as adjusted by the reconciliation of net loss to net cash used in operating activities, which primarily comprised depreciation of right-of-use asset of US$11,916 and depreciation and amortization of US$5,663; and (ii) changes in operating assets and liabilities, which was primarily the result of an increase in contract cost assets of US$120,607, partially offset by (a) an increase in accrued expenses and other current liabilities of US$124,342, and (b) an increase in accounts payable of US$104,876.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in 2022 was US$609,946, primarily attributable to (i) our net loss of US$1,129,489, as adjusted by the reconciliation of net loss to net cash used in operating activities, which primarily comprised depreciation of right-of-use assets of US$101,099 and depreciation and amortization of US$16,867, and (ii) changes in operating assets and liabilities, which was primarily the result of (a) an increase in prepaid expenses and other current assets of US$111,981, (b) an increase in contract cost assets of US$268,509, and (c) a decrease in operating lease liabilities of US$127,196, partially offset by (a) an increase in deferred revenue of US$461,128; (b) an increase in accrued expenses and other current liabilities of US$249,052; and (c) an increase in accounts payable of US$166,358.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in 2021 was US$244,100, primarily attributable to (i) our net income of US$29,967, as adjusted by the reconciliation of net income to net cash provided by operating activities, which primarily comprised depreciation of right-of-use asset of US$5,996 and depreciation and amortization of US$5,363, and (ii) changes in operating assets and liabilities, which was primarily the result of (a) an increase in deferred revenue of US$192,935; (b) an increase in accrued expenses and other current liabilities of US$54,678, and (c) an increase in accounts payable of US$51,491, partially offset by (a) an increase in accounts receivable, net of US$118,779.</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June 30, 2023 was US$79,043, which was primarily attributable to purchase of property and equipment in the amount of US$79,043.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June 30, 2022 was nil.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2022 was US$73,885, which was primarily attributable to purchase of property and equipment in the amount of US$73,885 for our newly established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in 2021 was US$53,313, which was primarily attributable to purchase of property and equipment in the amount of US$53,313 for business expansion.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for the six months ended June 30, 2023 was US$5,426,739, which primarily comprised (i) subscription fees advance from shareholders of US$7,065,861; and (ii) loans from related parties of US$355,716, partially offset by (i) loans to related parties of US$1,007,634; (ii) repayment of loans from related parties of US$845,200; (iii) repayments of long-term bank loans of US$67,159; and (iv) dividend distribution of $74,845.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for the six months ended June 30, 2022 was US$118,326, which primarily comprised (i) loans from related parties of US$1,465, partially offset by dividend distribution of US$106,219; and (ii) repayment of long-term bank loans of US$13,572.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2022 was US$1,378,257, which primarily comprised (i) loans from related parties of US$748,533, (ii) proceeds from long-term bank loans of US$652,789, and (iii) subscription fees advance from a shareholder of US$ 524,560, partially offset by (i) repayment of loans from related parties of US$239,357, and (iii) dividend distribution of US$229,201.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in 2021 was US$66,030, which primarily comprised (i) proceeds from long-term bank loans of US$48,370 and (ii) loans from related parties of US$44,650, partially offset by repayment of loans from related parties of US$22,325 and (ii) repayment of long-term bank loans of US$4,665.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Capital Expenditures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capital expenditures are primarily incurred for purposes of purchasing office and electric equipment and investments in office renovation. Our capital expenditures were US$79,043, US$73,885 and US$53,313 for the six months ended June 30, 2023, for the year ended December 31, 2022 and 2021, respectively. We intend to fund our future capital expenditures with our existing cash balance and proceeds from this offering. We will continue to make well-planned capital expenditures to meet the expected growth of our 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future minimum lease payments under the non-cancellable operating lease with respect to the office and the warehouse as of June 30, 2023 are payable as follows:</w:t>
      </w:r>
    </w:p>
    <w:tbl>
      <w:tblPr>
        <w:tblW w:w="2892" w:type="dxa"/>
        <w:jc w:val="left"/>
        <w:tblInd w:w="0" w:type="dxa"/>
        <w:tblLayout w:type="fixed"/>
        <w:tblCellMar>
          <w:top w:w="0" w:type="dxa"/>
          <w:left w:w="0" w:type="dxa"/>
          <w:bottom w:w="0" w:type="dxa"/>
          <w:right w:w="0" w:type="dxa"/>
        </w:tblCellMar>
      </w:tblPr>
      <w:tblGrid>
        <w:gridCol w:w="616"/>
        <w:gridCol w:w="146"/>
        <w:gridCol w:w="359"/>
        <w:gridCol w:w="1771"/>
      </w:tblGrid>
      <w:tr>
        <w:trPr/>
        <w:tc>
          <w:tcPr>
            <w:tcW w:w="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3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 Commitment</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215,285</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445,552</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427,228</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364,534</w:t>
            </w:r>
          </w:p>
        </w:tc>
      </w:tr>
      <w:tr>
        <w:trPr/>
        <w:tc>
          <w:tcPr>
            <w:tcW w:w="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7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225,793</w:t>
            </w:r>
          </w:p>
        </w:tc>
      </w:tr>
      <w:tr>
        <w:trPr/>
        <w:tc>
          <w:tcPr>
            <w:tcW w:w="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5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1,678,392</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certain legal proceedings, claims and disputes that arise in the ordinary course of business. Although the outcomes of these legal proceedings cannot be predicted, we do not believe these actions, in the aggregate, will have a material adverse impact on our financial position, results of operations or liquidity.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nature of our business does not appear to be affected by seasonal variations.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Management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prepare our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assumptions on our own historical data and other assumptions that we believe are reasonable after taking account of our circumstances and expectations for the future based on available information. We evaluate these estimates and assumptions on an ongoing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critical accounting policies, judgments and estimates that we believe to have the most significant impact on our consolidated financial statements are described below, which should be read in conjunction with our consolidated financial statements and accompanying notes and other disclosures included in this prospectus. When reviewing our financial statements, you should consider.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our selection of critical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judgments and other uncertainties affecting the application of such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sensitivity of reported results to changes in conditions and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critical accounting policies and practices include the following: (i) accounts receivable, net; (ii) revenue recognition; and (iii) income taxes. See Note 2 — Summary of Significant Accounting Policies to our consolidated financial statements for the disclosure of these accounting policies. We believe the following accounting estimates involve the most significant judgments used in the preparation of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allowance for doubtful accounts for accounts receivable and (ii) valuation allowance of deferred tax assets.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Allowance for doubtful accounts for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June 30, 2023, December 31, 2022 and 2021.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Valuation of deferred tax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December 31, 2022 and 2021. Thus, management decided to record all of the valuation allowance. Valuation allowance amounted to US$630,695, US$238,081 and US$30,974 as of June 30, 2023, December 31, 2022 and 2021, respectively. While we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(“EGC”) as defined in the JOBS Act. An EGC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EGC does not need to comply with any new or revised accounting standards issued subsequent to the enactment of the JOBS Act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discuss recent standards that are not anticipated to have an impact on or are unrelated to its consolidated financial condition, results of operations, cash flows or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exposed to liquidity risk which is risk that we are unable to provide sufficient capital resources and liquidity to meet our commitments and business needs. Liquidity risk is controlled by the application of financial position analysis and monitoring procedures. When necessary, we will turn to other financial institutions and the shareholders to obtain short-term funding to meet the liquidity shortage.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Inflation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rate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exposed to interest rate risk while we have bank loans. Although interest rates for our loans are about fixed for the terms of the loans, the interest rates are subject to change upon renewal.</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Foreign currency translation and transaction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of our operating entities’ functional currency are SGD. As a result, we are exposed to foreign exchange risk as our results of operations may be affected by fluctuations in the exchange rate among SGD and USD. If the SGD depreciates against the USD, the value of our SGD revenues, earnings, and assets as expressed in our USD financial statements will decline. We have not entered into any hedging transactions in an effort to reduce our exposure to foreign exchange risk. Currently, these risks are not material to our financial condition or results of operations. As we expand internationally, our exposure to foreign currency translation and transaction risks may become more significant.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6"/>
      <w:bookmarkEnd w:id="14"/>
      <w:r>
        <w:rPr>
          <w:rFonts w:ascii="Times New Roman PS Std;serif" w:hAnsi="Times New Roman PS Std;serif"/>
          <w:b/>
          <w:i w:val="false"/>
          <w:caps w:val="false"/>
          <w:smallCaps w:val="false"/>
          <w:sz w:val="20"/>
        </w:rPr>
        <w:t>INDUSTRY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The information presented in this section has been derived from an industry report commissioned by us and prepared by Frost &amp; Sullivan, an independent research firm, to provide information regarding our industry and our market position in Singapore, Southeast Asia and globally. We refer to this report as the “Frost &amp; Sullivan Report.”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solutions involve the design, supply, integration, operation and maintenance of technology-related tools for the deployment of digital activities. According to the Frost &amp; Sullivan Report, in Singapore, digital solutions have different service coverages, namely (i) e-commerce enablement and digital optimizing; (ii) branding, design and marketing consulting services; (iii) application development and user experience and user interface interfacing; and (iv) IT consulting solution.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engaging in the e-commerce enablement and digital optimizing offer e-commerce platforms, integrated channels, content and order management systems, payment processing, fulfillment integration, digital marketing solutions and services to help businesses build and optimize their digital commerce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design and marketing consulting services encompass the provision of design, analysis, strategic planning, implementation and marketing services for companies to build, develop and optimize a brand proposition, reputation and positioning in order to promote and sell their services or products.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applications are interactive programs that run on a web server, while mobile applications are software programs that are designed to run on specific hardware, such as tablets and smartphones. Web and mobile application development is the process of creating, revamping and developing user experience and user interfacing design on designated platform, as well as conducting user acceptance testing which serve as convenient ways to for merchants and users to conduct transactions and access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 solutions are solutions that revamp and integrate different information technology systems and operational systems within an organization to work more efficiently. This integration can be achieved through various methods such as data sharing, system linking, and process automation. It involves designing, developing, and implementing custom software solutions that can integrate with existing systems or platforms. IT and operational systems solutions help businesses digitize, automate and streamline their core operations and business processes.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Digital Solutions in Singapore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operational efficiency.    </w:t>
      </w:r>
      <w:r>
        <w:rPr>
          <w:rFonts w:ascii="Times New Roman PS Std;serif" w:hAnsi="Times New Roman PS Std;serif"/>
          <w:b w:val="false"/>
          <w:i w:val="false"/>
          <w:caps w:val="false"/>
          <w:smallCaps w:val="false"/>
          <w:sz w:val="20"/>
        </w:rPr>
        <w:t>Particularly for market entrants of e-commerce platforms of traditional brick-and-mortar stores, managing e-commerce operations involves coordinating many complex processes, involving the maintenance of online store, handling orders and payments, managing inventory across channels, shipping and fulfillment, providing customer service, as well as customer and operational data analysis etc. Performing all these functions efficiently and at scale requires sophisticated tools and systems to streamline workflows, minimize costs, and maximize productivity. e-commerce enablement and digital optimizing solution providers aim to remedy that by supplying companies with platforms to unify systems, simplify workflows and focus on strategic growth rather than troubleshooting inefficiencies or technical issues. By handling the complex infrastructure, integrations and optimization needs of digital business, solution providers allow companies to redirect resources toward engaging customers and expanding market opportunities.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Robust demand for omnichannel customer experience.    </w:t>
      </w:r>
      <w:r>
        <w:rPr>
          <w:rFonts w:ascii="Times New Roman PS Std;serif" w:hAnsi="Times New Roman PS Std;serif"/>
          <w:b w:val="false"/>
          <w:i w:val="false"/>
          <w:caps w:val="false"/>
          <w:smallCaps w:val="false"/>
          <w:sz w:val="20"/>
        </w:rPr>
        <w:t xml:space="preserve">With thriving numbers of Internet users in Southeast Asia, increasing from 355.5 million in 2017 to 516.5 million in 2022, representing a CAGR of approximately 7.8%, coupled with the burgeoning market size of e-commerce in Southeast Asia, surging from US$14.0 billion to US$113.6 billion during 2017 to 2022, representing a CAGR of approximately 52.0%, the demand for omnichannel customer experience is developing profoundly. Modern customers expect a seamless shopping experience across all channels — online, mobile, social and in-store.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view to meeting these omnichannel expectations, the retail industry in Southeast Asia has been evolving towards an omnichannel model, with numerous physical stores including e-commerce and mobile commerce into their businesses. E-commerce enablement and digital optimizing providers aim to enable omnichannel commerce with features such as native mobile web experiences, integration with major e-marketplaces such as Shopee and Lazada, integration with digital tools, payment gateways to support online and offline payments, and integrations with existing order and warehouse management systems for a unified order fulfillment workflow. As omnichannel strategy is key to customer retention and growth nowadays, the demand for e-commerce enablement and digital optimizing is heavily underpinned.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effort in promoting digital economy and society.    </w:t>
      </w:r>
      <w:r>
        <w:rPr>
          <w:rFonts w:ascii="Times New Roman PS Std;serif" w:hAnsi="Times New Roman PS Std;serif"/>
          <w:b w:val="false"/>
          <w:i w:val="false"/>
          <w:caps w:val="false"/>
          <w:smallCaps w:val="false"/>
          <w:sz w:val="20"/>
        </w:rPr>
        <w:t>Singapore government has promulgated the “Smart Nation initiative” to accelerate the process of integrating technology into the economy and aim to make Singapore a fully technology-driven country. For instance, most transactions and interactions between citizens and the government today can be done online, and integrated apps that reduce the time taken to fulfil inter-agency requests have been growing in number. With effort such as the implementation of fifth-generation mobile network (5G) starting from 2020, entailing greater speed and higher reliability of data transmission, lower latency and greater number of connected devices, information transmission and transparency has been continuously elevated. With the government support, the demand to delegate third party digital solutions providers would be continuously propelled.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Significant impetus from SMEs.    </w:t>
      </w:r>
      <w:r>
        <w:rPr>
          <w:rFonts w:ascii="Times New Roman PS Std;serif" w:hAnsi="Times New Roman PS Std;serif"/>
          <w:b w:val="false"/>
          <w:i w:val="false"/>
          <w:caps w:val="false"/>
          <w:smallCaps w:val="false"/>
          <w:sz w:val="20"/>
        </w:rPr>
        <w:t>Government support for SME digitalization and skills upgrading is fueling demand for digital solutions. In Singapore, there were more than 200,000 SMEs in 2022 and they make up 99% of enterprises, contributing nearly half of the national GDP. Accordingly, enabling SME’s digital transformation is key to sustainable economic growth. Government agencies such as IMDA, Enterprise Singapore and e-commerce marketplaces provide strong funding and incentives for SMEs to build e-commerce channels, digitize operations and upgrade IT skills. For instance, the IMDA’s SMEs Go Digital program offers advice and grants to help SMEs adopt technology in areas like e-commerce, digital marketing and business process re-engineering. Digital solutions providers will benefit from the SME segment’s demand at scale and government backing for the technology investment required to serve SME segment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Rise of Web 3.0 propelling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enablement</w:t>
      </w:r>
      <w:r>
        <w:rPr>
          <w:rFonts w:ascii="Times New Roman PS Std;serif" w:hAnsi="Times New Roman PS Std;serif"/>
          <w:b w:val="false"/>
          <w:i w:val="false"/>
          <w:caps w:val="false"/>
          <w:smallCaps w:val="false"/>
          <w:sz w:val="20"/>
        </w:rPr>
        <w:t>.    Web 3.0 primarily focuses on leveraging artificial intelligence, blockchain, virtual reality, augmented reality and other emerging technologies to enable smart, customized and secure digital experiences. The rise of Web 3.0, marked by greater decentralization and use of artificial intelligence, creates new opportunities for e-commerce enablement and digital optimization solution providers.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 By enabling features such as access to artificial intelligence-enhanced personalization, augmented reality-powered virtual showrooms and secure payments and supply chain management, the expertise of e-commerce enablement and digital optimization providers in emerging tech deployment for e-commerce and digital channels positions them to help companies navigate Web 3.0 opportunities and complexities.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Demand for advancement in IT infrastructure and analytical tools.    </w:t>
      </w:r>
      <w:r>
        <w:rPr>
          <w:rFonts w:ascii="Times New Roman PS Std;serif" w:hAnsi="Times New Roman PS Std;serif"/>
          <w:b w:val="false"/>
          <w:i w:val="false"/>
          <w:caps w:val="false"/>
          <w:smallCaps w:val="false"/>
          <w:sz w:val="20"/>
        </w:rPr>
        <w:t xml:space="preserve">Advancements in IT are disrupting every industry and transforming how businesses operate. To keep up, companies in Singapore are investing heavily in upgrading and transforming their IT infrastructure, and adoption of modern information technology. In particular, increasing impetus for companies to automate processes, digitize operations and offer digital customer experiences necessitates the demand for scalable, robust and agile IT infrastructure to support their technology needs and power their growth. Additionally, these companies are moving to the cloud to gain flexibility, scalability and cost benefits which is driving demand for incorporating cloud infrastructure by engaging solution providers. Besides, these companies are looking to leverage data analytical tools such as data mining, Internet of Things (IoT), cloud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computing, and artificial intelligence algorithms to gain insights, improve decision making and optimize operations which puts the spotlight on digital solutions providers with competent data management infrastructure, high performance computing and artificial intelligence capabilities.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due to the industry’s diverse client base, high degree of industry segmentation, and different service coverages, according to the Frost &amp; Sullivan Report. The majority of digital solutions providers operate on the market by providing all-in-one solutions or partial solutions. Major players include e-commerce platform providers such as Shopify, Lazada, Shopee, integrated e-commerce enablers such as our Company, as well as well-known companies with the advantages of social media platforms, such as Google, Facebook, and LinkedIn.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market in Singapore is highly competitive and diverse, and numerous niche players and startups are entering the market with cutting-edge technologies such as virtual reality, augmented reality, artificial intelligence, and blockchain. However, established companies typically have a larger market share and higher profit margins due to their mature business models and higher levels of technology, whereas small players in digital solutions face fierce market competition and limited business opportunities due to service homogenization and lower profit margins. Moreover, as an increasing number of multinational corporations relocate their headquarters to Singapore, a significant international financial center, the demand for localization is likely to create more market space for local digital solution providers.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Competitive Landscape of Digital Solutions in SMEs Go Digital Program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Singapore Department of Statistics, 99% of Singapore’s businesses in 2021 were SMEs. To assist Singapore’s SMEs in enhancing their productivity and competitiveness, Singapore government has launched the SMEs Go Digital program as part of its “Smart Nation Initiative” to provide SMEs with a variety of digital solutions and services, such as e-commerce platforms, digital marketing tools, and data analytics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is led by IMDA. Only those digital solutions providers that have been approved by IMDA can participate in the program and provide services to SMEs. Our Company is one of the pre-approved digital solution vendors.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program also offers financial assistance to eligible SMEs in order to reduce costs. In addition, consulting and training services, such as seminars and one-on-one consultations with digital experts, are provided to assist SMEs in developing digital capabilities and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the Singapore-based companies who have participated in the SMEs Go Digital program led by the IMDA, the top five players have contributed to 17.2% of the entire market in terms of revenue in 2022. Our Company ranked fourth with a market share of 1.5%, according to the Frost &amp; Sullivan Report.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087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534025" cy="208788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more secure, and decentralized.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Application of the blockchain technology, smart contracts, decentralized applications, and decentralized autonomous organizations at various stages of, and in diversified contexts in, Web 3.0 enables the construction of a decentralized web eventually which is not controlled by a central authority. Meanwhile, Web 3.0 aims to accommodate the use of metadata and other structured data to create a smarter Web that can comprehend and process information in a more meaningful manner, thereby providing users with more advanced search capabilities and personalized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signifies a significant transition towards a decentralized and user-centric Internet. According to the Frost &amp; Sullivan Report, Web 3.0 users are forecasted to reach 1 billion by 2031. Increasing numbers of Internet consumers are migrating to this more open, transparent, and secure environment.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Introduction of Web 3.0 E-Commerce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will enable a decentralized commerce model where merchants list their products on a decentralized marketplace and customers can access them directly without any intermediaries.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2819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534025" cy="2819400"/>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Drivers of Web 3.0 E-Commerce in Southeast Asia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Improved security, transparency and trust.    </w:t>
      </w:r>
      <w:r>
        <w:rPr>
          <w:rFonts w:ascii="Times New Roman PS Std;serif" w:hAnsi="Times New Roman PS Std;serif"/>
          <w:b w:val="false"/>
          <w:i w:val="false"/>
          <w:caps w:val="false"/>
          <w:smallCaps w:val="false"/>
          <w:sz w:val="20"/>
        </w:rPr>
        <w:t>The key technological advances in Web 3.0, including, among others, blockchain, decentralization and smart contracts have the potential to significantly improve the security of payments and reduce risks for e-commerce businesses. Improved transparency and trust afforded by Web 3.0 platforms are critical in Southeast Asian e-commerce due to issues like fraud, lack of visibility into supply chains, and payment security concerns that limit industry growth. The use of blockchain in Web 3.0, for example, offers an immutable record of transactions and data that gives consumers visibility into the entire history of orders, payments, product information, trustworthy record of supply chain data and product provenance and smart contract execution. This transparency, combined with the reduced ability to alter records or commit fraud on the network, helps build the trust necessary for e-commerce to flourish by verifying transactions, ensuring fulfillment of obligations, and giving visibility into supply chain details. The transparency and traceability features of Web 3.0 address the core issues undermining trust in Southeast Asian e-commerce today, and thus provide a compelling value proposition for the adoption of Web 3.0 e-commerce in the Southeast Asia region.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Enhanced personalized digital experience.    </w:t>
      </w:r>
      <w:r>
        <w:rPr>
          <w:rFonts w:ascii="Times New Roman PS Std;serif" w:hAnsi="Times New Roman PS Std;serif"/>
          <w:b w:val="false"/>
          <w:i w:val="false"/>
          <w:caps w:val="false"/>
          <w:smallCaps w:val="false"/>
          <w:sz w:val="20"/>
        </w:rPr>
        <w:t>Consumers nowadays expect personalized digital experiences and are more likely to shop with brands that provide personally relevant offers and recommendations. As an advancement of Web2.0, application of artificial intelligence in Web 3.0 can tailor content, services, products and interactions to individual interests based on behaviors and preferences. With a highly connected mobile population, consumers are generating huge amounts of data through daily digital activities. Web 3.0 allows for processing this data to gain customer insights using artificial intelligence, machine learning and predictive algorithms. Brands can then customize experiences based on understanding each customer’s journey, profiles, preferences and pain points. Web 3.0 excels in such aspect over Web 2.0 and bring about immense opportunities in analyzing and catering to consumers’ preference.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Variety of user experience.    </w:t>
      </w:r>
      <w:r>
        <w:rPr>
          <w:rFonts w:ascii="Times New Roman PS Std;serif" w:hAnsi="Times New Roman PS Std;serif"/>
          <w:b w:val="false"/>
          <w:i w:val="false"/>
          <w:caps w:val="false"/>
          <w:smallCaps w:val="false"/>
          <w:sz w:val="20"/>
        </w:rPr>
        <w:t>Web 3.0 features advanced technology such as virtual/augmented reality and IoT connectivity. Web 3.0 also leverages edge computing, mesh networks, and integrated devices to create an infrastructure that is fast, reliable, and available anywhere. This allows Web 3.0 services to run anywhere, anytime, offering virtual reality shopping, livestream shopping, and seamless checkout using facial recognition, which in turn attract more customers to e-commerce platforms.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A growing consumer base that embraces technology.    </w:t>
      </w:r>
      <w:r>
        <w:rPr>
          <w:rFonts w:ascii="Times New Roman PS Std;serif" w:hAnsi="Times New Roman PS Std;serif"/>
          <w:b w:val="false"/>
          <w:i w:val="false"/>
          <w:caps w:val="false"/>
          <w:smallCaps w:val="false"/>
          <w:sz w:val="20"/>
        </w:rPr>
        <w:t>With a high Internet penetration rate, a large proportion of the population in Southeast Asia has access to the Internet and can engage with Web 3.0 e-commerce platforms. In addition, surging smartphone penetration, and adoption rate of digital payments have been thriving in Southeast Asia, which create a large market receptive to the value propositions of Web 3.0 e-commerce applications and platforms. This fast-paced technology adoption creates a large market of consumers and businesses ready for innovative e-commerce solutions that Web 3.0 can provide.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Government endeavor.    </w:t>
      </w:r>
      <w:r>
        <w:rPr>
          <w:rFonts w:ascii="Times New Roman PS Std;serif" w:hAnsi="Times New Roman PS Std;serif"/>
          <w:b w:val="false"/>
          <w:i w:val="false"/>
          <w:caps w:val="false"/>
          <w:smallCaps w:val="false"/>
          <w:sz w:val="20"/>
        </w:rPr>
        <w:t>Governments in Southeast Asia have generally taken a progressive stance toward blockchain technology, creating an enabling regulatory environment that encourages innovation and adoption for e-commerce applications. For instance, Thailand has established a regulatory sandbox for fintech startups focused on Web 3.0-enabled e-commerce. Singapore and Malaysia have also expressed support for blockchain innovation and are developing frameworks to govern the technology responsibly. This generally innovation-friendly regulatory environment has helped spur blockchain projects aimed at improving transparency, efficiency and traceability for e-commerce businesses.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Cross-border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trade.    </w:t>
      </w:r>
      <w:r>
        <w:rPr>
          <w:rFonts w:ascii="Times New Roman PS Std;serif" w:hAnsi="Times New Roman PS Std;serif"/>
          <w:b w:val="false"/>
          <w:i w:val="false"/>
          <w:caps w:val="false"/>
          <w:smallCaps w:val="false"/>
          <w:sz w:val="20"/>
        </w:rPr>
        <w:t>In 2021, the Southeast Asia countries signed the ASEAN Agreement on Electronic Commerce, which has fostered the emergence of a cohesive, aligned, and inclusive environment that helps facilitate cross-border e-commerce transactions for goods and services. The competitive advantage of Web 3.0 e-commerce such as transparency and traceability of transactions across borders and end-to-end visibility can help overcome challenges like weak trade infrastructure, trade barriers and lack of trust that currently limit intra-regional trade within Southeast Asia. Therefore, Web 3.0 e-commerce has the potential to significantly increase cross-border business-to-business and business-to-consumer transactions within Southeast Asia.</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 Opportunities of Web 3.0 E-Commerce in Southeast Asia and Globally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e-commerce platforms offer a more advanced and immersive shopping experience compared to Web 2.0 e-commerce platforms. Web 3.0 e-commerce is still in its early stages of development and adoption, presenting tremendous growth opportunities as, among other things, the number of Internet users continues to grow, the e-commerce industry evolves, and the adoption of various technology applications (such as artificial intelligence) in Web 3.0 increases.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Nominal GDP in Southeast Asia.    </w:t>
      </w:r>
      <w:r>
        <w:rPr>
          <w:rFonts w:ascii="Times New Roman PS Std;serif" w:hAnsi="Times New Roman PS Std;serif"/>
          <w:b w:val="false"/>
          <w:i w:val="false"/>
          <w:caps w:val="false"/>
          <w:smallCaps w:val="false"/>
          <w:sz w:val="20"/>
        </w:rPr>
        <w:t>According to The International Monetary Fund, the nominal GDP in Southeast Asia has increased from US$2,842.2 billion to US$3,644.7 billion from 2017 to 2022, representing a CAGR of 5.1%. The expected nominal GDP between 2023 and 2027 is approximately 7.4%, reaching to approximately US$5,232.3 billion by 2027. It is expected that the economy will recover in the next years with the alleviation of the COVID-19 pandemic.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Number of Internet users in Southeast Asia.    </w:t>
      </w:r>
      <w:r>
        <w:rPr>
          <w:rFonts w:ascii="Times New Roman PS Std;serif" w:hAnsi="Times New Roman PS Std;serif"/>
          <w:b w:val="false"/>
          <w:i w:val="false"/>
          <w:caps w:val="false"/>
          <w:smallCaps w:val="false"/>
          <w:sz w:val="20"/>
        </w:rPr>
        <w:t>In 2022, the number of Internet users in Southeast Asia was 516.5 million, representing more than 70% of the region’s population, making Southeast Asia one of the world’s fastest-growing regions in terms of Internet adoption. Due to the increasing affordability and availability of smartphones, rising number of middle class, and increasing investment in improving Internet infrastructure, the Internet adoption in Southeast Asia is on the rise. The number of Internet users in Southeast Asia is forecasted to continuously increase between 2023 and 2027 reaching 591.7 million in 2027.</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e-commerce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Southeast Asia.    </w:t>
      </w:r>
      <w:r>
        <w:rPr>
          <w:rFonts w:ascii="Times New Roman PS Std;serif" w:hAnsi="Times New Roman PS Std;serif"/>
          <w:b w:val="false"/>
          <w:i w:val="false"/>
          <w:caps w:val="false"/>
          <w:smallCaps w:val="false"/>
          <w:sz w:val="20"/>
        </w:rPr>
        <w:t>The e-commerce industry in the region has grown rapidly due to several factors, including economic development, increased Internet penetration, and the COVID-19 pandemic. The pandemic led to the implementation of pandemic prevention and control policies such as social distancing and quarantine measures, which prompted citizens to switch from traditional brick-and-mortar purchases to e-commerce platforms. This trend has resulted in the market size of the e-commerce industry in Southeast Asia growing from US$14.0 billion to US$113.6 billion between 2017 and 2022, representing a CAGR of 52.0%. The success of leading e-commerce platforms in Indonesia, Singapore, Malaysia, Vietnam and Thailand has been a driving force behind the industry’s continuous growth. It is expected that the e-commerce industry in Southeast Asia will continue to grow, with the market size expected to reach approximately US$276.7 billion in 2027, representing a CAGR of 17.3%.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105400" cy="205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105400" cy="205422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size of Web 3.0-enabled e-commerce in Southeast Asia is expected to grow at a CAGR of 100.3% from 2023 to 2027, reaching US$47.0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457700" cy="24720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457700" cy="247205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Market size of global e-commerce.    </w:t>
      </w:r>
      <w:r>
        <w:rPr>
          <w:rFonts w:ascii="Times New Roman PS Std;serif" w:hAnsi="Times New Roman PS Std;serif"/>
          <w:b w:val="false"/>
          <w:i w:val="false"/>
          <w:caps w:val="false"/>
          <w:smallCaps w:val="false"/>
          <w:sz w:val="20"/>
        </w:rPr>
        <w:t>Rapid urbanization across the globe is one of the key factors driving the growth of the market. Furthermore, increasing Internet penetration and usage of devices, such as smartphones, laptops and tablets to access e-commerce portals, is also providing a boost to the market growth of global e-commerce. The market size of global e-commerce increased from US$2,382.0 billion in 2017 to US$5,717.0 billion in 2022, at a CAGR of 19.1%. E-commerce enables organizations to conduct business without maintaining a physical presence, thereby minimizing the infrastructure, communication and overhead costs. The market is further driven by the increasing preference for online shopping, especially among women, and the growing influence of social networking platforms on shopping habits. The market size of global e-commerce is expected to increase at a CAGR of 8.7% from 2023 to 2027, reaching US$8,819.0 billion in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010150" cy="19170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010150" cy="1917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3.0-enabled e-commerce is a new area of innovation in the global e-commerce industry, with many businesses and startups exploring the potential of innovative technology applications in Web 3.0 for improving supply chain management, increasing transparency, and enhancing customer experiences. The market size of global Web 3.0-enabled e-commerce is expected to reach US$ 1,587.4 billion in 2027, representing a CAGR of 70.2% from 2023 to 2027.</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00525" cy="22980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00525" cy="2298065"/>
                    </a:xfrm>
                    <a:prstGeom prst="rect">
                      <a:avLst/>
                    </a:prstGeom>
                  </pic:spPr>
                </pic:pic>
              </a:graphicData>
            </a:graphic>
          </wp:inline>
        </w:drawing>
      </w:r>
    </w:p>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Source: Frost &amp; Sullivan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5"/>
      <w:bookmarkEnd w:id="15"/>
      <w:r>
        <w:rPr>
          <w:rFonts w:ascii="Times New Roman PS Std;serif" w:hAnsi="Times New Roman PS Std;serif"/>
          <w:b/>
          <w:i w:val="false"/>
          <w:caps w:val="false"/>
          <w:smallCaps w:val="false"/>
          <w:sz w:val="20"/>
        </w:rPr>
        <w:t>BUSINESS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be the leader in Web 3.0 enablement, bridging business to a trusted and secure e-commerce platform with curated customer experience.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leading digital transformation enabler in the SME segment of the e-commerce enablement and digital optimizing services market in Singapore. We offer business and technology solutions which are designed to optimize our clients’ experiences with their customers by driving digital adoption and self-service.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started our journey in 2014 as a full-service information technology company headquartered in Singapore. Since then, we recognized and captured the opportunities arising from the global fast-growing digital adoption trend in various industries and rapidly developed as a leading digital transformation enabler in the SME segment of the e-commerce enablement and digital optimizing services market in Singapore. According to the Frost &amp; Sullivan Report, among the Singapore-based companies who have been approved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SMEs Go Digital program is to provide SMEs in Singapore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clients and prospective clients are faced with transformative business opportunities due to advances in software and computing technology. These organizations are dealing with the challenge of having to reinvent their core products, services, processes and systems rapidly and position themselves as “digitally enabled.” The journey to the digital future requires not just an understanding of new technologies and new ways of working, but a deep appreciation of existing technology landscapes, business processes and practices. We have been a navigator for our clients as they ideate, plan and execute on their journey to a digital future through our solutions and services, comprising: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Business consulting:    </w:t>
      </w: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approach, our suite of offerings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i/>
          <w:caps w:val="false"/>
          <w:smallCaps w:val="false"/>
          <w:sz w:val="20"/>
        </w:rPr>
        <w:t>IT customization:    </w:t>
      </w:r>
      <w:r>
        <w:rPr>
          <w:rFonts w:ascii="Times New Roman PS Std;serif" w:hAnsi="Times New Roman PS Std;serif"/>
          <w:b w:val="false"/>
          <w:i w:val="false"/>
          <w:caps w:val="false"/>
          <w:smallCaps w:val="false"/>
          <w:sz w:val="20"/>
        </w:rPr>
        <w:t>We offer solutions and services to plan, design, operate, optimize and transform business processes. We support clients to get the best value from technology by developing an IT strategy, optimizing applications and infrastructure, implementing IT operating models, and governing their technical architecture for reliability and security.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customized solutions and services that address the specific needs of clients in our strategic vertical markets. Our primary vertical industries include e-commerce, food and beverage, fintech, healthcare and service, wholesale and retail that are fast-growing and have increasing level of digitalization potentials. Our configurable technology integrates seamlessly into our clients’ systems, empowering our clients to manage, improve their businesses and to win. As of June 30, 2023, we served over 200 clients across our core verticals such as food and beverage, wholesale and retail.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technology continues to impact our world through its transformative capability and pervasive impact. Our management believes we have a successful track record of applying our proprietary technologies to respond to changing business needs and evolving client demands. Leveraging such experiences, we plan to launch a Web 3.0 e-commerce platform whereby customers and merchants can transact in a transparent and secure way, or Tridentity, in the fourth quarter of 2023.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in helping our clients brand, position, optimize and grow their businesses has allowed us to achieve significant growth. For the years ended December 31, 2022 and 2021, we generated revenue of approximately US$1.26 million and US$0.66 million, respectively. Revenue from business consulting and IT customization accounted for 49.8% and 50.2% of our total revenue for the year ended December 31, 2022 respectively, and accounted for 39.6% and 60.4% of our total revenue for the year ended December 31, 2021 respectively. We incurred a net loss of approximately US$1.13 million for the year ended December 31, 2022, and achieved a net income of approximately US$0.03 million for the year ended December 31, 2021. For the six months ended June 30, 2023 and 2022, we generated revenue of approximately US$0.48 million and US$0.48 million, respectively. Revenue from business consulting and IT customization accounted for 23.6% and 76.4% of our total revenue for the six months ended June 30, 2023 respectively, and accounted for 40.5% and 59.5% of our total revenue for the six months ended June 30, 2022, respectively. We incurred net loss of approximately US$1.86 million and US$0.16 million for the six months ended June 30, 2023 and 2022, respectively.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Strengths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strengths have contributed to our continued success:</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Leading digital transformation enabler in the SME segment of the e-commerce enablement and digital optimizing services market in Singapore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our founding team pioneered digital transformation for clients in Singapore. In 2021, we were one of first pre-approved vendors to participate in the SMEs Go Digital program led by IMDA, which is to provide SMEs with a variety of digital solutions and services, such as e-commerce platforms, digital marketing tools, and data analytics software. The program also offers government grants to eligible SMEs to subsidize the costs, driving digital adoptions.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one of the leaders in the digital transformation of the SME segment in Singapore. According to the Frost &amp; Sullivan Report, among the Singapore-based companies who are pre-approved vendors to participate in the SMEs Go Digital program led by IMDA, we ranked fourth, contributing to 1.5% of the SME segment of the e-commerce enablement and digital optimizing services market in Singapore in 2022.</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the accumulation of industry domain knowledge over the years, we have in-depth understanding and expertise in the industry pain points, tailored solutions for each client, and the application of emerging technologies such as: artificial intelligence, cloud computing, Internet of Things, blockchain and big data analytics. All these enabled us to expand deeper into each industry vertical, helping our clients to capture the values of digital transformation.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Proprietary Technology Architecture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last three years providing IT customization services in our core vertical markets, we offer one-stop business and technology solutions that simplify customer engagement by driving digital adoption and self-service capabilities. Our solutions are largely SaaS-based cloud solutions, carefully designed to provide the systems with security, scalability and the ease of integration. Our in-house proprietary design of the technology architecture and our coding framework are key towards operation scalability and sustainability, to maximize growth and profitability.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architecture enables us to innovate quickly while delivering new features to our clients simultaneously and at lower operating costs compared to legacy providers. Our ability to innovate quickly is critical to maintaining the leadership of our enabling services provided. Our proprietary technology architecture also provides financial benefits to us through operational scalability. Our developing Web 3.0 e-commerce platform is developed using this proprietary technology architecture, which contains all of the functionality that users expect from modern cloud software, as well as scalable architecture, cloud security, elegant and easy-to-use interfaces, common APIs, robust mobile accessibility, and data integration.</w:t>
      </w:r>
    </w:p>
    <w:p>
      <w:pPr>
        <w:pStyle w:val="TextBody"/>
        <w:keepNext w:val="true"/>
        <w:pageBreakBefore w:val="false"/>
        <w:widowControl/>
        <w:pBdr/>
        <w:bidi w:val="0"/>
        <w:spacing w:before="20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Unique Perspective and Efficient Operational Capabilities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our experiences in providing business consulting services to the various verticals over the years, we have developed a unique perspective into the processes and systems needed to drive the operations and business success of the market participants within these industries. Our approach enables us to deliver industry-tailored solutions, including business management software, customer engagement applications, and billing and payment solutions, to address vertical-specific workflows and customer requirements. We also have an efficient and diversified go-to-market strategy tailored to each vertical we serve.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these unique perspectives and the efficient operational capabilities can be applied to our developing Web 3.0 e-commerce platform which accelerates merchants and customers’ acquisition and increases their stickiness.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Seasoned and Visionary Management Team with International Perspective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team members have tremendous experience in their respective areas of expertise. Our founder, chairman of board of directors and chief executive officer, Mr. Soon Huat Lim, is an innovative entrepreneur and recognized leader with combined expertise in sales, supply chain, retail and services, tourism, entertainment and media, e-commerce, and technology industries. He has over 30 years of management experience with a strong network and resources and the know-how that established our company as a leading digital transformation enabler in the SME segment of the e-commerce enablement and digital optimizing services market in Singapore. Our chief technology officer, Mr. Poh Kiong Tan, has been a Practicing Management Consultant certified by The Singapore Business Advisors and Consultants Council since 2018. His qualifications include multidisciplinary expertise ranging from branding, human resource management to productivity diagnosis and technology adoption, which are instrumental to our success.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senior management team members have on average 15 years of management experience and extensive and complementary industry experiences in a wide range of fields, such as finance, market acquisition, risk and compliance, and operations, which enable us to develop innovative tailored solutions that meet the evolving needs of our clients and expand our global footprint.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further grow our business by pursuing the following strategies: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 on a Generational Shift to Web 3.0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 3.0 is the next generation of the World Wide Web which aims to establish an Internet that is smarter and more secure. Web 3.0 primarily focuses on leveraging artificial intelligence, blockchain, virtual reality, augmented reality and other emerging technologies to enable smart, customized and secure digital experiences. As companies work to adapt e-commerce, marketing and operations to Web 3.0 capabilities, they require platforms and solutions built on these advanced technologies. E-commerce enablement and digital optimization providers developing solutions incorporating artificial intelligence, virtual reality, augmented reality and blockchain functionalities will be poised to gain as businesses pursue more intelligent, immersive and trusted online customer experiences.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Mission-critical applications are increasingly being delivered more reliably and securely via Web 3.0-enabled platforms, which can more readily enable real-time collaboration and provide access to valuable data from anywhere, anytime, on any device. As more merchants and customers embrace innovative technology applications in Web 3.0, they drive the accelerated adoption of Web 3.0 capabilities across the market participants, including our company which will operate Tridentity, a Web 3.0 e-commerce platform whereby customers and merchants can transact in a transparent and secure way, to be launched in the fourth quarter of 2023. According to the Frost &amp; Sullivan Report, the market size of global Web 3.0-enabled e-commerce is expected to reach US$189.3 billion and US$1,587.4 billion in 2023 and 2027, respectively, representing a CAGR of 70.2% from 2023 to 2027. We believe we are well positioned to capture a strong adoption cycle of Web 3.0-enabled solutions by merchants and customers globally.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Expand and Grow our Client Base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grow our existing clients by adding product features and additional functionality to our solutions and continuing to drive digital adoption of our existing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verticals are large, underpenetrated, and non-cyclical with significant whitespace, low digital adoption, and growing usage of software solutions. We believe there is a significant opportunity to attract new clients with our current offerings in our vertical end-markets and new verticals. We plan to continue winning new clients by investing in our salesforce, improving the awareness of our brands and solutions, and building new partnerships and integrations. We intend to continue winning market share by driving product leadership and adoption of our industry-tailored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Broaden our Geographical Reach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there is a significant need for our solutions and services on a global basis and, accordingly, an opportunity for us to grow our business through further international expansion. We will broaden our global footprint and intend to establish a presence in additional international markets.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Selectively Pursue Strategic Acquisitions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pursue strategic acquisitions that we believe will be complementary to our existing verticals and offerings and increase the value proposition we deliver to our clients. For example, we may pursue acquisitions that we believe will help us expand within existing or new industry verticals or enter new markets in Southeast Asia and globally, although our management has not yet determined the types of businesses that we will target at this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Business Consulting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approach, with an eye on execution, combines creative thinking and industry expertise to enable companies to achieve market-leading performance.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support clients to define and deliver technology-enabled transformations of their business. Equipped with the complete value chain, our suite of solutions ranges from brand proposition, multi-channel commerce and digital marketing to improve customer experience and increase customer acquisition, to insights and real-time predictive analysis for efficient decision-making and optimizing processes.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one-stop branding and marketing consulting services encompass the research data analysis, visual identity elements design, strategic planning and digital marketing services for a company based on the values, positioning, brand differentiating point, and tonality of such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market intelligence to our clients by identifying the objectives and audience, formulating customized digital marketing strategies in order to magnify their brand positioning and enhance operational efficiency.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client engages us for branding and marketing consulting services, we strive to understand the client’s special needs that may be helpful to their overall marketing plan. Our brand and marketing strategy improvement process is categorized into four key phases: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data analysis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help our clients fully connect with consumers through online and offline touch points for targeted marketing, we have established a database of market research data, rating information and past campaign performance that are derived from both internal and third-party sources. Our research specialists are supported by a suite of data analytical capabilities that provide business insights through user-friendly data visualizations. In addition, we have developed internal systems and algorithms for collecting and analyzing industry data, which enable us to identify a particular client’s area(s) of needed improvement in terms of branding to determine how its brand is perceived at relevant stages and where its brand needs to be.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research of the targeted company and its brand and reputation in the market is the first key step to set the baseline of the company positioning. How a brand is perceived can be from various angles, and it is important that we collect relevant data from the topics we want to study through various data sources. We have a team of specialists in business analytics and analytical tools with in-house developed and trained algorithms. With the insights generated through our data analysis, it will help the management to make better informed decisions.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Visual identity elements design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help our clients design a collection of visual elements which work together to create consistent and flexible brand assets. Our brand specialists leverage their knowledge and expertise in market trends, consumer habits and artistic aesthetic to come up with a brand design tailored to a client’s preferences for their use based on our understanding of such client’s value and culture.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brand visual identity is one of those key components in how to let your consumer remember you, it is important that the company invest resources in designing the right brand identity elements which represent the brand. We help our clients in the end-to-end design from brand logo design, finding the brand identity color palettes to establishing typography and iconography guidelines.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planning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information infrastructure helps us develop a customized brand strategic plan in order to give our clients actionable insights to attract and retain new customers. We further design various marketing collateral to promote client’s new brand message and get potential customers on board with client’s long-term goals by sharing its brand’s vision. With data collection and past data records, we rely on these to identify the targeted audiences and provide important market intelligence for our clients, which helps them in planning marketing campaigns, formulating competition strategies, anticipating market movements and reacting to sudden changes in the market.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we support our clients in planning their corporate strategies which can capture the most value. As we have gained insights from the data analysis, we are able to better identify the target market, target audience and the messaging. By leveraging on technology, targeted campaigns and marketing activities will increase the chances of outreach and sales conversions, while at the same time being cost effective.</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Digital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marketing services are designed to enable enterprises to acquire, grow and retain consumer relationships more efficiently and effectively than alternative solutions available in the market. We also offer various technical upgrades, consulting services, additional integrations and access to ad-hoc data sources, services or channels. In order to enable our clients to obtain a holistic view of their consumers, we primarily provide content production and promotion services to clients with integrated digital marketing services from content planning, technical services and content production assistance to omni-channel online placement.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first conduct in-depth research on a client’s products from dimensions such as its product orientation, product features and audience portraits, and the production team will then carry out the technical design and assist in content production. Upon the client’s approval of the proposed contents, we then obtain visibility on various social media platforms such as online content-based platforms and popular apps. Based on the client’s specification about the promotion content, the expected frequency of views, our operation team tracks the work progress and ensures the client’s expectation has been met at the end of the promotion cycle. Our technology team monitors the traffic and analyses the results of the promotion and produces a traffic report to the client. The client is able to track the number of clicks and views. With the ongoing monitoring of the advertisement performances, this allows companies and brands to invest resources in targeted audiences that will potentially yield the highest returns and conversion.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IT Customization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solutions and services to operate, optimize and transform business processes. We enable clients to get the best value from technology by developing an IT strategy, optimizing applications and infrastructure, implementing IT operating models, and governing their technical architecture for reliability and security.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IT consulting services include a full range of consulting and technical services relating to the software solutions, from the early design and planning stages of an implementation to end-user training and after-implementation consulting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our services across the full system development lifecycle, encompassing definition of business requirements, developing customized software solutions, implementing and modifying software, system analysis, technical specifications, coding, testing, training, maintenance and support.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a client signs the consulting service contract with us, our team will closely work with the client to develop short-term and long-term goals to optimize its business development strategies within the marketplace, customize the software solutions to meet the client’s business needs and train the client to use the system. Our consulting and customization services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analysis and evaluation of client’s business requirements, especially with regard to the size and complexity of the projects to be supported, as well as the client’s customized needs;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key problems and challenges of the current business operation and workflow;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 proposed software solution based on client’s requirements;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customization of the system features to fulfill our client’s business by revamping and integrating different information technology systems and operational systems;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administration of the project’s lifecycle by certified professionals;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fine-tuned adjustment and customization of software solutions to meet the client’s business needs such as project plan or solution proposal, etc.;</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of an implementation strategy that assesses operational impacts and improves ease of learning about the new computerized operations;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operational assistance with face-to-face or online professional training and reinforcement.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vertically-tailored software solutions for our clients and provide software configuration assistance to meet the business requirements of our clients. Our solutions include affordable, easy-to-use, reliable and seamlessly integrated business management software, customer engagement applications, billing and payment solutions. They are purposely built to address the unique needs of specific verticals.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Management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offer a range of management software solutions to customers via annual subscriptions, including client relationship management solutions, inventory management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software solutions streamline the business operations of our clients. They not only enable our clients to devote most of their efforts and attention to business development, but empower our clients to work more efficiently by delivering seamless, connected, personalized experiences for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Web 3.0 E-Commerce Platform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fourth quarter of 2023, we plan to launch Tridentity, a Web 3.0 e-commerce platform whereby customers and merchants can transact in a transparent and secure way. We believe Tridentity addresses a massive market opportunity today and provides us with an attractive runway for growth. According to the Frost &amp; Sullivan Report, the market size of global Web 3.0-enabled e-commerce is expected to reach US$189.3 billion and US$1,587.4 billion in 2023 and 2027, respectively, representing a CAGR of 70.2% from 2023 to 2027.</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designed to enable merchants to execute their commerce strategy, including creating online stores, integrating and managing orders across channels, and creating marketplaces to sell products from third-party vendors. The platform will also natively combine commerce, order management and marketplace functionality, allowing merchants to sell a wider assortment of products across more channels than ever before.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 Web 3.0 social e-commerce platform that reimagines the ways of online retail shopping to enhance customer experience and strengthen customer loyalty by leveraging Web 3.0 technologies. With growing competitors in the e-commerce industry, companies urge to have strategies that can differentiate themselves against others. The existing e-commerce industry is also inventing new ways in engaging the customers for their loyalty such as personalization and making sure the user interfaces are easy to navigate. As the current e-commerce platform continues to seek growth, its technology infrastructure may have certain limitations for it to transit from Web 2.0 into Web 3.0.</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Tridentity, we have designed proprietary loyalty reward programmed models to focus on customer engagements, by rewarding customers with points earning and gift redemption that solely circulate within the platform as part of the platform marketing strategy, in order to improve retention rate by increasing customer-platform stickiness. We will also curate users behavior trends and personalize their shopping experience through big data analytics and our in-house proprietary machine learning models. As Tridentity periodically releases its platform versions in parallel with the consumer readiness in accepting Web 3.0 technology, we plan to bring the element of virtual reality and augmented reality, the power of cloud computing and rendering in creating virtual shopping experience. We believe with the generation shift in the technology, markets and consumers will slowly but eventually adapt and move towards the emerging technology as it matures, and we strive to be the forward movers to capture this opportunity.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other hand, existing e-commerce platforms are facing ongoing challenges such as online identity verification, cyber and data security, the visibility and transparency of the complex supply chain. In Tridentity, we are trying to leverage blockchain technology, as it improves transparency and trust between businesses and their customers by creating tamper-proof records, enhancing accountability and system security. Tridentity will leverage Web 3.0 technologies in developing a robust customer authentication process, a system with encrypted digital identities, protecting consumers from misuse or theft, enhancing security over identity authentication. The platform will also be able to provide a more secure purchase and payment, as well as enhancing the supply chain transparency and traceability. With Tridentity, customers will seamlessly buy products from an online store through smart, contract-enabled distributed applications (dApps) over the blockchain, these products will be guaranteed by the blockchain to be unique and secure, increasing trust between the merchant providing the product and its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Tridentity is also designed to enable end-user customers to obtain consistent, relevant and personalized cross-channel shopping through catalog, merchandising, marketing, research and guided navigation, personalization, automated recommendations, and live help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Tridentity strategically aligns us with our clients: we grow by enabling them to grow. We believe the ecosystem created by Tridentity will allow traditional retailers to take advantage of this new channel of sales and communication with customers, which improves the omni-channel shopping experience for both merchants and their customers.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Clients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serve a wide variety of clients across our verticals. All of our clients are SMEs. We found that SMEs need technology solutions to communicate with the large portion of their consumers. The needs and requirements of SMEs are different to those of large corporations. Tailor-made software solutions and products are not easily available to SMEs due to the cost hurdle. Our solutions and services are easy-to-deploy, highly configurable, integrated, flexible and secure, which enable SMEs to manage and interact directly with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diversified client base spanning a range of industry verticals, including e-commerce, food and beverage, fintech, healthcare and service, wholesale and retail. As of June 30, 2023, we served over 200 clients across our core verticals such as food and beverage, wholesale and retail, all of whom utilize our services and talent to help them evolve the digital capabilities within their organizations.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long-term and trusted strategic relationships with our clients. We look to partner with clients who recognize the importance of technology as a central component of their business strategy. With that shared understanding, we engrain ourselves in their organizations and collaborate with them to translate that strategy into higher business value over the long term.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customized software solutions and products are built on a common set of foundational technology principles that distinguish us and provide a multitude of benefits to our clients. We use broadly adopted, standards-based software technologies in order to create, maintain and enhance our project-focused solutions. Our developed solutions are generally both scalable and easily integrated into our clients’ existing information technology infrastructure.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solutions are designed from the ground up for speed-to-market, scalability, security, durability, and reliability. The foundational technology that enables these benefits includes: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Integration.    Our solutions embrace the power of partnerships through integration. Some of our clients have other technology and systems that serve as the core software systems and deliver or receive data about their clients. Our solutions are designed for rapid deployment and integration with third-party technologies within a company’s enterprise, including application servers, security systems and portals. Our application development also provides web services interfaces and support for service-oriented architectures to facilitate enhanced integration within the enterprise. We have implemented customer and vendor-facing APIs, web service endpoints, and other integrations with many core software system providers and vendors. The architecture of the integrations and the design patterns we employ help us quickly extend our integrations to new providers or vendors.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Agility.    Our cloud-based infrastructure and development and software release processes allow us to update our platform for specific groups of customers or our entire customer base at any time. This means we can rapidly innovate and deliver new functionality, without waiting for quarterly or annual release cycles. We believe these systems have the capability and scalability to enable us to meet our anticipated growth for the foreseeable future.</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Scalability.    By leveraging leading cloud infrastructure providers along with our technology stack, with the infrastructure designed for high performance and high availability,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Reliability.    Platform data is distributed and processed across multiple data centers within a region to provide redundancy. We built our solutions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Security.    We leverage industry standard network and perimeter defense technologies, distributed denial-of-service, protection systems (including web application firewalls) and enterprise grade domain name system, services across multiple vendors. We offer high levels of security by segregating each customer’s data from the data of other customers and by limiting access to our platform to only those individuals authorized by our clients. We maintain a formal and comprehensive security program designed to ensure the security and integrity of customer data, protect against security threats or data breaches, and prevent unauthorized access to the data of our clients. Due to the broad footprint of our client base, we regularly test and evaluate our platform with trusted third-party vendors to ensure the security and integrity of our services.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Maintenance and Support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provide our clients with ongoing support to supplement the continuity of their operations. We will have both customer support and development support team in assisting our clients in times of system errors or bug, or even certain service request that requires development of new features. We will form a service level agreement to govern the maintenance support services, including severity level and commercial terms. It is critical that we form a fast-responding support team to our clients in committing to solve their problems arising from the system. This enhances the confidence and trust clients have in us, strengthening the business relationship for future collaborations.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and Marketing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employ a diversified and efficient go-to-market strategy that leverages direct sales, referrals and strategic partnerships to accelerate new customer acquisition. Our sales and marketing strategy is focused on increasing revenues from existing clients, generating revenues from new clients and continuing to maintain our brand to appeal to current and prospective clients. We’ve generated inbound interest for our services through requests from clients seeking our services as a pre-approved vendor by IMDA, search engine optimization, word-of-mouth, paid customer referrals, and search engine marketing.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is one of the key drivers in the line of our business, especially in business consultancy. We always invested resources into talents for them to always stay up-to-date with the latest news in the market, monitoring trends and markets across the key verticals. We have a holistic management team that is always actively searching for innovative ideas, looking out for risks and opportunities that are relevant to our business. In Tridentity, we believe in staying up-to-date with the market, and change as the market shifts. We always endeavor to deliver solutions that unlock the greatest value for our clients. and with the emerging technology shift towards artificial intelligence and Web 3.0, we intend to invest more resources and talents in developing the next best-in-class Web 3.0-enabled e-commerce platform.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 solutions industry in Singapore is highly fragmented, with a large number of market participants due to the diverse client base, a high degree of industry segmentation and different service coverage. We primarily compete with international corporations, as well as local companies. We believe we compete favorably on the following principal competitive factors: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Proven track record and reputation in the industry;</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customization;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innovation, quality, functionality and design;</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Solid partnerships with upstream and downstream partners;</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Deep vertical domain experience; and</w:t>
      </w:r>
    </w:p>
    <w:p>
      <w:pPr>
        <w:pStyle w:val="TextBody"/>
        <w:keepNext w:val="false"/>
        <w:pageBreakBefore w:val="false"/>
        <w:widowControl/>
        <w:pBdr/>
        <w:bidi w:val="0"/>
        <w:spacing w:before="14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strong commitment to security and privacy.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we compete favourably across these factors. However, some of our competitors and potential competitors are large and have greater brand name recognition, longer operating histories, larger marketing budgets and established marketing relationships, access to larger client bases and significantly greater resources for the development of their offerings. Moreover, because our market is highly competitive and subject to rapid change, it is possible that new entrants, especially those with substantial resources, more efficient operating models, more rapid technology and content development cycles, or lower marketing costs, could introduce new solutions that disrupt our market and better address the needs of our clients and potential clients.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headquartered in Singapore where we lease two corporate offices under leases that expire in 2024. We also lease one corporate office under lease in Vietnam which expires in 2025. We believe our facilities are adequate and suitable for our current needs, and that should it be needed, suitable additional or alternative space will be available to accommodate our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intellectual property rights are crucial to our business. We rely on a combination of intellectual property laws, confidentiality procedures and contractual provisions to protect our intellectual property. Prior to commencement of our relationship with our employees and channel partners, we require them to provide written obligations to keep any confidential information disclosed or otherwise made available by us confidential.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customarily enter into confidentiality agreements with our clients to preserve the confidentiality of the proprietary or confidential information or data provided to us or developed by us. Our clients usually own the intellectual property in the software or systems we develop for them.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Protecting our intellectual property rights is important to our business. We plan to invest in research and development to enhance our domain knowledge and create complex, specialized solutions for our clients. As of June 30, 2023, we have registered one trademark “TRIDENTITY” (trademark number 40202251004W) in Singapore under Classes 09, 35, 38, 42 and 45 under the International Classification of Goods and Services.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registered and maintained the domain name “Qzonetech.com” for our business operations to ensure that we maintain the ability to engage with our clients, employees, and the public.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2023, we had a total of 33 full-time employees. We are highly dependent on our management, highly-skilled software engineers, sales and marketing personnel, and other professionals, and it is crucial that we continue to attract and retain valuable employees.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provide foreign workers medical insurance and work injury compensation insurance for our employees as required by applicable law and in line with general market practice.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a party to any other legal or administrative proceedings and are not aware of any other pending or threatened legal or administrative proceedings against us in any material respects. We may from time to time become a party to various legal or administrative proceedings arising in the ordinary course of our business.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4"/>
      <w:bookmarkEnd w:id="16"/>
      <w:r>
        <w:rPr>
          <w:rFonts w:ascii="Times New Roman PS Std;serif" w:hAnsi="Times New Roman PS Std;serif"/>
          <w:b/>
          <w:i w:val="false"/>
          <w:caps w:val="false"/>
          <w:smallCaps w:val="false"/>
          <w:sz w:val="20"/>
        </w:rPr>
        <w:t>REGULATION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This section sets forth a summary of the most significant rules and regulations that affect our business activities or the rights of our shareholders to receive dividends and other distributions from us. Information contained in this section should not be construed as a comprehensive summary nor detailed analysis of laws and regulations applicable to our business and operations. This overview is provided as general information only and not intended to be a substitute for professional advice. You should consult your own advisers regarding the implication of the laws and regulations of Singapore on our business and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Regulations in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Data Protection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Protection Act 2012 (2020 Rev Ed) of Singapore (the “</w:t>
      </w:r>
      <w:r>
        <w:rPr>
          <w:rFonts w:ascii="Times New Roman PS Std;serif" w:hAnsi="Times New Roman PS Std;serif"/>
          <w:b/>
          <w:i w:val="false"/>
          <w:caps w:val="false"/>
          <w:smallCaps w:val="false"/>
          <w:sz w:val="20"/>
        </w:rPr>
        <w:t>PDPA</w:t>
      </w:r>
      <w:r>
        <w:rPr>
          <w:rFonts w:ascii="Times New Roman PS Std;serif" w:hAnsi="Times New Roman PS Std;serif"/>
          <w:b w:val="false"/>
          <w:i w:val="false"/>
          <w:caps w:val="false"/>
          <w:smallCaps w:val="false"/>
          <w:sz w:val="20"/>
        </w:rPr>
        <w:t>”) establishes the Singapore regime for the protection of personal data, and governs the collection, use and disclosure of personal data by organizations. In this regard, “personal data” as defined under the PDPA refers to data, whether true or not, about an individual who can be identified from that data or other information to which the organization has or is likely to have access.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organization is required to comply with, amongst other things, the following obligations prescribed by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w:t>
      </w:r>
      <w:r>
        <w:rPr>
          <w:rFonts w:ascii="Times New Roman PS Std;serif" w:hAnsi="Times New Roman PS Std;serif"/>
          <w:b w:val="false"/>
          <w:i/>
          <w:caps w:val="false"/>
          <w:smallCaps w:val="false"/>
          <w:sz w:val="20"/>
        </w:rPr>
        <w:t>Purpose limitation obligation </w:t>
      </w:r>
      <w:r>
        <w:rPr>
          <w:rFonts w:ascii="Times New Roman PS Std;serif" w:hAnsi="Times New Roman PS Std;serif"/>
          <w:b w:val="false"/>
          <w:i w:val="false"/>
          <w:caps w:val="false"/>
          <w:smallCaps w:val="false"/>
          <w:sz w:val="20"/>
        </w:rPr>
        <w:t>— personal data must be collected, used or disclosed only for purposes that a reasonable person would consider appropriate in the circumstances, and if applicable, have been notified to the individual concerned;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w:t>
      </w:r>
      <w:r>
        <w:rPr>
          <w:rFonts w:ascii="Times New Roman PS Std;serif" w:hAnsi="Times New Roman PS Std;serif"/>
          <w:b w:val="false"/>
          <w:i/>
          <w:caps w:val="false"/>
          <w:smallCaps w:val="false"/>
          <w:sz w:val="20"/>
        </w:rPr>
        <w:t>Notification obligation </w:t>
      </w:r>
      <w:r>
        <w:rPr>
          <w:rFonts w:ascii="Times New Roman PS Std;serif" w:hAnsi="Times New Roman PS Std;serif"/>
          <w:b w:val="false"/>
          <w:i w:val="false"/>
          <w:caps w:val="false"/>
          <w:smallCaps w:val="false"/>
          <w:sz w:val="20"/>
        </w:rPr>
        <w:t>— individuals must be notified of the purposes for the collection, use or disclosure of their personal data, prior to such collection, use or disclosure;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w:t>
      </w:r>
      <w:r>
        <w:rPr>
          <w:rFonts w:ascii="Times New Roman PS Std;serif" w:hAnsi="Times New Roman PS Std;serif"/>
          <w:b w:val="false"/>
          <w:i/>
          <w:caps w:val="false"/>
          <w:smallCaps w:val="false"/>
          <w:sz w:val="20"/>
        </w:rPr>
        <w:t>Consent obligation </w:t>
      </w:r>
      <w:r>
        <w:rPr>
          <w:rFonts w:ascii="Times New Roman PS Std;serif" w:hAnsi="Times New Roman PS Std;serif"/>
          <w:b w:val="false"/>
          <w:i w:val="false"/>
          <w:caps w:val="false"/>
          <w:smallCaps w:val="false"/>
          <w:sz w:val="20"/>
        </w:rPr>
        <w:t>— the consent of individuals must be obtained for any collection, use or disclosure of their personal data, unless exceptions apply. Additionally, an organization must allow the withdrawal of consent which has been given or is deemed to have been given;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w:t>
      </w:r>
      <w:r>
        <w:rPr>
          <w:rFonts w:ascii="Times New Roman PS Std;serif" w:hAnsi="Times New Roman PS Std;serif"/>
          <w:b w:val="false"/>
          <w:i/>
          <w:caps w:val="false"/>
          <w:smallCaps w:val="false"/>
          <w:sz w:val="20"/>
        </w:rPr>
        <w:t>Access and correction obligations </w:t>
      </w:r>
      <w:r>
        <w:rPr>
          <w:rFonts w:ascii="Times New Roman PS Std;serif" w:hAnsi="Times New Roman PS Std;serif"/>
          <w:b w:val="false"/>
          <w:i w:val="false"/>
          <w:caps w:val="false"/>
          <w:smallCaps w:val="false"/>
          <w:sz w:val="20"/>
        </w:rPr>
        <w:t>— when requested by an individual and unless exceptions apply, an organization must: (a) provide that individual with access to his personal data in the possession or under the control of the organization and information about the ways in which his personal data may have been used or disclosed during the past year, and/or (b) correct an error or omission in his personal data that is in the possession or under the control of the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w:t>
      </w:r>
      <w:r>
        <w:rPr>
          <w:rFonts w:ascii="Times New Roman PS Std;serif" w:hAnsi="Times New Roman PS Std;serif"/>
          <w:b w:val="false"/>
          <w:i/>
          <w:caps w:val="false"/>
          <w:smallCaps w:val="false"/>
          <w:sz w:val="20"/>
        </w:rPr>
        <w:t>Accuracy obligation </w:t>
      </w:r>
      <w:r>
        <w:rPr>
          <w:rFonts w:ascii="Times New Roman PS Std;serif" w:hAnsi="Times New Roman PS Std;serif"/>
          <w:b w:val="false"/>
          <w:i w:val="false"/>
          <w:caps w:val="false"/>
          <w:smallCaps w:val="false"/>
          <w:sz w:val="20"/>
        </w:rPr>
        <w:t>— an organization must make reasonable efforts to ensure that personal data collected by or on its behalf is accurate and complete if such data is likely to be used by the organization to make a decision affecting the individual to whom the personal data relates or if such data is likely to be disclosed to another organization;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w:t>
      </w:r>
      <w:r>
        <w:rPr>
          <w:rFonts w:ascii="Times New Roman PS Std;serif" w:hAnsi="Times New Roman PS Std;serif"/>
          <w:b w:val="false"/>
          <w:i/>
          <w:caps w:val="false"/>
          <w:smallCaps w:val="false"/>
          <w:sz w:val="20"/>
        </w:rPr>
        <w:t>Protection obligation </w:t>
      </w:r>
      <w:r>
        <w:rPr>
          <w:rFonts w:ascii="Times New Roman PS Std;serif" w:hAnsi="Times New Roman PS Std;serif"/>
          <w:b w:val="false"/>
          <w:i w:val="false"/>
          <w:caps w:val="false"/>
          <w:smallCaps w:val="false"/>
          <w:sz w:val="20"/>
        </w:rPr>
        <w:t>— an organization must implement reasonable security arrangements for the protection of personal data in its possession or under its control from (a) unauthorized access, collection, use, disclosure, copying, modification, disposal or similar risks, and (b) the loss of any storage medium or device on which personal data is stored;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w:t>
      </w:r>
      <w:r>
        <w:rPr>
          <w:rFonts w:ascii="Times New Roman PS Std;serif" w:hAnsi="Times New Roman PS Std;serif"/>
          <w:b w:val="false"/>
          <w:i/>
          <w:caps w:val="false"/>
          <w:smallCaps w:val="false"/>
          <w:sz w:val="20"/>
        </w:rPr>
        <w:t>Retention limitation obligation </w:t>
      </w:r>
      <w:r>
        <w:rPr>
          <w:rFonts w:ascii="Times New Roman PS Std;serif" w:hAnsi="Times New Roman PS Std;serif"/>
          <w:b w:val="false"/>
          <w:i w:val="false"/>
          <w:caps w:val="false"/>
          <w:smallCaps w:val="false"/>
          <w:sz w:val="20"/>
        </w:rPr>
        <w:t>— an organization must not keep personal data for longer than it is necessary to fulfil (a) the purposes for which it was collected, or (b) a legal or business purpose;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 </w:t>
      </w:r>
      <w:r>
        <w:rPr>
          <w:rFonts w:ascii="Times New Roman PS Std;serif" w:hAnsi="Times New Roman PS Std;serif"/>
          <w:b w:val="false"/>
          <w:i/>
          <w:caps w:val="false"/>
          <w:smallCaps w:val="false"/>
          <w:sz w:val="20"/>
        </w:rPr>
        <w:t>Transfer limitation obligation </w:t>
      </w:r>
      <w:r>
        <w:rPr>
          <w:rFonts w:ascii="Times New Roman PS Std;serif" w:hAnsi="Times New Roman PS Std;serif"/>
          <w:b w:val="false"/>
          <w:i w:val="false"/>
          <w:caps w:val="false"/>
          <w:smallCaps w:val="false"/>
          <w:sz w:val="20"/>
        </w:rPr>
        <w:t>— personal data must not be transferred out of Singapore except in accordance with the requirements prescribed under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   </w:t>
      </w:r>
      <w:r>
        <w:rPr>
          <w:rFonts w:ascii="Times New Roman PS Std;serif" w:hAnsi="Times New Roman PS Std;serif"/>
          <w:b w:val="false"/>
          <w:i/>
          <w:caps w:val="false"/>
          <w:smallCaps w:val="false"/>
          <w:sz w:val="20"/>
        </w:rPr>
        <w:t>Accountability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obligation </w:t>
      </w:r>
      <w:r>
        <w:rPr>
          <w:rFonts w:ascii="Times New Roman PS Std;serif" w:hAnsi="Times New Roman PS Std;serif"/>
          <w:b w:val="false"/>
          <w:i w:val="false"/>
          <w:caps w:val="false"/>
          <w:smallCaps w:val="false"/>
          <w:sz w:val="20"/>
        </w:rPr>
        <w:t xml:space="preserve">— an organization must implement the necessary policies and procedures in order to meet the obligations under the PDPA, communicate and inform its staff about these policies and procedures, and shall make information about its policies and procedures available on request.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 organization must develop a process to receive and respond to data-related complaints, and must designate at least one individual as the data protection officer to oversee the organization’s compliance with the PDPA;</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    </w:t>
      </w:r>
      <w:r>
        <w:rPr>
          <w:rFonts w:ascii="Times New Roman PS Std;serif" w:hAnsi="Times New Roman PS Std;serif"/>
          <w:b w:val="false"/>
          <w:i/>
          <w:caps w:val="false"/>
          <w:smallCaps w:val="false"/>
          <w:sz w:val="20"/>
        </w:rPr>
        <w:t>Data breach notification obligation</w:t>
      </w:r>
      <w:r>
        <w:rPr>
          <w:rFonts w:ascii="Times New Roman PS Std;serif" w:hAnsi="Times New Roman PS Std;serif"/>
          <w:b w:val="false"/>
          <w:i w:val="false"/>
          <w:caps w:val="false"/>
          <w:smallCaps w:val="false"/>
          <w:sz w:val="20"/>
        </w:rPr>
        <w:t> — an organization must notify the Singapore Personal Data Protection Commission (“</w:t>
      </w:r>
      <w:r>
        <w:rPr>
          <w:rFonts w:ascii="Times New Roman PS Std;serif" w:hAnsi="Times New Roman PS Std;serif"/>
          <w:b/>
          <w:i w:val="false"/>
          <w:caps w:val="false"/>
          <w:smallCaps w:val="false"/>
          <w:sz w:val="20"/>
        </w:rPr>
        <w:t>PDPC</w:t>
      </w:r>
      <w:r>
        <w:rPr>
          <w:rFonts w:ascii="Times New Roman PS Std;serif" w:hAnsi="Times New Roman PS Std;serif"/>
          <w:b w:val="false"/>
          <w:i w:val="false"/>
          <w:caps w:val="false"/>
          <w:smallCaps w:val="false"/>
          <w:sz w:val="20"/>
        </w:rPr>
        <w:t>”) and/or the affected individuals if it has suffered a data breach that meets the notification thresholds prescribed under the PDPA (i.e. the data breach is or is likely to be of significant scale, or has caused or is likely to cause significant harm to the affected individuals). The organization is expected to expeditiously assess the severity of the breach, and the timeline to notify the PDPC is 3 calendar days of the organization assessing that a notification threshold has been met;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(xi)   </w:t>
      </w:r>
      <w:r>
        <w:rPr>
          <w:rFonts w:ascii="Times New Roman PS Std;serif" w:hAnsi="Times New Roman PS Std;serif"/>
          <w:b w:val="false"/>
          <w:i/>
          <w:caps w:val="false"/>
          <w:smallCaps w:val="false"/>
          <w:sz w:val="20"/>
        </w:rPr>
        <w:t>Data portability obligation</w:t>
      </w:r>
      <w:r>
        <w:rPr>
          <w:rFonts w:ascii="Times New Roman PS Std;serif" w:hAnsi="Times New Roman PS Std;serif"/>
          <w:b w:val="false"/>
          <w:i w:val="false"/>
          <w:caps w:val="false"/>
          <w:smallCaps w:val="false"/>
          <w:sz w:val="20"/>
        </w:rPr>
        <w:t> — the data portability obligation (which is not yet in force as at the date of this prospectus) grants individuals with an existing direct relationship with an organization the right to request for a copy of their personal data to be transmitted in a commonly used machine-readable format to another organization which has a business presence in Singapore. The exact scope and applicability of this right will be delineated by the relevant regulations and guidelines to be published by the PDPC.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PDPA creates various offenses in connection with the improper use of personal data, certain methods of collecting personal data and certain failures to comply with the requirements under the PDPA. These offenses may be applicable to organizations, their officers and/or their employees. Offenders are liable on conviction to fines and/or imprisonment. The PDPA empowers the PDPC with significant regulatory powers to ensure compliance with the PDPA, including powers to investigate, give directions and impose a financial penalty of up to SGD 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general data protection obligations imposed under the PDPA, the PDPA also generally prohibits organizations and individuals from sending direct marketing messages (in the form of voice calls, text or fax messages) to Singapore telephone numbers, including mobile, fixed-line, residential and business numbers, registered with the Do Not Call Registry (the “</w:t>
      </w:r>
      <w:r>
        <w:rPr>
          <w:rFonts w:ascii="Times New Roman PS Std;serif" w:hAnsi="Times New Roman PS Std;serif"/>
          <w:b/>
          <w:i w:val="false"/>
          <w:caps w:val="false"/>
          <w:smallCaps w:val="false"/>
          <w:sz w:val="20"/>
        </w:rPr>
        <w:t>DNC Registry</w:t>
      </w:r>
      <w:r>
        <w:rPr>
          <w:rFonts w:ascii="Times New Roman PS Std;serif" w:hAnsi="Times New Roman PS Std;serif"/>
          <w:b w:val="false"/>
          <w:i w:val="false"/>
          <w:caps w:val="false"/>
          <w:smallCaps w:val="false"/>
          <w:sz w:val="20"/>
        </w:rPr>
        <w:t>”), as maintained by the PDPC (the “</w:t>
      </w:r>
      <w:r>
        <w:rPr>
          <w:rFonts w:ascii="Times New Roman PS Std;serif" w:hAnsi="Times New Roman PS Std;serif"/>
          <w:b/>
          <w:i w:val="false"/>
          <w:caps w:val="false"/>
          <w:smallCaps w:val="false"/>
          <w:sz w:val="20"/>
        </w:rPr>
        <w:t>DNC Obligations</w:t>
      </w:r>
      <w:r>
        <w:rPr>
          <w:rFonts w:ascii="Times New Roman PS Std;serif" w:hAnsi="Times New Roman PS Std;serif"/>
          <w:b w:val="false"/>
          <w:i w:val="false"/>
          <w:caps w:val="false"/>
          <w:smallCaps w:val="false"/>
          <w:sz w:val="20"/>
        </w:rPr>
        <w:t>”). The DNC Obligations only apply to the sending of“ specified messages” as defined in the PDPA, which are marketing messages that offer, promote or advertise goods or services. Such specified messages typically include messages which offer to supply, advertise or promote a property or a supplier of property.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DNC Obligations, before an organization sends any specified messages to a Singapore telephone number, it must first check whether that Singapore telephone number is listed in the relevant register of the DNC Registry. A failure to check the relevant register is an offense under the PDPA, unless certain exceptions apply.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Labor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Employment Act 1968 (2020 Rev Ed) of Singapore (the “</w:t>
      </w:r>
      <w:r>
        <w:rPr>
          <w:rFonts w:ascii="Times New Roman PS Std;serif" w:hAnsi="Times New Roman PS Std;serif"/>
          <w:b/>
          <w:i w:val="false"/>
          <w:caps w:val="false"/>
          <w:smallCaps w:val="false"/>
          <w:sz w:val="20"/>
        </w:rPr>
        <w:t>Employment Act</w:t>
      </w:r>
      <w:r>
        <w:rPr>
          <w:rFonts w:ascii="Times New Roman PS Std;serif" w:hAnsi="Times New Roman PS Std;serif"/>
          <w:b w:val="false"/>
          <w:i w:val="false"/>
          <w:caps w:val="false"/>
          <w:smallCaps w:val="false"/>
          <w:sz w:val="20"/>
        </w:rPr>
        <w:t>”) generally extends to all employees, with the exception of certain groups of employees. It provides employees falling within its ambit protections such as minimum notice periods, maximum working hours, a maximum amount of deductions from wages, minimum holidays and rest days, maternity/paternity leave, paid childcare leave, sick leave, etc. The Employment Act also applies to employees who are foreigners so long as they fall within the definition of “employee” under the Employment Act. In addition, the employment of foreign manpower in Singapore is also governed by the Employment of Foreign Manpower Act 1990 (2020 Rev Ed) of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Aside from minimum benefits in respect of the aforesaid terms of employment in the Employment Act, employees in Singapore are entitled to contributions to the central provident fund by the employer as prescribed under the Central Provident Fund Act 1953 (2020 Rev Ed) of Singapore.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SGD750 a month, the employer’s contribution rate is 17% of the employee’s wages.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Regulations on COVID-19</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COVID-19 (Temporary Measures) Act 2020 (No. 14 of 2020) of Singapore (“</w:t>
      </w:r>
      <w:r>
        <w:rPr>
          <w:rFonts w:ascii="Times New Roman PS Std;serif" w:hAnsi="Times New Roman PS Std;serif"/>
          <w:b/>
          <w:i w:val="false"/>
          <w:caps w:val="false"/>
          <w:smallCaps w:val="false"/>
          <w:sz w:val="20"/>
        </w:rPr>
        <w:t>COVID-19</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Act</w:t>
      </w:r>
      <w:r>
        <w:rPr>
          <w:rFonts w:ascii="Times New Roman PS Std;serif" w:hAnsi="Times New Roman PS Std;serif"/>
          <w:b w:val="false"/>
          <w:i w:val="false"/>
          <w:caps w:val="false"/>
          <w:smallCaps w:val="false"/>
          <w:sz w:val="20"/>
        </w:rPr>
        <w:t>”) came into effect in Singapore on April 7, 2020. Under the COVID-19 Act, the Minister of Health may make regulations and make control orders for the purpose of preventing, protecting against, delaying or otherwise controlling the incidence or transmission of COVID-19 in Singapore. Control orders may make provisions including among others the following: (i) requiring people or certain people to stay at or in, and not leave, a specified place (whether or not a place of accommodation); (ii) restricting movement of or contact between people, including prohibiting or limiting group activities or other activities of people within the specified place in paragraph (i), restricting the use of any facilities at that place and limiting movement to and from that place, whether by time or location; (iii) requiring closing or limiting access to any premises or facility at a specified time, in a specified manner or to a specified extent, in relation to any premises or facility used to carry out any business, undertaking or work; (iv) restricting the time, manner or extent for the carrying out of any business, undertaking or work, including prescribing restrictions on the maximum number of people, opening hours or facilities provided, for the carrying on of the business, undertaking or work.</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3"/>
      <w:bookmarkEnd w:id="17"/>
      <w:r>
        <w:rPr>
          <w:rFonts w:ascii="Times New Roman PS Std;serif" w:hAnsi="Times New Roman PS Std;serif"/>
          <w:b/>
          <w:i w:val="false"/>
          <w:caps w:val="false"/>
          <w:smallCaps w:val="false"/>
          <w:sz w:val="20"/>
        </w:rPr>
        <w:t>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our directors and executive officers as of the date of this prospectus.</w:t>
      </w:r>
    </w:p>
    <w:tbl>
      <w:tblPr>
        <w:tblW w:w="8575" w:type="dxa"/>
        <w:jc w:val="left"/>
        <w:tblInd w:w="0" w:type="dxa"/>
        <w:tblLayout w:type="fixed"/>
        <w:tblCellMar>
          <w:top w:w="0" w:type="dxa"/>
          <w:left w:w="0" w:type="dxa"/>
          <w:bottom w:w="0" w:type="dxa"/>
          <w:right w:w="0" w:type="dxa"/>
        </w:tblCellMar>
      </w:tblPr>
      <w:tblGrid>
        <w:gridCol w:w="3436"/>
        <w:gridCol w:w="146"/>
        <w:gridCol w:w="496"/>
        <w:gridCol w:w="146"/>
        <w:gridCol w:w="4351"/>
      </w:tblGrid>
      <w:tr>
        <w:trPr/>
        <w:tc>
          <w:tcPr>
            <w:tcW w:w="3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Haiyan Huang</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vAlign w:val="bottom"/>
          </w:tcPr>
          <w:p>
            <w:pPr>
              <w:pStyle w:val="TableContents"/>
              <w:bidi w:val="0"/>
              <w:spacing w:before="0" w:after="283"/>
              <w:jc w:val="left"/>
              <w:rPr/>
            </w:pPr>
            <w:r>
              <w:rPr/>
              <w:t> </w:t>
            </w:r>
          </w:p>
        </w:tc>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bottom"/>
          </w:tcPr>
          <w:p>
            <w:pPr>
              <w:pStyle w:val="TableContents"/>
              <w:bidi w:val="0"/>
              <w:spacing w:before="0" w:after="283"/>
              <w:jc w:val="left"/>
              <w:rPr/>
            </w:pPr>
            <w:r>
              <w:rPr/>
              <w:t> </w:t>
            </w:r>
          </w:p>
        </w:tc>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Soon Huat Lim</w:t>
      </w:r>
      <w:r>
        <w:rPr>
          <w:rFonts w:ascii="Times New Roman PS Std;serif" w:hAnsi="Times New Roman PS Std;serif"/>
          <w:b w:val="false"/>
          <w:i w:val="false"/>
          <w:caps w:val="false"/>
          <w:smallCaps w:val="false"/>
          <w:sz w:val="20"/>
        </w:rPr>
        <w:t xml:space="preserve"> is our founder, and has served as the chairman of the board of directors and chief executive officer of the Company since its inception. Mr. Lim has over 30 years of management experience and combined expertise in sales, supply chain, retail and services, tourism, entertainment and media, e-commerce, and technology industries. Since May 2022, Mr. Lim has served as a director of our operative subsidiary, Trident Singapore. Meanwhile, since 2021, Mr. Lim has served as a director of Trident Foodtech Pte Ltd, a company primarily engaged in the wholesale of fruits and vegetables and the retail sale of beverages, and Trident V Tech Pte Ltd, a resale company in Singapore. Since February 2021, Mr. Lim has also been a director and chief executive officer of Asia Bird’s Nest Corporation Pte Ltd, a lifestyle consumer goods company in Singapore. In addition, Mr. Lim has been appointed as a director of E-mobility Solutions Pte Ltd, a company primarily engaged in tourism and public transportation business in Singapore, since September 2018.</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Ms. Haiyan Huang</w:t>
      </w:r>
      <w:r>
        <w:rPr>
          <w:rFonts w:ascii="Times New Roman PS Std;serif" w:hAnsi="Times New Roman PS Std;serif"/>
          <w:b w:val="false"/>
          <w:i w:val="false"/>
          <w:caps w:val="false"/>
          <w:smallCaps w:val="false"/>
          <w:sz w:val="20"/>
        </w:rPr>
        <w:t xml:space="preserve"> has served as our chief financial officer since the Company’s inception. Ms. Huang has more than 20 years of experience in the financial sector. From June 2018 to April 2022, Ms. Huang first served as the chief financial officer of Zengame Technology Holding Limited (HKSE: 2660), an established mobile game developer and operator in the People’s Republic of China with special focus on card and board and other casual mobile games. From September 2015 to May 2016, Ms. Huang served as a financial controller in Shenzhen TimeLink Technology Co., Ltd (NEEQ: 834974), a company primarily engaged in man-machine interaction and human-computer interface research and development, where Ms. Huang was primarily responsible for the administrative matters of the financial department. Ms. Huang was admitted as a Chartered Global Management Accountant by the Chartered Institute of Management Accountants in May 2017. Ms. Huang received her bachelor’s degree in finance and taxation from Sun Yat-sen University in the People’s Republic of China in 2001.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Mr. Poh Kiong Tan</w:t>
      </w:r>
      <w:r>
        <w:rPr>
          <w:rFonts w:ascii="Times New Roman PS Std;serif" w:hAnsi="Times New Roman PS Std;serif"/>
          <w:b w:val="false"/>
          <w:i w:val="false"/>
          <w:caps w:val="false"/>
          <w:smallCaps w:val="false"/>
          <w:sz w:val="20"/>
        </w:rPr>
        <w:t xml:space="preserve"> has served as our chief technology officer since the Company’s inception. Mr. Tan has more than 9 years of experience in the software industry. Mr. Tan has served as a director and chief executive officer of QZT since 2014. Since January 2014, Mr. Tan has served as a director in S-Cube Pte. Ltd, a Singapore company primarily engaged in development of computer software and provision of technical and management consultancy services, where Mr. Tan was mainly responsible for operations management, quality assurance and software development. Mr. Tan received his bachelor’s degree in business information systems and cyber forensics from Murdoch University in Australia in 2014.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will consist of            directors upon the SEC’s declaration of effectiveness of our registration statement on Form F-1, of which this prospectus is a part. A director is not required to hold any shares in our company to qualify to serve as a director. A director may vote with respect to any contract, proposed contract or arrangement notwithstanding that he may be interested therein, and if he does so his vote shall be counted and he may be counted in the quorum at any meeting of our directors at which any such contract or proposed contract or arrangement is considered, provided (i) such director, if the director’s interest (whether direct or indirect) in such contract or arrangement is material, has declared the nature of his or her interest at the earliest meeting of the board at which it is practicable for such director to do so, either specifically or by way of a general notice and (ii) if such contract or arrangement is a transaction with a related party, such transaction has been approved by the audit committee. The directors may exercise all the powers of the company to borrow money,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consists of three committees, namely the audit committee, the compensation committee, and the nominating and corporate governance committee. We have adopted a charter for each of the three committees. The members and functions of these committees are described as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Audit Committee.    </w:t>
      </w:r>
      <w:r>
        <w:rPr>
          <w:rFonts w:ascii="Times New Roman PS Std;serif" w:hAnsi="Times New Roman PS Std;serif"/>
          <w:b w:val="false"/>
          <w:i w:val="false"/>
          <w:caps w:val="false"/>
          <w:smallCaps w:val="false"/>
          <w:sz w:val="20"/>
        </w:rPr>
        <w:t>Our audit committee will initially consist of three directors, namely            ,              and             . Each of those three directors satisfies the “independence” requirements under Rule 5605(c)(2) of the Listing Rules of the Nasdaq Stock Market meets the independence standards under Rule 10A-3 under the Exchange Act. We have determined that [            ]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appointing the independent auditors and pre-approving all auditing and non-auditing services permitted to be performed by such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any audit problems or difficulties and management’s response;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proposed related party transactions;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annual audited financial statements with management and the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accounting and internal control policies and procedures and any steps taken to monitor and control major financial risk exposures;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meeting separately and periodically with management and our independent auditors;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reporting regularly to the full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business conduct and ethics,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matters that are specifically assigned to our audit committee by our board of directors from time to time.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Compensation Committee.    </w:t>
      </w:r>
      <w:r>
        <w:rPr>
          <w:rFonts w:ascii="Times New Roman PS Std;serif" w:hAnsi="Times New Roman PS Std;serif"/>
          <w:b w:val="false"/>
          <w:i w:val="false"/>
          <w:caps w:val="false"/>
          <w:smallCaps w:val="false"/>
          <w:sz w:val="20"/>
        </w:rPr>
        <w:t>Our compensation committee will initially consist of three members, namely            ,            and            . Each of those three directors satisfies the “independence” requirements of Rule 5605(a)(2) of the Listing Rules of the Nasdaq Stock Market.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Our chief executive officer may not be present at any committee meeting during which his compensation is deliberated.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to the board with respect to the compensation for our chief executive officer and other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overseeing the total compensation package for our executives other than the most senior executive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to the board with respect to the compensation of our non-employee directors;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and approving any long-term incentive compensation or equity plans, programs or arrangements of similar nature such as annual bonuses, employee pension and welfare benefit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Nominating and corporate governance committee.    </w:t>
      </w:r>
      <w:r>
        <w:rPr>
          <w:rFonts w:ascii="Times New Roman PS Std;serif" w:hAnsi="Times New Roman PS Std;serif"/>
          <w:b w:val="false"/>
          <w:i w:val="false"/>
          <w:caps w:val="false"/>
          <w:smallCaps w:val="false"/>
          <w:sz w:val="20"/>
        </w:rPr>
        <w:t xml:space="preserve">Our nominating and corporate governance committee will initially consist of three directors, namely,            ,            and            . Each of those three directors satisfies the “independence” requirements under Rule 5605(a)(2) of the Listing Rules of the Nasdaq Stock Market and meets the independence standards under Rule 10A-3 under the Exchange Act. The compensation committee assists the board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shareholders or appointment by the board of directors;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annually with the board of directors about its current composition with regards to characteristics such as independence, age, skills, experience, diversity and availability of service to us;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on the frequency and structure of board meetings and monitoring the functioning of the committees of the board;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periodically with regards to significant developments in the law and practice of corporate governance as well as monitoring our compliance with applicable laws and regulations, and making recommendations to the board on all matters of corporate governance and on any remedial action to be taken.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Duties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our directors owe fiduciary duties to the company,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limited exceptional circumstances have the right to seek damages in our name if a duty owed by the directors is breached.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 and reporting its work to shareholders at such meetings;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and responsibilities of the officers;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our register of members.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Oversight of Cybersecurity Risks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plays an active role in monitoring cybersecurity risks, including in connection with data protection, and is committed to the prevention, timely detection, and mitigation of the effects of any such incidents on our operations. In addition to regular reports from each of the board’s committees, the board receives regular reports from our management, including our chief technology officer, on material cybersecurity risks and the degree of our exposure to those risks, from cyber-attacks to infrastructure vulnerabilities, including the risk of data breach. While the board oversees our cybersecurity risk management, management is responsible for day-to-day risk management processes. We believe this division of responsibilities is the most effective approach for addressing our cybersecurity risks.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be appointed by a resolution of our board of directors, or by an ordinary resolution of our shareholders. Our directors are not subject to a term of office and hold office until they are removed from office by ordinary resolution of the shareholders. A director will cease to be a director if, among other things, the director (i) becomes bankrupt or makes any arrangement or composition with his creditors; (ii) dies or is found by our company to be or becomes of unsound mind, (iii) resigns his office by notice in writing to the company, (iv) without special leave of absence from our board, is absent from three consecutive board meetings and our directors resolve that such director’s office be vacated; (v) is prohibited by law from being a director, or (vi) is removed from office pursuant to any other provision of our memorandum and articles of association, as amended and restated from time to time. Our officers are elected by and serve at the discretion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this offering, we plan to enter into new employment agreements with our senior executive officers to replace the employment agreements currently in effect. Pursuant to these new agreements, we will be entitled to terminate a senior executive officer’s employment for cause at any time for certain acts of the officer, such as being convicted of any criminal conduct, any act of gross or willful misconduct or any serious, willful, grossly negligent or persistent breach of any employment agreement provision. We may also terminate a senior executive officer’s employment by giving three-month’s prior written notice without cause. A senior executive officer may terminate his or her employment at any time by giving three-month’s prior written notice. In connection with the employment agreement, each senior executive officer will enter into an intellectual property ownership and confidentiality agreement and agreed to hold all information, know-how and records in any way connected with the products or services of our company, in strict confidence perpetually. Each officer will also agree that we shall own all the intellectual property developed by such officer during his or her employment.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indemnification agreements with our directors and executive officers. Under these agreements, we may agree to indemnify our directors and executive officers against certain liabilities and expenses incurred by such persons in connection with claims made due to their being a director or officer of our company.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2022, we paid an aggregate of approximately US$0.6 million, in cash to our executive officers and directors. We have not set aside or accrued any amount to provide pension, retirement or other similar benefits to our executive officers and directors. Our Singapore subsidiaries are required by law to make contribution, as employers, to the Central Provident Fund for their employees as required by the Central Provident Fund Act 1953 (2020 Rev Ed). The specific contribution rate to be made varies depending on whether the employee is a Singapore citizen or permanent resident and the age group and wage band of the employee.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true"/>
        <w:pageBreakBefore w:val="false"/>
        <w:widowControl/>
        <w:pBdr/>
        <w:bidi w:val="0"/>
        <w:spacing w:before="240" w:after="283"/>
        <w:ind w:left="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2023 Equity Incentive Plan was adopted on            , 2023 to attract and retain the best available personnel for positions of substantial responsibility, provide additional incentive to employees, directors and consultants and promote the success of our business. The equity incentive plan provides for the grant of an option, restricted shares, restricted share units and local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number of ordinary shares may be subject to awards pursuant to the 2023 Equity Incentive Plan is [ ] initially. The aggregate number of ordinary shares available for issuance under the 2023 Equity Incentive Plan will be increased (i) on January 1 of the fiscal year immediately following the fiscal year in which an initial public offering of our shares, or a Qualified IPO, is consummated, by an amount equal to [ ]% of the total number of ordinary shares issued and outstanding on December 31 of the immediately preceding fiscal year, and (ii) on January 1 of each fiscal year during the period beginning with the second fiscal year following the fiscal year in which a Qualified IPO is consummated, by an amount equal to [ ]% of the total number of ordinary shares issued and outstanding on December 31 of the immediately preceding fiscal year.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or a committee of the board or officers to which the board delegates the authority administers the 2023 Equity Incentive Plan. The administrator will determine the participants to receive awards, the type and number of awards to be granted to each participant and the provisions and terms and conditions of each award. In the event that any dividend or other distribution, recapitalization, share division, share consolidation, reorganization or any change in the corporate structure of the Company affecting the shares occurs, the administrator will make adjustment with respect to the number and class of shares that may be delivered under the 2023 Equity Incentive Plan and/or the number, price and class of shares covered by outstanding awards, in order to prevent diminution of the benefits intended to be made available under the 2023 Equity Incentive Plan.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Awards under the 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 Options.    </w:t>
      </w:r>
      <w:r>
        <w:rPr>
          <w:rFonts w:ascii="Times New Roman PS Std;serif" w:hAnsi="Times New Roman PS Std;serif"/>
          <w:b w:val="false"/>
          <w:i w:val="false"/>
          <w:caps w:val="false"/>
          <w:smallCaps w:val="false"/>
          <w:sz w:val="20"/>
        </w:rPr>
        <w:t>Share options may be granted under the 2023 Equity Incentive Plan. The administrator determines the exercise price for each option award, which is stated in the award agreement and should in no case be lower than the par value of our ordinary shares in no case. [One-third(1/3) of the shares subject to an option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Shares.    </w:t>
      </w:r>
      <w:r>
        <w:rPr>
          <w:rFonts w:ascii="Times New Roman PS Std;serif" w:hAnsi="Times New Roman PS Std;serif"/>
          <w:b w:val="false"/>
          <w:i w:val="false"/>
          <w:caps w:val="false"/>
          <w:smallCaps w:val="false"/>
          <w:sz w:val="20"/>
        </w:rPr>
        <w:t>A restricted share award agreement will specify restrictions on the duration of the restricted period and the number of shares granted. Restricted shares may not be sold, transferred or pledged until the end of the restricted period and may be subject to forfeiture upon a termination of employment or service with us. Unless otherwise provided in the award agreement, the holder of restricted shares will be entitled to receive all dividends and other distributions paid with respect to the ordinary shares, subject to the same restrictions on transferability and forfeitability as the underlying shares of restricted shares. [One-third(1/3) of the restricted shares will vest on each of the first, second and third annual anniversaries of the vesting commencement date, unless otherwise provided in the award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Share Units.    </w:t>
      </w:r>
      <w:r>
        <w:rPr>
          <w:rFonts w:ascii="Times New Roman PS Std;serif" w:hAnsi="Times New Roman PS Std;serif"/>
          <w:b w:val="false"/>
          <w:i w:val="false"/>
          <w:caps w:val="false"/>
          <w:smallCaps w:val="false"/>
          <w:sz w:val="20"/>
        </w:rPr>
        <w:t>Awards of restricted share units may be granted by the administrator. At the time of granting restricted share units, the administrator may impose conditions that must be satisfied, such as continued employment or service or attainment of corporate performance goals, and may place restrictions on the grant and/or vesting of the restricted share units. A restricted share unit award agreement will specify applicable vesting criteria, the number of restricted share units granted and the terms and conditions on time and form of payment. Each restricted share unit, upon fulfilment of applicable conditions, represents a right to receive an amount equal to the fair market value of one ordinary share.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in Control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the administrator may provide for acceleration of awards, purchase of awards from holders or replacement of awards.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terminated earlier, the 2023 Equity Incentive Plan will continue in effect for a term of ten years from the date of its adoption.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shareholders’ approval and certain exceptions, the board of directors may at any time amend or terminate the 2023 Equity Incentive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2"/>
      <w:bookmarkEnd w:id="18"/>
      <w:r>
        <w:rPr>
          <w:rFonts w:ascii="Times New Roman PS Std;serif" w:hAnsi="Times New Roman PS Std;serif"/>
          <w:b/>
          <w:i w:val="false"/>
          <w:caps w:val="false"/>
          <w:smallCaps w:val="false"/>
          <w:sz w:val="20"/>
        </w:rPr>
        <w:t>PRINCIPAL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specifically noted, the following table sets forth information with respect to the beneficial ownership of our ordinary shares as of the date of this prospectus by: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principal shareholders who beneficially own 5% or more of our total outstanding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calculations in the table below are based on [            ] ordinary shares issued and outstanding as of the date of this prospectus, and [            ] Class A ordinary shares and [            ] Class B ordinary shares issued and outstanding immediately after the completion of this offering, assuming the underwriters do not exercise their option to purchase additional ADSs. All of our issued and outstanding shares are fully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tbl>
      <w:tblPr>
        <w:tblW w:w="10997" w:type="dxa"/>
        <w:jc w:val="left"/>
        <w:tblInd w:w="0" w:type="dxa"/>
        <w:tblLayout w:type="fixed"/>
        <w:tblCellMar>
          <w:top w:w="0" w:type="dxa"/>
          <w:left w:w="0" w:type="dxa"/>
          <w:bottom w:w="0" w:type="dxa"/>
          <w:right w:w="0" w:type="dxa"/>
        </w:tblCellMar>
      </w:tblPr>
      <w:tblGrid>
        <w:gridCol w:w="1286"/>
        <w:gridCol w:w="146"/>
        <w:gridCol w:w="1186"/>
        <w:gridCol w:w="146"/>
        <w:gridCol w:w="1306"/>
        <w:gridCol w:w="146"/>
        <w:gridCol w:w="1036"/>
        <w:gridCol w:w="146"/>
        <w:gridCol w:w="1066"/>
        <w:gridCol w:w="146"/>
        <w:gridCol w:w="901"/>
        <w:gridCol w:w="146"/>
        <w:gridCol w:w="901"/>
        <w:gridCol w:w="146"/>
        <w:gridCol w:w="1036"/>
        <w:gridCol w:w="146"/>
        <w:gridCol w:w="1111"/>
      </w:tblGrid>
      <w:tr>
        <w:trPr/>
        <w:tc>
          <w:tcPr>
            <w:tcW w:w="12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Prior to This Offering</w:t>
            </w:r>
          </w:p>
        </w:tc>
        <w:tc>
          <w:tcPr>
            <w:tcW w:w="146" w:type="dxa"/>
            <w:tcBorders/>
            <w:vAlign w:val="bottom"/>
          </w:tcPr>
          <w:p>
            <w:pPr>
              <w:pStyle w:val="TableContents"/>
              <w:bidi w:val="0"/>
              <w:spacing w:before="0" w:after="283"/>
              <w:jc w:val="left"/>
              <w:rPr/>
            </w:pPr>
            <w:r>
              <w:rPr/>
              <w:t> </w:t>
            </w:r>
          </w:p>
        </w:tc>
        <w:tc>
          <w:tcPr>
            <w:tcW w:w="43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w:t>
              <w:br/>
              <w:t xml:space="preserve">Beneficially Owned </w:t>
              <w:br/>
              <w:t>After This Offering</w:t>
            </w:r>
          </w:p>
        </w:tc>
      </w:tr>
      <w:tr>
        <w:trPr/>
        <w:tc>
          <w:tcPr>
            <w:tcW w:w="1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 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A</w:t>
              <w:br/>
              <w:t>Ordinary</w:t>
              <w:br/>
              <w:t>Shares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Class B</w:t>
              <w:br/>
              <w:t>Ordinary</w:t>
              <w:br/>
              <w:t>Shares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Total</w:t>
              <w:br/>
              <w:t>Ordinary</w:t>
              <w:br/>
              <w:t>Shares</w:t>
              <w:br/>
              <w:t>on An</w:t>
              <w:br/>
              <w:t>As-</w:t>
              <w:br/>
              <w:t>converted</w:t>
              <w:br/>
              <w:t>Basis</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of</w:t>
              <w:br/>
              <w:t>Aggregate</w:t>
              <w:br/>
              <w:t>Voting</w:t>
              <w:br/>
              <w:t>Power</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left"/>
              <w:rPr/>
            </w:pPr>
            <w:r>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Huat Lim</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275,705,000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Poh Kiong Tan</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Haiyan Huang</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All directors and executive officers as a group</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290,705,000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left"/>
              <w:rPr/>
            </w:pPr>
            <w:r>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Digital Tech Ltd</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Trident Group Holdings Ltd</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Tri Wealth Ltd</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125,705,000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Soon Tai Lee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r>
        <w:trPr/>
        <w:tc>
          <w:tcPr>
            <w:tcW w:w="12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Yat Hong Lo</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Except as indicated otherwise below, the business address of our directors and executive officers is Suntec Tower 3, 8 Temasek Boulevard Road, #24-03 Singapore, 038988.</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table, percentage ownership is calculated by dividing the number of shares beneficially owned by such person or group by the sum of (i) the number of ordinary shares outstanding as of the date of this prospectus, and (ii) the number of ordinary shares underlying share options held by such person or group that are exercisable within 60 days after the date of this prospectus.</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each person and group included in this column, percentage of voting power is calculated by dividing the voting power beneficially owned by such person or group by the voting power of all of our ordinary shares as a single class. Each holder of our Class A ordinary shares is entitled to 60 votes per share. Each holder of our Class B ordinary shares is entitled to one vote per share. Our Class A ordinary shares are convertible at any time by the holder into Class B ordinary shares on a one-for-one basis, while Class B ordinary shares are not convertible into Class A ordinary shares under any circumstances.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(i) 50,000,000 Class A ordinary shares held by Trident Digital Tech Ltd, a company limited by shares incorporated in British Virgin Islands which is wholly owned by Mr. Soon Huat Lim; (ii) 150,000,000 Class B ordinary shares held by Trident Group Holdings Ltd, a company limited by shares incorporated in British Virgin Islands which is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wholly owned by Mr. Soon Huat Lim; and (iii) 125,705,000 Class B ordinary shares held by Tri Wealth Ltd, a company limited by shares incorporated in British Virgin Islands which is wholly owned by Mr. Soon Huat Lim. The registered address of Trident Digital Tech Ltd, Trident Group Holdings Ltd and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10,000,000 Class B ordinary shares directly held by Mr. Poh Kiong Tan.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5,000,000 Class B ordinary shares held by Trident Verse Ltd, a company limited by shares incorporated in British Virgin Islands which is wholly owned by Ms. Haiyan Huang. The registered address of Trident Verse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50,000,000 Class A ordinary shares held by Trident Digital Tech Ltd, a company limited by shares incorporated in British Virgin Islands and wholly owned by Mr. Soon Huat Lim. The registered address of Trident Digital Tech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150,000,000 Class B ordinary shares held by Trident Group Holdings Ltd, a company limited by shares incorporated in British Virgin Islands and wholly owned by Mr. Soon Huat Lim. The registered address of Trident Group Holdings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125,705,000 Class B ordinary shares held by Tri Wealth Ltd, a company limited by shares incorporated in British Virgin Islands and wholly owned by Mr. Soon Huat Lim. The registered address of Tri Wealth Ltd is Sertus Chambers, P.O. Box 905, Quastisky Building, Road Town, Tortola, British Virgin Islands.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75,000,000 Class B ordinary shares directly held by Mr. Soon Tai Lee.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25,000,000 Class B ordinary shares directly held by Mr. Yat Hong Lo.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none of our ordinary shares are held by record holders in the United States. None of our existing shareholders will have different voting rights from other shareholders after the completion of this offering. We are not aware of any arrangement that may, at a subsequent date, result in a change of control of our company.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1"/>
      <w:bookmarkEnd w:id="19"/>
      <w:r>
        <w:rPr>
          <w:rFonts w:ascii="Times New Roman PS Std;serif" w:hAnsi="Times New Roman PS Std;serif"/>
          <w:b/>
          <w:i w:val="false"/>
          <w:caps w:val="false"/>
          <w:smallCaps w:val="false"/>
          <w:sz w:val="20"/>
        </w:rPr>
        <w:t>RELATED PARTY TRANSACTIONS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“Description of Share Capital — History of Securities Issuances.”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Agreements and Indemnification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Employment Agreements and Indemnification Agreements.”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“Management — Equity Incentive Plan.”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Related Party Transactions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2022, Trident Consultancy Pte. Ltd., a wholly-owned company of Mr. Soon Huat Lim, our founder, chairman of board of directors and chief executive officer, provided an interest-free loan in the amount of US$660,043 to us to support our operations. The loan was due on demand. The remaining balance of the loan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Lim has also historically provided short-term financing in the aggregate amount of US$1,451 for us to support our operation. The financing was provided in the form of interest-free short-term borrowings. The short-term borrowings did not have a fixed term and were repayable upon demand. The remaining balance of the short-term borrowings was fully settled in June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Poh Kiong Tan, our chief technology officer, has historically provided short-term financing in the aggregate amount of US$131,689 for us to support our operation. The financing was provided in the form of interest-free short-term borrowings. The short-term borrowings did not have a fixed term and were repayable upon demand. The remaining balance of the shot-term borrowings was fully settled in January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receive any financing from related parties after completion of this offering.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Mr. Lim has received short-term loan in the aggregate amount of US$995,563 from us. The loan was provided in the form of interest-free short-term borrowing. The short-term borrowing did not have a fixed term and were repayable upon demand. The short-term borrowing was fully repaid in September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
      <w:bookmarkEnd w:id="20"/>
      <w:r>
        <w:rPr>
          <w:rFonts w:ascii="Times New Roman PS Std;serif" w:hAnsi="Times New Roman PS Std;serif"/>
          <w:b/>
          <w:i w:val="false"/>
          <w:caps w:val="false"/>
          <w:smallCaps w:val="false"/>
          <w:sz w:val="20"/>
        </w:rPr>
        <w:t>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incorporated as an exempted company with limited liability in the Cayman Islands on June 12, 2023. Our affairs are currently governed by our memorandum and articles of association and the Companies Act, Cap 22 (Law 3 of 1961, as consolidated and revised) of the Cayman Islands, or the Companies Act in this section.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hereof, our authorized share capital is US$50,000 divided into 5,000,000,000 ordinary shares with a par value of US$0.00001 each, comprising (i) 1,000,000,000 Class A ordinary shares, (ii) 4,000,000,000 Class B ordinary shares. As of the date of this prospectus, (i)            Class A ordinary shares, and (ii)            Class B ordinary shares are issued and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adopt, subject to the approval of the existing shareholders, an amended and restated memorandum and articles of association, which will become effective upon completion of this offering and replace the current memorandum and articles of association in its entirety immediately prior to the completion of this offering. Our authorized share capital immediately prior to the completion of the offering will be US$50,000 divided into 5,000,000,000 ordinary shares with a par value of US$0.00001 each, comprising (i) 1,000,000,000 Class A ordinary shares, (ii) 4,000,000,000 Class B ordinary shares. We will issue            Class B ordinary shares represented by ADSs in this offering. All options, regardless of grant dates, will entitle holders to an equivalent number of ordinary shares once the vesting and exercising conditions are met.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post-offering amended and restated memorandum and articles of association and the Companies Act insofar as they relate to the material terms of our ordinary shares that we expect will become effective immediately prior to the completion of this offering.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General.    </w:t>
      </w:r>
      <w:r>
        <w:rPr>
          <w:rFonts w:ascii="Times New Roman PS Std;serif" w:hAnsi="Times New Roman PS Std;serif"/>
          <w:b w:val="false"/>
          <w:i w:val="false"/>
          <w:caps w:val="false"/>
          <w:smallCaps w:val="false"/>
          <w:sz w:val="20"/>
        </w:rPr>
        <w:t>Our ordinary shares are divided into Class A ordinary shares and Class B ordinary shares. Holders of our Class A ordinary shares 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transfer their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Conversion.    </w:t>
      </w:r>
      <w:r>
        <w:rPr>
          <w:rFonts w:ascii="Times New Roman PS Std;serif" w:hAnsi="Times New Roman PS Std;serif"/>
          <w:b w:val="false"/>
          <w:i w:val="false"/>
          <w:caps w:val="false"/>
          <w:smallCaps w:val="false"/>
          <w:sz w:val="20"/>
        </w:rPr>
        <w:t>Class A ordinary shares may be converted into the same number of Class B ordinary shares by the holders thereof at any time, while Class B ordinary shares cannot be converted into Class A ordinary shares under any circumstances. Upon any sale, transfer, assignment or disposition of Class A ordinary shares by a holder thereof to any person other than holders of Class A ordinary shares or their affiliates, such Class A ordinary shares shall be automatically and immediately converted into the same number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Dividends.    </w:t>
      </w:r>
      <w:r>
        <w:rPr>
          <w:rFonts w:ascii="Times New Roman PS Std;serif" w:hAnsi="Times New Roman PS Std;serif"/>
          <w:b w:val="false"/>
          <w:i w:val="false"/>
          <w:caps w:val="false"/>
          <w:smallCaps w:val="false"/>
          <w:sz w:val="20"/>
        </w:rPr>
        <w:t>Subject to the Companies Act, our directors may declare dividends in any currency to be paid to our shareholders. Dividends may be declared and paid out of our profits, realized or unrealized, or from any reserve set aside from profits which our directors determine is no longer needed. Our board of directors may also declare and pay dividends out of the share premium account or any other fund or account that can be authorized for this purpose in accordance with the Companies Act. Except in so far as the rights attaching to, or the terms of issue of, any share otherwise provides, (1) all dividends shall be declared and paid according to the amounts paid up on the shares in respect of which the dividend is paid, but no amount paid up on a share in advance of calls shall be treated for this purpose as paid up on that share and (2) all dividends shall be apportioned and paid pro rata according to the amounts paid up on the shares during any portion or portions of the period in respect of which the dividend is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also pay interim dividends, whenever our financial position, in the opinion of our directors, justifies such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deduct from any dividend or bonus payable to any shareholder all sums of money (if any) presently payable by such shareholder to us on account of calls or otherwise.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dividend or other money payable by us on or in respect of any share shall bear interest against us. In respect of any dividend proposed to be paid or declared on our share capital, our directors may resolve and direct that (1) such dividend be satisfied wholly or in part in the form of an allotment of shares credited as fully paid up, provided that our shareholders entitled thereto will be entitled to elect to receive such dividend (or part thereof if our directors so determine) in cash in lieu of such allotment or (2) the shareholders entitled to such dividend will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entitled to elect to receive an allotment of shares credited as fully paid up in lieu of the whole or such part of the dividend as our directors may think fit. Our shareholders may, upon the recommendation of our directors, by ordinary resolution resolve in respect of any particular dividend that, notwithstanding the foregoing, a dividend may be satisfied wholly in the form of an allotment of shares credited as fully paid up without offering any right to shareholders to elect to receive such dividend in cash in lieu of such allotment.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dividend interest or other sum payable in cash to the holder of shares may be paid by check or warrant sent by mail addressed to the holder at his registered address, or addressed to such person and at such addresses as the holder may direct. Every check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dividends unclaimed for one year after having been declared may be invested or otherwise made use of by our board of directors for the benefit of our company until claimed. Any dividend unclaimed after a period of six years from the date of declaration of such dividend shall be forfeited and reverted to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our directors have resolved that a dividend be paid or declared, our directors may further resolve that such dividend be satisfied wholly or in part by the distribution of specific assets of any kind, and in particular of paid up shares, debentures or warrants to subscribe for our securities or securities of any other company. Where any difficulty arises with regard to such distribution, our directors may settle it as they think expedient. In particular, our directors may issue fractional certificates, ignore fractions altogether or round the same up or down, fix the value for distribution purposes of any such specific assets, determine that cash payments shall be made to any of our shareholders upon the footing of the value so fixed in order to adjust the rights of the parties, vest any such specific assets in trustees as may seem expedient to our directors, and appoint any person to sign any requisite instruments of transfer and other documents on behalf of the persons entitled to the dividend, which appointment shall be effective and binding on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Voting Rights.    </w:t>
      </w:r>
      <w:r>
        <w:rPr>
          <w:rFonts w:ascii="Times New Roman PS Std;serif" w:hAnsi="Times New Roman PS Std;serif"/>
          <w:b w:val="false"/>
          <w:i w:val="false"/>
          <w:caps w:val="false"/>
          <w:smallCaps w:val="false"/>
          <w:sz w:val="20"/>
        </w:rPr>
        <w:t>On a show of hands each shareholder is entitled to one vote or, on a poll, each shareholder is entitled to one vote for ordinary share, on all matters that require a shareholder’s vote. Voting at any shareholders’ meeting is by show of hands of shareholders who are present in person or by proxy or, in the case of a shareholder being a corporation, by its duly authorized representative, unless a poll is demanded.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poll may be demanded by the chairman of such meeting or any shareholder present in person or by proxy.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shareholder shall be entitled to vote or be reckoned in a quorum, in respect of any share, unless such shareholder is duly registered as our shareholder and all calls or instalments due by such shareholder to us have been paid.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clearing house (or its nominee(s)) or a central depositary entity, being a corporation, is our shareholder, it may authorize such person or persons as it thinks fit to act as its representative(s) at any meeting or at any meeting of any class of shareholders, provided that, if more than one person is so authorized, the authorization shall specify the number and class of shares in respect of which each such person is so authorized. A person authorized pursuant to this provision is entitled to exercise the same powers on behalf of the clearing house or central depositary entity (or its nominee(s)) as if such person was the registered holder of our shares held by that clearing house or central depositary entity (or its nominee(s)) including the right to vote individually in a show of hands.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Transfer of Ordinary Shares.    </w:t>
      </w:r>
      <w:r>
        <w:rPr>
          <w:rFonts w:ascii="Times New Roman PS Std;serif" w:hAnsi="Times New Roman PS Std;serif"/>
          <w:b w:val="false"/>
          <w:i w:val="false"/>
          <w:caps w:val="false"/>
          <w:smallCaps w:val="false"/>
          <w:sz w:val="20"/>
        </w:rPr>
        <w:t>Subject to any applicable restrictions set forth in our articles of association, including, for example, the board of directors’ discretion to refuse to register a transfer of any share (not being a fully paid up share) to a person of whom it does not approve, or any share issued under share incentive plans for employees upon which a restriction on transfer imposed thereby still subsists, or a transfer of any share to more than four joint holders, any of our shareholders may transfer all or any of his or her shares by an instrument of transfer in the usual or common form or in a form prescribed by the NASDAQ or in another form that our directors may approve.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decline to register any transfer of any share which is not paid up or on which we have a lien. Our directors may also decline to register any transfer of any share unless: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and is accompanied by the certificate for the shares to which it relates and such other evidence as our directors may reasonably require to show the right of the transferor to make the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share;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(in circumstances where stamping is required);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 of such maximum sum as the Nasdaq may determine to be payable or such lesser sum as our directors may from time to time require is paid to us in respect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Liquidation.    </w:t>
      </w:r>
      <w:r>
        <w:rPr>
          <w:rFonts w:ascii="Times New Roman PS Std;serif" w:hAnsi="Times New Roman PS Std;serif"/>
          <w:b w:val="false"/>
          <w:i w:val="false"/>
          <w:caps w:val="false"/>
          <w:smallCaps w:val="false"/>
          <w:sz w:val="20"/>
        </w:rPr>
        <w:t>Subject to any future shares which are issued with specific rights, (1) if we are wound up and the assets available for distribution among our shareholders are more than sufficient to repay the whole of the capital paid up at the commencement of the winding up, the excess shall be distributed pari passu among those shareholders in proportion to the amount paid up at the commencement of the winding up on the shares held by them, respectively, and (2) if we are wound up and the assets available for distribution among the shareholders as such are insufficient to repay the whole of the paid-up capital, those assets shall be distributed so that, as nearly as may be, the losses shall be borne by the shareholders in proportion to the capital paid up at the commencement of the winding up on the shares held by them,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(whether the liquidation is voluntary or by the court), the liquidator may with the sanction of our special resolution and any other sanction required by the Companies Act, divide among our shareholders in specie or kind the whole or any part of our assets (whether or not they shall consist of property of the same kind) and may, for such purpose, set such value as the liquidator deems fair upon any property to be divided and may determine how such division shall be carried out as between the shareholders or different classes of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liquidator may also vest the whole or any part of these assets in trustees upon such trusts for the benefit of the shareholders as the liquidator shall think fit, but so that no shareholder will be compelled to accept any assets, shares or other securities upon which there is a liability.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Calls on Ordinary Shares and Forfeiture of Ordinary Shares.    </w:t>
      </w:r>
      <w:r>
        <w:rPr>
          <w:rFonts w:ascii="Times New Roman PS Std;serif" w:hAnsi="Times New Roman PS Std;serif"/>
          <w:b w:val="false"/>
          <w:i w:val="false"/>
          <w:caps w:val="false"/>
          <w:smallCaps w:val="false"/>
          <w:sz w:val="20"/>
        </w:rPr>
        <w:t>Subject to our memorandum and articles of association and to the terms of allotment our board of directors may from time to time make calls upon shareholders for any amounts unpaid on their ordinary shares in a notice served to such shareholders at least 14 clear days prior to the specified time of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that have been called upon and remain unpaid are subject to forfeiture.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Redemption, Repurchase and Surrender of Ordinary Shares.    </w:t>
      </w:r>
      <w:r>
        <w:rPr>
          <w:rFonts w:ascii="Times New Roman PS Std;serif" w:hAnsi="Times New Roman PS Std;serif"/>
          <w:b w:val="false"/>
          <w:i w:val="false"/>
          <w:caps w:val="false"/>
          <w:smallCaps w:val="false"/>
          <w:sz w:val="20"/>
        </w:rPr>
        <w:t>We are empowered by the Companies Act and our amended and restated articles of association to purchase our own shares, subject to certain restrictions.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may only exercise this power on our behalf, subject to the Companies Act, our memorandum and articles of association and to any applicable requirements imposed from time to time by the Nasdaq, the Securities and Exchange Commission, or by any other recognized stock exchange on which our securities are listed.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Variations of Rights of Shares.    </w:t>
      </w:r>
      <w:r>
        <w:rPr>
          <w:rFonts w:ascii="Times New Roman PS Std;serif" w:hAnsi="Times New Roman PS Std;serif"/>
          <w:b w:val="false"/>
          <w:i w:val="false"/>
          <w:caps w:val="false"/>
          <w:smallCaps w:val="false"/>
          <w:sz w:val="20"/>
        </w:rPr>
        <w:t>If at any time, our share capital is divided into different classes of shares, all or any of the special rights attached to any class of shares may, subject to the provisions of the Companies Act, be varied with the sanction of a special resolution passed at a general meeting of the holders of the shares of that class. Consequently, the rights of any class of shares cannot be detrimentally altered without a majority of two-thirds of the vote of all of the shares in that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with such existing class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Inspection of Books and Records.    </w:t>
      </w:r>
      <w:r>
        <w:rPr>
          <w:rFonts w:ascii="Times New Roman PS Std;serif" w:hAnsi="Times New Roman PS Std;serif"/>
          <w:b w:val="false"/>
          <w:i w:val="false"/>
          <w:caps w:val="false"/>
          <w:smallCaps w:val="false"/>
          <w:sz w:val="20"/>
        </w:rPr>
        <w:t>Holders of our ordinary shares have no general right under Cayman Islands law to inspect or obtain copies of our list of shareholders or our corporate records (other than copies of our memorandum and articles of association, our register of mortgage and charges and any special resolutions passed by our shareholders). Under Cayman Islands law, the names of our current directors can be obtained from a search conducted at the Registrar of Companies. However, we will provide our shareholders with annual audited financial statements. See “Where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Issuance of Additional Shares.    </w:t>
      </w:r>
      <w:r>
        <w:rPr>
          <w:rFonts w:ascii="Times New Roman PS Std;serif" w:hAnsi="Times New Roman PS Std;serif"/>
          <w:b w:val="false"/>
          <w:i w:val="false"/>
          <w:caps w:val="false"/>
          <w:smallCaps w:val="false"/>
          <w:sz w:val="20"/>
        </w:rPr>
        <w:t>Our post-offering amended and restated memorandum of association authorizes our board of directors to issue additional ordinary shares from time to time as our board of directors shall determine, to the extent of available authorized but unissued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post-offering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dividend rights, dividend rates, conversion rights, voting rights;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and terms of redemption and liquidation preferences.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Anti-Takeover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Provisions.    </w:t>
      </w:r>
      <w:r>
        <w:rPr>
          <w:rFonts w:ascii="Times New Roman PS Std;serif" w:hAnsi="Times New Roman PS Std;serif"/>
          <w:b w:val="false"/>
          <w:i w:val="false"/>
          <w:caps w:val="false"/>
          <w:smallCaps w:val="false"/>
          <w:sz w:val="20"/>
        </w:rPr>
        <w:t>Some provisions of our post-offering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 of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Section 48 of the Companies Act, the register of members is prima facie evidence of the registered holder or member of shares of a company. Therefore, a person becomes a registered holder or member of shares of the company only upon entry being made in the register of members. Our directors will maintain one register of members, at the office of [            ], Cayman Islands, which provides us with corporate administrative services. We will perform the procedures necessary to register the shares in the register of members as required in “PART III — Distribution of Capital and Liability of Members of Companies and Associations” of the Companies Act, and will ensure that the entries on the register of members are made without any delay.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be included in our register of members as the only holder of the common shares underlying the ADSs in this offering. The shares underlying the ADSs are not shares in bearer form, but are in registered form and are “non-negotiable” or “registered” shares in which case the shares underlying the ADSs can only be transferred on the books of the company in accordance with Section 166 of the Companies Act. In the event that we fail to update our register of members, the recourse of investors is directly to the depositary under the terms of the deposit agreement, which is governed by New York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will have recourse against us under the terms of the deposit agreement, and also will hold a share certificate evidencing the depositary as the registered holder of shares underlying the ADSs. Further, Section 46 of the Companies Act provides members.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we fail to update our register of member, the depositary, as the aggrieved party, may apply for an order with the courts of the Cayman Islands for the rectification of the register.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Companies Act differs from laws applicable to United States corporations and their shareholders. Set forth below is a summary of the significant differences between the provisions of the Companies Act applicable to us and the laws applicable to United States corporations and companies incorporated in the State of Delaware.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Mergers and Similar Arrangements.    </w:t>
      </w:r>
      <w:r>
        <w:rPr>
          <w:rFonts w:ascii="Times New Roman PS Std;serif" w:hAnsi="Times New Roman PS Std;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Shareholders’ Suits.    </w:t>
      </w:r>
      <w:r>
        <w:rPr>
          <w:rFonts w:ascii="Times New Roman PS Std;serif" w:hAnsi="Times New Roman PS Std;serif"/>
          <w:b w:val="false"/>
          <w:i w:val="false"/>
          <w:caps w:val="false"/>
          <w:smallCaps w:val="false"/>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PS Std;serif" w:hAnsi="Times New Roman PS Std;serif"/>
          <w:b w:val="false"/>
          <w:i/>
          <w:caps w:val="false"/>
          <w:smallCaps w:val="false"/>
          <w:sz w:val="20"/>
        </w:rPr>
        <w:t>Foss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v.</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Harbottle </w:t>
      </w:r>
      <w:r>
        <w:rPr>
          <w:rFonts w:ascii="Times New Roman PS Std;serif" w:hAnsi="Times New Roman PS Std;serif"/>
          <w:b w:val="false"/>
          <w:i w:val="false"/>
          <w:caps w:val="false"/>
          <w:smallCaps w:val="false"/>
          <w:sz w:val="20"/>
        </w:rPr>
        <w:t>and the exceptions thereto) so that a non-controlling shareholder may be permitted to commence a class action against or derivative actions in the name of our company to challenge actions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a simple majority vote that has not been obtained;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our company are perpetrating a “fraud on the minority.”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as amended, or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Directors’ Fiduciary Duties.    </w:t>
      </w: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personal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Action by Written Consent.    </w:t>
      </w: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Under Cayman Islands Law, a company may eliminate the ability of shareholders to approve corporate matters by way of written resolution signed by or on behalf of each shareholder who would have been entitled to vote on such matters at a general meeting without a meeting being held by amending the articles of association. Our post-offering amended and restated memorandum and articles of association do not allow shareholders to act by written resolutions.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Shareholder Proposals.    </w:t>
      </w: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shareholder proposals, Cayman Islands law is essentially the same as Delaware law. The Companies Act does not provide shareholders with an express right to put forth any proposal before an annual meeting of the shareholders. However, the Companies Act may provide shareholders with limited rights to requisition a general meeting, but such rights must be stipulated in the articles of association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one or more shareholders holding not less than two-thirds of the votes attaching to the total issued and paid up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Cumulative Voting.    </w:t>
      </w: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Removal of Directors.    </w:t>
      </w: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post-offering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any other provisions of our post-offering amended and restated memorandum and articles of association.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Transactions with Interested Shareholders.    </w:t>
      </w:r>
      <w:r>
        <w:rPr>
          <w:rFonts w:ascii="Times New Roman PS Std;serif" w:hAnsi="Times New Roman PS Std;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Dissolution; Winding up.    </w:t>
      </w: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issued and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Variation of Rights of Shares.    </w:t>
      </w: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issued and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Amendment of Governing Documents.    </w:t>
      </w: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issued and outstanding shares entitled to vote, unless the certificate of incorporation provides otherwise. Under the Companies Act and our post-offering amended and restated memorandum and articles of association, our memorandum and articles of association may only be amended by a special resolution of our shareholders.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 of Nonresident or Foreign Shareholders.    </w:t>
      </w:r>
      <w:r>
        <w:rPr>
          <w:rFonts w:ascii="Times New Roman PS Std;serif" w:hAnsi="Times New Roman PS Std;serif"/>
          <w:b w:val="false"/>
          <w:i w:val="false"/>
          <w:caps w:val="false"/>
          <w:smallCaps w:val="false"/>
          <w:sz w:val="20"/>
        </w:rPr>
        <w:t>There are no limitations imposed by our post-offering amended and restated memorandum and 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Securities Issuance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one Class A ordinary share at par value US$0.00001 to the initial subscriber and such share was transferred to Trident Digital Tech Ltd, an entity owned by our founder, chairman of board of directors and chief executive officer, Mr. Soon Huat Lim, on the same day. On the same day, we issued an additional 49,999,999 Class A ordinary shares to Trident Digital Tech Ltd, at par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2023, we issued an aggregate of 275,705,000 Class B ordinary shares, to Trident Group Holdings Ltd and Tri Wealth Ltd, entities owned by Mr. Lim, at par value of US$0.00001 each.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10,000,000 Class B ordinary shares to our chief technology officer, Mr. Poh Kiong Tan,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we issued 5,000,000 Class B ordinary shares to Trident Verse Ltd, an entity owned by our chief financial officer, Ms. Haiyan Huang, at par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as part of our reorganization in preparation for our financing and listing opportunities outside Singapore, we issued an aggregate of 159,295,000 Class B ordinary shares in the aggregate consideration of approximately US$7,500,000 to certain original shareholders of our operating subsidiaries in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
      <w:bookmarkEnd w:id="21"/>
      <w:r>
        <w:rPr>
          <w:rFonts w:ascii="Times New Roman PS Std;serif" w:hAnsi="Times New Roman PS Std;serif"/>
          <w:b/>
          <w:i w:val="false"/>
          <w:caps w:val="false"/>
          <w:smallCaps w:val="false"/>
          <w:sz w:val="20"/>
        </w:rPr>
        <w:t xml:space="preserve">DESCRIPTION OF AMERICAN DEPOSITARY SHARES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Citibank, N.A. (“Citibank”)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 Hong Kong, located at 9/F Citi Tower, One Bay East, 83 Hoi Bun Road, Kwun Tong, Kowloon, Hong Kong.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appoint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Please refer to Registration Number 333-[•] when retrieving such copy.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ADS represents the right to receive, and to exercise the beneficial ownership interests in, [</w:t>
      </w:r>
      <w:r>
        <w:rPr>
          <w:rFonts w:ascii="Times New Roman PS Std;serif" w:hAnsi="Times New Roman PS Std;serif"/>
          <w:b/>
          <w:i w:val="false"/>
          <w:caps w:val="false"/>
          <w:smallCaps w:val="false"/>
          <w:sz w:val="20"/>
        </w:rPr>
        <w:t>ratio</w:t>
      </w:r>
      <w:r>
        <w:rPr>
          <w:rFonts w:ascii="Times New Roman PS Std;serif" w:hAnsi="Times New Roman PS Std;serif"/>
          <w:b w:val="false"/>
          <w:i w:val="false"/>
          <w:caps w:val="false"/>
          <w:smallCaps w:val="false"/>
          <w:sz w:val="20"/>
        </w:rPr>
        <w:t>] Class B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ADS-to-Class B ordinary 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Class B ordinary shares will continue to be governed by the laws of the Cayman Islands, which may be different from the laws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an owner of ADSs, we will not treat you as one of our shareholders and you will not have direct shareholder rights. The depositary bank will hold on your behalf the shareholder rights attached to the Class B ordinary shares underlying your ADSs. As an owner of ADSs you will be able to exercise the shareholders rights for the Class B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the Class B ordinary shares in the name of the depositary bank or the custodian shall, to the maximum extent permitted by applicable law, vest in the depositary bank or the custodian the record ownership in the applicable Class B ordinary shares with the beneficial ownership rights and interests in such Class B ordinary shares being at all times vested with the beneficial owners of the ADSs representing the Class B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Dividends and Distributions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Cash</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laws and regulations of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Whenever we make a free distribution of Class B ordinary shares for the securities on deposit with the custodian, we will deposit the applicable number of Class B ordinary shares with the custodian. Upon receipt of confirmation of such deposit, the depositary bank will </w:t>
      </w:r>
      <w:r>
        <w:rPr>
          <w:rFonts w:ascii="Times New Roman PS Std;serif" w:hAnsi="Times New Roman PS Std;serif"/>
          <w:b w:val="false"/>
          <w:i w:val="false"/>
          <w:caps w:val="false"/>
          <w:smallCaps w:val="false"/>
          <w:sz w:val="20"/>
          <w:u w:val="single"/>
        </w:rPr>
        <w:t>either</w:t>
      </w:r>
      <w:r>
        <w:rPr>
          <w:rFonts w:ascii="Times New Roman PS Std;serif" w:hAnsi="Times New Roman PS Std;serif"/>
          <w:b w:val="false"/>
          <w:i w:val="false"/>
          <w:caps w:val="false"/>
          <w:smallCaps w:val="false"/>
          <w:sz w:val="20"/>
        </w:rPr>
        <w:t xml:space="preserve"> distribute to holders new ADSs representing the Class B ordinary shares deposited </w:t>
      </w:r>
      <w:r>
        <w:rPr>
          <w:rFonts w:ascii="Times New Roman PS Std;serif" w:hAnsi="Times New Roman PS Std;serif"/>
          <w:b w:val="false"/>
          <w:i w:val="false"/>
          <w:caps w:val="false"/>
          <w:smallCaps w:val="false"/>
          <w:sz w:val="20"/>
          <w:u w:val="single"/>
        </w:rPr>
        <w:t>or</w:t>
      </w:r>
      <w:r>
        <w:rPr>
          <w:rFonts w:ascii="Times New Roman PS Std;serif" w:hAnsi="Times New Roman PS Std;serif"/>
          <w:b w:val="false"/>
          <w:i w:val="false"/>
          <w:caps w:val="false"/>
          <w:smallCaps w:val="false"/>
          <w:sz w:val="20"/>
        </w:rPr>
        <w:t xml:space="preserve"> modify the ADS-to-Class B ordinary share ratio, in which case each ADS you hold will represent rights and interests in the additional Class B ordinary shares so deposited. Only whole new ADSs will be distributed. Fractional entitlements will be sold and the proceeds of such sale will be distributed as in the case of a cash distribution.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new ADSs or the modification of the ADS-to-Class B ordinary shares ratio upon a distribution of Class B ordinary shares will be made net of the fees, expenses, taxes and governmental charges payable by holders under the terms of the deposit agreement. In order to pay such taxes or governmental charges, the depositary bank may sell all or a portion of the new Class B ordinary shares so distributed.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such distribution of new ADSs will be made if it would violate a law (</w:t>
      </w:r>
      <w:r>
        <w:rPr>
          <w:rFonts w:ascii="Times New Roman PS Std;serif" w:hAnsi="Times New Roman PS Std;serif"/>
          <w:b w:val="false"/>
          <w:i/>
          <w:caps w:val="false"/>
          <w:smallCaps w:val="false"/>
          <w:sz w:val="20"/>
        </w:rPr>
        <w:t>e.g.</w:t>
      </w:r>
      <w:r>
        <w:rPr>
          <w:rFonts w:ascii="Times New Roman PS Std;serif" w:hAnsi="Times New Roman PS Std;serif"/>
          <w:b w:val="false"/>
          <w:i w:val="false"/>
          <w:caps w:val="false"/>
          <w:smallCaps w:val="false"/>
          <w:sz w:val="20"/>
        </w:rPr>
        <w:t>, the U.S. securities laws) or if it is not operationally practicable. If the depositary bank does not distribute new ADSs as described above, it may sell the Class B ordinary shares received upon the terms described in the deposit agreement and will distribute the proceeds of the sale as in the case of a distribution of cash.</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Distributions of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rights to subscribe for additional Class B ordinary shares, we will give prior notice to the depositary bank and we will assist the depositary bank in determining whether it is lawful and reasonably practicable to distribute rights to subscribe for additional ADSs to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Class B ordinary shares other than in the form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rights to you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timely request that the rights be distributed to you or we request that the rights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not reasonably practicable to distribute the rights.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Elective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election is not made available to you, you will receive either cash or additional ADSs, depending on what a shareholder in the Cayman Islands would receive upon failing to make an election, as more fully described in the deposit agreement.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Other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intend to distribute property other than cash, Class B ordinary shares or rights to subscribe for additional Class B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reasonably practicable to distribute such property to you and if we request such rights to be made available to you and provide to the depositary bank all of the documentation contemplated in the deposit agreement, the depositary bank will distribute the property to the holders in a manner it deems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will </w:t>
      </w:r>
      <w:r>
        <w:rPr>
          <w:rFonts w:ascii="Times New Roman PS Std;serif" w:hAnsi="Times New Roman PS Std;serif"/>
          <w:b w:val="false"/>
          <w:i/>
          <w:caps w:val="false"/>
          <w:smallCaps w:val="false"/>
          <w:sz w:val="20"/>
        </w:rPr>
        <w:t>not</w:t>
      </w:r>
      <w:r>
        <w:rPr>
          <w:rFonts w:ascii="Times New Roman PS Std;serif" w:hAnsi="Times New Roman PS Std;serif"/>
          <w:b w:val="false"/>
          <w:i w:val="false"/>
          <w:caps w:val="false"/>
          <w:smallCaps w:val="false"/>
          <w:sz w:val="20"/>
        </w:rPr>
        <w:t xml:space="preserve"> distribute the property to you and will sell the property if:</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request that the property be distributed to you or if we request that the property not be distributed to you;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deliver satisfactory documents to the depositary bank;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determines that all or a portion of the distribution to you is not reasonably practicable.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proceeds of such a sale will be distributed to holders as in the case of a cash distribution.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Redemption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Times New Roman PS Std;serif" w:hAnsi="Times New Roman PS Std;serif"/>
          <w:b w:val="false"/>
          <w:i/>
          <w:caps w:val="false"/>
          <w:smallCaps w:val="false"/>
          <w:sz w:val="20"/>
        </w:rPr>
        <w:t>pro rata</w:t>
      </w:r>
      <w:r>
        <w:rPr>
          <w:rFonts w:ascii="Times New Roman PS Std;serif" w:hAnsi="Times New Roman PS Std;serif"/>
          <w:b w:val="false"/>
          <w:i w:val="false"/>
          <w:caps w:val="false"/>
          <w:smallCaps w:val="false"/>
          <w:sz w:val="20"/>
        </w:rPr>
        <w:t xml:space="preserve"> basis, as the depositary bank may determine.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Changes Affecting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held on deposit for your ADSs may change from time to time. For example, there may be a change in nominal or par value, split-up, cancellation, consolidation or any other reclassification of such Class B ordinary shares or a recapitalization, reorganization, merger, consolidation or sale of assets of the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such change were to occur, your ADSs would, to the extent permitted by law and the deposit agreement, represent the right to receive the property received or exchanged in respect of the Class B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Class B ordinary shares. If the depositary bank may not lawfully distribute such property to you, the depositary bank may sell such property and distribute the net proceeds to you as in the case of a cash distribution.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Issuance of ADSs upon Deposit of Class B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offering, the Class B ordinary shares being offered pursuant to the prospectus will be deposited by us with the custodian. Upon receipt of confirmation of such deposit, the depositary bank will issue ADSs to the underwriters named in the prospectus. After the completion of the offering, the Class B ordinary shares that are being offered for sale pursuant to the prospectus will be deposited by us with the custodian. Upon receipt of confirmation of such deposit, the depositary bank will issue ADSs to the underwriters named in the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closing of the offer, the depositary bank may create ADSs on your behalf if you or your broker deposit Class B ordinary shares with the custodian and provide the certifications and documentation required by the deposit agreement. The depositary bank will deliver these ADSs to the person you indicate only after you pay any applicable issuance fees and any charges and taxes payable for the transfer of the Class B ordinary shares to the custodian. Your ability to deposit Class B ordinary shares and receive ADSs may be limited by U.S. and the Cayman Islands legal considerations applicable at the time of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ADSs may be delayed until the depositary bank or the custodian receives confirmation that all required approvals have been given and that the Class B ordinary shares have been duly transferred to the custodian. The depositary bank will only issue ADSs in whole numbers.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you make a deposit of Class B ordinary shares, you will be responsible for transferring good and valid title to the depositary bank. As such, you will be deemed to represent and warrant that: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are duly authorized, validly issued, fully paid, non-assessable and legally obtained.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preemptive (and similar) rights, if any, with respect to such Class B ordinary shares have been validly waived or exercised.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are duly authorized to deposit the Class B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are free and clear of any lien, encumbrance, security interest, charge, mortgage or adverse claim, and are not, and the ADSs issuable upon such deposit will not be, “restricted securities” (as defined in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Class B ordinary shares presented for deposit have not been stripped of any rights or entitlements.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the representations or warranties are incorrect in any way, we and the depositary bank may, at your cost and expense, take any and all actions necessary to correct the consequences of the misrepresentations.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Transfer, Combination and Split Up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ADR holder, you will be entitled to transfer, combine or split up your ADRs and the ADSs evidenced thereby. For transfers of ADRs, you will have to surrender the ADRs to be transferred to the depositary bank and also must: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that the surrendered ADR is properly endorsed or otherwise in proper form for transfer;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such proof of identity and genuineness of signatures as the depositary bank deems appropriate;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any transfer stamps required by the State of New York or the United States;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all applicable fees, charges, expenses, taxes and other government charges payable by ADR holders pursuant to the terms of the deposit agreement, upon the transfer of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Withdrawal of Class B ordinary shares Upon Cancellation of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will be entitled to present your ADSs to the depositary bank for cancellation and then receive the corresponding number of underlying Class B ordinary shares at the custodian’s offices. Your ability to withdraw the Class B ordinary shares held in respect of the ADSs may be limited by U.S. and the Cayman Islands law considerations applicable at the time of withdrawal. In order to withdraw the Class B ordinary shares represented by your ADSs, you will be required to pay to the depositary bank the fees for cancellation of ADSs and any charges and taxes payable upon the transfer of the Class B ordinary shares. You assume the risk for delivery of all funds and securities upon withdrawal. Once canceled, the ADSs will not have any rights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ADSs registered in your name, the depositary bank may ask you to provide proof of identity and genuineness of any signature and such other documents as the depositary bank may deem appropriate before it will cancel your ADSs. The withdrawal of the Class B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have the right to withdraw the securities represented by your ADSs at any time except for: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delays that may arise because (i) the transfer books for the Class B ordinary shares or ADSs are closed, or (ii) Class B ordinary shares are immobilized on account of a shareholders’ meeting or a payment of dividends.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Obligations to pay fees, taxes and similar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imposed because of laws or regulations applicable to ADSs or the withdrawal of securities on deposit.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may not be modified to impair your right to withdraw the securities represented by your ADSs except to comply with mandatory provisions of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Voting Rights2</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holder, you generally have the right under the deposit agreement to instruct the depositary bank to exercise the voting rights for the Class B ordinary shares represented by your ADSs. The voting rights of holders of Class B ordinary shares are described in “Description of Share Capital”.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depositary bank timely receives voting instructions from a holder of ADSs, it will endeavor to vote the securities (in person or by proxy) represented by the holder’s ADSs in accordance with such voting instructions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show of hands</w:t>
      </w:r>
      <w:r>
        <w:rPr>
          <w:rFonts w:ascii="Times New Roman PS Std;serif" w:hAnsi="Times New Roman PS Std;serif"/>
          <w:b w:val="false"/>
          <w:i w:val="false"/>
          <w:caps w:val="false"/>
          <w:smallCaps w:val="false"/>
          <w:sz w:val="20"/>
        </w:rPr>
        <w:t>, the depositary bank will vote (or cause the custodian to vote) all Class B ordinary shares held on deposit at that time in accordance with the voting instructions received from a majority of holders of ADSs who provide timely voting instructions.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caps w:val="false"/>
          <w:smallCaps w:val="false"/>
          <w:sz w:val="20"/>
        </w:rPr>
        <w:t>In the event of voting by poll</w:t>
      </w:r>
      <w:r>
        <w:rPr>
          <w:rFonts w:ascii="Times New Roman PS Std;serif" w:hAnsi="Times New Roman PS Std;serif"/>
          <w:b w:val="false"/>
          <w:i w:val="false"/>
          <w:caps w:val="false"/>
          <w:smallCaps w:val="false"/>
          <w:sz w:val="20"/>
        </w:rPr>
        <w:t>, the depositary bank will vote (or cause the Custodian to vote) the Class B ordinary shares held on deposit in accordance with the voting instructions received from the holders of ADSs.</w:t>
      </w:r>
    </w:p>
    <w:p>
      <w:pPr>
        <w:pStyle w:val="TextBody"/>
        <w:pageBreakBefore w:val="false"/>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 be updated following confirmation of voting provision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Fees and Charges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be required to pay the following fees under the terms of the deposit agreement:</w:t>
      </w:r>
    </w:p>
    <w:tbl>
      <w:tblPr>
        <w:tblW w:w="10205" w:type="dxa"/>
        <w:jc w:val="left"/>
        <w:tblInd w:w="0" w:type="dxa"/>
        <w:tblLayout w:type="fixed"/>
        <w:tblCellMar>
          <w:top w:w="0" w:type="dxa"/>
          <w:left w:w="0" w:type="dxa"/>
          <w:bottom w:w="0" w:type="dxa"/>
          <w:right w:w="0" w:type="dxa"/>
        </w:tblCellMar>
      </w:tblPr>
      <w:tblGrid>
        <w:gridCol w:w="7271"/>
        <w:gridCol w:w="146"/>
        <w:gridCol w:w="2788"/>
      </w:tblGrid>
      <w:tr>
        <w:trPr/>
        <w:tc>
          <w:tcPr>
            <w:tcW w:w="7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Service</w:t>
            </w:r>
          </w:p>
        </w:tc>
        <w:tc>
          <w:tcPr>
            <w:tcW w:w="146" w:type="dxa"/>
            <w:tcBorders/>
            <w:vAlign w:val="bottom"/>
          </w:tcPr>
          <w:p>
            <w:pPr>
              <w:pStyle w:val="TableContents"/>
              <w:bidi w:val="0"/>
              <w:spacing w:before="0" w:after="283"/>
              <w:jc w:val="left"/>
              <w:rPr/>
            </w:pPr>
            <w:r>
              <w:rPr/>
              <w:t> </w:t>
            </w:r>
          </w:p>
        </w:tc>
        <w:tc>
          <w:tcPr>
            <w:tcW w:w="278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w:t>
            </w:r>
          </w:p>
        </w:tc>
      </w:tr>
      <w:tr>
        <w:trPr/>
        <w:tc>
          <w:tcPr>
            <w:tcW w:w="7271" w:type="dxa"/>
            <w:tcBorders/>
          </w:tcPr>
          <w:p>
            <w:pPr>
              <w:pStyle w:val="TableContents"/>
              <w:keepNext w:val="false"/>
              <w:widowControl/>
              <w:pBdr/>
              <w:bidi w:val="0"/>
              <w:spacing w:before="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 of ADSs (e.g., an issuance of ADS upon a deposit of Class B ordinary shares, upon a change in the ADS(s)-to-Class B ordinary share(s) ratio, or for any other reason), excluding ADS issuances as a result of distributions of Class B ordinary shares)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issued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Cancellation of ADSs (e.g., a cancellation of ADSs for delivery of deposited property, upon a change in the ADS(s)-to-Class B ordinary share(s) ratio,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cancelled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cash dividends or other cash distributions (e.g., upon a sale of rights and other entitlements)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ADSs pursuant to (i) stock dividends or other free stock distributions, or (ii) exercise of rights to purchase additional ADSs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 of financial instruments, including, but not limited to, securities other than ADSs or rights to purchase additional ADSs (e.g., spin-off shares and contingent value rights)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ADS Services</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held on the applicable record date(s) established by the depositary bank</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Registration of ADS transfers (e.g., upon a registration of the transfer of registered ownership of ADSs, upon a transfer of ADSs into DTC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for any other reason)</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transferred</w:t>
            </w:r>
          </w:p>
        </w:tc>
      </w:tr>
      <w:tr>
        <w:trPr/>
        <w:tc>
          <w:tcPr>
            <w:tcW w:w="7271"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Times New Roman PS Std;serif" w:hAnsi="Times New Roman PS Std;serif"/>
                <w:b w:val="false"/>
                <w:i/>
                <w:caps w:val="false"/>
                <w:smallCaps w:val="false"/>
                <w:sz w:val="20"/>
              </w:rPr>
              <w:t>vice versa</w:t>
            </w:r>
            <w:r>
              <w:rPr>
                <w:rFonts w:ascii="Times New Roman PS Std;serif" w:hAnsi="Times New Roman PS Std;serif"/>
                <w:b w:val="false"/>
                <w:i w:val="false"/>
                <w:caps w:val="false"/>
                <w:smallCaps w:val="false"/>
                <w:sz w:val="20"/>
              </w:rPr>
              <w:t>) or conversion of ADSs for unsponsored American Depositary Shares (e.g., upon termination of the Deposit Agreement).</w:t>
            </w:r>
          </w:p>
        </w:tc>
        <w:tc>
          <w:tcPr>
            <w:tcW w:w="146" w:type="dxa"/>
            <w:tcBorders/>
          </w:tcPr>
          <w:p>
            <w:pPr>
              <w:pStyle w:val="TableContents"/>
              <w:bidi w:val="0"/>
              <w:spacing w:before="0" w:after="283"/>
              <w:jc w:val="left"/>
              <w:rPr/>
            </w:pPr>
            <w:r>
              <w:rPr/>
              <w:t> </w:t>
            </w:r>
          </w:p>
        </w:tc>
        <w:tc>
          <w:tcPr>
            <w:tcW w:w="278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U.S. 5¢ per ADS (or fraction thereof) converted</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ADS holder you will also be responsible to pay certain charges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taxes (including applicable interest and penalties) and other governmental charges;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fees as may from time to time be in effect for the registration of Class B ordinary shares on the share register and applicable to transfers of Class B ordinary shares to or from the name of the custodian, the depositary bank or any nominees upon the making of deposits and withdrawals, respectively;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cable, telex and facsimile transmission and delivery expenses;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expenses, spreads, taxes and other charges of the depositary bank and/or service providers (which may be a division, branch or affiliate of the depositary bank) in the conversion of foreign currency;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reasonable and customary out-of-pocket expenses incurred by the depositary bank in connection with compliance with exchange control regulations and other regulatory requirements applicable to Class B ordinary shares, ADSs and ADRs;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fees, charges, costs and expenses incurred by the depositary bank, the custodian, or any nominee in connection with the ADR program;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payable to the depositary by any party to the deposit agreement pursuant to any ancillary agreement to the deposit agreement in respect of the ADR program, the ADSs and the ADRs.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Amendments and Termination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bound by the modifications to the deposit agreement if you continue to hold your ADSs after the modifications to the deposit agreement become effective. The deposit agreement cannot be amended to prevent you from withdrawing the Class B ordinary shares represented by your ADSs (except as permitted by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any termination of the deposit agreement, the depositary bank may make available to owners of ADSs a means to withdraw the Class B ordinary shares represented by ADSs and to direct the depositary of such Class B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Books of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maintain in New York facilities to record and process the issuance, cancellation, combination, split-up and transfer of ADSs. These facilities may be closed from time to time, to the extent not prohibited by law.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Limitations on Obligations and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limits our obligations and the depositary bank’s obligations to you. Please note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are obligated only to take the actions specifically stated in the deposit agreement without negligence or bad faith.</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carry out voting instructions, for any manner in which a vote is cast or for the effect of any vote, provided it acts in good faith and in accordance with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B ordinary shares, for the validity or worth of the Class B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will not be obligated to perform any act that is inconsistent with the terms of the deposit agreement.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disclaim any liability by reason of any exercise of, or failure to exercise, any discretion provided for in the deposit agreement or in our memorandum and articles of association or in any provisions of or governing the securities on deposit.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the inability by a holder to benefit from any distribution, offering, right or other benefit that is made available to holders of Class B ordinary shares but is not, under the terms of the deposit agreement, made available to you.</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may rely without any liability upon any written notice, request or other document believed to be genuine and to have been signed or presented by the proper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and the depositary bank also disclaim liability for any consequential or punitive damages for any breach of the terms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disclaimer of any Securities Act liability is intended by any provision of the deposit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gives rise to a partnership or joint venture, or establishes a fiduciary relationship, among us, the depositary bank and you as ADS holder.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the above limitations relate to our obligations and the depositary’s obligations to you under the deposit agreement, we believe that, as a matter of construction of the clause, such limitations would likely to continue to apply to ADS holders who withdraw the Class B ordinary shares from the ADS facility with respect to obligations or liabilities incurred under the deposit agreement before the cancellation of the ADSs and the withdrawal of the Class B ordinary shares, and such limitations would most likely not apply to ADS holders who withdraw the Class B ordinary shares from the ADS facility with respect to obligations or liabilities incurred after the cancellation of the ADSs and the withdrawal of the Class B ordinary shares and not under the deposit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Foreign Currency Conversion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conversion of foreign currency is not practical or lawful, or if any required approvals are denied or not obtainable at a reasonable cost or within a reasonable period, the depositary bank may take the following actions in its discretion: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Convert the foreign currency to the extent practical and lawful and distribute the U.S. dollars to the holders for whom the conversion and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Distribute the foreign currency to holders for whom the distribution is lawful and practical.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 the foreign currency (without liability for interest) for the applicable 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Governing Law/Waiver of Jury Trial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Such waiver of your right to trial by jury would apply to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8"/>
      <w:bookmarkEnd w:id="22"/>
      <w:r>
        <w:rPr>
          <w:rFonts w:ascii="Times New Roman PS Std;serif" w:hAnsi="Times New Roman PS Std;serif"/>
          <w:b/>
          <w:i w:val="false"/>
          <w:caps w:val="false"/>
          <w:smallCaps w:val="false"/>
          <w:sz w:val="20"/>
        </w:rPr>
        <w:t>SHARES ELIGIBLE FOR FUTURE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ADSs outstanding, representing             Class B ordinary shares, or approximately [        ]% of our outstanding ordinary shares, assuming the underwriters do not exercise their over-allotment option to purchase additional ADSs. All of the 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While we intend to list the ADSs on the Nasdaq Global Market, we cannot assure you that a regular trading market will develop in the ADSs. We do not expect that a trading market will develop in our ordinary shares not represented by the ADSs.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that we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any ADSs, our ordinary shares or securities convertible into or exchangeable or exercisable for any ADSs or our ordinary shares, enter into any swap or other arrangement that transfers to another, in whole or in part, any of the economic consequences of ownership of the ADSs or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our existing shareholders and holders of share-based awards] have agreed that they will not offer, pledge, sell, contract to sell, sell any option or contract to purchase, purchase any option or contract to sell, grant any option, right or warrant to purchase, lend, or otherwise transfer or dispose of, or enter into any transaction or device that is designed to, or could be expected to, result in the disposition, directly or indirectly, of any ADSs, our ordinary shares or securities convertible into or exchangeable or exercisable for any ADSs or our ordinary shares, or enter into any swap or other arrangement that transfers to another, in whole or in part, any of the economic consequences of ownership of the ADSs, our ordinary shares or securities convertible into or exercisable or exchangeable for any ADSs or our ordinary shares, whether any of these transactions is to be settled by delivery of ADSs or our ordinary shares or other securities, in cash or otherwise, make any demand for or exercise any right or cause to be filed a registration statement, including any amendments thereto, with respect to the registration of any ADSs, our ordinary shares or securities convertible into or exercisable or exchangeable for any ADSs or our ordinary shares or any other securities of us, or publicly disclose the intention to do any of the foregoing, without the prior written consent of the representatives of the underwriters for a period of 180 days after the date of this prospectus, subject to certain exceptions and applicable notice requirements.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in the form of ADSs or otherwise, which will equal approximately            ordinary shares immediately after this offering, assuming the underwriters do not exercise their option to purchase additional ADSs;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in the form of ADSs or otherwise, on the Nasdaq Global Market, during the four calendar weeks preceding the date on which notice of the sale is filed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Affiliates who sell restricted securities under Rule 144 may not solicit orders or arrange for the solicitation of orders, and they are also subject to certain requirements relating to manner of sale, notice and the availability of current public information about 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
      <w:bookmarkEnd w:id="23"/>
      <w:r>
        <w:rPr>
          <w:rFonts w:ascii="Times New Roman PS Std;serif" w:hAnsi="Times New Roman PS Std;serif"/>
          <w:b/>
          <w:i w:val="false"/>
          <w:caps w:val="false"/>
          <w:smallCaps w:val="false"/>
          <w:sz w:val="20"/>
        </w:rPr>
        <w:t>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material Cayman Islands, Singapore, and United States federal income tax consequences of an investment in our ADSs or ordinary shares is based upon laws and relevant interpretations thereof in effect as of the date of this prospectus, all of which are subject to change. This summary does not deal with all possible tax consequences relating to an investment in our ADSs or ordinary shares, such as the tax consequences under state, local and other tax 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capital in respect of the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Singapore Taxation Considerations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Singapore-tax resident companies are currently under the one-tier corporate tax system, or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one-tier system, the income tax paid by a tax resident company is a final tax and its distributable profits can be distributed to shareholders as tax exempt (one-tier) dividends. Such dividends are tax exempt in the hands of a shareholder, regardless of the tax residence status, shareholding level or legal form of the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dividends received in respect of the ordinary shares of a Singapore-tax resident company by either a resident or non-resident of Singapore are not subject to Singapore income tax (whether by withholding or otherwise), on the basis that such a resident or non-resident of Singapore is a tax resident of Singapore and under the one-tier system.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shareholders are advised to consult their own tax advisers to take into account the tax laws of their respective countries of residence and the existence of any agreement for the avoidance of double taxation which their country of residence may have with Singapore.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Gains on Disposal of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does not currently impose tax on capital gains. Gains arising from the disposal of the shares may be construed to be of an income nature and subject to Singapore income tax, especially if they arise from activities which may be regarded as the carrying on of a trade or business in Singapore. Such gains may also be considered income in nature, even if they do not arise from an activity in the ordinary course of trade or business or an ordinary incident of some other business activity, if the shares were purchased with the intention or purpose of making a profit by sale rather than holding for long-term investment purposes in Singapore. Conversely, gains from disposition of the shares in Singapore, if considered as capital gains rather than income by the Inland Revenue Authority of Singapore (“</w:t>
      </w:r>
      <w:r>
        <w:rPr>
          <w:rFonts w:ascii="Times New Roman PS Std;serif" w:hAnsi="Times New Roman PS Std;serif"/>
          <w:b/>
          <w:i w:val="false"/>
          <w:caps w:val="false"/>
          <w:smallCaps w:val="false"/>
          <w:sz w:val="20"/>
        </w:rPr>
        <w:t>IRAS</w:t>
      </w:r>
      <w:r>
        <w:rPr>
          <w:rFonts w:ascii="Times New Roman PS Std;serif" w:hAnsi="Times New Roman PS Std;serif"/>
          <w:b w:val="false"/>
          <w:i w:val="false"/>
          <w:caps w:val="false"/>
          <w:smallCaps w:val="false"/>
          <w:sz w:val="20"/>
        </w:rPr>
        <w:t>”), are not taxable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specific laws or regulations which deal with the characterization of whether a gain is income or capital in nature. The characterization of gains arising from the sale of our shares will depend primarily on the facts and circumstances (commonly referred to as the “badges of trade”) of each shareholder.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Section 13W of the Income Tax Act 1947 (2020 Rev Ed) (“</w:t>
      </w:r>
      <w:r>
        <w:rPr>
          <w:rFonts w:ascii="Times New Roman PS Std;serif" w:hAnsi="Times New Roman PS Std;serif"/>
          <w:b/>
          <w:i w:val="false"/>
          <w:caps w:val="false"/>
          <w:smallCaps w:val="false"/>
          <w:sz w:val="20"/>
        </w:rPr>
        <w:t>SITA</w:t>
      </w:r>
      <w:r>
        <w:rPr>
          <w:rFonts w:ascii="Times New Roman PS Std;serif" w:hAnsi="Times New Roman PS Std;serif"/>
          <w:b w:val="false"/>
          <w:i w:val="false"/>
          <w:caps w:val="false"/>
          <w:smallCaps w:val="false"/>
          <w:sz w:val="20"/>
        </w:rPr>
        <w:t>”) provides for certainty on the non-taxability of gains derived by a corporate taxpayer from the disposal of ordinary shares during the period from June 1, 2012 to December 31, 2027 (both dates inclusive) where: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legally and beneficially held a minimum shareholding of 20% of the ordinary shares of the company whose shares are being disposed;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divesting company had maintained the minimum 20% shareholding for a continuous period of at least 24 months immediately prior to the disposal.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above-mentioned “safe harbor rules” prescribed under Section 13W of SITA will not apply to a divesting company under certain scenarios. These include, but are not limited to, the divesting company that is in the business of trading or holding Singapore immovable properties (excluding property development), where the shares are not listed on a stock exchange in Singapore or elsewhere, the divesting company whose gains or profits from the disposal of ordinary shares are included as part of its income based on the provisions of section 26 of the SITA, disposal of shares by a partnership, limited partnership or limited liability partnership where one or more of the partners is a company or are companies,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apply, or who are required to apply, the Singapore Financial Reporting Standard 39 — Financial Instruments: Recognition and Measurement, or SFRS(I) 1-39; the Singapore Financial Reporting Standard 109 — Financial Instruments, or FRS 109; or the Singapore Financial Reporting Standard (International) 9 — Financial Instruments, or SFRS(I) 9, may for the purposes of Singapore income tax be required to recognize gains or losses in respect of financial instruments (not being gains or losses in the nature of capital) in accordance with SFRS(I) 1-39, FRS 109 or SFRS(I) 9 (as the case may be) (as modified by the applicable provisions of Singapore income tax law) even where no sale or disposal of the shares is made.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34A of the SITA provides of the tax treatment for financial instruments in accordance with FRS 39 (subject to certain exceptions and “opt-out” provisions) for taxpayers who are required to comply with FRS 39 for financial reporting purposes. IRAS has also issued a circular entitled “Income Tax Implications Arising from the Adoption of FRS 39 — Financial Instruments: Recognition and Measurement (Second Edition).” FRS 109 or SFRS(I) 9 (as the case may be) is mandatorily effective for annual periods beginning on or after 1 January 2018, replacing FRS 39. Section 34AA of the SITA requires taxpayers who comply or who are required to comply with FRS 109 or SFRS(I) 9 (as the case may be) for financial reporting purposes to calculate their profit, loss or expense for Singapore income tax purposes in respect of financial instruments in accordance with FRS 109 or SFRS(I) 9 (as the case may be), subject to certain exceptions. The IRAS has also issued a circular entitled “Income Tax: Income Tax Treatment Arising from Adoption of FRS 109 — Financial Instruments (Third Edition).”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who may be subject to the above-mentioned tax treatments, including under Sections 34A or 34AA of the SITA, should consult their accounting and tax advisers regarding the Singapore income tax consequences of their acquisition, holding and disposal of the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Stamp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stamp duty payable on the subscription and issuance of the shares of a Singapore company.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a transfer of the ordinary shares of a Singapore company, no stamp duty is payable if no instrument of transfer is executed or if the instrument of transfer is executed outside Singapore and not received in Singapore. Stamp duty will be payable if there is an instrument (including an electronic instrument) for the transfer of shares of a Singapore company which is either executed in Singapore or executed outside Singapore and received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instrument of transfer is executed in Singapore, stamp duty must be paid within 14 days of the execution of the instrument of transfer. Where the instrument of transfer is executed outside Singapore and received in Singapore, stamp duty must be paid within 30 days of receipt of the instrument of transfer in Singapore. An electronic instrument that is executed outside Singapore is treated as received in Singapore in any of the following scenarios: (i) it is retrieved or accessed by a person in Singapore; (ii) an electronic copy of it is stored on a device (including a computer) and brought into Singapore; or (iii) an electronic copy of it is stored on a computer in Singapore.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stamp duty on an instrument of transfer of shares of a non-property owning Singapore company is payable at the rate of 0.2% of the consideration for, or market value of, the shares, whichever is higher. Stamp duty is borne by the purchaser unless there is an agreement to the contrary.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Duty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estate duty was abolished with respect to all deaths occurring on or after 15 February 2008.</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Goods and Services Tax (“GST”)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of the shares by a GST-registered investor belonging in Singapore for GST purposes to another person belonging in Singapore is an exempt supply not subject to GST. Any input GST (for example, GST on brokerage) incurred by the GST-registered investor in connection with the making of an exempt supply is generally not recoverable from the Singapore Comptroller of GST and will become an additional cost to the investor unless the investor satisfies certain conditions prescribed under the GST legislation or satisfies certain GST concessions.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(for example, GST on brokerage)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the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Services consisting of arranging, brokering, underwriting or advising on the issue, allotment or transfer of ownership of the shares rendered by a GST-registered person to an investor belonging in Singapore for GST purposes in connection with the investor’s purchase, sale or holding of the shares will be subject to GST at the standard rate of 8% with effect from 1 January 2023, and from 8% to 9% with effect from 1 January 2024. Similar services rendered by a GST registered person contractually to an investor belonging outside Singapore and for the direct benefit of such an investor or a GST registered person belonging in Singapore should generally, subject to the satisfaction of certain conditions, be subject to GST at 0%.</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 Federal Income Taxation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prospectus, including the United States Internal Revenue Code of 1986, as amended, or the Code, existing and proposed Treasury regulations promulgated thereunder, judicial authority, published administrative positions of the IRS and other applicable authorities, all as of the date of this prospectus.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 This summary does not discuss the so-called Medicare tax on net investment income, any federal non-income tax laws, including the federal estate or gift tax laws, or the laws of any state, local or non-United States taxing jurisdiction.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a United States Holder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financial institutions;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or dealers in stocks and securities, or currencies;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required to use a mark-to-market method of accounting;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 subject to Section 877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subject to the United States anti-inversion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entities;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provisions of the Code;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is other than the United States dollar;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as part of a straddle, hedging, conversion or integrated transaction;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ADSs or ordinary shares through a bank, financial institution or other entity, or a branch thereof, located, organized or resident outside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actually or constructively own 10% or more of the total combined voting power of all classes of our voting stock;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ADSs or ordinary shares pursuant to the exercise of an employee stock option or otherwise as compensation;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pass-through entities, or persons holding ADSs or ordinary shares through such entities.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 in a partnership holding our ADSs or ordinary shares should consult its own tax advisors regarding the tax consequences of holding our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following discussion is for informational purposes only and is not a substitute for careful tax planning and advice. Investors considering the purchase of ADSs or ordinary shares should consult their own tax advisors with respect to the application of the United States federal income tax laws to their particular situations, as well as any tax consequences arising under the Medicare tax on net investment income, any federal non-income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tax laws, including the federal estate or gift tax laws, or the laws of any state, local or non-United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States taxing jurisdiction and under any applicable tax treaty.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discussion below, a “United States Holder” is a beneficial owner of our ADSs or ordinary shares that is, for United States federal income tax purposes: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United States federal income tax purposes)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United States federal income taxation regardless of its source;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assumes that the representations contained in the deposit agreement and any related agreement is true and that the obligations in such agreements will be complied with in accordance with their terms.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Treasury Department and the IRS have expressed concerns that intermediaries in the chain of ownership between the holder of an ADS and the issuer of the security underlying the ADS may be taking actions that are inconsistent with the beneficial ownership of the underlying security (for example, a pre-release of ADSs to persons that do not have beneficial ownership of the securities underlying the ADSs). Such actions may be inconsistent with the claiming of the reduced rate of tax applicable to certain dividends received by non-corporate United States Holders of ADSs, including individual United States Holders, and the claiming of foreign tax credits by United States Holders of ADSs. Accordingly, among other things, the availability of foreign tax credits or the reduced tax rate for dividends received by non-corporate United States Holders, each discussed below, could be affected by actions taken by intermediaries in the chain of ownership between the holder of an ADS and our company, if as a result of such actions, the holders of ADSs are not properly treated as beneficial owners of ordinary shares.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or the asset test. Passive income generally includes, among other things, dividends, interest, rents, royalties, and gains from the disposition of passive assets. Passive assets are those which give rise to passive income, and include assets held for investment, as well as cash, assets readily convertible into cash, and working capital. The company’s goodwill and other unbooked intangibles are taken into account and may be classified as active or passive depending upon the relative amounts of income generated by the company in each category. We will be treated as owning a proportionate share of the assets and earning a proportionate share of the income of any other corporation in which we own, directly or indirectly, 25% or more (by value) of the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our current and projected income and assets, the expected proceeds from this offering, and projections as to the market price of our ADSs immediately following this offering,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subsequent years. Furthermore fluctuations in the market price of our ADSs may cause us to be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anticipated market capitalization immediately following the close of this offering. Among other matters, if our market capitalization is less than anticipated or subsequently declines, we may be or become a PFIC for the current or future taxable years.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year during which a U.S. Holder holds our ADSs or ordinary shares, we generally will continue to be treated as a PFIC for all succeeding years during which such U.S. Holder holds our ADSs or ordinary shares unless, in such case, we cease to be treated as a PFIC and such U.S. Holder makes a deemed sole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below under “— Dividends” and “— Sale or Other Disposition” is written on the basis that we will not be or become classified as a PFIC for U.S. federal income tax purposes. The U.S. federal income tax rules that apply generally if we are treated as a PFIC are discussed below under “— Passive Foreign Investment Company Rules.”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cash distributions paid on our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ordinary shares will not be eligible for the dividends received deduction allowed to corporations in respect of dividends-received from U.S. corporations.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and other non-corporate U.S. Holders may be subject to tax on any such dividends at the lower capital gain tax rate applicable to “qualified dividend income,” provided that certain conditions are satisfied, including that (i) our ADSs or ordinary shares on which the dividends are paid are readily tradable on an established securities market in the United States, (ii) we are neither a PFIC nor treated as such with respect to a U.S. Holder for the taxable year in which the dividend is paid and the preceding taxable year, and (iii) certain holding period requirements are met. We intend to list the ADSs on the Nasdaq Global Market. Provided that this listing is approved, we believe that the ADSs should generally be considered to be readily tradeable on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foreign tax credit purposes, dividends paid on our ADSs or ordinary shares will generally be treated as income from foreign sources and will generally constitute passive category income. The rules governing the foreign tax credit are complex and U.S. Holders are urged to consult their tax advisors regarding the availability of the foreign tax credit under their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Disposition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will generally recognize gain or loss upon the sale or other disposition of ADSs or ordinary shares in an amount equal to the difference between the amount realized upon the disposition and the holder’s adjusted tax basis in such ADSs or ordinary shares. Such gain or loss will generally be capital gain or loss. Any such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could limit the availability of foreign tax credits. Each U.S. Holder is advised to consult its tax advisor regarding the tax consequences if a foreign tax is imposed on a disposition of our ADSs or ordinary shares, including the applicability of any tax treaty and the availability of the foreign tax credit under its particular circumstances.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are classified as a PFIC for any taxable year during which a U.S. Holder holds our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the U.S. Holder’s holding period for the ADSs or ordinary shares;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alternative to the foregoing rules, a U.S. Holder of “marketable stock” (as defined below) in a PFIC may make a mark-to-market election with respect to such stock. If a U.S. Holder makes this election with respect to our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our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Our ADSs, but not our ordinary shares, will be treated as marketable stock upon their listing on the Nasdaq Global Market. We anticipate that our ADSs should qualify as being regularly traded, but no assurances may be given in this regard.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our ADSs or ordinary shares during any taxable year that we are a PFIC, the holder must generally file an annual IRS Form 8621. You should consult your tax advisor regarding the U.S. federal income tax consequences of owning and disposing of our ADSs or ordinary shares if we are or become a PFIC.</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
      <w:bookmarkEnd w:id="24"/>
      <w:r>
        <w:rPr>
          <w:rFonts w:ascii="Times New Roman PS Std;serif" w:hAnsi="Times New Roman PS Std;serif"/>
          <w:b/>
          <w:i w:val="false"/>
          <w:caps w:val="false"/>
          <w:smallCaps w:val="false"/>
          <w:sz w:val="20"/>
        </w:rPr>
        <w:t>UNDERWRITING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an underwriting agreement with US Tiger Securities, Inc., or the “</w:t>
      </w:r>
      <w:r>
        <w:rPr>
          <w:rFonts w:ascii="Times New Roman PS Std;serif" w:hAnsi="Times New Roman PS Std;serif"/>
          <w:b/>
          <w:i w:val="false"/>
          <w:caps w:val="false"/>
          <w:smallCaps w:val="false"/>
          <w:sz w:val="20"/>
        </w:rPr>
        <w:t>Underwriter</w:t>
      </w:r>
      <w:r>
        <w:rPr>
          <w:rFonts w:ascii="Times New Roman PS Std;serif" w:hAnsi="Times New Roman PS Std;serif"/>
          <w:b w:val="false"/>
          <w:i w:val="false"/>
          <w:caps w:val="false"/>
          <w:smallCaps w:val="false"/>
          <w:sz w:val="20"/>
        </w:rPr>
        <w:t>.” The Underwriter has agreed to purchase, and we have agreed to sell to it, the number of our ADSs at the initial public offering price, less the underwriting discounts and commissions, as set forth on the cover page of this prospectus and as indicated below:</w:t>
      </w:r>
    </w:p>
    <w:tbl>
      <w:tblPr>
        <w:tblW w:w="3868" w:type="dxa"/>
        <w:jc w:val="left"/>
        <w:tblInd w:w="0" w:type="dxa"/>
        <w:tblLayout w:type="fixed"/>
        <w:tblCellMar>
          <w:top w:w="0" w:type="dxa"/>
          <w:left w:w="0" w:type="dxa"/>
          <w:bottom w:w="0" w:type="dxa"/>
          <w:right w:w="0" w:type="dxa"/>
        </w:tblCellMar>
      </w:tblPr>
      <w:tblGrid>
        <w:gridCol w:w="2431"/>
        <w:gridCol w:w="146"/>
        <w:gridCol w:w="1291"/>
      </w:tblGrid>
      <w:tr>
        <w:trPr/>
        <w:tc>
          <w:tcPr>
            <w:tcW w:w="24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ADSs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Tiger Securities, Inc.</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24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offering the ADSs subject to its acceptance of the ADSs from us and subject to prior sale. The underwriting agreement provides that the obligations of the Underwriter to pay for and accept delivery of the ADSs offered by this prospectus are subject to the approval of certain legal matters by its counsel and to other conditions. The Underwriter is obligated to take and pay for all of the ADSs offered by this prospectus if any such ADSs are taken. However, the Underwriter is not required to take or pay for the ADSs covered by the Underwriter’s option to purchase additional ADSs described below.</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to the Underwriter an option (“</w:t>
      </w:r>
      <w:r>
        <w:rPr>
          <w:rFonts w:ascii="Times New Roman PS Std;serif" w:hAnsi="Times New Roman PS Std;serif"/>
          <w:b/>
          <w:i w:val="false"/>
          <w:caps w:val="false"/>
          <w:smallCaps w:val="false"/>
          <w:sz w:val="20"/>
        </w:rPr>
        <w:t>Over-Allotment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Option</w:t>
      </w:r>
      <w:r>
        <w:rPr>
          <w:rFonts w:ascii="Times New Roman PS Std;serif" w:hAnsi="Times New Roman PS Std;serif"/>
          <w:b w:val="false"/>
          <w:i w:val="false"/>
          <w:caps w:val="false"/>
          <w:smallCaps w:val="false"/>
          <w:sz w:val="20"/>
        </w:rPr>
        <w:t>”), exercisable for 45 days after the closing of this offering to purchase up to [            ] additional ADSs at the initial public offering price listed on the cover page of this prospectus, less underwriting discounts and commissions. Such additional ADSs represent 15% of the total amount sold in this offering. The Underwriter may exercise this Over-Allotment Option solely for the purpose of covering over-allotments, if any, made in connection with this offering. To the extent the Over-Allotment Option is exercised, the Underwriter will become obligated, subject to certain conditions, to purchase about the same percentage of the additional ADSs as the number listed next to the Underwriter’s name in the preceding table.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will offer the ADSs to the public at the initial public offering price set forth on the cover of this prospectus. After this offering, the initial public offering price, concession and reallowance to dealers may be reduced by the Underwriter. No change in those terms will change the amount of proceeds to be received by us as set forth on the cover of this prospectus. The ADSs are offered by the Underwriter as stated herein, subject to receipt and acceptance by the Underwriter and subject to its right to reject any order in whole or in part.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discounts and commissions are equal to 6% of the initial public offering price set forth on the cover of this prospectus.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per ADS and total initial public offering price, underwriting discounts and commissions, and proceeds before expenses to us. These amounts are shown assuming both no exercise and full exercise of the Underwriter’s option to purchase up to [            ] additional ADSs.</w:t>
      </w:r>
    </w:p>
    <w:tbl>
      <w:tblPr>
        <w:tblW w:w="10205" w:type="dxa"/>
        <w:jc w:val="left"/>
        <w:tblInd w:w="0" w:type="dxa"/>
        <w:tblLayout w:type="fixed"/>
        <w:tblCellMar>
          <w:top w:w="0" w:type="dxa"/>
          <w:left w:w="0" w:type="dxa"/>
          <w:bottom w:w="0" w:type="dxa"/>
          <w:right w:w="0" w:type="dxa"/>
        </w:tblCellMar>
      </w:tblPr>
      <w:tblGrid>
        <w:gridCol w:w="5146"/>
        <w:gridCol w:w="146"/>
        <w:gridCol w:w="1359"/>
        <w:gridCol w:w="146"/>
        <w:gridCol w:w="1607"/>
        <w:gridCol w:w="146"/>
        <w:gridCol w:w="1655"/>
      </w:tblGrid>
      <w:tr>
        <w:trPr/>
        <w:tc>
          <w:tcPr>
            <w:tcW w:w="51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ADS</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Without</w:t>
              <w:br/>
              <w:t>Exercise of</w:t>
              <w:br/>
              <w:t>Over- allotment</w:t>
              <w:br/>
              <w:t>Option</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With Full</w:t>
              <w:br/>
              <w:t>Exercise of</w:t>
              <w:br/>
              <w:t>Over- allotment</w:t>
              <w:br/>
              <w:t>Option</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r>
        <w:trPr/>
        <w:tc>
          <w:tcPr>
            <w:tcW w:w="51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 to be paid by us</w:t>
            </w:r>
          </w:p>
        </w:tc>
        <w:tc>
          <w:tcPr>
            <w:tcW w:w="146" w:type="dxa"/>
            <w:tcBorders/>
            <w:vAlign w:val="bottom"/>
          </w:tcPr>
          <w:p>
            <w:pPr>
              <w:pStyle w:val="TableContents"/>
              <w:bidi w:val="0"/>
              <w:spacing w:before="0" w:after="283"/>
              <w:jc w:val="left"/>
              <w:rPr/>
            </w:pPr>
            <w:r>
              <w:rPr/>
              <w:t> </w:t>
            </w:r>
          </w:p>
        </w:tc>
        <w:tc>
          <w:tcPr>
            <w:tcW w:w="135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5" w:type="dxa"/>
            <w:tcBorders/>
            <w:vAlign w:val="bottom"/>
          </w:tcPr>
          <w:p>
            <w:pPr>
              <w:pStyle w:val="TableContents"/>
              <w:bidi w:val="0"/>
              <w:spacing w:before="0" w:after="283"/>
              <w:jc w:val="left"/>
              <w:rPr/>
            </w:pPr>
            <w:r>
              <w:rPr/>
              <w:t> </w:t>
            </w:r>
          </w:p>
        </w:tc>
      </w:tr>
      <w:tr>
        <w:trPr/>
        <w:tc>
          <w:tcPr>
            <w:tcW w:w="51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w:t>
            </w:r>
          </w:p>
        </w:tc>
        <w:tc>
          <w:tcPr>
            <w:tcW w:w="14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also pay to the Underwriter by deduction from the net proceeds of this offering, a non-accountable expense allowance equal to one percent (1%) of the gross proceeds received by us from the sale of our ADSs.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reimburse the Underwriter for its reasonable out-of-pocket accountable expenses (including but not limited to reasonable and documented travel costs, legal fees, due diligence fees, and other expenses and disbursements, incurred in connection with its services for the purpose of the offering regardless of whether the offering is successfully closed) up to a maximum of US$200,000 for out-of-pocket accountable expenses. In addition, we have agreed to pay to the Underwriter upon closing of this offering a non-accountable expense allowance equal to one percent (1%) of the gross proceeds derived from the sale of the ADSs in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all reasonable, necessary and accountable out-of-pocket expenses relating to the offering, including but not limited to: (i) the costs of preparing, printing and filing the registration statement with the SEC, amendments and supplements thereto, and post effective amendments, as well as the filing with FINRA, and payment of all necessary fees in connection therewith and the printing of a sufficient quantity of preliminary and final prospectuses as the Underwriter may reasonably request; (ii) the costs of preparing, printing and delivering exhibits thereto, in such quantities as Underwriter may reasonably request; (iii) all fees, expenses and disbursements relating to the registration, qualification or exemption of securities offered under the securities laws of foreign jurisdictions designated by Underwriter; (iv) the fees of counsel(s) and accountants for the Company, including fees associated with any blue sky filings where applicable; (v) fees associated with the Company’s transfer agent; and (vi) fees, if necessary, associated with translation services.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of the offering payable by us, excluding the underwriting discounts and commissions and non-accountable expense allowance, will be approximately US$[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officers, directors and principal shareholders (defined as owners of 5% or more of our ordinary shares, provided that the Underwriter may in its discretion require a lower percentage threshold) have agreed, subject to certain exceptions, to a six month “lock-up” period from the effective date of the registration statement of which this prospectus forms a part with respect to the ordinary shares that they beneficially own, including the issuance of shares upon the exercise of convertible securities and options that are currently outstanding or which may be issued. This means that, for a period of six months following the closing of the offering, such persons may not offer, sell, pledge or otherwise dispose of these securities without the prior written consent of the Underwriter.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has no present intention to waive or shorten the lock-up period; however, the terms of the lock-up agreements may be waived at its discretion. In determining whether to waive the terms of the lock-up agreements, the Underwriter may base its decision on its assessment of the relative strengths of the securities markets and companies similar to ours in general, and the trading pattern of, and demand for, our securities in general.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Pricing of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ADS or our ordinary shares. The initial public offering price of the shares has been negotiated between us and the Underwriter. Among the factors considered in determining the initial public offering price of the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Offer, Sale and Distribution of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prospectus in electronic format may be made available on the websites maintained by the Underwriter or selling group members, if any, participating in this offering and the Underwriter may distribute prospectuses electronically. The Underwriter may agree to allocate a number of ADSs to selling group members for sale to their online brokerage account holders. The ADSs to be sold pursuant to internet distributions will be allocated on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transactions that stabilize, maintain or otherwise affect the price of our ADSs. Specifically, the Underwriter may sell more shares than they are obligated to purchase under the underwriting agreement, creating a short position. A short sale is covered if the short position is no greater than the number of shares available for purchase by the Underwriter under option to purchase additional shares. The Underwriter can close out a covered short sale by exercising the option to purchase additional shares or purchasing shares in the open market. In determining the source of shares to close out a covered short sale, the Underwriter will consider, among other things, the open market price of shares compared to the price available under the option to purchase additional shares. The Underwriter may also sell shares in excess of the option to purchase additional shares, creating a naked short position. The Underwriter must close out any naked short position by purchasing shares in the open market. A naked short position is more likely to be created if the Underwriter is concerned that there may be downward pressure on the price of the shares in the open market after pricing that could adversely affect investors who purchase in the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may also impose a penalty bid. This occurs when a particular Underwriter or dealer repays selling concessions allowed to it for distributing our ADSs in this offering because such Underwriter repurchases those shares in stabilizing or short covering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the Underwriter may bid for, and purchase, our ADSs in market making transactions, including “passive” market making transactions as described below.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activities may stabilize or maintain the market price of our ADSs at a price that is higher than the price that might otherwise exist in the absence of these activities. The Underwriter is not required to engage in these activities, and may discontinue any of these activities at any time without notice. These transactions may be effected on the Nasdaq Global Market, in the over-the-counter market, or otherwise.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the Underwriter may engage in passive market making transactions in our ADSs on the Nasdaq Global Market in accordance with Rule 103 of Regulation M under the Exchange Act, during a period before the commencement of offers or sales of the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Conflicts of Interest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 is a full service financial institution engaged in various activities, which may include the sales and trading of securities, commercial and investment banking, advisory, investment management, investment research, principal investment, hedging, market making, financing, brokerage and other financial and non-financial activities and services. The Underwriter may in the future perform a variety of such activities and services for us and for persons or entities with relationships with us for which they received or will receive customary fees, commissions and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 its affiliates, directors, officers and employees may at any time purchase, sell or hold a broad array of investments and actively trade debt and equity securities (or related derivative securities) and other financial instruments (including bank loans) for their own account and for the accounts of their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investments and securities activities may involve assets, securities and/or instruments of ours or our affiliates. The Underwriter and its affiliates, directors, officers and employees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Australia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not a product disclosure statement, prospectus or other type of disclosure document for the purposes of Corporations Act 2001 (Commonwealth of Australia) (the “Act”) and does not purport to include the information required of a product disclosure statement, prospectus or other disclosure document under Chapter 6D.2 of the Act. No product disclosure statement, prospectus, disclosure document, offering material or advertisement in relation to the offer of the ADSs has been or will be lodged with the Australian Securities and Investments Commission or the Australian Securities Exchange.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(1) the offer of the ADSs under this prospectus may only be made to persons: (i) to whom it is lawful to offer the ADSs without disclosure to investors under Chapter 6D.2 of the Act under one or more exemptions set out in Section 708 of the Act, and (ii) who are “wholesale clients” as that term is defined in section 761G of the Act, (2) this prospectus may only be made available in Australia to persons as set forth in clause (1) above, and (3) by accepting this offer, the offeree represents that the offeree is such a person as set forth in clause (1) above, and the offeree agrees not to sell or offer for sale any of the ADSs sold to the offeree within 12 months after their issue except as otherwise permitted under the Act.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Malaysia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may not be approved by the securities commission Malaysia, or SC, and this document has not been and will not be registered as a prospectus with the SC under the Malaysian capital markets and services act of 2007, or CMSA. Accordingly, no securities or offer for subscription or purchase of securities or invitation to subscribe for or purchase securities are being made to any person in or from within Malaysia under this document except to persons falling within any of paragraphs 2(g)(i) to (xi) of schedule 5 of the CMSA and distributed only by a holder of a capital markets services license who carries on the business of dealing in securities and subject to the issuer having lodged this prospectus with the SC within seven days from the date of the distribution of this prospectus in Malaysia. The distribution in Malaysia of this document is subject to Malaysian laws. Save as aforementioned, no action has been taken in Malaysia under its securities laws in respect of this document. This document does not constitute and may not be used for the purpose of a public offering or an issue, offer for subscription or purchase, invitation to subscribe for or purchase any securities requiring the approval of the SC or the registration of a prospectus with the SC under the CMSA.</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2001 (2020 Rev Ed)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ADSs are subscribed or purchased under Section 275 of the SFA by a relevant person which is: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(where the trustee is not an accredited investor) whose sole purpose is to hold investments and each beneficiary of the trust is an individual who is an accredited investor,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 institutional investor or to a relevant person defined in Section 275(2) of the SFA, or to any person arising from an offer referred to in Section 275(1A) or Section 276(4)(c)(ii) of the SFA;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no consideration is or will be given for the transfer;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where the transfer is by operation of law;</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Section 276(7) of the SFA; or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specified in Regulation 37A of the Securities and Futures (Offers of Investments) (Securities and Securities-based Derivatives Contracts) Regulations 2018.</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Singapore SFA Product Classification: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 accordance with Section 309B of the SFA, the Company has determined, and hereby notifies all relevant persons (as defined under Section 309A(1) of the SFA), that the ADSs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are prescribed capital markets products (as defined in the Securities and Futures (Capital Market Products) Regulations 2018 of Singapore) and Excluded Investment Products (as defined in MAS Notice SFA 04-N12: Notice on the Sale of Investment Products and MAS Notice FAA-N16: Notice on Recommendations on Investment Products)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People’s Republic of China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China and the ADSs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Hong Kong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ADSs be issued or may be in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Taiwan</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Indonesia</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Vietnam</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Thailand</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Korea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Japan</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New Zealand</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has not been registered, filed with, or approved by any New Zealand regulatory authority under the Financial Markets Conduct Act 2013 (New Zealand) (“FMCA”). This document is not a product disclosure statement under New Zealand law and is not required to, and may not, contain all the information that a product disclosure statement under New Zealand law is required to contain. The Securities are not being offered or sold in New Zealand (or allotted with a view to being offered for sale in New Zealand) other than to a person who is a “wholesale investor” within the meaning of clause 3(2) of Schedule 1 of the FMCA — that is, a person who:</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an “investment business” within the meaning of clause 37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meets the “investment activity criteria” specified in clause 38 of Schedule 1 of the FMCA;</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“large” within the meaning of clause 39 of Schedule 1 of the FMCA; or</w:t>
      </w:r>
    </w:p>
    <w:p>
      <w:pPr>
        <w:pStyle w:val="TextBody"/>
        <w:keepNext w:val="false"/>
        <w:pageBreakBefore w:val="false"/>
        <w:widowControl/>
        <w:pBdr/>
        <w:bidi w:val="0"/>
        <w:spacing w:before="12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a “government agency” within the meaning of clause 40 of Schedule 1 of the FMCA. The Securities are not being offered or sold to retail investors in New Zealand.</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European Economic Area</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units or otherwise making them available to retail investors in the EEA has been prepared and therefore offering or selling the units or otherwise making them available to any retail investor in the EEA may be unlawful under the PRIIPs Regulation.</w:t>
      </w:r>
    </w:p>
    <w:p>
      <w:pPr>
        <w:pStyle w:val="TextBody"/>
        <w:keepNext w:val="true"/>
        <w:pageBreakBefore w:val="false"/>
        <w:widowControl/>
        <w:pBdr/>
        <w:bidi w:val="0"/>
        <w:spacing w:before="2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Notice to Prospective Investors in the Cayman Islands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offer or invitation, whether directly or indirectly, may be made to the public in the Cayman Islands to subscribe for our securities.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5"/>
      <w:bookmarkEnd w:id="25"/>
      <w:r>
        <w:rPr>
          <w:rFonts w:ascii="Times New Roman PS Std;serif" w:hAnsi="Times New Roman PS Std;serif"/>
          <w:b/>
          <w:i w:val="false"/>
          <w:caps w:val="false"/>
          <w:smallCaps w:val="false"/>
          <w:sz w:val="20"/>
        </w:rPr>
        <w:t>EXPENSES RELATED TO THIS OFFERING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stock exchange application and listing fee, all amounts are estimates.</w:t>
      </w:r>
    </w:p>
    <w:tbl>
      <w:tblPr>
        <w:tblW w:w="5083" w:type="dxa"/>
        <w:jc w:val="left"/>
        <w:tblInd w:w="0" w:type="dxa"/>
        <w:tblLayout w:type="fixed"/>
        <w:tblCellMar>
          <w:top w:w="0" w:type="dxa"/>
          <w:left w:w="0" w:type="dxa"/>
          <w:bottom w:w="0" w:type="dxa"/>
          <w:right w:w="0" w:type="dxa"/>
        </w:tblCellMar>
      </w:tblPr>
      <w:tblGrid>
        <w:gridCol w:w="4351"/>
        <w:gridCol w:w="146"/>
        <w:gridCol w:w="586"/>
      </w:tblGrid>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Exchange Application and Listing Fee</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4"/>
      <w:bookmarkEnd w:id="26"/>
      <w:r>
        <w:rPr>
          <w:rFonts w:ascii="Times New Roman PS Std;serif" w:hAnsi="Times New Roman PS Std;serif"/>
          <w:b/>
          <w:i w:val="false"/>
          <w:caps w:val="false"/>
          <w:smallCaps w:val="false"/>
          <w:sz w:val="20"/>
        </w:rPr>
        <w:t>LEGAL MATTERS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Hogan Lovells is representing us with respect to certain legal matters as to the United States federal and New York State law. Carmel, Milazzo &amp; Feil LLP is representing the underwriters with respect to certain legal matters as to the United States federal and New York State law. The validity of the ordinary shares represented by the ADSs offered in this offering and Maples and Calder (Hong Kong) LLP will pass upon other certain legal matters as to Cayman Islands law for us. Resource Law LLC (in alliance with Reed Smith) will pass upon certain legal matters as to Singapore law for us. Hogan Lovells and Carmel, Milazzo &amp; Feil LLP may rely upon Maples and Calder (Hong Kong) LLP with respect to matters governed by Cayman Islands law and Resource Law LLC (in alliance with Reed Smith) with respect to matters governed by the Singapore law.</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
      <w:bookmarkEnd w:id="27"/>
      <w:r>
        <w:rPr>
          <w:rFonts w:ascii="Times New Roman PS Std;serif" w:hAnsi="Times New Roman PS Std;serif"/>
          <w:b/>
          <w:i w:val="false"/>
          <w:caps w:val="false"/>
          <w:smallCaps w:val="false"/>
          <w:sz w:val="20"/>
        </w:rPr>
        <w:t>EXPERTS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2021 and 2022, and for each of the two years in the period ended December 31, 2022, appearing in this prospectus and registration statement have been audited by Marcum Asia CPAs LLP, an independent registered public accounting firm, as set forth in its report thereon appearing elsewhere herein, and are included in reliance upon such report given on the authority of such firm as experts in accounting and auditing.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 of Marcum Asia CPAs LLP is located at 7 Pennsylvania Plaza Suite 830, New York, NY 10001, United States.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2"/>
      <w:bookmarkEnd w:id="28"/>
      <w:r>
        <w:rPr>
          <w:rFonts w:ascii="Times New Roman PS Std;serif" w:hAnsi="Times New Roman PS Std;serif"/>
          <w:b/>
          <w:i w:val="false"/>
          <w:caps w:val="false"/>
          <w:smallCaps w:val="false"/>
          <w:sz w:val="20"/>
        </w:rPr>
        <w:t>WHERE YOU CAN FIND ADDITIONAL INFORMATION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including relevant exhibits, with the SEC under the Securities Act with respect to the underlying Class B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periodic reporting and other information requirements of the Exchange Act as applicable to foreign private issuers. Accordingly, we are required to file reports, including annual reports on Form 20-F, and other information with the SEC. All information filed with the SEC can be obtained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or inspected and copied at the public reference facilities maintained by the SEC at 100 F Street, N.E., Washington, D.C. 20549. You can request copies of documents, upon payment of a duplicating fee, by writing to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
      <w:bookmarkEnd w:id="29"/>
      <w:r>
        <w:rPr>
          <w:rFonts w:ascii="Times New Roman PS Std;serif" w:hAnsi="Times New Roman PS Std;serif"/>
          <w:b/>
          <w:i w:val="false"/>
          <w:caps w:val="false"/>
          <w:smallCaps w:val="false"/>
          <w:sz w:val="20"/>
        </w:rPr>
        <w:t>TRIDENT DIGITAL TECH HOLDINGS LTD</w:t>
        <w:br/>
        <w:t>INDEX TO CONSOLIDATED FINANCIAL STATEMENTS</w:t>
      </w:r>
    </w:p>
    <w:tbl>
      <w:tblPr>
        <w:tblW w:w="10205" w:type="dxa"/>
        <w:jc w:val="left"/>
        <w:tblInd w:w="0" w:type="dxa"/>
        <w:tblLayout w:type="fixed"/>
        <w:tblCellMar>
          <w:top w:w="0" w:type="dxa"/>
          <w:left w:w="0" w:type="dxa"/>
          <w:bottom w:w="0" w:type="dxa"/>
          <w:right w:w="0" w:type="dxa"/>
        </w:tblCellMar>
      </w:tblPr>
      <w:tblGrid>
        <w:gridCol w:w="9185"/>
        <w:gridCol w:w="146"/>
        <w:gridCol w:w="874"/>
      </w:tblGrid>
      <w:tr>
        <w:trPr/>
        <w:tc>
          <w:tcPr>
            <w:tcW w:w="91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FINANCIAL STATEMENTS FOR THE YEARS ENDED DECEMBER 31, 2022 AND 2021</w:t>
            </w:r>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1">
              <w:r>
                <w:rPr>
                  <w:rStyle w:val="InternetLink"/>
                  <w:rFonts w:ascii="Times New Roman PS Std;serif" w:hAnsi="Times New Roman PS Std;serif"/>
                  <w:b w:val="false"/>
                  <w:i w:val="false"/>
                  <w:caps w:val="false"/>
                  <w:smallCaps w:val="false"/>
                  <w:sz w:val="20"/>
                </w:rPr>
                <w:t>REPORT OF INDEPENDENT REGISTERED PUBLIC ACCOUNTING FIRM (PCAOB ID: 5395)</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2">
              <w:r>
                <w:rPr>
                  <w:rStyle w:val="InternetLink"/>
                  <w:rFonts w:ascii="Times New Roman PS Std;serif" w:hAnsi="Times New Roman PS Std;serif"/>
                  <w:b w:val="false"/>
                  <w:i w:val="false"/>
                  <w:caps w:val="false"/>
                  <w:smallCaps w:val="false"/>
                  <w:sz w:val="20"/>
                </w:rPr>
                <w:t>CONSOLIDATED BALANCE SHEETS AS OF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3">
              <w:r>
                <w:rPr>
                  <w:rStyle w:val="InternetLink"/>
                  <w:rFonts w:ascii="Times New Roman PS Std;serif" w:hAnsi="Times New Roman PS Std;serif"/>
                  <w:b w:val="false"/>
                  <w:i w:val="false"/>
                  <w:caps w:val="false"/>
                  <w:smallCaps w:val="false"/>
                  <w:sz w:val="20"/>
                </w:rPr>
                <w:t>CONSOLIDATED STATEMENTS OF OPERATIONS AND COMPREHENSIVE (LOSS)/INCOME FOR THE YEARS ENDED DECEMBER 31, 2022 AND 2021</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4">
              <w:r>
                <w:rPr>
                  <w:rStyle w:val="InternetLink"/>
                  <w:rFonts w:ascii="Times New Roman PS Std;serif" w:hAnsi="Times New Roman PS Std;serif"/>
                  <w:b w:val="false"/>
                  <w:i w:val="false"/>
                  <w:caps w:val="false"/>
                  <w:smallCaps w:val="false"/>
                  <w:sz w:val="20"/>
                </w:rPr>
                <w:t>CONSOLIDATED STATEMENTS OF CHANGES IN EQUITY/(DEFICIT) FOR THE YEARS ENDED DECEMBER 31, 2022 AND 2021</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705">
              <w:r>
                <w:rPr>
                  <w:rStyle w:val="InternetLink"/>
                  <w:rFonts w:ascii="Times New Roman PS Std;serif" w:hAnsi="Times New Roman PS Std;serif"/>
                  <w:b w:val="false"/>
                  <w:i w:val="false"/>
                  <w:caps w:val="false"/>
                  <w:smallCaps w:val="false"/>
                  <w:sz w:val="20"/>
                </w:rPr>
                <w:t>CONSOLIDATED STATEMENTS OF CASH FLOWS FOR THE YEARS ENDED DECEMBER 31, 2022 AND 2021</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706">
              <w:r>
                <w:rPr>
                  <w:rStyle w:val="InternetLink"/>
                  <w:rFonts w:ascii="Times New Roman PS Std;serif" w:hAnsi="Times New Roman PS Std;serif"/>
                  <w:b w:val="false"/>
                  <w:i w:val="false"/>
                  <w:caps w:val="false"/>
                  <w:smallCaps w:val="false"/>
                  <w:sz w:val="20"/>
                </w:rPr>
                <w:t>NOTES TO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91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r>
      <w:tr>
        <w:trPr/>
        <w:tc>
          <w:tcPr>
            <w:tcW w:w="91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PAGE(S)</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2">
              <w:r>
                <w:rPr>
                  <w:rStyle w:val="InternetLink"/>
                  <w:rFonts w:ascii="Times New Roman PS Std;serif" w:hAnsi="Times New Roman PS Std;serif"/>
                  <w:b w:val="false"/>
                  <w:i w:val="false"/>
                  <w:caps w:val="false"/>
                  <w:smallCaps w:val="false"/>
                  <w:sz w:val="20"/>
                </w:rPr>
                <w:t>UNAUDITED CONDENSED CONSOLIDATED BALANCE SHEETS AS OF JUNE 30, 2023 AND DECEMBER 31, 2022</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F-23</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5003">
              <w:r>
                <w:rPr>
                  <w:rStyle w:val="InternetLink"/>
                  <w:rFonts w:ascii="Times New Roman PS Std;serif" w:hAnsi="Times New Roman PS Std;serif"/>
                  <w:b w:val="false"/>
                  <w:i w:val="false"/>
                  <w:caps w:val="false"/>
                  <w:smallCaps w:val="false"/>
                  <w:sz w:val="20"/>
                </w:rPr>
                <w:t>UNAUDITED CONDENSED CONSOLIDATED STATEMENTS OF OPERATIONS AND COMPREHENSIVE (LOSS)/INCOME FOR THE SIX MONTHS ENDED JUNE 30, 2023 AND 2022</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F-24</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4">
              <w:r>
                <w:rPr>
                  <w:rStyle w:val="InternetLink"/>
                  <w:rFonts w:ascii="Times New Roman PS Std;serif" w:hAnsi="Times New Roman PS Std;serif"/>
                  <w:b w:val="false"/>
                  <w:i w:val="false"/>
                  <w:caps w:val="false"/>
                  <w:smallCaps w:val="false"/>
                  <w:sz w:val="20"/>
                </w:rPr>
                <w:t>UNAUDITED CONDENSED CONSOLIDATED STATEMENTS OF CHANGES IN EQUITY/(DEFICIT) FOR THE SIX MONTHS ENDED JUNE 30, 2023 AND 2022</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185" w:type="dxa"/>
            <w:tcBorders/>
            <w:vAlign w:val="bottom"/>
          </w:tcPr>
          <w:p>
            <w:pPr>
              <w:pStyle w:val="TableContents"/>
              <w:keepNext w:val="false"/>
              <w:widowControl/>
              <w:pBdr/>
              <w:bidi w:val="0"/>
              <w:spacing w:before="0" w:after="283"/>
              <w:ind w:left="200" w:right="0" w:hanging="200"/>
              <w:jc w:val="left"/>
              <w:rPr/>
            </w:pPr>
            <w:hyperlink w:anchor="T5005">
              <w:r>
                <w:rPr>
                  <w:rStyle w:val="InternetLink"/>
                  <w:rFonts w:ascii="Times New Roman PS Std;serif" w:hAnsi="Times New Roman PS Std;serif"/>
                  <w:b w:val="false"/>
                  <w:i w:val="false"/>
                  <w:caps w:val="false"/>
                  <w:smallCaps w:val="false"/>
                  <w:sz w:val="20"/>
                </w:rPr>
                <w:t>UNAUDITED CONDENSED CONSOLIDATED STATEMENTS OF CASH FLOWS FOR THE SIX MONTHS ENDED JUNE 30, 2023 AND 2022</w:t>
              </w:r>
            </w:hyperlink>
          </w:p>
        </w:tc>
        <w:tc>
          <w:tcPr>
            <w:tcW w:w="146" w:type="dxa"/>
            <w:tcBorders/>
            <w:vAlign w:val="bottom"/>
          </w:tcPr>
          <w:p>
            <w:pPr>
              <w:pStyle w:val="TableContents"/>
              <w:bidi w:val="0"/>
              <w:spacing w:before="0" w:after="283"/>
              <w:jc w:val="left"/>
              <w:rPr/>
            </w:pPr>
            <w:r>
              <w:rPr/>
              <w:t> </w:t>
            </w:r>
          </w:p>
        </w:tc>
        <w:tc>
          <w:tcPr>
            <w:tcW w:w="87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185" w:type="dxa"/>
            <w:tcBorders/>
            <w:shd w:fill="CCEEFF" w:val="clear"/>
            <w:vAlign w:val="bottom"/>
          </w:tcPr>
          <w:p>
            <w:pPr>
              <w:pStyle w:val="TableContents"/>
              <w:keepNext w:val="false"/>
              <w:widowControl/>
              <w:pBdr/>
              <w:bidi w:val="0"/>
              <w:spacing w:before="0" w:after="283"/>
              <w:ind w:left="200" w:right="0" w:hanging="200"/>
              <w:jc w:val="left"/>
              <w:rPr/>
            </w:pPr>
            <w:hyperlink w:anchor="T5006">
              <w:r>
                <w:rPr>
                  <w:rStyle w:val="InternetLink"/>
                  <w:rFonts w:ascii="Times New Roman PS Std;serif" w:hAnsi="Times New Roman PS Std;serif"/>
                  <w:b w:val="false"/>
                  <w:i w:val="false"/>
                  <w:caps w:val="false"/>
                  <w:smallCaps w:val="false"/>
                  <w:sz w:val="20"/>
                </w:rPr>
                <w:t>NOTES TO UNAUDITED CONDENSED CONSOLIDATED FINANCIAL STATEMENTS</w:t>
              </w:r>
            </w:hyperlink>
          </w:p>
        </w:tc>
        <w:tc>
          <w:tcPr>
            <w:tcW w:w="146"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1"/>
      <w:bookmarkEnd w:id="30"/>
      <w:r>
        <w:rPr>
          <w:rFonts w:ascii="Times New Roman PS Std;serif" w:hAnsi="Times New Roman PS Std;serif"/>
          <w:b/>
          <w:i w:val="false"/>
          <w:caps w:val="false"/>
          <w:smallCaps w:val="false"/>
          <w:sz w:val="20"/>
        </w:rPr>
        <w:t>REPORT OF INDEPENDENT REGISTERED PUBLIC ACCOUNTING FIRM</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 Trident Digital Tech Holdings Ltd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Trident Digital Tech Holdings Ltd (the “Company”) as of December 31, 2022 and 2021, the related consolidated statements of operations and comprehensive (loss)/income, changes in equity/(deficit)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PS Std;serif" w:hAnsi="Times New Roman PS Std;serif"/>
          <w:b/>
          <w:i w:val="false"/>
          <w:caps w:val="false"/>
          <w:smallCaps w:val="false"/>
          <w:sz w:val="20"/>
        </w:rPr>
        <w:t>s</w:t>
      </w:r>
      <w:r>
        <w:rPr>
          <w:rFonts w:ascii="Times New Roman PS Std;serif" w:hAnsi="Times New Roman PS Std;serif"/>
          <w:b w:val="false"/>
          <w:i w:val="false"/>
          <w:caps w:val="false"/>
          <w:smallCaps w:val="false"/>
          <w:sz w:val="20"/>
        </w:rPr>
        <w:t xml:space="preserve">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Marcum Asia CPAs LLP</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2023.</w:t>
      </w:r>
    </w:p>
    <w:p>
      <w:pPr>
        <w:pStyle w:val="TextBody"/>
        <w:keepNext w:val="fals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Beijing, China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2"/>
      <w:bookmarkEnd w:id="31"/>
      <w:r>
        <w:rPr>
          <w:rFonts w:ascii="Times New Roman PS Std;serif" w:hAnsi="Times New Roman PS Std;serif"/>
          <w:b/>
          <w:i w:val="false"/>
          <w:caps w:val="false"/>
          <w:smallCaps w:val="false"/>
          <w:sz w:val="20"/>
        </w:rPr>
        <w:t>TRIDENT DIGITAL TECH HOLDINGS LTD</w:t>
        <w:br/>
        <w:t>CONSOLIDATED BALANCE SHEETS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727"/>
        <w:gridCol w:w="146"/>
        <w:gridCol w:w="241"/>
        <w:gridCol w:w="1291"/>
        <w:gridCol w:w="196"/>
        <w:gridCol w:w="146"/>
        <w:gridCol w:w="241"/>
        <w:gridCol w:w="991"/>
        <w:gridCol w:w="226"/>
      </w:tblGrid>
      <w:tr>
        <w:trPr/>
        <w:tc>
          <w:tcPr>
            <w:tcW w:w="672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3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422,242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84,209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24,215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424,656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34,340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12,336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46,676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471,332</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December 31, 2022 and 2021, respectively; 4,000,000,000 Class B ordinary shares authorized, 360,205,000 and 360,205,000 Class B ordinary shares issued and outstanding as of December 31, 2022 and 2021, respectively.)*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(deficit)/earnings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35,349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7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506,451</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3"/>
      <w:bookmarkEnd w:id="32"/>
      <w:r>
        <w:rPr>
          <w:rFonts w:ascii="Times New Roman PS Std;serif" w:hAnsi="Times New Roman PS Std;serif"/>
          <w:b/>
          <w:i w:val="false"/>
          <w:caps w:val="false"/>
          <w:smallCaps w:val="false"/>
          <w:sz w:val="20"/>
        </w:rPr>
        <w:t>TRIDENT DIGITAL TECH HOLDINGS LTD</w:t>
        <w:br/>
        <w:t>CONSOLIDATED STATEMENTS OF OPERATIONS AND COMPREHENSIVE (LOSS)/INCOME</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1,262,899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657,092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(1,000,689</w:t>
            </w:r>
          </w:p>
        </w:tc>
        <w:tc>
          <w:tcPr>
            <w:tcW w:w="19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(456,645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262,210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200,447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u w:val="single"/>
              </w:rPr>
            </w:pPr>
            <w:r>
              <w:rPr>
                <w:caps w:val="false"/>
                <w:smallCaps w:val="false"/>
                <w:u w:val="singl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(241,344</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(123,533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(989,774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(174,377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(287,578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(1,518,696</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(297,910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131,790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155,475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(1,129,489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(loss)/income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(1,166,971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29,661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4"/>
      <w:bookmarkEnd w:id="33"/>
      <w:r>
        <w:rPr>
          <w:rFonts w:ascii="Times New Roman PS Std;serif" w:hAnsi="Times New Roman PS Std;serif"/>
          <w:b/>
          <w:i w:val="false"/>
          <w:caps w:val="false"/>
          <w:smallCaps w:val="false"/>
          <w:sz w:val="20"/>
        </w:rPr>
        <w:t>TRIDENT DIGITAL TECH HOLDINGS LTD</w:t>
        <w:br/>
        <w:t>CONSOLIDATED STATEMENTS OF CHANGES IN EQUITY/(DEFICIT)</w:t>
        <w:br/>
        <w:t>(In U.S. dollars, except for share and per share data, or otherwise noted)</w:t>
      </w:r>
    </w:p>
    <w:tbl>
      <w:tblPr>
        <w:tblW w:w="12490" w:type="dxa"/>
        <w:jc w:val="left"/>
        <w:tblInd w:w="0" w:type="dxa"/>
        <w:tblLayout w:type="fixed"/>
        <w:tblCellMar>
          <w:top w:w="0" w:type="dxa"/>
          <w:left w:w="0" w:type="dxa"/>
          <w:bottom w:w="0" w:type="dxa"/>
          <w:right w:w="0" w:type="dxa"/>
        </w:tblCellMar>
      </w:tblPr>
      <w:tblGrid>
        <w:gridCol w:w="1526"/>
        <w:gridCol w:w="146"/>
        <w:gridCol w:w="1471"/>
        <w:gridCol w:w="146"/>
        <w:gridCol w:w="241"/>
        <w:gridCol w:w="721"/>
        <w:gridCol w:w="146"/>
        <w:gridCol w:w="1136"/>
        <w:gridCol w:w="275"/>
        <w:gridCol w:w="146"/>
        <w:gridCol w:w="253"/>
        <w:gridCol w:w="903"/>
        <w:gridCol w:w="146"/>
        <w:gridCol w:w="241"/>
        <w:gridCol w:w="1291"/>
        <w:gridCol w:w="196"/>
        <w:gridCol w:w="146"/>
        <w:gridCol w:w="251"/>
        <w:gridCol w:w="985"/>
        <w:gridCol w:w="205"/>
        <w:gridCol w:w="146"/>
        <w:gridCol w:w="241"/>
        <w:gridCol w:w="1291"/>
        <w:gridCol w:w="241"/>
      </w:tblGrid>
      <w:tr>
        <w:trPr/>
        <w:tc>
          <w:tcPr>
            <w:tcW w:w="1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7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Ordinary share</w:t>
            </w:r>
          </w:p>
        </w:tc>
        <w:tc>
          <w:tcPr>
            <w:tcW w:w="146" w:type="dxa"/>
            <w:tcBorders/>
            <w:vAlign w:val="bottom"/>
          </w:tcPr>
          <w:p>
            <w:pPr>
              <w:pStyle w:val="TableContents"/>
              <w:bidi w:val="0"/>
              <w:spacing w:before="0" w:after="283"/>
              <w:jc w:val="left"/>
              <w:rPr/>
            </w:pPr>
            <w:r>
              <w:rPr/>
              <w:t> </w:t>
            </w:r>
          </w:p>
        </w:tc>
        <w:tc>
          <w:tcPr>
            <w:tcW w:w="141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15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earnings/</w:t>
              <w:br/>
              <w:t>(deficit)</w:t>
            </w:r>
          </w:p>
        </w:tc>
        <w:tc>
          <w:tcPr>
            <w:tcW w:w="146" w:type="dxa"/>
            <w:vMerge w:val="restart"/>
            <w:tcBorders/>
            <w:vAlign w:val="bottom"/>
          </w:tcPr>
          <w:p>
            <w:pPr>
              <w:pStyle w:val="TableContents"/>
              <w:bidi w:val="0"/>
              <w:spacing w:before="0" w:after="283"/>
              <w:jc w:val="left"/>
              <w:rPr/>
            </w:pPr>
            <w:r>
              <w:rPr/>
              <w:t> </w:t>
            </w:r>
          </w:p>
        </w:tc>
        <w:tc>
          <w:tcPr>
            <w:tcW w:w="144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other loss</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Company’s </w:t>
              <w:br/>
              <w:t>equity/(deficit)</w:t>
            </w:r>
          </w:p>
        </w:tc>
      </w:tr>
      <w:tr>
        <w:trPr/>
        <w:tc>
          <w:tcPr>
            <w:tcW w:w="1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w:t>
            </w:r>
          </w:p>
        </w:tc>
        <w:tc>
          <w:tcPr>
            <w:tcW w:w="146"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1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5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2020</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5,458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2021</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35,349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(306</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35,119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32,164</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8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0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(37,482</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2022</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410,205,000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4,102</w:t>
            </w:r>
          </w:p>
        </w:tc>
        <w:tc>
          <w:tcPr>
            <w:tcW w:w="146" w:type="dxa"/>
            <w:tcBorders/>
            <w:shd w:fill="CCEEFF" w:val="clear"/>
            <w:vAlign w:val="bottom"/>
          </w:tcPr>
          <w:p>
            <w:pPr>
              <w:pStyle w:val="TableContents"/>
              <w:bidi w:val="0"/>
              <w:spacing w:before="0" w:after="283"/>
              <w:jc w:val="left"/>
              <w:rPr/>
            </w:pPr>
            <w:r>
              <w:rPr/>
              <w:t> </w:t>
            </w:r>
          </w:p>
        </w:tc>
        <w:tc>
          <w:tcPr>
            <w:tcW w:w="11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7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w:t>
            </w:r>
          </w:p>
        </w:tc>
        <w:tc>
          <w:tcPr>
            <w:tcW w:w="9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32,240</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(1,323,341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(37,788</w:t>
            </w:r>
          </w:p>
        </w:tc>
        <w:tc>
          <w:tcPr>
            <w:tcW w:w="2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705"/>
      <w:bookmarkEnd w:id="34"/>
      <w:r>
        <w:rPr>
          <w:rFonts w:ascii="Times New Roman PS Std;serif" w:hAnsi="Times New Roman PS Std;serif"/>
          <w:b/>
          <w:i w:val="false"/>
          <w:caps w:val="false"/>
          <w:smallCaps w:val="false"/>
          <w:sz w:val="20"/>
        </w:rPr>
        <w:t>TRIDENT DIGITAL TECH HOLDINGS LTD</w:t>
        <w:br/>
        <w:t>CONSOLIDATED STATEMENTS OF CASH FLOWS</w:t>
        <w:br/>
        <w:t>(In U.S. dollars, except for share and per share data, or otherwise noted)</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(1,129,489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29,967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16,867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Amortisation of right-of-use asset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101,099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benefit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assets and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71,232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(111,981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166,358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51,491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461,128</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192,935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(28,108</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249,052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(609,946</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244,100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(73,885</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(53,313</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a shareholder</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652,789</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48,370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(79,067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748,533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(239,357</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1,378,257</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66,030</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(22,754</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cash</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671,672</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255,956</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17,637</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taxes paid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48,978</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17,813</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1,561,203</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42,510</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706"/>
      <w:bookmarkEnd w:id="35"/>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law of Cayman Islands as an exempted company with limited liability on June 12,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Quality Zone Technologies Pte. Ltd. (“QZT”), was incorporated on December 3, 2014 in Singapore. It is engaged in providing branding &amp; marketing consulting service, IT customization development service and CRM product sale.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(“Trident”) was incorporated on May 10, 2022 in Singapore. It has not started business as of December 31, 2022.</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anticipation of an initial public offering (“IPO”) of its equity securities, the Company undertook a reorganization (the “Reorganization”), which involved in following steps: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3, 2023, the Company acquired 100% of the equity interests in QZT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2023, QZT acquired 100% of the equity interests in Trident from its original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on July 4, 2023, the Company became the ultimate holding company of QZT and Trident, which were all controlled by the same shareholder before and after the Reorganization.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consolidation of the Company and its subsidiaries has been accounted for at historical cost and prepared on the basis as if the Reorganization had become effective as of the beginning of the first period presented in the accompanying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 and expenses during the reported periods in the consolidated financial statements and accompanying notes. Significant accounting estimates include, but not limited to, the allowance for receivable, the recoverability of long-lived assets and accounting for deferred income taxes and valuation allowance for deferred tax assets. Changes in facts and circumstances may result in revised estimates. Actual results could differ from those estimates, and as such, differences may be material to the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Cash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 of cash in bank and cash on hand. The Group’s demand deposits are held at financial institutions, which have original maturities of less than three months and are unrestricted as to withdrawal and use.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recognized in the period when the Group has rendered services to its customers and when its right to consideration is unconditional. The amounts due are stated at their net estimated realizable value. The Group reviews the accounts receivable on a periodic basis and makes general and specific allowances when there is doubt as to the collectability of individual balances. The Group considers factors in assessing the collectability of its receivables, such as historical bad debts, changes in customers’ payment patterns, credit-worthiness and financial condition of the customers, current economic trends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December 31,2022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tbl>
      <w:tblPr>
        <w:tblW w:w="5548" w:type="dxa"/>
        <w:jc w:val="left"/>
        <w:tblInd w:w="0" w:type="dxa"/>
        <w:tblLayout w:type="fixed"/>
        <w:tblCellMar>
          <w:top w:w="0" w:type="dxa"/>
          <w:left w:w="0" w:type="dxa"/>
          <w:bottom w:w="0" w:type="dxa"/>
          <w:right w:w="0" w:type="dxa"/>
        </w:tblCellMar>
      </w:tblPr>
      <w:tblGrid>
        <w:gridCol w:w="3001"/>
        <w:gridCol w:w="146"/>
        <w:gridCol w:w="2401"/>
      </w:tblGrid>
      <w:tr>
        <w:trPr/>
        <w:tc>
          <w:tcPr>
            <w:tcW w:w="30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Category</w:t>
            </w:r>
          </w:p>
        </w:tc>
        <w:tc>
          <w:tcPr>
            <w:tcW w:w="146" w:type="dxa"/>
            <w:tcBorders/>
            <w:vAlign w:val="bottom"/>
          </w:tcPr>
          <w:p>
            <w:pPr>
              <w:pStyle w:val="TableContents"/>
              <w:bidi w:val="0"/>
              <w:spacing w:before="0" w:after="283"/>
              <w:jc w:val="left"/>
              <w:rPr/>
            </w:pPr>
            <w:r>
              <w:rPr/>
              <w:t> </w:t>
            </w:r>
          </w:p>
        </w:tc>
        <w:tc>
          <w:tcPr>
            <w:tcW w:w="24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Estimated useful lives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00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tcPr>
          <w:p>
            <w:pPr>
              <w:pStyle w:val="TableContents"/>
              <w:bidi w:val="0"/>
              <w:spacing w:before="0" w:after="283"/>
              <w:jc w:val="left"/>
              <w:rPr/>
            </w:pPr>
            <w:r>
              <w:rPr/>
              <w:t> </w:t>
            </w:r>
          </w:p>
        </w:tc>
        <w:tc>
          <w:tcPr>
            <w:tcW w:w="24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r>
        <w:trPr/>
        <w:tc>
          <w:tcPr>
            <w:tcW w:w="300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tcPr>
          <w:p>
            <w:pPr>
              <w:pStyle w:val="TableContents"/>
              <w:bidi w:val="0"/>
              <w:spacing w:before="0" w:after="283"/>
              <w:jc w:val="left"/>
              <w:rPr/>
            </w:pPr>
            <w:r>
              <w:rPr/>
              <w:t> </w:t>
            </w:r>
          </w:p>
        </w:tc>
        <w:tc>
          <w:tcPr>
            <w:tcW w:w="2401"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Repair and maintenance costs are charged to expenses as incurred, whereas the cost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Operating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adopted ASC 842 on January 1,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Topic 842 resulted in the presentation of operating lease right-of-use (“ROU”) assets and operating lease liabilities on the consolidated balance sheet.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The Group recognizes lease expense for short-term leases on a straight-line basis over the lease term.</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Right-of-use assets represent the Group’s right to use an underlying asset for the lease term and lease liabilities represent the Group’s obligation to make lease payments arising from the lease. Right-of-use assets and lease liabilities are recognized at the commencement date based on the present value of the remaining future minimum lease payments. As the interest rate implicit in the Group’s leases is not readily determinable, the Group utilizes its incremental borrowing rate, determined by class of underlying asset, to discount the lease payments. The operating lease right-of-use assets also include lease payments made before commencement and exclude lease incentives.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Group’s lease agreements contained renewal options; however, the Group did not recognize right-of-use assets or lease liabilities for renewal periods unless it was determined that the Group was reasonably certain of renewing the lease at inception or when a triggering event occurred. Lease expense for lease payments is recognized on a straight-line basis over the lease term. The Group’s lease agreements did not contain any material residual value guarantees or material restrictive covenants.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leases offices space under non-cancellable operating leases. The Group considers those renewal or termination options that are reasonably certain to be exercised in the determination of the lease term and initial measurement of right of use assets and lease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whether a contract is or contains a lease at inception of the contract and whether that lease meets the classification criteria of a finance or operating lease.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Group had no long-term leases that were classified as a financing lease, and the Group’s lease contracts only contain fixed lease payments and do not contain any residual value guarantee.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contain any material residual value guarantees or material restrictive covenants.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Impairment of long-lived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impairment of long-lived assets was recognized for the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    Fair value measurement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of the Group primarily consist of cash, accounts receivable, advance to suppliers, amounts due from related parties, prepaid expenses and other current assets, accounts payable, borrowings, amounts due to related parties, accrued expenses and other current liabilities. The carrying amounts of the Group’s financial instruments, including cash, accounts receivable, accounts payable, borrowings, amounts due to related parties, other payables, approximate their fair values because of their short-term nature.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IT consulting service which is interrelated as one promise to develop customized software solutions.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years ended December 31, 2022 and 2021:</w:t>
      </w:r>
    </w:p>
    <w:tbl>
      <w:tblPr>
        <w:tblW w:w="6162" w:type="dxa"/>
        <w:jc w:val="left"/>
        <w:tblInd w:w="0" w:type="dxa"/>
        <w:tblLayout w:type="fixed"/>
        <w:tblCellMar>
          <w:top w:w="0" w:type="dxa"/>
          <w:left w:w="0" w:type="dxa"/>
          <w:bottom w:w="0" w:type="dxa"/>
          <w:right w:w="0" w:type="dxa"/>
        </w:tblCellMar>
      </w:tblPr>
      <w:tblGrid>
        <w:gridCol w:w="3151"/>
        <w:gridCol w:w="146"/>
        <w:gridCol w:w="241"/>
        <w:gridCol w:w="1201"/>
        <w:gridCol w:w="146"/>
        <w:gridCol w:w="241"/>
        <w:gridCol w:w="1036"/>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629,434</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260,455</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633,465</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396,637</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522,013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396,637</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111,452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1,262,899</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657,092</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as a contract asset and amortized to cost in a pattern that matches the timing of the revenue recognition of the related contract. The Group’s contract assets were $268,509, nil and nil as of December 31, 2022, 2021 and January 1,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each reporting period. The Group’s deferred revenue was $192,935 and nil as of January 1, 2022 and 2021, respectively. The revenue recognized for the year end December 31, 2022 and 2021 that was included in the contract liability balance at the beginning of the period were $173,852 and nil,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     Costs of revenue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mainly comprised of direct labor costs, service fee paid to service suppliers, commission cost and generic cost.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December 31, 2022 and 2021. Thus, management decided to record all of the valuation allowance. Valuation allowance amounted to $238,081 and $30,974 as of December 31, 2022 and 2021, respectively. While the Group consider the facts above, our projections of future income qualified tax-planning strategies may be changed due to the macroeconomic conditions and our business development. The deferred tax assets could be utilized in the future years if we make profits in the future, the valuation allowance shall be reversed.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accrue any liability, interest or penalties related to uncertain tax positions in its provision for income taxes line of its consolidated statements of income for the years ended December 31, 2022 and 2021, respectively. The Company will recognize interest and penalties, if any, related to unrecognized tax benefits on the income tax expense line in the accompanying consolidated statement of operations. Accrued interest and penalties will be included on the related tax liability line in the consolidated balance sheet.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expect that its assessment regarding unrecognized tax positions will materially change over the next 12 months.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     Goods and services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products and services sold in the Singapore are subject to a goods and services tax (“GST”). The products and services sold to the customers outside of Singapore are not subject to a GST. GST taxes are presented as a reduction of revenue. The GST are based on gross sales price. GST rate is generally 7% in Singapore. Entities that are GST general taxpayers are allowed to offset qualified input GST paid to suppliers against their output GST liabilities. Net GST balance between input GST and output GST is recorded in tax payable.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   Employee benefits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full-time employees of the Group are entitled to the government mandated defined contribution plan. The Group is required to accrue and pay for these benefits based on certain percentages of the employees’ respective salaries, subject to certain ceilings, in accordance with the relevant government regulations, and make cash contributions to the government mandated defined contribution plan. Total expenses for the plans were $78,445 and $38,526 for the years ended December 31, 2022 and 2021, respectively.</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091" w:type="dxa"/>
        <w:jc w:val="left"/>
        <w:tblInd w:w="0" w:type="dxa"/>
        <w:tblLayout w:type="fixed"/>
        <w:tblCellMar>
          <w:top w:w="0" w:type="dxa"/>
          <w:left w:w="0" w:type="dxa"/>
          <w:bottom w:w="0" w:type="dxa"/>
          <w:right w:w="0" w:type="dxa"/>
        </w:tblCellMar>
      </w:tblPr>
      <w:tblGrid>
        <w:gridCol w:w="4831"/>
        <w:gridCol w:w="146"/>
        <w:gridCol w:w="940"/>
        <w:gridCol w:w="179"/>
        <w:gridCol w:w="995"/>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79"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c>
          <w:tcPr>
            <w:tcW w:w="179"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1.3520</w:t>
            </w:r>
          </w:p>
        </w:tc>
      </w:tr>
    </w:tbl>
    <w:tbl>
      <w:tblPr>
        <w:tblW w:w="10205" w:type="dxa"/>
        <w:jc w:val="left"/>
        <w:tblInd w:w="0" w:type="dxa"/>
        <w:tblLayout w:type="fixed"/>
        <w:tblCellMar>
          <w:top w:w="0" w:type="dxa"/>
          <w:left w:w="0" w:type="dxa"/>
          <w:bottom w:w="0" w:type="dxa"/>
          <w:right w:w="0" w:type="dxa"/>
        </w:tblCellMar>
      </w:tblPr>
      <w:tblGrid>
        <w:gridCol w:w="7876"/>
        <w:gridCol w:w="146"/>
        <w:gridCol w:w="970"/>
        <w:gridCol w:w="184"/>
        <w:gridCol w:w="1029"/>
      </w:tblGrid>
      <w:tr>
        <w:trPr/>
        <w:tc>
          <w:tcPr>
            <w:tcW w:w="7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7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84" w:type="dxa"/>
            <w:tcBorders/>
            <w:vAlign w:val="bottom"/>
          </w:tcPr>
          <w:p>
            <w:pPr>
              <w:pStyle w:val="TableContents"/>
              <w:bidi w:val="0"/>
              <w:spacing w:before="0" w:after="283"/>
              <w:jc w:val="left"/>
              <w:rPr/>
            </w:pPr>
            <w:r>
              <w:rPr/>
              <w:t> </w:t>
            </w:r>
          </w:p>
        </w:tc>
        <w:tc>
          <w:tcPr>
            <w:tcW w:w="10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7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in the statements of income and comprehensive income, and statements of cash flows</w:t>
            </w:r>
          </w:p>
        </w:tc>
        <w:tc>
          <w:tcPr>
            <w:tcW w:w="146"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1.3787</w:t>
            </w:r>
          </w:p>
        </w:tc>
        <w:tc>
          <w:tcPr>
            <w:tcW w:w="184"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Comprehensive income consists of two components, net income and other comprehensive income. The foreign currency translation gain or loss resulting from translation of the financial statements expressed in SGD to USD is reported in other comprehensive income in the consolidated statements of income and comprehensive income.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    Loss/income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loss/income per share is computed by dividing net loss/income attributable to ordinary shareholders, taking into consideration the deemed dividends to preferred shareholders (if any), by the weighted average number of ordinary shares outstanding during the year using the two-class method. Under the two-class method, net loss/income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loss/income per share as of the date that all necessary conditions have been satisfied. Net loss/income are not allocated to other participating securities if based on their contractual terms they are not obligated to share the losses.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loss/income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are not included in the denominator of the diluted loss per share calculation when inclusion of such share would be anti-dilutive. There were no dilutive ordinary share equivalents outstanding during the fiscal years ended December 31, 2022 and 2021.</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the management approach in determining its operating segments. The Group’s chief operating decision maker (“CODM”) identified as the Group’s Chief Executive Officer, relies upon the consolidated results of operations as a whole when making decisions about allocating resources and assessing the performance of the Group. As a result of the assessment made by CODM, the Group has only one reportable segment. The Group does not distinguish between markets or segments for the purpose of internal reporting. As all of the Group’s revenues were generated from customers in SG and all of the Group’s long-lived assets are located in the SG, no geographical segments are presented.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The Group does not opt out of extended transition period for complying with any new or revised financial accounting standards. Therefore, the Group’s financial statements may not be comparable to companies that comply with public company effective dates.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2016, the FASB issued ASU No. 2016-13, “Financial Instruments — Credit Losses (Topic 326)”, which will require the measurement of all expected credit losses for financial assets held at the reporting date based on historical experience, current conditions, and reasonable and supportable forecasts. Subsequently,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issued ASU No. 2018-19, Codification Improvements to Topic 326, to clarify that receivables arising from operating leases are within the scope of lease accounting standards. Further, the FASB issued ASU No. 2020-04, ASU 2020-05, ASU 2020-10, ASU 2020-11 and ASU 2021-02 to provide additional guidance on the credit losses standard. For all other entities, the amendments for ASU 2016-13 are effective for fiscal years beginning after December 15, 2022, including interim periods within those fiscal years, with early adoption permitted. Adoption of the ASUs is on a modified retrospective basis. The Group will adopt ASU 2016-13 from January 1, 2023. The Group is in the process of evaluating the effect of the adoption of this ASU.</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balance sheets, statements of income and comprehensive income and statements of cash flows.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5697" w:type="dxa"/>
        <w:jc w:val="left"/>
        <w:tblInd w:w="0" w:type="dxa"/>
        <w:tblLayout w:type="fixed"/>
        <w:tblCellMar>
          <w:top w:w="0" w:type="dxa"/>
          <w:left w:w="0" w:type="dxa"/>
          <w:bottom w:w="0" w:type="dxa"/>
          <w:right w:w="0" w:type="dxa"/>
        </w:tblCellMar>
      </w:tblPr>
      <w:tblGrid>
        <w:gridCol w:w="3256"/>
        <w:gridCol w:w="146"/>
        <w:gridCol w:w="226"/>
        <w:gridCol w:w="766"/>
        <w:gridCol w:w="146"/>
        <w:gridCol w:w="226"/>
        <w:gridCol w:w="931"/>
      </w:tblGrid>
      <w:tr>
        <w:trP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118,779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272" w:type="dxa"/>
        <w:jc w:val="left"/>
        <w:tblInd w:w="0" w:type="dxa"/>
        <w:tblLayout w:type="fixed"/>
        <w:tblCellMar>
          <w:top w:w="0" w:type="dxa"/>
          <w:left w:w="0" w:type="dxa"/>
          <w:bottom w:w="0" w:type="dxa"/>
          <w:right w:w="0" w:type="dxa"/>
        </w:tblCellMar>
      </w:tblPr>
      <w:tblGrid>
        <w:gridCol w:w="4831"/>
        <w:gridCol w:w="146"/>
        <w:gridCol w:w="226"/>
        <w:gridCol w:w="886"/>
        <w:gridCol w:w="146"/>
        <w:gridCol w:w="226"/>
        <w:gridCol w:w="811"/>
      </w:tblGrid>
      <w:tr>
        <w:trPr/>
        <w:tc>
          <w:tcPr>
            <w:tcW w:w="48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4,697</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29,870</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377" w:type="dxa"/>
        <w:jc w:val="left"/>
        <w:tblInd w:w="0" w:type="dxa"/>
        <w:tblLayout w:type="fixed"/>
        <w:tblCellMar>
          <w:top w:w="0" w:type="dxa"/>
          <w:left w:w="0" w:type="dxa"/>
          <w:bottom w:w="0" w:type="dxa"/>
          <w:right w:w="0" w:type="dxa"/>
        </w:tblCellMar>
      </w:tblPr>
      <w:tblGrid>
        <w:gridCol w:w="4936"/>
        <w:gridCol w:w="146"/>
        <w:gridCol w:w="226"/>
        <w:gridCol w:w="886"/>
        <w:gridCol w:w="146"/>
        <w:gridCol w:w="226"/>
        <w:gridCol w:w="811"/>
      </w:tblGrid>
      <w:tr>
        <w:trPr/>
        <w:tc>
          <w:tcPr>
            <w:tcW w:w="4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6,858</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52,990</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47,659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AND EQUIPMENT,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$16,867 and $5,363 for the years ended December 31, 2022 and 2021,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years ended December 31, 2022 and 2021.</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7572" w:type="dxa"/>
        <w:jc w:val="left"/>
        <w:tblInd w:w="0" w:type="dxa"/>
        <w:tblLayout w:type="fixed"/>
        <w:tblCellMar>
          <w:top w:w="0" w:type="dxa"/>
          <w:left w:w="0" w:type="dxa"/>
          <w:bottom w:w="0" w:type="dxa"/>
          <w:right w:w="0" w:type="dxa"/>
        </w:tblCellMar>
      </w:tblPr>
      <w:tblGrid>
        <w:gridCol w:w="5131"/>
        <w:gridCol w:w="146"/>
        <w:gridCol w:w="226"/>
        <w:gridCol w:w="886"/>
        <w:gridCol w:w="146"/>
        <w:gridCol w:w="226"/>
        <w:gridCol w:w="811"/>
      </w:tblGrid>
      <w:tr>
        <w:trPr/>
        <w:tc>
          <w:tcPr>
            <w:tcW w:w="5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23,774</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30,904</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54,678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has received $499,990 (reflected as $524,560 at year end due to exchange rate) from Stone Wealth in advance on July 5, 2022 and recognized as equity when the Group complete its reorganization and by issuing 24,795,000 Class B Ordinary Shares on July 4, 2023.</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292" w:type="dxa"/>
        <w:jc w:val="left"/>
        <w:tblInd w:w="0" w:type="dxa"/>
        <w:tblLayout w:type="fixed"/>
        <w:tblCellMar>
          <w:top w:w="0" w:type="dxa"/>
          <w:left w:w="0" w:type="dxa"/>
          <w:bottom w:w="0" w:type="dxa"/>
          <w:right w:w="0" w:type="dxa"/>
        </w:tblCellMar>
      </w:tblPr>
      <w:tblGrid>
        <w:gridCol w:w="5851"/>
        <w:gridCol w:w="146"/>
        <w:gridCol w:w="226"/>
        <w:gridCol w:w="886"/>
        <w:gridCol w:w="146"/>
        <w:gridCol w:w="226"/>
        <w:gridCol w:w="811"/>
      </w:tblGrid>
      <w:tr>
        <w:trPr/>
        <w:tc>
          <w:tcPr>
            <w:tcW w:w="58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151,752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8,335</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153,565</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23,218</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weighted average remaining lease term was 4.53 years and 1.50 years, respectively, and the weighted average discount rate was 5.0% and 2.5% for the Group’s operating leases, respectively.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December 31, 2022:</w:t>
      </w:r>
    </w:p>
    <w:tbl>
      <w:tblPr>
        <w:tblW w:w="5294" w:type="dxa"/>
        <w:jc w:val="left"/>
        <w:tblInd w:w="0" w:type="dxa"/>
        <w:tblLayout w:type="fixed"/>
        <w:tblCellMar>
          <w:top w:w="0" w:type="dxa"/>
          <w:left w:w="0" w:type="dxa"/>
          <w:bottom w:w="0" w:type="dxa"/>
          <w:right w:w="0" w:type="dxa"/>
        </w:tblCellMar>
      </w:tblPr>
      <w:tblGrid>
        <w:gridCol w:w="3676"/>
        <w:gridCol w:w="146"/>
        <w:gridCol w:w="226"/>
        <w:gridCol w:w="1246"/>
      </w:tblGrid>
      <w:tr>
        <w:trPr/>
        <w:tc>
          <w:tcPr>
            <w:tcW w:w="36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 ending December 31,</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345,255</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358,818</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227,798</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1,649,507</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181,521</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1,467,986</w:t>
            </w:r>
          </w:p>
        </w:tc>
      </w:tr>
      <w:tr>
        <w:trPr/>
        <w:tc>
          <w:tcPr>
            <w:tcW w:w="3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r>
      <w:tr>
        <w:trPr/>
        <w:tc>
          <w:tcPr>
            <w:tcW w:w="3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416" w:type="dxa"/>
        <w:jc w:val="left"/>
        <w:tblInd w:w="0" w:type="dxa"/>
        <w:tblLayout w:type="fixed"/>
        <w:tblCellMar>
          <w:top w:w="0" w:type="dxa"/>
          <w:left w:w="0" w:type="dxa"/>
          <w:bottom w:w="0" w:type="dxa"/>
          <w:right w:w="0" w:type="dxa"/>
        </w:tblCellMar>
      </w:tblPr>
      <w:tblGrid>
        <w:gridCol w:w="4006"/>
        <w:gridCol w:w="146"/>
        <w:gridCol w:w="249"/>
        <w:gridCol w:w="712"/>
        <w:gridCol w:w="160"/>
        <w:gridCol w:w="249"/>
        <w:gridCol w:w="894"/>
      </w:tblGrid>
      <w:tr>
        <w:trPr/>
        <w:tc>
          <w:tcPr>
            <w:tcW w:w="40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6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0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60" w:type="dxa"/>
            <w:tcBorders/>
            <w:vAlign w:val="bottom"/>
          </w:tcPr>
          <w:p>
            <w:pPr>
              <w:pStyle w:val="TableContents"/>
              <w:bidi w:val="0"/>
              <w:spacing w:before="0" w:after="283"/>
              <w:jc w:val="left"/>
              <w:rPr/>
            </w:pPr>
            <w:r>
              <w:rPr/>
              <w:t> </w:t>
            </w:r>
          </w:p>
        </w:tc>
        <w:tc>
          <w:tcPr>
            <w:tcW w:w="114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r>
        <w:trPr/>
        <w:tc>
          <w:tcPr>
            <w:tcW w:w="40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(benefit) expenses</w:t>
            </w:r>
          </w:p>
        </w:tc>
        <w:tc>
          <w:tcPr>
            <w:tcW w:w="146"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60" w:type="dxa"/>
            <w:tcBorders/>
            <w:vAlign w:val="bottom"/>
          </w:tcPr>
          <w:p>
            <w:pPr>
              <w:pStyle w:val="TableContents"/>
              <w:bidi w:val="0"/>
              <w:spacing w:before="0" w:after="283"/>
              <w:jc w:val="left"/>
              <w:rPr/>
            </w:pPr>
            <w:r>
              <w:rPr/>
              <w:t> </w:t>
            </w:r>
          </w:p>
        </w:tc>
        <w:tc>
          <w:tcPr>
            <w:tcW w:w="2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0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160" w:type="dxa"/>
            <w:tcBorders/>
            <w:shd w:fill="CCEEFF" w:val="clear"/>
            <w:vAlign w:val="bottom"/>
          </w:tcPr>
          <w:p>
            <w:pPr>
              <w:pStyle w:val="TableContents"/>
              <w:bidi w:val="0"/>
              <w:spacing w:before="0" w:after="283"/>
              <w:jc w:val="left"/>
              <w:rPr/>
            </w:pPr>
            <w:r>
              <w:rPr/>
              <w:t> </w:t>
            </w:r>
          </w:p>
        </w:tc>
        <w:tc>
          <w:tcPr>
            <w:tcW w:w="24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59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841"/>
        <w:gridCol w:w="331"/>
      </w:tblGrid>
      <w:tr>
        <w:trPr/>
        <w:tc>
          <w:tcPr>
            <w:tcW w:w="5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9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9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(1,124,696</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58,012</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(191,198</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9,862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(1,411</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expenses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Singapore tax rebate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(12,967</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4,793</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28,045</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the significant components of the deferred tax assets are summarized below:</w:t>
      </w:r>
    </w:p>
    <w:tbl>
      <w:tblPr>
        <w:tblW w:w="8519"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41"/>
        <w:gridCol w:w="856"/>
        <w:gridCol w:w="241"/>
      </w:tblGrid>
      <w:tr>
        <w:trPr/>
        <w:tc>
          <w:tcPr>
            <w:tcW w:w="5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39,012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(6,214</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(1,824</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(8,038</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5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6748" w:type="dxa"/>
        <w:jc w:val="left"/>
        <w:tblInd w:w="0" w:type="dxa"/>
        <w:tblLayout w:type="fixed"/>
        <w:tblCellMar>
          <w:top w:w="0" w:type="dxa"/>
          <w:left w:w="0" w:type="dxa"/>
          <w:bottom w:w="0" w:type="dxa"/>
          <w:right w:w="0" w:type="dxa"/>
        </w:tblCellMar>
      </w:tblPr>
      <w:tblGrid>
        <w:gridCol w:w="4126"/>
        <w:gridCol w:w="146"/>
        <w:gridCol w:w="226"/>
        <w:gridCol w:w="886"/>
        <w:gridCol w:w="146"/>
        <w:gridCol w:w="226"/>
        <w:gridCol w:w="766"/>
        <w:gridCol w:w="226"/>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76" w:type="dxa"/>
            <w:gridSpan w:val="6"/>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31,163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30,974</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2022 and 2021, the Group did not have any significant unrecognized uncertain tax positions. The Group did not incur interest and penalties tax for the years ended December 31, 2022 and 2021. As of December 31, 2022,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summary of the borrowings is as following:</w:t>
      </w:r>
    </w:p>
    <w:tbl>
      <w:tblPr>
        <w:tblW w:w="13642" w:type="dxa"/>
        <w:jc w:val="left"/>
        <w:tblInd w:w="0" w:type="dxa"/>
        <w:tblLayout w:type="fixed"/>
        <w:tblCellMar>
          <w:top w:w="0" w:type="dxa"/>
          <w:left w:w="0" w:type="dxa"/>
          <w:bottom w:w="0" w:type="dxa"/>
          <w:right w:w="0" w:type="dxa"/>
        </w:tblCellMar>
      </w:tblPr>
      <w:tblGrid>
        <w:gridCol w:w="3496"/>
        <w:gridCol w:w="146"/>
        <w:gridCol w:w="545"/>
        <w:gridCol w:w="281"/>
        <w:gridCol w:w="146"/>
        <w:gridCol w:w="1651"/>
        <w:gridCol w:w="146"/>
        <w:gridCol w:w="1651"/>
        <w:gridCol w:w="146"/>
        <w:gridCol w:w="931"/>
        <w:gridCol w:w="146"/>
        <w:gridCol w:w="901"/>
        <w:gridCol w:w="146"/>
        <w:gridCol w:w="1126"/>
        <w:gridCol w:w="146"/>
        <w:gridCol w:w="781"/>
        <w:gridCol w:w="146"/>
        <w:gridCol w:w="1111"/>
      </w:tblGrid>
      <w:tr>
        <w:trPr/>
        <w:tc>
          <w:tcPr>
            <w:tcW w:w="34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2022</w:t>
            </w:r>
          </w:p>
        </w:tc>
        <w:tc>
          <w:tcPr>
            <w:tcW w:w="146" w:type="dxa"/>
            <w:tcBorders/>
            <w:vAlign w:val="bottom"/>
          </w:tcPr>
          <w:p>
            <w:pPr>
              <w:pStyle w:val="TableContents"/>
              <w:bidi w:val="0"/>
              <w:spacing w:before="0" w:after="283"/>
              <w:jc w:val="left"/>
              <w:rPr/>
            </w:pPr>
            <w:r>
              <w:rPr/>
              <w:t> </w:t>
            </w:r>
          </w:p>
        </w:tc>
        <w:tc>
          <w:tcPr>
            <w:tcW w:w="20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December 31, </w:t>
              <w:br/>
              <w:t>2021</w:t>
            </w:r>
          </w:p>
        </w:tc>
      </w:tr>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 and other financial institution</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 </w:t>
              <w:br/>
              <w:t xml:space="preserve">(current </w:t>
              <w:br/>
              <w:t>portions)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w:t>
              <w:br/>
              <w:t>term</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Long-term </w:t>
              <w:br/>
              <w:t xml:space="preserve">(current </w:t>
              <w:br/>
              <w:t>portions)</w:t>
            </w:r>
          </w:p>
        </w:tc>
      </w:tr>
      <w:tr>
        <w:trPr/>
        <w:tc>
          <w:tcPr>
            <w:tcW w:w="3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2021</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22,189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10,043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4,449</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14,372</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4,304</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OCBC Bank</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4.25</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2021</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25,888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15,094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5,046</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19,968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4,796</w:t>
            </w:r>
          </w:p>
        </w:tc>
      </w:tr>
      <w:tr>
        <w:trPr/>
        <w:tc>
          <w:tcPr>
            <w:tcW w:w="3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UOB Bank</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w:t>
            </w:r>
          </w:p>
        </w:tc>
        <w:tc>
          <w:tcPr>
            <w:tcW w:w="2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2022</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373,023</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256,862</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70,622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Maybank Singapore Limited</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2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2022</w:t>
            </w:r>
          </w:p>
        </w:tc>
        <w:tc>
          <w:tcPr>
            <w:tcW w:w="146" w:type="dxa"/>
            <w:tcBorders/>
            <w:vAlign w:val="bottom"/>
          </w:tcPr>
          <w:p>
            <w:pPr>
              <w:pStyle w:val="TableContents"/>
              <w:bidi w:val="0"/>
              <w:spacing w:before="0" w:after="283"/>
              <w:jc w:val="left"/>
              <w:rPr/>
            </w:pPr>
            <w:r>
              <w:rPr/>
              <w:t> </w:t>
            </w:r>
          </w:p>
        </w:tc>
        <w:tc>
          <w:tcPr>
            <w:tcW w:w="16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298,418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216,573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55,243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719,518</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498,572</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135,360</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34,340</w:t>
            </w:r>
          </w:p>
        </w:tc>
        <w:tc>
          <w:tcPr>
            <w:tcW w:w="146" w:type="dxa"/>
            <w:tcBorders/>
            <w:shd w:fill="CCEEFF" w:val="clear"/>
            <w:vAlign w:val="bottom"/>
          </w:tcPr>
          <w:p>
            <w:pPr>
              <w:pStyle w:val="TableContents"/>
              <w:bidi w:val="0"/>
              <w:spacing w:before="0" w:after="283"/>
              <w:jc w:val="left"/>
              <w:rPr/>
            </w:pPr>
            <w:r>
              <w:rPr/>
              <w:t> </w:t>
            </w:r>
          </w:p>
        </w:tc>
        <w:tc>
          <w:tcPr>
            <w:tcW w:w="11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9,100</w:t>
            </w:r>
          </w:p>
        </w:tc>
      </w:tr>
    </w:tbl>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$17,813 and $745 for the years ended December 31, 2022 and 2021, respectively.</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 Poh Kiong Tan.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December 31, 2022 were as follows:</w:t>
      </w:r>
    </w:p>
    <w:tbl>
      <w:tblPr>
        <w:tblW w:w="2729" w:type="dxa"/>
        <w:jc w:val="left"/>
        <w:tblInd w:w="0" w:type="dxa"/>
        <w:tblLayout w:type="fixed"/>
        <w:tblCellMar>
          <w:top w:w="0" w:type="dxa"/>
          <w:left w:w="0" w:type="dxa"/>
          <w:bottom w:w="0" w:type="dxa"/>
          <w:right w:w="0" w:type="dxa"/>
        </w:tblCellMar>
      </w:tblPr>
      <w:tblGrid>
        <w:gridCol w:w="1426"/>
        <w:gridCol w:w="146"/>
        <w:gridCol w:w="226"/>
        <w:gridCol w:w="931"/>
      </w:tblGrid>
      <w:tr>
        <w:trPr/>
        <w:tc>
          <w:tcPr>
            <w:tcW w:w="14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141,403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147,713</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148,901</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 5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60,555</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633,932</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9177" w:type="dxa"/>
        <w:jc w:val="left"/>
        <w:tblInd w:w="0" w:type="dxa"/>
        <w:tblLayout w:type="fixed"/>
        <w:tblCellMar>
          <w:top w:w="0" w:type="dxa"/>
          <w:left w:w="0" w:type="dxa"/>
          <w:bottom w:w="0" w:type="dxa"/>
          <w:right w:w="0" w:type="dxa"/>
        </w:tblCellMar>
      </w:tblPr>
      <w:tblGrid>
        <w:gridCol w:w="6616"/>
        <w:gridCol w:w="146"/>
        <w:gridCol w:w="226"/>
        <w:gridCol w:w="886"/>
        <w:gridCol w:w="146"/>
        <w:gridCol w:w="226"/>
        <w:gridCol w:w="931"/>
      </w:tblGrid>
      <w:tr>
        <w:trPr/>
        <w:tc>
          <w:tcPr>
            <w:tcW w:w="66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1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r>
          </w:p>
        </w:tc>
      </w:tr>
      <w:tr>
        <w:trPr/>
        <w:tc>
          <w:tcPr>
            <w:tcW w:w="6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75,371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73,888</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Non-refundable service fee from terminated consulting projects(1)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50,047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75,633</w:t>
            </w:r>
          </w:p>
        </w:tc>
      </w:tr>
      <w:tr>
        <w:trPr/>
        <w:tc>
          <w:tcPr>
            <w:tcW w:w="66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6,915</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6,699</w:t>
            </w:r>
          </w:p>
        </w:tc>
      </w:tr>
      <w:tr>
        <w:trPr/>
        <w:tc>
          <w:tcPr>
            <w:tcW w:w="66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136,576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156,220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Pursuant to sales contracts, the Group has the right to terminate the project in the situation of non-payment from customers for up to two or four weeks from the billed invoice due date and no refund will be provided to customers. The Group record the received projects fees as other income when the project has been determined as terminated.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Group record referral fees as other income when other consulting services providers successfully engaged by customer and paid the Group referral fee.</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5862" w:type="dxa"/>
        <w:jc w:val="left"/>
        <w:tblInd w:w="0" w:type="dxa"/>
        <w:tblLayout w:type="fixed"/>
        <w:tblCellMar>
          <w:top w:w="0" w:type="dxa"/>
          <w:left w:w="0" w:type="dxa"/>
          <w:bottom w:w="0" w:type="dxa"/>
          <w:right w:w="0" w:type="dxa"/>
        </w:tblCellMar>
      </w:tblPr>
      <w:tblGrid>
        <w:gridCol w:w="3196"/>
        <w:gridCol w:w="146"/>
        <w:gridCol w:w="241"/>
        <w:gridCol w:w="991"/>
        <w:gridCol w:w="146"/>
        <w:gridCol w:w="241"/>
        <w:gridCol w:w="901"/>
      </w:tblGrid>
      <w:tr>
        <w:trPr/>
        <w:tc>
          <w:tcPr>
            <w:tcW w:w="31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2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0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63,753</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63,753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tbl>
      <w:tblPr>
        <w:tblW w:w="6852" w:type="dxa"/>
        <w:jc w:val="left"/>
        <w:tblInd w:w="0" w:type="dxa"/>
        <w:tblLayout w:type="fixed"/>
        <w:tblCellMar>
          <w:top w:w="0" w:type="dxa"/>
          <w:left w:w="0" w:type="dxa"/>
          <w:bottom w:w="0" w:type="dxa"/>
          <w:right w:w="0" w:type="dxa"/>
        </w:tblCellMar>
      </w:tblPr>
      <w:tblGrid>
        <w:gridCol w:w="4411"/>
        <w:gridCol w:w="146"/>
        <w:gridCol w:w="226"/>
        <w:gridCol w:w="886"/>
        <w:gridCol w:w="146"/>
        <w:gridCol w:w="226"/>
        <w:gridCol w:w="811"/>
      </w:tblGrid>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Related party transactions</w:t>
            </w:r>
          </w:p>
        </w:tc>
        <w:tc>
          <w:tcPr>
            <w:tcW w:w="146" w:type="dxa"/>
            <w:tcBorders/>
            <w:vAlign w:val="bottom"/>
          </w:tcPr>
          <w:p>
            <w:pPr>
              <w:pStyle w:val="TableContents"/>
              <w:bidi w:val="0"/>
              <w:spacing w:before="0" w:after="283"/>
              <w:jc w:val="left"/>
              <w:rPr/>
            </w:pPr>
            <w:r>
              <w:rPr/>
              <w:t> </w:t>
            </w:r>
          </w:p>
        </w:tc>
        <w:tc>
          <w:tcPr>
            <w:tcW w:w="229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December 31,</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14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44,650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87,039</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26,897</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43,376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11"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152,318</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660,043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21,760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year ended December 31, 2022, QZT received contribution from Poh Kiong Tan. The contribution was implemented to reduce the outstanding balance due to Poh Kiong Tan by $36,266.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2022, QZT declared dividend to Soon Huat Lim.</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established as an exempted company under the laws of Cayman Islands on June 12, 2023. The authorized number of Ordinary Shares was 5,000,000,000 with par value of $0.00001 per share, of which, 1,000,000,000 are designated as Class A Ordinary Shares and 4,000,000,000 are designated as Class B Ordinary Shares. The Company issued 410,205,000 shares to the shareholders at par value $0.00001 per share, among which, 50,000,000 Class A ordinary shares and 360,205,000 Class B ordinary shares issued and outstanding as of December 31, 2022 and 2021, respectively. The Company has retroactively restated all shares and per share data for all periods presented.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shareholder vote, each holder of Class A Ordinary Shares will be entitled to sixty votes per one Class A Ordinary Share and each holder of Class B Ordinary Shares will be entitled to one vote per one Class B Ordinary Share. Each Class A Ordinary Share shall be convertible into one fully paid and non-assessable Class B Ordinary Share at the option of the Class A Holder at any time upon written notice to the transfer agent of the Company. In no event shall Class B Ordinary Shares be convertible into Class A Ordinary Shares.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2022 and 2021, subscription receivable on the consolidated balance sheets represented the unrecovered consideration of the nil and 410,205,000 ordinary shares issued by the Company.</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CONSOLIDATED FINANCIAL STATEMENTS</w:t>
        <w:br/>
        <w:t>(In U.S. dollars, except for share and per share data, or otherwise noted)</w:t>
      </w:r>
    </w:p>
    <w:p>
      <w:pPr>
        <w:pStyle w:val="TextBody"/>
        <w:keepNext w:val="true"/>
        <w:pageBreakBefore w:val="false"/>
        <w:widowControl/>
        <w:pBdr/>
        <w:bidi w:val="0"/>
        <w:spacing w:before="20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6281" w:type="dxa"/>
        <w:jc w:val="left"/>
        <w:tblInd w:w="0" w:type="dxa"/>
        <w:tblLayout w:type="fixed"/>
        <w:tblCellMar>
          <w:top w:w="0" w:type="dxa"/>
          <w:left w:w="0" w:type="dxa"/>
          <w:bottom w:w="0" w:type="dxa"/>
          <w:right w:w="0" w:type="dxa"/>
        </w:tblCellMar>
      </w:tblPr>
      <w:tblGrid>
        <w:gridCol w:w="4021"/>
        <w:gridCol w:w="146"/>
        <w:gridCol w:w="880"/>
        <w:gridCol w:w="217"/>
        <w:gridCol w:w="518"/>
        <w:gridCol w:w="499"/>
      </w:tblGrid>
      <w:tr>
        <w:trPr/>
        <w:tc>
          <w:tcPr>
            <w:tcW w:w="40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4"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7"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9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880"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7" w:type="dxa"/>
            <w:tcBorders/>
            <w:vAlign w:val="bottom"/>
          </w:tcPr>
          <w:p>
            <w:pPr>
              <w:pStyle w:val="TableContents"/>
              <w:bidi w:val="0"/>
              <w:spacing w:before="0" w:after="283"/>
              <w:jc w:val="left"/>
              <w:rPr/>
            </w:pPr>
            <w:r>
              <w:rPr/>
              <w:t> </w:t>
            </w:r>
          </w:p>
        </w:tc>
        <w:tc>
          <w:tcPr>
            <w:tcW w:w="51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9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 percentage less than 10%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6925" w:type="dxa"/>
        <w:jc w:val="left"/>
        <w:tblInd w:w="0" w:type="dxa"/>
        <w:tblLayout w:type="fixed"/>
        <w:tblCellMar>
          <w:top w:w="0" w:type="dxa"/>
          <w:left w:w="0" w:type="dxa"/>
          <w:bottom w:w="0" w:type="dxa"/>
          <w:right w:w="0" w:type="dxa"/>
        </w:tblCellMar>
      </w:tblPr>
      <w:tblGrid>
        <w:gridCol w:w="4666"/>
        <w:gridCol w:w="146"/>
        <w:gridCol w:w="502"/>
        <w:gridCol w:w="415"/>
        <w:gridCol w:w="212"/>
        <w:gridCol w:w="502"/>
        <w:gridCol w:w="482"/>
      </w:tblGrid>
      <w:tr>
        <w:trPr/>
        <w:tc>
          <w:tcPr>
            <w:tcW w:w="4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c>
          <w:tcPr>
            <w:tcW w:w="212"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2021</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82"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15"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12" w:type="dxa"/>
            <w:tcBorders/>
            <w:vAlign w:val="bottom"/>
          </w:tcPr>
          <w:p>
            <w:pPr>
              <w:pStyle w:val="TableContents"/>
              <w:bidi w:val="0"/>
              <w:spacing w:before="0" w:after="283"/>
              <w:jc w:val="left"/>
              <w:rPr/>
            </w:pPr>
            <w:r>
              <w:rP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8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COMMITMENTS AND CONTINGENCIES</w:t>
      </w:r>
    </w:p>
    <w:p>
      <w:pPr>
        <w:pStyle w:val="TextBody"/>
        <w:keepNext w:val="true"/>
        <w:pageBreakBefore w:val="false"/>
        <w:widowControl/>
        <w:pBdr/>
        <w:bidi w:val="0"/>
        <w:spacing w:before="16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SUBSEQUENT EVENTS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After this transaction, Soon Tai Lee became a shareholder of the Group and Soon Huat Lim still remain as ultimate controller of the Group. The Group has collected the consideration on January 26,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After this transaction, Yat Hong Lo became a shareholder of the Group and Soon Huat Lim still remain as ultimate controller of the Group. The Group has collected all the consideration on June 16, 2023.</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except for the events mentioned above the Group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002"/>
      <w:bookmarkEnd w:id="36"/>
      <w:r>
        <w:rPr>
          <w:rFonts w:ascii="Times New Roman PS Std;serif" w:hAnsi="Times New Roman PS Std;serif"/>
          <w:b/>
          <w:i w:val="false"/>
          <w:caps w:val="false"/>
          <w:smallCaps w:val="false"/>
          <w:sz w:val="20"/>
        </w:rPr>
        <w:t>TRIDENT DIGITAL TECH HOLDINGS LTD</w:t>
        <w:br/>
        <w:t>CONDENSED CONSOLIDATED BALANCE SHEETS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367"/>
        <w:gridCol w:w="146"/>
        <w:gridCol w:w="241"/>
        <w:gridCol w:w="1336"/>
        <w:gridCol w:w="196"/>
        <w:gridCol w:w="146"/>
        <w:gridCol w:w="241"/>
        <w:gridCol w:w="1291"/>
        <w:gridCol w:w="241"/>
      </w:tblGrid>
      <w:tr>
        <w:trPr/>
        <w:tc>
          <w:tcPr>
            <w:tcW w:w="6367"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 xml:space="preserve">2023 </w:t>
              <w:br/>
              <w:t>(Unaudited)</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540,496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268,509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437,299</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6,179,955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1,403,172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165,264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1,521,638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1,494,082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1,686,902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1,600,800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long-term borrowings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137,130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137,416</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218,225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1,010,684</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654,063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due to related parties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526,263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7,590,421</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524,560</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230,694</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378,056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277,699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9,524,598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2,639,900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424,868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non-current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1,143,582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1,190,287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1,568,450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1,688,859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11,093,048</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4,328,759</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3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(par value $0.00001 per share; 1,000,000,000 Class A ordinary shares authorized, 50,000,000 and 50,000,000 Class A ordinary shares issued and outstanding as of June 30, 2023 and December 31, 2022, respectively; 4,000,000,000 Class B ordinary shares authorized, 360,205,000 and 360,205,000 Class B ordinary shares issued and outstanding as of June 30, 2023 and December 31, 2022, respectively.)*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32,240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(3,259,598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(1,323,341</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(37,788</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(3,226,191</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(1,324,787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7,866,857</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3,003,972</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003"/>
      <w:bookmarkEnd w:id="37"/>
      <w:r>
        <w:rPr>
          <w:rFonts w:ascii="Times New Roman PS Std;serif" w:hAnsi="Times New Roman PS Std;serif"/>
          <w:b/>
          <w:i w:val="false"/>
          <w:caps w:val="false"/>
          <w:smallCaps w:val="false"/>
          <w:sz w:val="20"/>
        </w:rPr>
        <w:t>TRIDENT DIGITAL TECH HOLDINGS LTD</w:t>
        <w:br/>
        <w:t>UNAUDITED CONDENSED CONSOLIDATED STATEMENTS OF OPERATIONS AND COMPREHENSIVE LOSS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382"/>
        <w:gridCol w:w="146"/>
        <w:gridCol w:w="241"/>
        <w:gridCol w:w="1306"/>
        <w:gridCol w:w="196"/>
        <w:gridCol w:w="146"/>
        <w:gridCol w:w="241"/>
        <w:gridCol w:w="1306"/>
        <w:gridCol w:w="241"/>
      </w:tblGrid>
      <w:tr>
        <w:trPr/>
        <w:tc>
          <w:tcPr>
            <w:tcW w:w="638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8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481,165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475,123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(389,569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(378,896</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91,596</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96,227</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Selling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(253,343</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(71,530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(1,551,710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(170,817</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(192,855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(80,883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(1,997,908</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(323,230</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income/(expenses),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23,742</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44,900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income tax expense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(1,861,412</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(156,703</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34,853</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3,483</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(1,826,559</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(153,220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 basic and diluted*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410,205,000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38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30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38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earnings per ordinary share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5004"/>
      <w:bookmarkEnd w:id="38"/>
      <w:r>
        <w:rPr>
          <w:rFonts w:ascii="Times New Roman PS Std;serif" w:hAnsi="Times New Roman PS Std;serif"/>
          <w:b/>
          <w:i w:val="false"/>
          <w:caps w:val="false"/>
          <w:smallCaps w:val="false"/>
          <w:sz w:val="20"/>
        </w:rPr>
        <w:t>TRIDENT DIGITAL TECH HOLDINGS LTD</w:t>
        <w:br/>
        <w:t>UNAUDITED CONDENSED CONSOLIDATED STATEMENTS OF CHANGES IN EQUITY/(DEFICIT)</w:t>
        <w:br/>
        <w:t xml:space="preserve">(In U.S. dollars, except for share and per share data, or otherwise noted) </w:t>
      </w:r>
    </w:p>
    <w:tbl>
      <w:tblPr>
        <w:tblW w:w="11485" w:type="dxa"/>
        <w:jc w:val="left"/>
        <w:tblInd w:w="0" w:type="dxa"/>
        <w:tblLayout w:type="fixed"/>
        <w:tblCellMar>
          <w:top w:w="0" w:type="dxa"/>
          <w:left w:w="0" w:type="dxa"/>
          <w:bottom w:w="0" w:type="dxa"/>
          <w:right w:w="0" w:type="dxa"/>
        </w:tblCellMar>
      </w:tblPr>
      <w:tblGrid>
        <w:gridCol w:w="1331"/>
        <w:gridCol w:w="146"/>
        <w:gridCol w:w="1336"/>
        <w:gridCol w:w="146"/>
        <w:gridCol w:w="226"/>
        <w:gridCol w:w="661"/>
        <w:gridCol w:w="146"/>
        <w:gridCol w:w="1048"/>
        <w:gridCol w:w="258"/>
        <w:gridCol w:w="146"/>
        <w:gridCol w:w="242"/>
        <w:gridCol w:w="839"/>
        <w:gridCol w:w="146"/>
        <w:gridCol w:w="226"/>
        <w:gridCol w:w="1171"/>
        <w:gridCol w:w="181"/>
        <w:gridCol w:w="146"/>
        <w:gridCol w:w="236"/>
        <w:gridCol w:w="895"/>
        <w:gridCol w:w="190"/>
        <w:gridCol w:w="146"/>
        <w:gridCol w:w="226"/>
        <w:gridCol w:w="1171"/>
        <w:gridCol w:w="226"/>
      </w:tblGrid>
      <w:tr>
        <w:trPr/>
        <w:tc>
          <w:tcPr>
            <w:tcW w:w="133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69" w:type="dxa"/>
            <w:gridSpan w:val="4"/>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br/>
              <w:t>Ordinary share</w:t>
            </w:r>
          </w:p>
        </w:tc>
        <w:tc>
          <w:tcPr>
            <w:tcW w:w="146" w:type="dxa"/>
            <w:tcBorders/>
            <w:vAlign w:val="bottom"/>
          </w:tcPr>
          <w:p>
            <w:pPr>
              <w:pStyle w:val="TableContents"/>
              <w:bidi w:val="0"/>
              <w:spacing w:before="0" w:after="283"/>
              <w:jc w:val="left"/>
              <w:rPr/>
            </w:pPr>
            <w:r>
              <w:rPr/>
              <w:t> </w:t>
            </w:r>
          </w:p>
        </w:tc>
        <w:tc>
          <w:tcPr>
            <w:tcW w:w="1306"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08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w:t>
            </w:r>
          </w:p>
        </w:tc>
        <w:tc>
          <w:tcPr>
            <w:tcW w:w="146" w:type="dxa"/>
            <w:vMerge w:val="restart"/>
            <w:tcBorders/>
            <w:vAlign w:val="bottom"/>
          </w:tcPr>
          <w:p>
            <w:pPr>
              <w:pStyle w:val="TableContents"/>
              <w:bidi w:val="0"/>
              <w:spacing w:before="0" w:after="283"/>
              <w:jc w:val="left"/>
              <w:rPr/>
            </w:pPr>
            <w:r>
              <w:rPr/>
              <w:t> </w:t>
            </w:r>
          </w:p>
        </w:tc>
        <w:tc>
          <w:tcPr>
            <w:tcW w:w="1578"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Accumulated </w:t>
              <w:br/>
              <w:t>earnings/</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(deficit)</w:t>
            </w:r>
          </w:p>
        </w:tc>
        <w:tc>
          <w:tcPr>
            <w:tcW w:w="146" w:type="dxa"/>
            <w:vMerge w:val="restart"/>
            <w:tcBorders/>
            <w:vAlign w:val="bottom"/>
          </w:tcPr>
          <w:p>
            <w:pPr>
              <w:pStyle w:val="TableContents"/>
              <w:bidi w:val="0"/>
              <w:spacing w:before="0" w:after="283"/>
              <w:jc w:val="left"/>
              <w:rPr/>
            </w:pPr>
            <w:r>
              <w:rPr/>
              <w:t> </w:t>
            </w:r>
          </w:p>
        </w:tc>
        <w:tc>
          <w:tcPr>
            <w:tcW w:w="1321"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 xml:space="preserve">other </w:t>
              <w:br/>
              <w:t>(loss)/income</w:t>
            </w:r>
          </w:p>
        </w:tc>
        <w:tc>
          <w:tcPr>
            <w:tcW w:w="146" w:type="dxa"/>
            <w:vMerge w:val="restart"/>
            <w:tcBorders/>
            <w:vAlign w:val="bottom"/>
          </w:tcPr>
          <w:p>
            <w:pPr>
              <w:pStyle w:val="TableContents"/>
              <w:bidi w:val="0"/>
              <w:spacing w:before="0" w:after="283"/>
              <w:jc w:val="left"/>
              <w:rPr/>
            </w:pPr>
            <w:r>
              <w:rPr/>
              <w:t> </w:t>
            </w:r>
          </w:p>
        </w:tc>
        <w:tc>
          <w:tcPr>
            <w:tcW w:w="1623" w:type="dxa"/>
            <w:gridSpan w:val="3"/>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Shareholders’ </w:t>
              <w:br/>
              <w:t>equity/(deficit)</w:t>
            </w:r>
          </w:p>
        </w:tc>
      </w:tr>
      <w:tr>
        <w:trPr/>
        <w:tc>
          <w:tcPr>
            <w:tcW w:w="1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w:t>
            </w:r>
          </w:p>
        </w:tc>
        <w:tc>
          <w:tcPr>
            <w:tcW w:w="146" w:type="dxa"/>
            <w:tcBorders/>
            <w:vAlign w:val="bottom"/>
          </w:tcPr>
          <w:p>
            <w:pPr>
              <w:pStyle w:val="TableContents"/>
              <w:bidi w:val="0"/>
              <w:spacing w:before="0" w:after="283"/>
              <w:jc w:val="left"/>
              <w:rPr/>
            </w:pPr>
            <w:r>
              <w:rPr/>
              <w:t> </w:t>
            </w:r>
          </w:p>
        </w:tc>
        <w:tc>
          <w:tcPr>
            <w:tcW w:w="8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0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8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23" w:type="dxa"/>
            <w:gridSpan w:val="3"/>
            <w:vMerge w:val="continue"/>
            <w:tcBorders/>
            <w:vAlign w:val="bottom"/>
          </w:tcPr>
          <w:p>
            <w:pPr>
              <w:pStyle w:val="Normal"/>
              <w:bidi w:val="0"/>
              <w:jc w:val="left"/>
              <w:rPr/>
            </w:pPr>
            <w:r>
              <w:rPr/>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2021</w:t>
            </w:r>
          </w:p>
        </w:tc>
        <w:tc>
          <w:tcPr>
            <w:tcW w:w="146" w:type="dxa"/>
            <w:tcBorders/>
            <w:shd w:fill="CCEEFF" w:val="clear"/>
            <w:vAlign w:val="bottom"/>
          </w:tcPr>
          <w:p>
            <w:pPr>
              <w:pStyle w:val="TableContents"/>
              <w:bidi w:val="0"/>
              <w:spacing w:before="0" w:after="283"/>
              <w:jc w:val="left"/>
              <w:rPr/>
            </w:pPr>
            <w:r>
              <w:rPr/>
              <w:t> </w:t>
            </w:r>
          </w:p>
        </w:tc>
        <w:tc>
          <w:tcPr>
            <w:tcW w:w="1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shd w:fill="CCEEFF" w:val="clear"/>
            <w:vAlign w:val="bottom"/>
          </w:tcPr>
          <w:p>
            <w:pPr>
              <w:pStyle w:val="TableContents"/>
              <w:bidi w:val="0"/>
              <w:spacing w:before="0" w:after="283"/>
              <w:jc w:val="left"/>
              <w:rPr/>
            </w:pPr>
            <w:r>
              <w:rPr/>
              <w:t> </w:t>
            </w:r>
          </w:p>
        </w:tc>
        <w:tc>
          <w:tcPr>
            <w:tcW w:w="10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258"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76</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35,349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(306</w:t>
            </w:r>
          </w:p>
        </w:tc>
        <w:tc>
          <w:tcPr>
            <w:tcW w:w="190"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35,119</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(156,703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(156,703</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Contribution from shareholders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4,102</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32,164</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36,266</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distribution</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(229,201</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(229,201</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3,483</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June 30, 2022</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(350,555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3,177</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(311,036</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3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89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December 31, 2022</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(1,323,341</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(37,788</w:t>
            </w:r>
          </w:p>
        </w:tc>
        <w:tc>
          <w:tcPr>
            <w:tcW w:w="1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(1,324,787</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(1,861,412</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(1,861,412</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Dividend distribution</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4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(74,845</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(74,845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9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34,853</w:t>
            </w:r>
          </w:p>
        </w:tc>
        <w:tc>
          <w:tcPr>
            <w:tcW w:w="190"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34,853</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as of June 30, 2023</w:t>
            </w:r>
          </w:p>
        </w:tc>
        <w:tc>
          <w:tcPr>
            <w:tcW w:w="146" w:type="dxa"/>
            <w:tcBorders/>
            <w:vAlign w:val="bottom"/>
          </w:tcPr>
          <w:p>
            <w:pPr>
              <w:pStyle w:val="TableContents"/>
              <w:bidi w:val="0"/>
              <w:spacing w:before="0" w:after="283"/>
              <w:jc w:val="left"/>
              <w:rPr/>
            </w:pPr>
            <w:r>
              <w:rPr/>
              <w:t> </w:t>
            </w:r>
          </w:p>
        </w:tc>
        <w:tc>
          <w:tcPr>
            <w:tcW w:w="13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410,205,000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4,102</w:t>
            </w:r>
          </w:p>
        </w:tc>
        <w:tc>
          <w:tcPr>
            <w:tcW w:w="146" w:type="dxa"/>
            <w:tcBorders/>
            <w:vAlign w:val="bottom"/>
          </w:tcPr>
          <w:p>
            <w:pPr>
              <w:pStyle w:val="TableContents"/>
              <w:bidi w:val="0"/>
              <w:spacing w:before="0" w:after="283"/>
              <w:jc w:val="left"/>
              <w:rPr/>
            </w:pPr>
            <w:r>
              <w:rPr/>
              <w:t> </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2"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839"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32,240</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(3,259,598</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3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9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(2,935</w:t>
            </w:r>
          </w:p>
        </w:tc>
        <w:tc>
          <w:tcPr>
            <w:tcW w:w="1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(3,226,191</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shares and per share information are presented on a retroactive basis to reflect the reorganization (Note 1).</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5005"/>
      <w:bookmarkEnd w:id="39"/>
      <w:r>
        <w:rPr>
          <w:rFonts w:ascii="Times New Roman PS Std;serif" w:hAnsi="Times New Roman PS Std;serif"/>
          <w:b/>
          <w:i w:val="false"/>
          <w:caps w:val="false"/>
          <w:smallCaps w:val="false"/>
          <w:sz w:val="20"/>
        </w:rPr>
        <w:t>TRIDENT DIGITAL TECH HOLDINGS LTD</w:t>
        <w:br/>
        <w:t>UNAUDITED CONDENSED CONSOLIDATED STATEMENTS OF CASH FLOWS</w:t>
        <w:br/>
        <w:t xml:space="preserve">(In U.S. dollars, except for share and per share data, or otherwise noted) </w:t>
      </w:r>
    </w:p>
    <w:tbl>
      <w:tblPr>
        <w:tblW w:w="10205" w:type="dxa"/>
        <w:jc w:val="left"/>
        <w:tblInd w:w="0" w:type="dxa"/>
        <w:tblLayout w:type="fixed"/>
        <w:tblCellMar>
          <w:top w:w="0" w:type="dxa"/>
          <w:left w:w="0" w:type="dxa"/>
          <w:bottom w:w="0" w:type="dxa"/>
          <w:right w:w="0" w:type="dxa"/>
        </w:tblCellMar>
      </w:tblPr>
      <w:tblGrid>
        <w:gridCol w:w="6952"/>
        <w:gridCol w:w="146"/>
        <w:gridCol w:w="226"/>
        <w:gridCol w:w="1141"/>
        <w:gridCol w:w="181"/>
        <w:gridCol w:w="146"/>
        <w:gridCol w:w="226"/>
        <w:gridCol w:w="961"/>
        <w:gridCol w:w="226"/>
      </w:tblGrid>
      <w:tr>
        <w:trPr/>
        <w:tc>
          <w:tcPr>
            <w:tcW w:w="6952"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(2,380,926</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(27,514</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and equipment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(79,043</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fees advance from shareholders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7,065,861</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long-term bank loans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(67,159</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(13,572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from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355,716</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loans from related parties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(845,200</w:t>
            </w:r>
          </w:p>
        </w:tc>
        <w:tc>
          <w:tcPr>
            <w:tcW w:w="18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Loans to related parties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(1,007,634</w:t>
            </w:r>
          </w:p>
        </w:tc>
        <w:tc>
          <w:tcPr>
            <w:tcW w:w="18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distribution</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(74,845</w:t>
            </w:r>
          </w:p>
        </w:tc>
        <w:tc>
          <w:tcPr>
            <w:tcW w:w="18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(106,219</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5,426,739</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(118,326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exchange rate changes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32,401</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cash</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3,020,342</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(113,439</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beginning of period</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945,265</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273,593</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end of period</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3,965,607</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160,154</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18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disclosures of non-cash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69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right-of-use assets in exchange for operating lease liabilities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27,556</w:t>
            </w:r>
          </w:p>
        </w:tc>
        <w:tc>
          <w:tcPr>
            <w:tcW w:w="1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215,369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9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 (Note 12)</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8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5006"/>
      <w:bookmarkEnd w:id="40"/>
      <w:r>
        <w:rPr>
          <w:rFonts w:ascii="Times New Roman PS Std;serif" w:hAnsi="Times New Roman PS Std;serif"/>
          <w:b/>
          <w:i w:val="false"/>
          <w:caps w:val="false"/>
          <w:smallCaps w:val="false"/>
          <w:sz w:val="20"/>
        </w:rPr>
        <w:t>TRIDENT DIGITAL TECH HOLDINGS LTD</w:t>
        <w:br/>
        <w:t>NOTES TO UNAUDITED CONDENSED CONSOLIDATED FINANCIAL STATEMENTS</w:t>
        <w:br/>
        <w:t xml:space="preserve">(In U.S. dollars, except for share and per share data, or otherwise noted) </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PRINCIPAL ACTIVITIES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Holdings Ltd (the “Company”) and its subsidiaries (collectively referred to as the “Group”) are principally engaged in the provision of business consulting service and IT customization solutions in the Republic of Singapore (the “Singapore”).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Basis of presentation and principles of 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prepared in accordance with accounting principles generally accepted in the United States of America (“U.S. GAAP”) and pursuant to the rules and regulations of the Securities and Exchange Commission (the “SEC”). The accompanying consolidated financial statements include the financial statements of the Company and its subsidiaries. All inter-company balances and transactions are eliminated upon consolidation.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registration statements for the fiscal years ended December 31, 2022 and 2021.</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opinion of the management, the accompanying unaudited condensed consolidated financial statements reflect all normal recurring adjustments, which are necessary for a fair statement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2022. The results of operations for the six months ended June 30, 2023 are not necessarily indicative of the results for the full year.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is stated at the original amount less an allowance for doubtful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are recognized in the period when the Group has provided services to its customers and when its right to consideration is unconditional. In January 1, 2023, the Group adopted ASU 2016-13, “Financial Instruments — Credit Losses (Topic 326): Measurement on Credit Losses on Financial Instruments”, including certain subsequent amendments, transitional guidance and other interpretive guidance within ASU 2018-19, ASU 2019-04, ASU 2019-05, ASU 2019-11, ASU 2020-02 and ASU 2020-03 (collectively, including ASU 2016-13, “ASC 326”). ASC 326 introduces an approach based on expected losses to estimate the allowance for doubtful accounts, which replaces the previous incurred loss impairment model. The Group’s estimation of allowance for doubtful accounts considers factors such as historical credit loss experience, age of receivable balances, current market conditions, reasonable and supportable forecasts of future economic conditions, as well as an assessment of receivables due from specific identifiable counterparties to determine whether these receivables are considered at risk or uncollectible.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the accounts receivable on a periodic basis and makes general and specific allowances when there is doubt as to the collectability of individual balances. The Group considers factors in assessing the collectability of its receivables, such as the age of the amounts due, the customer’s payment history, credit-worthiness and other specific circumstances related to the accounts. An allowance for doubtful accounts is recorded in the period in which a loss is determined to be probable. Accounts receivable balances are written off after all collection efforts have been exhausted.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provision of allowance for doubtful accounts as of June 30, 2023 and December 31, 2022.</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Revenue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recognized its revenue under ASC Topic 606, Revenue from Contracts with Customers (“ASC 606”). The core principle underlying the revenue recognition of ASC606 allows the Group to recognize revenue that represents the transfer of goods and services to customers in an amount that reflects the consideration to which the Group expects to be entitled in such exchange. This will require the Group to identify contractual performance obligations and determine whether revenue should be recognized at a point in time or over time, based on when control of goods and services transfers to a customer.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achieve that core principle, the Group applies five-step model to recognize revenue from customer contracts. The five-step model requires the Group to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the Group satisfies the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derives its revenues principally from providing business consulting service and IT customization service.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recognition policies for each type of revenue stream are as follows: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Business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wide range of business consulting services to customers of various industries, from business strategy advisory, to design of business workflows and processes, brand and reputation, as well as digital marketing in achieving organization objectives such as enhancing cost efficiency, productivity and customer experience etc.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business consulting services which is interrelated as one promise to support the customers to achieve brand strategy and marketing strategy development. The revenue is recognized at a point in time when the legal title and control of the service has been transferred, being when the project solution is delivered, and accepted by the customer, there is no unfulfilled obligation that could affect the customers’ acceptance of the products and services, and it is highly probable that a significant reversal will not occur.</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IT customization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IT customization services in providing customer comprising tailored made IT solutions or the packaged software solutions in meeting the customer’s objectives. It covers end-to-end solutions including IT consultancy, design of the system architecture, planning and design of the solution, implementation, quality assurance as well as maintenance support services.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IT consulting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provides a series of IT consulting service which is interrelated as one promise to develop customized software solutions.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revenue is recognized at a point in time when the customized software solution is successfully completed, delivered and accepted by customers.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u w:val="single"/>
        </w:rPr>
      </w:pPr>
      <w:r>
        <w:rPr>
          <w:rFonts w:ascii="Times New Roman PS Std;serif" w:hAnsi="Times New Roman PS Std;serif"/>
          <w:b w:val="false"/>
          <w:i/>
          <w:caps w:val="false"/>
          <w:smallCaps w:val="false"/>
          <w:sz w:val="20"/>
          <w:u w:val="single"/>
        </w:rPr>
        <w:t>Management software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offers a range of management software solutions to customers via an annual subscription-based model, and support services are generally included in the subscription. The Group also provides initial setup and training services to customers before their software subscription. The Group has identified that the nature of one overall promise to customers as the provision of a software solution comprising the one-year subscription of software in a cloud-based infrastructure hosted by the Group, well set-up and implemented with a session of training, which is needed to allow the customer to access the software functionality, and has accounted for the promise as one combined performance obligation.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simultaneously received and consumed the benefits provided by the Group during the contract period. Thus, revenue from management software is recognized over time on a ratable basis over one year, starting from the date that the software is made available to the customers.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payment is made by the customers in advance, and not subject to any variable consideration, refund, cancellation or termination provision. No significant financing component, noncash payment identified in the arrangements with customers.</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Revenue by categories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disaggregates the Group’s revenue categories for the six months ended June 30, 2023 and 2022:</w:t>
      </w:r>
    </w:p>
    <w:tbl>
      <w:tblPr>
        <w:tblW w:w="6130" w:type="dxa"/>
        <w:jc w:val="left"/>
        <w:tblInd w:w="0" w:type="dxa"/>
        <w:tblLayout w:type="fixed"/>
        <w:tblCellMar>
          <w:top w:w="0" w:type="dxa"/>
          <w:left w:w="0" w:type="dxa"/>
          <w:bottom w:w="0" w:type="dxa"/>
          <w:right w:w="0" w:type="dxa"/>
        </w:tblCellMar>
      </w:tblPr>
      <w:tblGrid>
        <w:gridCol w:w="3151"/>
        <w:gridCol w:w="146"/>
        <w:gridCol w:w="257"/>
        <w:gridCol w:w="1058"/>
        <w:gridCol w:w="155"/>
        <w:gridCol w:w="257"/>
        <w:gridCol w:w="1106"/>
      </w:tblGrid>
      <w:tr>
        <w:trPr/>
        <w:tc>
          <w:tcPr>
            <w:tcW w:w="31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5"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consulting service</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113,764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192,513</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 customization</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367,401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282,610</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IT consulting</w:t>
            </w:r>
          </w:p>
        </w:tc>
        <w:tc>
          <w:tcPr>
            <w:tcW w:w="14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130,289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272,874</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Management software</w:t>
            </w:r>
          </w:p>
        </w:tc>
        <w:tc>
          <w:tcPr>
            <w:tcW w:w="146"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237,112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0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9,736</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revenues</w:t>
            </w:r>
          </w:p>
        </w:tc>
        <w:tc>
          <w:tcPr>
            <w:tcW w:w="146"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481,165</w:t>
            </w:r>
          </w:p>
        </w:tc>
        <w:tc>
          <w:tcPr>
            <w:tcW w:w="155" w:type="dxa"/>
            <w:tcBorders/>
            <w:shd w:fill="CCEEFF" w:val="clear"/>
            <w:vAlign w:val="bottom"/>
          </w:tcPr>
          <w:p>
            <w:pPr>
              <w:pStyle w:val="TableContents"/>
              <w:bidi w:val="0"/>
              <w:spacing w:before="0" w:after="283"/>
              <w:jc w:val="left"/>
              <w:rPr/>
            </w:pPr>
            <w:r>
              <w:rPr/>
              <w:t> </w:t>
            </w:r>
          </w:p>
        </w:tc>
        <w:tc>
          <w:tcPr>
            <w:tcW w:w="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475,123</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Contract balances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begins to deliver the products or services pursuant to the performance obligations in the contract, the Group presents the contract in the consolidated balance sheet as a contract asset or a contract liability, depending on the relationship between the Group’s performance and the customer’s payment.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 assets consist of accounts receivable and contract costs. Accounts receivable represent revenue recognized for the amounts invoiced when the Group has satisfied its performance obligation and has unconditional right to the payment. Contract costs are deferred for the contract preparation and will be recognized as cost of revenues when goods or services are transferred to customers. The Group recognized incremental commission costs of obtaining management software contracts with customers and incurred costs to fulfill service contract before service is provided to a customer as contract asset and amortized to cost in a pattern that matches the timing of the revenue recognition of the related contract. The Group’s contract assets were $540,496 and $268,509 as of June 30, 2023 and December 31,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contract liabilities consist of deferred revenue, which represents the billings or cash received for services in advance of revenue recognition and is recognized as revenue when all the Group’s revenue recognition criteria are met. Contract assets and contract liabilities are reported in a net position on an individual contract basis at the end of each reporting period. The Group’s deferred revenue was $1,010,684 and $654,063 as of June 30, 2023 and December 31, 2022, respectively. The revenue recognized for the six months ended June 30, 2023 and for the year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December 31, 2022 that was included in the contract liability balance at the beginning of the period were $292,778 and $173,852, respectively. All unsatisfied performance obligation will be performed within the next twelve months and no significant financing component is involved.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accounts receivable and deferred revenue, the Group had no other material contract assets or contract liabilities recorded on its consolidated balance sheets as of June 30, 2023 and December 31, 2022.</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Foreign currency transactions and translations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consolidated statements of income and comprehensive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reporting currency of the Group is United States Dollars (“US$”) and the accompanying financial statements have been expressed in US$. The Group’s subsidiaries in Singapore conduct their businesses and maintain its books and record in the local currency, Singapore Dollars (“SGD”), as their functional currency.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for consolidation purposes, assets and liabilities of its subsidiaries whose functional currency is not US$ are translated into US$, in accordance with ASC Topic 830-30, “Translation of Financial Statement”, using the exchange rate on the balance sheet date. Revenues and expenses are translated at average rates prevailing during the period. The gains and losses resulting from translation of financial statements of foreign subsidiary are recorded as a separate component of accumulated other comprehensive income (loss) within the statements of shareholders’ equity. Cash flows are also translated at average translation rates for the periods; therefore, amounts reported on the statement of cash flows will not necessarily agree with changes in the corresponding balances on the consolidated balance sheets.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foreign currencies into US$1 have been made at the following exchange rates for the respective periods:</w:t>
      </w:r>
    </w:p>
    <w:tbl>
      <w:tblPr>
        <w:tblW w:w="7735" w:type="dxa"/>
        <w:jc w:val="left"/>
        <w:tblInd w:w="0" w:type="dxa"/>
        <w:tblLayout w:type="fixed"/>
        <w:tblCellMar>
          <w:top w:w="0" w:type="dxa"/>
          <w:left w:w="0" w:type="dxa"/>
          <w:bottom w:w="0" w:type="dxa"/>
          <w:right w:w="0" w:type="dxa"/>
        </w:tblCellMar>
      </w:tblPr>
      <w:tblGrid>
        <w:gridCol w:w="4831"/>
        <w:gridCol w:w="146"/>
        <w:gridCol w:w="991"/>
        <w:gridCol w:w="146"/>
        <w:gridCol w:w="1621"/>
      </w:tblGrid>
      <w:tr>
        <w:trPr/>
        <w:tc>
          <w:tcPr>
            <w:tcW w:w="483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8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sheet items, except for equity accounts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1.3404</w:t>
            </w:r>
          </w:p>
        </w:tc>
      </w:tr>
    </w:tbl>
    <w:tbl>
      <w:tblPr>
        <w:tblW w:w="9776" w:type="dxa"/>
        <w:jc w:val="left"/>
        <w:tblInd w:w="0" w:type="dxa"/>
        <w:tblLayout w:type="fixed"/>
        <w:tblCellMar>
          <w:top w:w="0" w:type="dxa"/>
          <w:left w:w="0" w:type="dxa"/>
          <w:bottom w:w="0" w:type="dxa"/>
          <w:right w:w="0" w:type="dxa"/>
        </w:tblCellMar>
      </w:tblPr>
      <w:tblGrid>
        <w:gridCol w:w="6796"/>
        <w:gridCol w:w="146"/>
        <w:gridCol w:w="1260"/>
        <w:gridCol w:w="240"/>
        <w:gridCol w:w="1334"/>
      </w:tblGrid>
      <w:tr>
        <w:trPr/>
        <w:tc>
          <w:tcPr>
            <w:tcW w:w="67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6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40" w:type="dxa"/>
            <w:tcBorders/>
            <w:vAlign w:val="bottom"/>
          </w:tcPr>
          <w:p>
            <w:pPr>
              <w:pStyle w:val="TableContents"/>
              <w:bidi w:val="0"/>
              <w:spacing w:before="0" w:after="283"/>
              <w:jc w:val="left"/>
              <w:rPr/>
            </w:pPr>
            <w:r>
              <w:rPr/>
              <w:t> </w:t>
            </w:r>
          </w:p>
        </w:tc>
        <w:tc>
          <w:tcPr>
            <w:tcW w:w="133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67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Items in the statements of income and comprehensive income, and </w:t>
              <w:br/>
              <w:t>statements of cash flows</w:t>
            </w:r>
          </w:p>
        </w:tc>
        <w:tc>
          <w:tcPr>
            <w:tcW w:w="146"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1.3361</w:t>
            </w:r>
          </w:p>
        </w:tc>
        <w:tc>
          <w:tcPr>
            <w:tcW w:w="2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1.3651</w:t>
            </w:r>
          </w:p>
        </w:tc>
      </w:tr>
    </w:tbl>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 Legal costs incurred in connection with loss contingencies are expensed as incurred.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false"/>
        <w:pageBreakBefore w:val="false"/>
        <w:widowControl/>
        <w:pBdr/>
        <w:bidi w:val="0"/>
        <w:spacing w:before="240" w:after="200"/>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SUMMARY OF SIGNIFICANT ACCOUNTING POLICIES</w:t>
      </w:r>
      <w:r>
        <w:rPr>
          <w:rFonts w:ascii="Times New Roman PS Std;serif" w:hAnsi="Times New Roman PS Std;serif"/>
          <w:b w:val="false"/>
          <w:i w:val="false"/>
          <w:caps w:val="false"/>
          <w:smallCaps w:val="false"/>
          <w:sz w:val="20"/>
        </w:rPr>
        <w:t xml:space="preserve"> (cont.)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     Deferred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consist of legal, consulting, underwriting fees and other costs incurred through the balance sheet date that are directly related to the proposed public offering and certain private equity financing transaction. These costs, together with the underwriting discounts and commissions, will be charged to additional paid-in capital, net against the gross proceeds, upon completion of the proposed public offering. Should the proposed public offering prove to be unsuccessful, these deferred costs, as well as additional expenses to be incurred, will be charged to operations.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    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discuss recent standards that are not anticipated to have an impact on or are unrelated to its consolidated financial condition, results of operations, cash flows or disclosures.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ACCOUNTS RECEIVABLE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consisted of the following:</w:t>
      </w:r>
    </w:p>
    <w:tbl>
      <w:tblPr>
        <w:tblW w:w="6160" w:type="dxa"/>
        <w:jc w:val="left"/>
        <w:tblInd w:w="0" w:type="dxa"/>
        <w:tblLayout w:type="fixed"/>
        <w:tblCellMar>
          <w:top w:w="0" w:type="dxa"/>
          <w:left w:w="0" w:type="dxa"/>
          <w:bottom w:w="0" w:type="dxa"/>
          <w:right w:w="0" w:type="dxa"/>
        </w:tblCellMar>
      </w:tblPr>
      <w:tblGrid>
        <w:gridCol w:w="3256"/>
        <w:gridCol w:w="146"/>
        <w:gridCol w:w="226"/>
        <w:gridCol w:w="766"/>
        <w:gridCol w:w="146"/>
        <w:gridCol w:w="353"/>
        <w:gridCol w:w="1267"/>
      </w:tblGrid>
      <w:tr>
        <w:trPr/>
        <w:tc>
          <w:tcPr>
            <w:tcW w:w="325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32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4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r>
      <w:tr>
        <w:trP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doubtful accounts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5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74,554</w:t>
            </w:r>
          </w:p>
        </w:tc>
        <w:tc>
          <w:tcPr>
            <w:tcW w:w="146" w:type="dxa"/>
            <w:tcBorders/>
            <w:shd w:fill="CCEEFF" w:val="clear"/>
            <w:vAlign w:val="bottom"/>
          </w:tcPr>
          <w:p>
            <w:pPr>
              <w:pStyle w:val="TableContents"/>
              <w:bidi w:val="0"/>
              <w:spacing w:before="0" w:after="283"/>
              <w:jc w:val="left"/>
              <w:rPr/>
            </w:pPr>
            <w:r>
              <w:rPr/>
              <w:t> </w:t>
            </w:r>
          </w:p>
        </w:tc>
        <w:tc>
          <w:tcPr>
            <w:tcW w:w="35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47,547</w:t>
            </w:r>
          </w:p>
        </w:tc>
      </w:tr>
    </w:tbl>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recorded nil bad debt expense for the six months ended June 30,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PREPAID EXPENSES AND OTHER CURRENT ASSETS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7855" w:type="dxa"/>
        <w:jc w:val="left"/>
        <w:tblInd w:w="0" w:type="dxa"/>
        <w:tblLayout w:type="fixed"/>
        <w:tblCellMar>
          <w:top w:w="0" w:type="dxa"/>
          <w:left w:w="0" w:type="dxa"/>
          <w:bottom w:w="0" w:type="dxa"/>
          <w:right w:w="0" w:type="dxa"/>
        </w:tblCellMar>
      </w:tblPr>
      <w:tblGrid>
        <w:gridCol w:w="4831"/>
        <w:gridCol w:w="146"/>
        <w:gridCol w:w="226"/>
        <w:gridCol w:w="886"/>
        <w:gridCol w:w="146"/>
        <w:gridCol w:w="315"/>
        <w:gridCol w:w="1305"/>
      </w:tblGrid>
      <w:tr>
        <w:trPr/>
        <w:tc>
          <w:tcPr>
            <w:tcW w:w="483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8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86,821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66,719</w:t>
            </w:r>
          </w:p>
        </w:tc>
      </w:tr>
      <w:tr>
        <w:trPr/>
        <w:tc>
          <w:tcPr>
            <w:tcW w:w="48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prepayment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53,994</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32,538</w:t>
            </w:r>
          </w:p>
        </w:tc>
      </w:tr>
      <w:tr>
        <w:trPr/>
        <w:tc>
          <w:tcPr>
            <w:tcW w:w="48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25,621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42,594</w:t>
            </w:r>
          </w:p>
        </w:tc>
      </w:tr>
      <w:tr>
        <w:trPr/>
        <w:tc>
          <w:tcPr>
            <w:tcW w:w="48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prepaid expenses and other current assets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166,436</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141,851</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AND EQUIPMENT, NET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 consisted of the following:</w:t>
      </w:r>
    </w:p>
    <w:tbl>
      <w:tblPr>
        <w:tblW w:w="7960" w:type="dxa"/>
        <w:jc w:val="left"/>
        <w:tblInd w:w="0" w:type="dxa"/>
        <w:tblLayout w:type="fixed"/>
        <w:tblCellMar>
          <w:top w:w="0" w:type="dxa"/>
          <w:left w:w="0" w:type="dxa"/>
          <w:bottom w:w="0" w:type="dxa"/>
          <w:right w:w="0" w:type="dxa"/>
        </w:tblCellMar>
      </w:tblPr>
      <w:tblGrid>
        <w:gridCol w:w="4936"/>
        <w:gridCol w:w="146"/>
        <w:gridCol w:w="226"/>
        <w:gridCol w:w="886"/>
        <w:gridCol w:w="146"/>
        <w:gridCol w:w="315"/>
        <w:gridCol w:w="1305"/>
      </w:tblGrid>
      <w:tr>
        <w:trPr/>
        <w:tc>
          <w:tcPr>
            <w:tcW w:w="493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Vehicle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21,896</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22,091</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electric equipment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62,635</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47,531</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Leasehold improvement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121,869</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59,822</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206,400</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129,444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depreciation and amortization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41,136</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22,726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165,264</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106,718</w:t>
            </w:r>
          </w:p>
        </w:tc>
      </w:tr>
    </w:tbl>
    <w:p>
      <w:pPr>
        <w:pStyle w:val="TextBody"/>
        <w:keepNext w:val="false"/>
        <w:pageBreakBefore w:val="false"/>
        <w:widowControl/>
        <w:pBdr/>
        <w:bidi w:val="0"/>
        <w:spacing w:before="20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were $18,837 and $5,663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did not record any impairment charge for the six months ended June 30, 2023 and 2022.</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ACCRUED EXPENSES AND OTHER CURRENT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8155" w:type="dxa"/>
        <w:jc w:val="left"/>
        <w:tblInd w:w="0" w:type="dxa"/>
        <w:tblLayout w:type="fixed"/>
        <w:tblCellMar>
          <w:top w:w="0" w:type="dxa"/>
          <w:left w:w="0" w:type="dxa"/>
          <w:bottom w:w="0" w:type="dxa"/>
          <w:right w:w="0" w:type="dxa"/>
        </w:tblCellMar>
      </w:tblPr>
      <w:tblGrid>
        <w:gridCol w:w="5131"/>
        <w:gridCol w:w="146"/>
        <w:gridCol w:w="226"/>
        <w:gridCol w:w="886"/>
        <w:gridCol w:w="146"/>
        <w:gridCol w:w="315"/>
        <w:gridCol w:w="1305"/>
      </w:tblGrid>
      <w:tr>
        <w:trPr/>
        <w:tc>
          <w:tcPr>
            <w:tcW w:w="513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7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51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GST payable</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14,231</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23,386</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payable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216,463</w:t>
            </w:r>
          </w:p>
        </w:tc>
        <w:tc>
          <w:tcPr>
            <w:tcW w:w="146"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120,185</w:t>
            </w:r>
          </w:p>
        </w:tc>
      </w:tr>
      <w:tr>
        <w:trPr/>
        <w:tc>
          <w:tcPr>
            <w:tcW w:w="51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payables(1)</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0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160,159</w:t>
            </w:r>
          </w:p>
        </w:tc>
      </w:tr>
      <w:tr>
        <w:trPr/>
        <w:tc>
          <w:tcPr>
            <w:tcW w:w="51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accrued expenses and other current liabilities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230,694</w:t>
            </w:r>
          </w:p>
        </w:tc>
        <w:tc>
          <w:tcPr>
            <w:tcW w:w="146" w:type="dxa"/>
            <w:tcBorders/>
            <w:vAlign w:val="bottom"/>
          </w:tcPr>
          <w:p>
            <w:pPr>
              <w:pStyle w:val="TableContents"/>
              <w:bidi w:val="0"/>
              <w:spacing w:before="0" w:after="283"/>
              <w:jc w:val="left"/>
              <w:rPr/>
            </w:pPr>
            <w:r>
              <w:rPr/>
              <w:t> </w:t>
            </w:r>
          </w:p>
        </w:tc>
        <w:tc>
          <w:tcPr>
            <w:tcW w:w="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consisted of reimbursement payable to employees and miscellaneous fees payable to third parties.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SUBSCRIPTION FEES ADVANCE FROM A SHAREHOLDER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2022, Trident entered into a series of agreement with Stone Wealth Compound Fund SPC (“Stone Wealth”), a third-party investor, to sell 4.9590% of the Company’s total issued share capital prior to the initial public offering to Stone Wealth in exchange of $499,990 cash consideration. The Group recognized the received $499,990 (reflected as $519,943 at period end due to exchange rate) from Stone Wealth in advance as equity when the Group complete its reorganization and by issuing 24,795,000 Class B Ordinary Shares on July 4,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and November 1, 2022, the Group and Soon Huat Lim entered into a series of share sale agreement and supplemental agreements with Soon Tai Lee, a third-party investor. Pursuant to the agreements, the Group issues 45,000,000 shares of the Company to Soon Tai Lee in exchange of $3,000,000 cash consideration and Soon Huat Lim sold his 30,000,000 shares of the Company to Soon Tai Lee in exchange of $2,000,000 cash consideration. The Group recognized the received $3,000,000 (reflected as $3,135,167 at period end due to exchange rate) subscription fees advance from a shareholder as equity when the Group complete its reorganization and by issuing 45,000,000 Class B Ordinary Shares on July 4, 2023.</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4 and May 5, 2023, the Group and Soon Huat Lim entered into a series of share sale agreement and supplemental agreements with Yat Hong Lo, a third-party investor. Pursuant to the agreements, the Group issues 20,000,000 shares of the Company to Yat Hong Lo in exchange of $4,000,000 cash consideration and Soon Huat Lim sold his 5,000,000 shares of the Company to Yat Hong Lo in exchange of $1,000,000 cash consideration. The Group recognized received $4,000,000 (reflected as $3,935,311 at period end due to exchange rate) subscription fees advance from a shareholder as equity when the Group complete its reorganization and by issuing 20,000,000 Class B Ordinary Shares on July 4,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LEASES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lease cost recognized in the Group’s consolidated and combined statements of operations and comprehensive loss is as follows:</w:t>
      </w:r>
    </w:p>
    <w:tbl>
      <w:tblPr>
        <w:tblW w:w="8831" w:type="dxa"/>
        <w:jc w:val="left"/>
        <w:tblInd w:w="0" w:type="dxa"/>
        <w:tblLayout w:type="fixed"/>
        <w:tblCellMar>
          <w:top w:w="0" w:type="dxa"/>
          <w:left w:w="0" w:type="dxa"/>
          <w:bottom w:w="0" w:type="dxa"/>
          <w:right w:w="0" w:type="dxa"/>
        </w:tblCellMar>
      </w:tblPr>
      <w:tblGrid>
        <w:gridCol w:w="5851"/>
        <w:gridCol w:w="146"/>
        <w:gridCol w:w="279"/>
        <w:gridCol w:w="1094"/>
        <w:gridCol w:w="180"/>
        <w:gridCol w:w="279"/>
        <w:gridCol w:w="1002"/>
      </w:tblGrid>
      <w:tr>
        <w:trPr/>
        <w:tc>
          <w:tcPr>
            <w:tcW w:w="58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5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80"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leases cost excluding short-term rental expense</w:t>
            </w:r>
          </w:p>
        </w:tc>
        <w:tc>
          <w:tcPr>
            <w:tcW w:w="146"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4"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200,142</w:t>
            </w:r>
          </w:p>
        </w:tc>
        <w:tc>
          <w:tcPr>
            <w:tcW w:w="18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w:t>
            </w:r>
          </w:p>
        </w:tc>
      </w:tr>
      <w:tr>
        <w:trPr/>
        <w:tc>
          <w:tcPr>
            <w:tcW w:w="5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cost</w:t>
            </w:r>
          </w:p>
        </w:tc>
        <w:tc>
          <w:tcPr>
            <w:tcW w:w="146"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c>
          <w:tcPr>
            <w:tcW w:w="180" w:type="dxa"/>
            <w:tcBorders/>
            <w:vAlign w:val="bottom"/>
          </w:tcPr>
          <w:p>
            <w:pPr>
              <w:pStyle w:val="TableContents"/>
              <w:bidi w:val="0"/>
              <w:spacing w:before="0" w:after="283"/>
              <w:jc w:val="left"/>
              <w:rPr/>
            </w:pPr>
            <w:r>
              <w:rPr/>
              <w:t> </w:t>
            </w:r>
          </w:p>
        </w:tc>
        <w:tc>
          <w:tcPr>
            <w:tcW w:w="2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w:t>
            </w:r>
          </w:p>
        </w:tc>
      </w:tr>
      <w:tr>
        <w:trPr/>
        <w:tc>
          <w:tcPr>
            <w:tcW w:w="5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200,292</w:t>
            </w:r>
          </w:p>
        </w:tc>
        <w:tc>
          <w:tcPr>
            <w:tcW w:w="180" w:type="dxa"/>
            <w:tcBorders/>
            <w:shd w:fill="CCEEFF" w:val="clear"/>
            <w:vAlign w:val="bottom"/>
          </w:tcPr>
          <w:p>
            <w:pPr>
              <w:pStyle w:val="TableContents"/>
              <w:bidi w:val="0"/>
              <w:spacing w:before="0" w:after="283"/>
              <w:jc w:val="left"/>
              <w:rPr/>
            </w:pPr>
            <w:r>
              <w:rPr/>
              <w:t> </w:t>
            </w:r>
          </w:p>
        </w:tc>
        <w:tc>
          <w:tcPr>
            <w:tcW w:w="2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17,874</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lease agreements do not have a discount rate that is readily determinable. The incremental borrowing rate is determined at lease commencement or lease modification and represents the rate of interest the Group would have to pay to borrow on a collateralized basis over a similar term and an amount equal to the lease payments in a similar economic environment.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the weighted average remaining lease term was 3.92 years and 4.53 years, respectively, and the weighted average discount rate was 5.0% and 5.0% for the Group’s operating leases,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maturity of lease liabilities under operating leases as of June 30, 2023:</w:t>
      </w:r>
    </w:p>
    <w:tbl>
      <w:tblPr>
        <w:tblW w:w="4109" w:type="dxa"/>
        <w:jc w:val="left"/>
        <w:tblInd w:w="0" w:type="dxa"/>
        <w:tblLayout w:type="fixed"/>
        <w:tblCellMar>
          <w:top w:w="0" w:type="dxa"/>
          <w:left w:w="0" w:type="dxa"/>
          <w:bottom w:w="0" w:type="dxa"/>
          <w:right w:w="0" w:type="dxa"/>
        </w:tblCellMar>
      </w:tblPr>
      <w:tblGrid>
        <w:gridCol w:w="2491"/>
        <w:gridCol w:w="146"/>
        <w:gridCol w:w="226"/>
        <w:gridCol w:w="1246"/>
      </w:tblGrid>
      <w:tr>
        <w:trPr/>
        <w:tc>
          <w:tcPr>
            <w:tcW w:w="249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Leases</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215,285</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445,552</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427,228</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364,534</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225,793</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lease payments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1,678,392</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156,754</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1,521,638</w:t>
            </w:r>
          </w:p>
        </w:tc>
      </w:tr>
      <w:tr>
        <w:trPr/>
        <w:tc>
          <w:tcPr>
            <w:tcW w:w="24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378,056</w:t>
            </w:r>
          </w:p>
        </w:tc>
      </w:tr>
      <w:tr>
        <w:trPr/>
        <w:tc>
          <w:tcPr>
            <w:tcW w:w="24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portion</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1,143,582</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TAXATION</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incorporated in the Cayman Islands. Under the current laws of the Cayman Islands, the Company is not subject to income or capital gains taxes. In addition, dividend payments are not subject to withholdings tax in the Cayman Islands.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Pte. Ltd. and Quality Zone Technologies Pte. Ltd. are located in Singapore and are subject to 17% statutory income tax rate with respect to the profit generated from Singapore.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provision consisted of the following components:</w:t>
      </w:r>
    </w:p>
    <w:tbl>
      <w:tblPr>
        <w:tblW w:w="6101" w:type="dxa"/>
        <w:jc w:val="left"/>
        <w:tblInd w:w="0" w:type="dxa"/>
        <w:tblLayout w:type="fixed"/>
        <w:tblCellMar>
          <w:top w:w="0" w:type="dxa"/>
          <w:left w:w="0" w:type="dxa"/>
          <w:bottom w:w="0" w:type="dxa"/>
          <w:right w:w="0" w:type="dxa"/>
        </w:tblCellMar>
      </w:tblPr>
      <w:tblGrid>
        <w:gridCol w:w="3121"/>
        <w:gridCol w:w="146"/>
        <w:gridCol w:w="479"/>
        <w:gridCol w:w="733"/>
        <w:gridCol w:w="308"/>
        <w:gridCol w:w="479"/>
        <w:gridCol w:w="835"/>
      </w:tblGrid>
      <w:tr>
        <w:trPr/>
        <w:tc>
          <w:tcPr>
            <w:tcW w:w="312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308"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income tax expenses</w:t>
            </w:r>
          </w:p>
        </w:tc>
        <w:tc>
          <w:tcPr>
            <w:tcW w:w="146"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tax expenses</w:t>
            </w:r>
          </w:p>
        </w:tc>
        <w:tc>
          <w:tcPr>
            <w:tcW w:w="146" w:type="dxa"/>
            <w:tcBorders/>
            <w:vAlign w:val="bottom"/>
          </w:tcPr>
          <w:p>
            <w:pPr>
              <w:pStyle w:val="TableContents"/>
              <w:bidi w:val="0"/>
              <w:spacing w:before="0" w:after="283"/>
              <w:jc w:val="left"/>
              <w:rPr/>
            </w:pPr>
            <w:r>
              <w:rPr/>
              <w:t> </w:t>
            </w:r>
          </w:p>
        </w:tc>
        <w:tc>
          <w:tcPr>
            <w:tcW w:w="4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7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vAlign w:val="bottom"/>
          </w:tcPr>
          <w:p>
            <w:pPr>
              <w:pStyle w:val="TableContents"/>
              <w:bidi w:val="0"/>
              <w:spacing w:before="0" w:after="283"/>
              <w:jc w:val="left"/>
              <w:rPr/>
            </w:pPr>
            <w:r>
              <w:rPr/>
              <w:t> </w:t>
            </w:r>
          </w:p>
        </w:tc>
        <w:tc>
          <w:tcPr>
            <w:tcW w:w="47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3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income tax expenses</w:t>
            </w:r>
          </w:p>
        </w:tc>
        <w:tc>
          <w:tcPr>
            <w:tcW w:w="146" w:type="dxa"/>
            <w:tcBorders/>
            <w:shd w:fill="CCEEFF" w:val="clear"/>
            <w:vAlign w:val="bottom"/>
          </w:tcPr>
          <w:p>
            <w:pPr>
              <w:pStyle w:val="TableContents"/>
              <w:bidi w:val="0"/>
              <w:spacing w:before="0" w:after="283"/>
              <w:jc w:val="left"/>
              <w:rPr/>
            </w:pPr>
            <w:r>
              <w:rPr/>
              <w:t> </w:t>
            </w:r>
          </w:p>
        </w:tc>
        <w:tc>
          <w:tcPr>
            <w:tcW w:w="4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08" w:type="dxa"/>
            <w:tcBorders/>
            <w:shd w:fill="CCEEFF" w:val="clear"/>
            <w:vAlign w:val="bottom"/>
          </w:tcPr>
          <w:p>
            <w:pPr>
              <w:pStyle w:val="TableContents"/>
              <w:bidi w:val="0"/>
              <w:spacing w:before="0" w:after="283"/>
              <w:jc w:val="left"/>
              <w:rPr/>
            </w:pPr>
            <w:r>
              <w:rPr/>
              <w:t> </w:t>
            </w:r>
          </w:p>
        </w:tc>
        <w:tc>
          <w:tcPr>
            <w:tcW w:w="4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between the Group’s actual provision for income taxes and the provision at the SG, mainland statutory rate is as follows:</w:t>
      </w:r>
    </w:p>
    <w:tbl>
      <w:tblPr>
        <w:tblW w:w="8714" w:type="dxa"/>
        <w:jc w:val="left"/>
        <w:tblInd w:w="0" w:type="dxa"/>
        <w:tblLayout w:type="fixed"/>
        <w:tblCellMar>
          <w:top w:w="0" w:type="dxa"/>
          <w:left w:w="0" w:type="dxa"/>
          <w:bottom w:w="0" w:type="dxa"/>
          <w:right w:w="0" w:type="dxa"/>
        </w:tblCellMar>
      </w:tblPr>
      <w:tblGrid>
        <w:gridCol w:w="5251"/>
        <w:gridCol w:w="146"/>
        <w:gridCol w:w="226"/>
        <w:gridCol w:w="1141"/>
        <w:gridCol w:w="286"/>
        <w:gridCol w:w="146"/>
        <w:gridCol w:w="226"/>
        <w:gridCol w:w="961"/>
        <w:gridCol w:w="331"/>
      </w:tblGrid>
      <w:tr>
        <w:trPr/>
        <w:tc>
          <w:tcPr>
            <w:tcW w:w="525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1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5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(1,861,412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(156,703</w:t>
            </w:r>
          </w:p>
        </w:tc>
        <w:tc>
          <w:tcPr>
            <w:tcW w:w="33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 computed at statutory EIT rate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(316,440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(26,639</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Reconciling items: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96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Non-taxable income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effect on deferred offering costs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(75,242</w:t>
            </w:r>
          </w:p>
        </w:tc>
        <w:tc>
          <w:tcPr>
            <w:tcW w:w="28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391,848</w:t>
            </w:r>
          </w:p>
        </w:tc>
        <w:tc>
          <w:tcPr>
            <w:tcW w:w="2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26,772</w:t>
            </w:r>
          </w:p>
        </w:tc>
        <w:tc>
          <w:tcPr>
            <w:tcW w:w="33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expenses</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3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28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the significant components of the deferred tax assets are summarized below:</w:t>
      </w:r>
    </w:p>
    <w:tbl>
      <w:tblPr>
        <w:tblW w:w="8800" w:type="dxa"/>
        <w:jc w:val="left"/>
        <w:tblInd w:w="0" w:type="dxa"/>
        <w:tblLayout w:type="fixed"/>
        <w:tblCellMar>
          <w:top w:w="0" w:type="dxa"/>
          <w:left w:w="0" w:type="dxa"/>
          <w:bottom w:w="0" w:type="dxa"/>
          <w:right w:w="0" w:type="dxa"/>
        </w:tblCellMar>
      </w:tblPr>
      <w:tblGrid>
        <w:gridCol w:w="5371"/>
        <w:gridCol w:w="146"/>
        <w:gridCol w:w="241"/>
        <w:gridCol w:w="1081"/>
        <w:gridCol w:w="196"/>
        <w:gridCol w:w="146"/>
        <w:gridCol w:w="252"/>
        <w:gridCol w:w="1131"/>
        <w:gridCol w:w="236"/>
      </w:tblGrid>
      <w:tr>
        <w:trPr/>
        <w:tc>
          <w:tcPr>
            <w:tcW w:w="537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83"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19"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 carried forward</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562,071</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164,313</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liability</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261,815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249,558</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173,899</w:t>
            </w:r>
          </w:p>
        </w:tc>
        <w:tc>
          <w:tcPr>
            <w:tcW w:w="1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111,191</w:t>
            </w:r>
          </w:p>
        </w:tc>
        <w:tc>
          <w:tcPr>
            <w:tcW w:w="23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gross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997,785</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525,062</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(630,695</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(238,081</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assets, net of valuation allowance</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367,090</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cost assets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(92,998</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(22,686</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(261,815</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(253,994</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(12,277</w:t>
            </w:r>
          </w:p>
        </w:tc>
        <w:tc>
          <w:tcPr>
            <w:tcW w:w="19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(10,301</w:t>
            </w:r>
          </w:p>
        </w:tc>
        <w:tc>
          <w:tcPr>
            <w:tcW w:w="23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(367,090</w:t>
            </w:r>
          </w:p>
        </w:tc>
        <w:tc>
          <w:tcPr>
            <w:tcW w:w="19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(286,981</w:t>
            </w:r>
          </w:p>
        </w:tc>
        <w:tc>
          <w:tcPr>
            <w:tcW w:w="23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19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31" w:type="dxa"/>
            <w:tcBorders/>
            <w:vAlign w:val="bottom"/>
          </w:tcPr>
          <w:p>
            <w:pPr>
              <w:pStyle w:val="TableContents"/>
              <w:bidi w:val="0"/>
              <w:spacing w:before="0" w:after="283"/>
              <w:jc w:val="left"/>
              <w:rPr/>
            </w:pPr>
            <w:r>
              <w:rPr/>
              <w:t> </w:t>
            </w:r>
          </w:p>
        </w:tc>
        <w:tc>
          <w:tcPr>
            <w:tcW w:w="23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5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 (liability)</w:t>
            </w:r>
          </w:p>
        </w:tc>
        <w:tc>
          <w:tcPr>
            <w:tcW w:w="146" w:type="dxa"/>
            <w:tcBorders/>
            <w:shd w:fill="CCEEFF" w:val="clear"/>
            <w:vAlign w:val="bottom"/>
          </w:tcPr>
          <w:p>
            <w:pPr>
              <w:pStyle w:val="TableContents"/>
              <w:bidi w:val="0"/>
              <w:spacing w:before="0" w:after="283"/>
              <w:jc w:val="left"/>
              <w:rPr/>
            </w:pPr>
            <w:r>
              <w:rPr/>
              <w:t> </w:t>
            </w:r>
          </w:p>
        </w:tc>
        <w:tc>
          <w:tcPr>
            <w:tcW w:w="2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3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TAXATION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 level of historical taxable income and projections for future taxable income over the periods in which the deferred tax assets are recoverable, management estimated that it is more likely than not that the results of future operations will not generate sufficient taxable income to realize the deferred tax assets as of June 30, 2023 and December 31,2022. Thus, management decided to record all of the valuation allowance.</w:t>
      </w:r>
    </w:p>
    <w:p>
      <w:pPr>
        <w:pStyle w:val="TextBody"/>
        <w:keepNext w:val="false"/>
        <w:pageBreakBefore w:val="false"/>
        <w:widowControl/>
        <w:pBdr/>
        <w:bidi w:val="0"/>
        <w:spacing w:before="160" w:after="283"/>
        <w:ind w:left="48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roll forward of valuation allowances of deferred tax assets were as follows:</w:t>
      </w:r>
    </w:p>
    <w:tbl>
      <w:tblPr>
        <w:tblW w:w="7270" w:type="dxa"/>
        <w:jc w:val="left"/>
        <w:tblInd w:w="0" w:type="dxa"/>
        <w:tblLayout w:type="fixed"/>
        <w:tblCellMar>
          <w:top w:w="0" w:type="dxa"/>
          <w:left w:w="0" w:type="dxa"/>
          <w:bottom w:w="0" w:type="dxa"/>
          <w:right w:w="0" w:type="dxa"/>
        </w:tblCellMar>
      </w:tblPr>
      <w:tblGrid>
        <w:gridCol w:w="4126"/>
        <w:gridCol w:w="146"/>
        <w:gridCol w:w="241"/>
        <w:gridCol w:w="991"/>
        <w:gridCol w:w="146"/>
        <w:gridCol w:w="305"/>
        <w:gridCol w:w="1315"/>
      </w:tblGrid>
      <w:tr>
        <w:trPr/>
        <w:tc>
          <w:tcPr>
            <w:tcW w:w="41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9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beginning of year</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238,081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30,974</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 of valuation allowance</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391,848</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201,092</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end of year</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630,695</w:t>
            </w:r>
          </w:p>
        </w:tc>
        <w:tc>
          <w:tcPr>
            <w:tcW w:w="146" w:type="dxa"/>
            <w:tcBorders/>
            <w:vAlign w:val="bottom"/>
          </w:tcPr>
          <w:p>
            <w:pPr>
              <w:pStyle w:val="TableContents"/>
              <w:bidi w:val="0"/>
              <w:spacing w:before="0" w:after="283"/>
              <w:jc w:val="left"/>
              <w:rPr/>
            </w:pPr>
            <w:r>
              <w:rPr/>
              <w:t> </w:t>
            </w:r>
          </w:p>
        </w:tc>
        <w:tc>
          <w:tcPr>
            <w:tcW w:w="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238,081</w:t>
            </w:r>
          </w:p>
        </w:tc>
      </w:tr>
    </w:tbl>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Uncertain tax positions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June 30, 2023 and December 31, 2022, the Group did not have any significant unrecognized uncertain tax positions. The Group did not incur interest and penalties tax for the six months ended June 30, 2023 and 2022. As of June 30, 2023, the tax years ended December 31, 2018 to 2022 for the Group’s Singapore subsidiaries remain open for statutory examination by any applicable tax authorities.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2023 and December 31, 2022, summary of the borrowings is as following:</w:t>
      </w:r>
    </w:p>
    <w:tbl>
      <w:tblPr>
        <w:tblW w:w="10792" w:type="dxa"/>
        <w:jc w:val="left"/>
        <w:tblInd w:w="0" w:type="dxa"/>
        <w:tblLayout w:type="fixed"/>
        <w:tblCellMar>
          <w:top w:w="0" w:type="dxa"/>
          <w:left w:w="0" w:type="dxa"/>
          <w:bottom w:w="0" w:type="dxa"/>
          <w:right w:w="0" w:type="dxa"/>
        </w:tblCellMar>
      </w:tblPr>
      <w:tblGrid>
        <w:gridCol w:w="836"/>
        <w:gridCol w:w="146"/>
        <w:gridCol w:w="533"/>
        <w:gridCol w:w="293"/>
        <w:gridCol w:w="146"/>
        <w:gridCol w:w="1301"/>
        <w:gridCol w:w="146"/>
        <w:gridCol w:w="1301"/>
        <w:gridCol w:w="146"/>
        <w:gridCol w:w="931"/>
        <w:gridCol w:w="146"/>
        <w:gridCol w:w="1066"/>
        <w:gridCol w:w="146"/>
        <w:gridCol w:w="1126"/>
        <w:gridCol w:w="146"/>
        <w:gridCol w:w="1066"/>
        <w:gridCol w:w="146"/>
        <w:gridCol w:w="1171"/>
      </w:tblGrid>
      <w:tr>
        <w:trPr/>
        <w:tc>
          <w:tcPr>
            <w:tcW w:w="83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w:t>
              <w:br/>
              <w:t xml:space="preserve">June 30, </w:t>
              <w:br/>
              <w:t>2023</w:t>
            </w:r>
          </w:p>
        </w:tc>
        <w:tc>
          <w:tcPr>
            <w:tcW w:w="146" w:type="dxa"/>
            <w:tcBorders/>
            <w:vAlign w:val="bottom"/>
          </w:tcPr>
          <w:p>
            <w:pPr>
              <w:pStyle w:val="TableContents"/>
              <w:bidi w:val="0"/>
              <w:spacing w:before="0" w:after="283"/>
              <w:jc w:val="left"/>
              <w:rPr/>
            </w:pPr>
            <w:r>
              <w:rPr/>
              <w:t> </w:t>
            </w:r>
          </w:p>
        </w:tc>
        <w:tc>
          <w:tcPr>
            <w:tcW w:w="238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As of </w:t>
              <w:br/>
              <w:t xml:space="preserve">December 31, </w:t>
              <w:br/>
              <w:t>2022</w:t>
            </w:r>
          </w:p>
        </w:tc>
      </w:tr>
      <w:tr>
        <w:trPr/>
        <w:tc>
          <w:tcPr>
            <w:tcW w:w="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Bank</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Annual </w:t>
              <w:br/>
              <w:t xml:space="preserve">Interest </w:t>
              <w:br/>
              <w:t>Rate</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Start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Maturity</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Principal</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 xml:space="preserve">term </w:t>
              <w:br/>
              <w:t xml:space="preserve">(current </w:t>
              <w:br/>
              <w:t>portions)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Long-term</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w:t>
            </w:r>
            <w:r>
              <w:rPr>
                <w:rFonts w:ascii="Times New Roman PS Std;serif" w:hAnsi="Times New Roman PS Std;serif"/>
                <w:b/>
                <w:i w:val="false"/>
                <w:caps w:val="false"/>
                <w:smallCaps w:val="false"/>
                <w:sz w:val="18"/>
              </w:rPr>
              <w:t> </w:t>
            </w:r>
            <w:r>
              <w:rPr>
                <w:rFonts w:ascii="Times New Roman PS Std;serif" w:hAnsi="Times New Roman PS Std;serif"/>
                <w:b/>
                <w:i w:val="false"/>
                <w:caps w:val="false"/>
                <w:smallCaps w:val="false"/>
                <w:sz w:val="16"/>
              </w:rPr>
              <w:t xml:space="preserve">term </w:t>
              <w:br/>
              <w:t xml:space="preserve">(current </w:t>
              <w:br/>
              <w:t>portions)</w:t>
            </w:r>
          </w:p>
        </w:tc>
      </w:tr>
      <w:tr>
        <w:trPr/>
        <w:tc>
          <w:tcPr>
            <w:tcW w:w="8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USD</w:t>
            </w:r>
          </w:p>
        </w:tc>
      </w:tr>
      <w:tr>
        <w:trPr/>
        <w:tc>
          <w:tcPr>
            <w:tcW w:w="8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OCBC Bank</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2021</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March 2026</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22,189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7,705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4,469</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10,043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4,449</w:t>
            </w:r>
          </w:p>
        </w:tc>
      </w:tr>
      <w:tr>
        <w:trPr/>
        <w:tc>
          <w:tcPr>
            <w:tcW w:w="8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OCBC Bank</w:t>
            </w:r>
          </w:p>
        </w:tc>
        <w:tc>
          <w:tcPr>
            <w:tcW w:w="146" w:type="dxa"/>
            <w:tcBorders/>
            <w:vAlign w:val="bottom"/>
          </w:tcPr>
          <w:p>
            <w:pPr>
              <w:pStyle w:val="TableContents"/>
              <w:bidi w:val="0"/>
              <w:spacing w:before="0" w:after="283"/>
              <w:jc w:val="left"/>
              <w:rPr/>
            </w:pPr>
            <w:r>
              <w:rPr/>
              <w:t> </w:t>
            </w:r>
          </w:p>
        </w:tc>
        <w:tc>
          <w:tcPr>
            <w:tcW w:w="5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4.25</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2021</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2026</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25,888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12,379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15,095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5,046</w:t>
            </w:r>
          </w:p>
        </w:tc>
      </w:tr>
      <w:tr>
        <w:trPr/>
        <w:tc>
          <w:tcPr>
            <w:tcW w:w="83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UOB Bank</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4.00</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2022</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 2027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373,023</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218,538</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71,413</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256,862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70,622</w:t>
            </w:r>
          </w:p>
        </w:tc>
      </w:tr>
      <w:tr>
        <w:trPr/>
        <w:tc>
          <w:tcPr>
            <w:tcW w:w="83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Maybank Singapore Limited</w:t>
            </w:r>
          </w:p>
        </w:tc>
        <w:tc>
          <w:tcPr>
            <w:tcW w:w="146" w:type="dxa"/>
            <w:tcBorders/>
            <w:vAlign w:val="bottom"/>
          </w:tcPr>
          <w:p>
            <w:pPr>
              <w:pStyle w:val="TableContents"/>
              <w:bidi w:val="0"/>
              <w:spacing w:before="0" w:after="283"/>
              <w:jc w:val="left"/>
              <w:rPr/>
            </w:pPr>
            <w:r>
              <w:rPr/>
              <w:t> </w:t>
            </w:r>
          </w:p>
        </w:tc>
        <w:tc>
          <w:tcPr>
            <w:tcW w:w="5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2022</w:t>
            </w:r>
          </w:p>
        </w:tc>
        <w:tc>
          <w:tcPr>
            <w:tcW w:w="146" w:type="dxa"/>
            <w:tcBorders/>
            <w:vAlign w:val="bottom"/>
          </w:tcPr>
          <w:p>
            <w:pPr>
              <w:pStyle w:val="TableContents"/>
              <w:bidi w:val="0"/>
              <w:spacing w:before="0" w:after="283"/>
              <w:jc w:val="left"/>
              <w:rPr/>
            </w:pPr>
            <w:r>
              <w:rPr/>
              <w:t> </w:t>
            </w:r>
          </w:p>
        </w:tc>
        <w:tc>
          <w:tcPr>
            <w:tcW w:w="13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2027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298,418</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186,246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56,140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216,572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55,243</w:t>
            </w:r>
          </w:p>
        </w:tc>
      </w:tr>
      <w:tr>
        <w:trPr/>
        <w:tc>
          <w:tcPr>
            <w:tcW w:w="83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719,518</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424,868</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137,130</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498,572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135,360</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 were $13,394 and $3,143 for the six months ended June 30, 2023 and 2022,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borrowings above are guaranteed by the Group’s shareholder, Poh Kiong Tan.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BORROWINGS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Maturities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contractual maturities of the Group’s borrowings as of June 30, 2023 were as follows:</w:t>
      </w:r>
    </w:p>
    <w:tbl>
      <w:tblPr>
        <w:tblW w:w="2729" w:type="dxa"/>
        <w:jc w:val="left"/>
        <w:tblInd w:w="0" w:type="dxa"/>
        <w:tblLayout w:type="fixed"/>
        <w:tblCellMar>
          <w:top w:w="0" w:type="dxa"/>
          <w:left w:w="0" w:type="dxa"/>
          <w:bottom w:w="0" w:type="dxa"/>
          <w:right w:w="0" w:type="dxa"/>
        </w:tblCellMar>
      </w:tblPr>
      <w:tblGrid>
        <w:gridCol w:w="1426"/>
        <w:gridCol w:w="146"/>
        <w:gridCol w:w="226"/>
        <w:gridCol w:w="931"/>
      </w:tblGrid>
      <w:tr>
        <w:trPr/>
        <w:tc>
          <w:tcPr>
            <w:tcW w:w="142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1 year</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137,130</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 2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280,653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 3 years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77,352</w:t>
            </w:r>
          </w:p>
        </w:tc>
      </w:tr>
      <w:tr>
        <w:trPr/>
        <w:tc>
          <w:tcPr>
            <w:tcW w:w="14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 4 years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66,863</w:t>
            </w:r>
          </w:p>
        </w:tc>
      </w:tr>
      <w:tr>
        <w:trPr/>
        <w:tc>
          <w:tcPr>
            <w:tcW w:w="14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561,998</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consisted of the following:</w:t>
      </w:r>
    </w:p>
    <w:tbl>
      <w:tblPr>
        <w:tblW w:w="5395" w:type="dxa"/>
        <w:jc w:val="left"/>
        <w:tblInd w:w="0" w:type="dxa"/>
        <w:tblLayout w:type="fixed"/>
        <w:tblCellMar>
          <w:top w:w="0" w:type="dxa"/>
          <w:left w:w="0" w:type="dxa"/>
          <w:bottom w:w="0" w:type="dxa"/>
          <w:right w:w="0" w:type="dxa"/>
        </w:tblCellMar>
      </w:tblPr>
      <w:tblGrid>
        <w:gridCol w:w="2416"/>
        <w:gridCol w:w="146"/>
        <w:gridCol w:w="294"/>
        <w:gridCol w:w="998"/>
        <w:gridCol w:w="190"/>
        <w:gridCol w:w="294"/>
        <w:gridCol w:w="1057"/>
      </w:tblGrid>
      <w:tr>
        <w:trPr/>
        <w:tc>
          <w:tcPr>
            <w:tcW w:w="241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4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90" w:type="dxa"/>
            <w:tcBorders/>
            <w:vAlign w:val="bottom"/>
          </w:tcPr>
          <w:p>
            <w:pPr>
              <w:pStyle w:val="TableContents"/>
              <w:bidi w:val="0"/>
              <w:spacing w:before="0" w:after="283"/>
              <w:jc w:val="left"/>
              <w:rPr/>
            </w:pPr>
            <w:r>
              <w:rPr/>
              <w:t> </w:t>
            </w:r>
          </w:p>
        </w:tc>
        <w:tc>
          <w:tcPr>
            <w:tcW w:w="135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24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subsidies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13,516</w:t>
            </w:r>
          </w:p>
        </w:tc>
        <w:tc>
          <w:tcPr>
            <w:tcW w:w="19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58,598</w:t>
            </w:r>
          </w:p>
        </w:tc>
      </w:tr>
      <w:tr>
        <w:trPr/>
        <w:tc>
          <w:tcPr>
            <w:tcW w:w="24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Referral commission(1)</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90"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4,285</w:t>
            </w:r>
          </w:p>
        </w:tc>
      </w:tr>
      <w:tr>
        <w:trPr/>
        <w:tc>
          <w:tcPr>
            <w:tcW w:w="24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998"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7,642</w:t>
            </w:r>
          </w:p>
        </w:tc>
        <w:tc>
          <w:tcPr>
            <w:tcW w:w="19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5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8,136</w:t>
            </w:r>
          </w:p>
        </w:tc>
      </w:tr>
      <w:tr>
        <w:trPr/>
        <w:tc>
          <w:tcPr>
            <w:tcW w:w="24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8"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21,158</w:t>
            </w:r>
          </w:p>
        </w:tc>
        <w:tc>
          <w:tcPr>
            <w:tcW w:w="190"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71,019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Group recorded referral fees as other income when other consulting services providers successfully engaged by customer and paid the Group referral fee.</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list of related parties which the Group has transactions with:</w:t>
      </w:r>
    </w:p>
    <w:tbl>
      <w:tblPr>
        <w:tblW w:w="8500" w:type="dxa"/>
        <w:jc w:val="left"/>
        <w:tblInd w:w="0" w:type="dxa"/>
        <w:tblLayout w:type="fixed"/>
        <w:tblCellMar>
          <w:top w:w="0" w:type="dxa"/>
          <w:left w:w="0" w:type="dxa"/>
          <w:bottom w:w="0" w:type="dxa"/>
          <w:right w:w="0" w:type="dxa"/>
        </w:tblCellMar>
      </w:tblPr>
      <w:tblGrid>
        <w:gridCol w:w="526"/>
        <w:gridCol w:w="146"/>
        <w:gridCol w:w="2911"/>
        <w:gridCol w:w="146"/>
        <w:gridCol w:w="4771"/>
      </w:tblGrid>
      <w:tr>
        <w:trPr/>
        <w:tc>
          <w:tcPr>
            <w:tcW w:w="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w:t>
            </w:r>
          </w:p>
        </w:tc>
        <w:tc>
          <w:tcPr>
            <w:tcW w:w="146" w:type="dxa"/>
            <w:tcBorders/>
            <w:vAlign w:val="bottom"/>
          </w:tcPr>
          <w:p>
            <w:pPr>
              <w:pStyle w:val="TableContents"/>
              <w:bidi w:val="0"/>
              <w:spacing w:before="0" w:after="283"/>
              <w:jc w:val="left"/>
              <w:rPr/>
            </w:pPr>
            <w:r>
              <w:rPr/>
              <w:t> </w:t>
            </w:r>
          </w:p>
        </w:tc>
        <w:tc>
          <w:tcPr>
            <w:tcW w:w="29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Parties</w:t>
            </w:r>
          </w:p>
        </w:tc>
        <w:tc>
          <w:tcPr>
            <w:tcW w:w="146" w:type="dxa"/>
            <w:tcBorders/>
            <w:vAlign w:val="bottom"/>
          </w:tcPr>
          <w:p>
            <w:pPr>
              <w:pStyle w:val="TableContents"/>
              <w:bidi w:val="0"/>
              <w:spacing w:before="0" w:after="283"/>
              <w:jc w:val="left"/>
              <w:rPr/>
            </w:pPr>
            <w:r>
              <w:rPr/>
              <w:t> </w:t>
            </w:r>
          </w:p>
        </w:tc>
        <w:tc>
          <w:tcPr>
            <w:tcW w:w="4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with the Group</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Chairman, Chief Executive Officer</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r>
        <w:trPr/>
        <w:tc>
          <w:tcPr>
            <w:tcW w:w="52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tcPr>
          <w:p>
            <w:pPr>
              <w:pStyle w:val="TableContents"/>
              <w:bidi w:val="0"/>
              <w:spacing w:before="0" w:after="283"/>
              <w:jc w:val="left"/>
              <w:rPr/>
            </w:pPr>
            <w:r>
              <w:rPr/>
              <w:t> </w:t>
            </w:r>
          </w:p>
        </w:tc>
        <w:tc>
          <w:tcPr>
            <w:tcW w:w="29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Foodtech Pte. Ltd.</w:t>
            </w:r>
          </w:p>
        </w:tc>
        <w:tc>
          <w:tcPr>
            <w:tcW w:w="146" w:type="dxa"/>
            <w:tcBorders/>
          </w:tcPr>
          <w:p>
            <w:pPr>
              <w:pStyle w:val="TableContents"/>
              <w:bidi w:val="0"/>
              <w:spacing w:before="0" w:after="283"/>
              <w:jc w:val="left"/>
              <w:rPr/>
            </w:pPr>
            <w:r>
              <w:rPr/>
              <w:t> </w:t>
            </w:r>
          </w:p>
        </w:tc>
        <w:tc>
          <w:tcPr>
            <w:tcW w:w="47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 equity interests owned by Soon Huat Lim</w:t>
            </w:r>
          </w:p>
        </w:tc>
      </w:tr>
    </w:tbl>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from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from related parties consisted of the following for the periods indicated:</w:t>
      </w:r>
    </w:p>
    <w:tbl>
      <w:tblPr>
        <w:tblW w:w="4960" w:type="dxa"/>
        <w:jc w:val="left"/>
        <w:tblInd w:w="0" w:type="dxa"/>
        <w:tblLayout w:type="fixed"/>
        <w:tblCellMar>
          <w:top w:w="0" w:type="dxa"/>
          <w:left w:w="0" w:type="dxa"/>
          <w:bottom w:w="0" w:type="dxa"/>
          <w:right w:w="0" w:type="dxa"/>
        </w:tblCellMar>
      </w:tblPr>
      <w:tblGrid>
        <w:gridCol w:w="1816"/>
        <w:gridCol w:w="146"/>
        <w:gridCol w:w="241"/>
        <w:gridCol w:w="991"/>
        <w:gridCol w:w="146"/>
        <w:gridCol w:w="617"/>
        <w:gridCol w:w="1003"/>
      </w:tblGrid>
      <w:tr>
        <w:trPr/>
        <w:tc>
          <w:tcPr>
            <w:tcW w:w="181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98"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995,563</w:t>
            </w:r>
          </w:p>
        </w:tc>
        <w:tc>
          <w:tcPr>
            <w:tcW w:w="14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995,563</w:t>
            </w:r>
          </w:p>
        </w:tc>
        <w:tc>
          <w:tcPr>
            <w:tcW w:w="146" w:type="dxa"/>
            <w:tcBorders/>
            <w:vAlign w:val="bottom"/>
          </w:tcPr>
          <w:p>
            <w:pPr>
              <w:pStyle w:val="TableContents"/>
              <w:bidi w:val="0"/>
              <w:spacing w:before="0" w:after="283"/>
              <w:jc w:val="left"/>
              <w:rPr/>
            </w:pPr>
            <w:r>
              <w:rPr/>
              <w:t> </w:t>
            </w:r>
          </w:p>
        </w:tc>
        <w:tc>
          <w:tcPr>
            <w:tcW w:w="617"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to this related party with no fixed term of repayment and interest. The Group has received the $995,563 in September      ,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Amounts due to 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Amounts due to related parties consisted of the following for the periods indicated:</w:t>
      </w:r>
    </w:p>
    <w:tbl>
      <w:tblPr>
        <w:tblW w:w="6205" w:type="dxa"/>
        <w:jc w:val="left"/>
        <w:tblInd w:w="0" w:type="dxa"/>
        <w:tblLayout w:type="fixed"/>
        <w:tblCellMar>
          <w:top w:w="0" w:type="dxa"/>
          <w:left w:w="0" w:type="dxa"/>
          <w:bottom w:w="0" w:type="dxa"/>
          <w:right w:w="0" w:type="dxa"/>
        </w:tblCellMar>
      </w:tblPr>
      <w:tblGrid>
        <w:gridCol w:w="3196"/>
        <w:gridCol w:w="146"/>
        <w:gridCol w:w="241"/>
        <w:gridCol w:w="856"/>
        <w:gridCol w:w="146"/>
        <w:gridCol w:w="305"/>
        <w:gridCol w:w="1315"/>
      </w:tblGrid>
      <w:tr>
        <w:trPr/>
        <w:tc>
          <w:tcPr>
            <w:tcW w:w="319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31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Tan(1)</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56"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40,197</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11,491</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Huat Lim(2)</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r>
      <w:tr>
        <w:trPr/>
        <w:tc>
          <w:tcPr>
            <w:tcW w:w="3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Consultancy Pte. Ltd.(3)</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8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31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513,280</w:t>
            </w:r>
          </w:p>
        </w:tc>
      </w:tr>
      <w:tr>
        <w:trPr/>
        <w:tc>
          <w:tcPr>
            <w:tcW w:w="3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4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5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40,197</w:t>
            </w:r>
          </w:p>
        </w:tc>
        <w:tc>
          <w:tcPr>
            <w:tcW w:w="146" w:type="dxa"/>
            <w:tcBorders/>
            <w:vAlign w:val="bottom"/>
          </w:tcPr>
          <w:p>
            <w:pPr>
              <w:pStyle w:val="TableContents"/>
              <w:bidi w:val="0"/>
              <w:spacing w:before="0" w:after="283"/>
              <w:jc w:val="left"/>
              <w:rPr/>
            </w:pPr>
            <w:r>
              <w:rPr/>
              <w:t> </w:t>
            </w:r>
          </w:p>
        </w:tc>
        <w:tc>
          <w:tcPr>
            <w:tcW w:w="30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5"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526,263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represented loan from this related party for the Group’s daily operation with no fixed term of repayment and interest, and expense paid on behalf of the Group.</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represented loan from this related party.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balance represented interest-free loan from this related party for the Group’s daily operation at maturity within three months, offset by loan to this related party.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transactions</w:t>
      </w:r>
    </w:p>
    <w:tbl>
      <w:tblPr>
        <w:tblW w:w="7390" w:type="dxa"/>
        <w:jc w:val="left"/>
        <w:tblInd w:w="0" w:type="dxa"/>
        <w:tblLayout w:type="fixed"/>
        <w:tblCellMar>
          <w:top w:w="0" w:type="dxa"/>
          <w:left w:w="0" w:type="dxa"/>
          <w:bottom w:w="0" w:type="dxa"/>
          <w:right w:w="0" w:type="dxa"/>
        </w:tblCellMar>
      </w:tblPr>
      <w:tblGrid>
        <w:gridCol w:w="4411"/>
        <w:gridCol w:w="146"/>
        <w:gridCol w:w="246"/>
        <w:gridCol w:w="1165"/>
        <w:gridCol w:w="159"/>
        <w:gridCol w:w="246"/>
        <w:gridCol w:w="1017"/>
      </w:tblGrid>
      <w:tr>
        <w:trPr/>
        <w:tc>
          <w:tcPr>
            <w:tcW w:w="441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Nature</w:t>
            </w:r>
          </w:p>
        </w:tc>
        <w:tc>
          <w:tcPr>
            <w:tcW w:w="146"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59"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20,411</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on behalf of the Group</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21,756</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 from shareholder(1)</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36,266</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Soon Huat Lim</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vAlign w:val="bottom"/>
          </w:tcPr>
          <w:p>
            <w:pPr>
              <w:pStyle w:val="TableContents"/>
              <w:bidi w:val="0"/>
              <w:spacing w:before="0" w:after="283"/>
              <w:jc w:val="left"/>
              <w:rPr/>
            </w:pPr>
            <w:r>
              <w:rPr/>
              <w:t> </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1,465</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parties</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to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1,007,634</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dividend</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74,845</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229,201</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Consultancy Pte. Ltd.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823,292</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party</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299,379</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from loan to a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15,717</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Trident Foodtech Pte. Ltd.</w:t>
            </w:r>
          </w:p>
        </w:tc>
        <w:tc>
          <w:tcPr>
            <w:tcW w:w="146"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16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017" w:type="dxa"/>
            <w:tcBorders/>
            <w:shd w:fill="CCEEFF" w:val="clear"/>
            <w:vAlign w:val="bottom"/>
          </w:tcPr>
          <w:p>
            <w:pPr>
              <w:pStyle w:val="TableContents"/>
              <w:bidi w:val="0"/>
              <w:spacing w:before="0" w:after="283"/>
              <w:jc w:val="left"/>
              <w:rPr/>
            </w:pPr>
            <w:r>
              <w:rPr/>
              <w:t> </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expense to related party</w:t>
            </w:r>
          </w:p>
        </w:tc>
        <w:tc>
          <w:tcPr>
            <w:tcW w:w="146"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6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4,491</w:t>
            </w:r>
          </w:p>
        </w:tc>
        <w:tc>
          <w:tcPr>
            <w:tcW w:w="159" w:type="dxa"/>
            <w:tcBorders/>
            <w:vAlign w:val="bottom"/>
          </w:tcPr>
          <w:p>
            <w:pPr>
              <w:pStyle w:val="TableContents"/>
              <w:bidi w:val="0"/>
              <w:spacing w:before="0" w:after="283"/>
              <w:jc w:val="left"/>
              <w:rPr/>
            </w:pPr>
            <w:r>
              <w:rPr/>
              <w:t> </w:t>
            </w:r>
          </w:p>
        </w:tc>
        <w:tc>
          <w:tcPr>
            <w:tcW w:w="24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1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six months ended June 30, 2022, QZT received contribution from Poh Kiong Tan. The contribution was implemented to reduce the outstanding balance due to Poh Kiong Tan by $36,266.</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CONCENTRATION OF CREDIT RISK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br/>
        <w:t>NOTES TO UNAUDITED CONDENSED CONSOLIDATED FINANCIAL STATEMENTS</w:t>
        <w:br/>
        <w:t>(In U.S. dollars, except for share and per share data, or otherwise noted)</w:t>
      </w:r>
    </w:p>
    <w:p>
      <w:pPr>
        <w:pStyle w:val="TextBody"/>
        <w:keepNext w:val="true"/>
        <w:pageBreakBefore w:val="false"/>
        <w:widowControl/>
        <w:pBdr/>
        <w:bidi w:val="0"/>
        <w:spacing w:before="240" w:after="200"/>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CONCENTRATION OF CREDIT RISK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revenue.</w:t>
      </w:r>
    </w:p>
    <w:tbl>
      <w:tblPr>
        <w:tblW w:w="7001" w:type="dxa"/>
        <w:jc w:val="left"/>
        <w:tblInd w:w="0" w:type="dxa"/>
        <w:tblLayout w:type="fixed"/>
        <w:tblCellMar>
          <w:top w:w="0" w:type="dxa"/>
          <w:left w:w="0" w:type="dxa"/>
          <w:bottom w:w="0" w:type="dxa"/>
          <w:right w:w="0" w:type="dxa"/>
        </w:tblCellMar>
      </w:tblPr>
      <w:tblGrid>
        <w:gridCol w:w="4021"/>
        <w:gridCol w:w="146"/>
        <w:gridCol w:w="673"/>
        <w:gridCol w:w="556"/>
        <w:gridCol w:w="283"/>
        <w:gridCol w:w="673"/>
        <w:gridCol w:w="649"/>
      </w:tblGrid>
      <w:tr>
        <w:trPr/>
        <w:tc>
          <w:tcPr>
            <w:tcW w:w="4021"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4"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0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283" w:type="dxa"/>
            <w:tcBorders/>
            <w:vAlign w:val="bottom"/>
          </w:tcPr>
          <w:p>
            <w:pPr>
              <w:pStyle w:val="TableContents"/>
              <w:bidi w:val="0"/>
              <w:spacing w:before="0" w:after="283"/>
              <w:jc w:val="left"/>
              <w:rPr/>
            </w:pPr>
            <w:r>
              <w:rPr/>
              <w:t> </w:t>
            </w:r>
          </w:p>
        </w:tc>
        <w:tc>
          <w:tcPr>
            <w:tcW w:w="132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2022</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total revenue</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A</w:t>
            </w:r>
          </w:p>
        </w:tc>
        <w:tc>
          <w:tcPr>
            <w:tcW w:w="146"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B</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556"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C</w:t>
            </w:r>
          </w:p>
        </w:tc>
        <w:tc>
          <w:tcPr>
            <w:tcW w:w="146"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83" w:type="dxa"/>
            <w:tcBorders/>
            <w:vAlign w:val="bottom"/>
          </w:tcPr>
          <w:p>
            <w:pPr>
              <w:pStyle w:val="TableContents"/>
              <w:bidi w:val="0"/>
              <w:spacing w:before="0" w:after="283"/>
              <w:jc w:val="left"/>
              <w:rPr/>
            </w:pPr>
            <w:r>
              <w:rPr/>
              <w:t> </w:t>
            </w:r>
          </w:p>
        </w:tc>
        <w:tc>
          <w:tcPr>
            <w:tcW w:w="67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D</w:t>
            </w:r>
          </w:p>
        </w:tc>
        <w:tc>
          <w:tcPr>
            <w:tcW w:w="146"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56" w:type="dxa"/>
            <w:tcBorders/>
            <w:shd w:fill="CCEEFF"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283"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6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5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83" w:type="dxa"/>
            <w:tcBorders/>
            <w:vAlign w:val="bottom"/>
          </w:tcPr>
          <w:p>
            <w:pPr>
              <w:pStyle w:val="TableContents"/>
              <w:bidi w:val="0"/>
              <w:spacing w:before="0" w:after="283"/>
              <w:jc w:val="left"/>
              <w:rPr/>
            </w:pPr>
            <w:r>
              <w:rPr/>
              <w:t> </w:t>
            </w:r>
          </w:p>
        </w:tc>
        <w:tc>
          <w:tcPr>
            <w:tcW w:w="673"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6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 summary of single customers who represented 10% or more of the Group’s total accounts receivable:</w:t>
      </w:r>
    </w:p>
    <w:tbl>
      <w:tblPr>
        <w:tblW w:w="7568" w:type="dxa"/>
        <w:jc w:val="left"/>
        <w:tblInd w:w="0" w:type="dxa"/>
        <w:tblLayout w:type="fixed"/>
        <w:tblCellMar>
          <w:top w:w="0" w:type="dxa"/>
          <w:left w:w="0" w:type="dxa"/>
          <w:bottom w:w="0" w:type="dxa"/>
          <w:right w:w="0" w:type="dxa"/>
        </w:tblCellMar>
      </w:tblPr>
      <w:tblGrid>
        <w:gridCol w:w="4666"/>
        <w:gridCol w:w="146"/>
        <w:gridCol w:w="541"/>
        <w:gridCol w:w="449"/>
        <w:gridCol w:w="146"/>
        <w:gridCol w:w="827"/>
        <w:gridCol w:w="793"/>
      </w:tblGrid>
      <w:tr>
        <w:trPr/>
        <w:tc>
          <w:tcPr>
            <w:tcW w:w="4666" w:type="dxa"/>
            <w:tcBorders/>
            <w:vAlign w:val="bottom"/>
          </w:tcPr>
          <w:p>
            <w:pPr>
              <w:pStyle w:val="TableContents"/>
              <w:bidi w:val="0"/>
              <w:spacing w:before="0" w:after="283"/>
              <w:ind w:left="0" w:right="60" w:hanging="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5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rPr/>
        <w:tc>
          <w:tcPr>
            <w:tcW w:w="46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2023</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2022</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Percentage of the Group’s accounts receivable</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 </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E</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79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F</w:t>
            </w:r>
          </w:p>
        </w:tc>
        <w:tc>
          <w:tcPr>
            <w:tcW w:w="146"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7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G</w:t>
            </w:r>
          </w:p>
        </w:tc>
        <w:tc>
          <w:tcPr>
            <w:tcW w:w="146" w:type="dxa"/>
            <w:tcBorders/>
            <w:vAlign w:val="bottom"/>
          </w:tcPr>
          <w:p>
            <w:pPr>
              <w:pStyle w:val="TableContents"/>
              <w:bidi w:val="0"/>
              <w:spacing w:before="0" w:after="283"/>
              <w:jc w:val="left"/>
              <w:rPr/>
            </w:pPr>
            <w:r>
              <w:rPr/>
              <w:t> </w:t>
            </w:r>
          </w:p>
        </w:tc>
        <w:tc>
          <w:tcPr>
            <w:tcW w:w="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4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79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49"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93" w:type="dxa"/>
            <w:tcBorders/>
            <w:shd w:fill="CCEEFF"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COMMITMENTS AND CONTINGENCIES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material pending or threatened claims and litigation as of the issuance date of these consolidated financial statements.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evaluated subsequent events through the date of issuance of the consolidated financial statements and did not identify any subsequent events with material financial impact on the Group’s consolidated financial statements.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6. INDEMNIFICATION OF DIRECTORS AND OFFICERS.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form of indemnification agreements filed as Exhibit 10.2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underwriting agreement to be filed as Exhibit 1.1 to this registration statement will also provide indemnification for us and our officers and directors for certain liabilities.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7. RECENT SALES OF UNREGISTERED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we have issued the following securities. We believe that each of the following issuances was exempt from registration under the Securities Act pursuant to Section 4(a)(2) of the Securities Act regarding transactions not involving a public offering or in reliance on Regulation S under the Securities Act regarding sales by an issuer in offshore transactions. No underwriters were involved in these issuances of securities.</w:t>
      </w:r>
    </w:p>
    <w:tbl>
      <w:tblPr>
        <w:tblW w:w="10205" w:type="dxa"/>
        <w:jc w:val="left"/>
        <w:tblInd w:w="0" w:type="dxa"/>
        <w:tblLayout w:type="fixed"/>
        <w:tblCellMar>
          <w:top w:w="0" w:type="dxa"/>
          <w:left w:w="0" w:type="dxa"/>
          <w:bottom w:w="0" w:type="dxa"/>
          <w:right w:w="0" w:type="dxa"/>
        </w:tblCellMar>
      </w:tblPr>
      <w:tblGrid>
        <w:gridCol w:w="4660"/>
        <w:gridCol w:w="146"/>
        <w:gridCol w:w="1361"/>
        <w:gridCol w:w="146"/>
        <w:gridCol w:w="2123"/>
        <w:gridCol w:w="146"/>
        <w:gridCol w:w="1623"/>
      </w:tblGrid>
      <w:tr>
        <w:trPr/>
        <w:tc>
          <w:tcPr>
            <w:tcW w:w="46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Securities/Purchaser</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Issuance</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left"/>
              <w:rPr/>
            </w:pPr>
            <w:r>
              <w:rPr/>
              <w:t> </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Sertus Nominees (Cayman) Limited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0.00001</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Digital Tech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49,999,999</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US$ 499.99999</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B Ordinary Shares</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left"/>
              <w:rPr/>
            </w:pPr>
            <w:r>
              <w:rPr/>
              <w:t> </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Group Holdings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1,500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 Wealth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12,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125,705,000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1,257.05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Soon Tai Lee</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3,000,000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Yat Hong Lo</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4,000,000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Stone Wealth Compound Fund SPC</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24,795,000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499,990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Alpha Plus Investment Consulting Company Pte. Ltd.</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245</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Poh Kiong Tan</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Shisong Mai</w:t>
            </w:r>
          </w:p>
        </w:tc>
        <w:tc>
          <w:tcPr>
            <w:tcW w:w="146" w:type="dxa"/>
            <w:tcBorders/>
            <w:vAlign w:val="bottom"/>
          </w:tcPr>
          <w:p>
            <w:pPr>
              <w:pStyle w:val="TableContents"/>
              <w:bidi w:val="0"/>
              <w:spacing w:before="0" w:after="283"/>
              <w:jc w:val="left"/>
              <w:rPr/>
            </w:pPr>
            <w:r>
              <w:rPr/>
              <w:t> </w:t>
            </w:r>
          </w:p>
        </w:tc>
        <w:tc>
          <w:tcPr>
            <w:tcW w:w="13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vAlign w:val="bottom"/>
          </w:tcPr>
          <w:p>
            <w:pPr>
              <w:pStyle w:val="TableContents"/>
              <w:bidi w:val="0"/>
              <w:spacing w:before="0" w:after="283"/>
              <w:jc w:val="left"/>
              <w:rPr/>
            </w:pPr>
            <w:r>
              <w:rPr/>
              <w:t> </w:t>
            </w:r>
          </w:p>
        </w:tc>
        <w:tc>
          <w:tcPr>
            <w:tcW w:w="212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100</w:t>
            </w:r>
          </w:p>
        </w:tc>
      </w:tr>
      <w:tr>
        <w:trPr/>
        <w:tc>
          <w:tcPr>
            <w:tcW w:w="466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Trident Verse Ltd</w:t>
            </w:r>
          </w:p>
        </w:tc>
        <w:tc>
          <w:tcPr>
            <w:tcW w:w="146"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4, 2023</w:t>
            </w:r>
          </w:p>
        </w:tc>
        <w:tc>
          <w:tcPr>
            <w:tcW w:w="146" w:type="dxa"/>
            <w:tcBorders/>
            <w:shd w:fill="CCEEFF" w:val="clear"/>
            <w:vAlign w:val="bottom"/>
          </w:tcPr>
          <w:p>
            <w:pPr>
              <w:pStyle w:val="TableContents"/>
              <w:bidi w:val="0"/>
              <w:spacing w:before="0" w:after="283"/>
              <w:jc w:val="left"/>
              <w:rPr/>
            </w:pPr>
            <w:r>
              <w:rPr/>
              <w:t> </w:t>
            </w:r>
          </w:p>
        </w:tc>
        <w:tc>
          <w:tcPr>
            <w:tcW w:w="212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50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8. EXHIBITS AND FINANCIAL STATEMENT SCHEDULES.</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II-4 of this registration statement.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consolidated financial statements and the related notes thereto.</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sz w:val="20"/>
        </w:rPr>
      </w:pPr>
      <w:r>
        <w:rPr>
          <w:rFonts w:ascii="Times New Roman PS Std;serif" w:hAnsi="Times New Roman PS Std;serif"/>
          <w:b/>
          <w:i w:val="false"/>
          <w:caps/>
          <w:sz w:val="20"/>
        </w:rPr>
        <w:t>Item 9. UNDERTAKINGS.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 to file a post-effective amendment to the registration statement to include any financial statements required by Item 8.A of Form 20-F at the start of any delayed offering or throughout a continuous offering.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Any other communication that is an offer in the offering made by the undersigned registrant to the purchaser.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96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404"/>
        <w:gridCol w:w="146"/>
        <w:gridCol w:w="8655"/>
      </w:tblGrid>
      <w:tr>
        <w:trPr/>
        <w:tc>
          <w:tcPr>
            <w:tcW w:w="14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Number</w:t>
            </w:r>
          </w:p>
        </w:tc>
        <w:tc>
          <w:tcPr>
            <w:tcW w:w="146" w:type="dxa"/>
            <w:tcBorders/>
            <w:vAlign w:val="bottom"/>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 of Documents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Memorandum and Articles of Association of the Registrant, as currently in effect</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Amended and Restated Memorandum and Articles of Association of the Registrant, as effective immediately prior to the completion of this offering</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Registrant’s Specimen American Depositary Receipt (included in Exhibit 4.3)</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Registrant’s Specimen Certificate for Class B ordinary shares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Deposit Agreement between the Registrant, the depositary and holders of the American Depositary Receipts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the validity of the Class B ordinary shares being registered</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Maples and Calder (Hong Kong) LLP regarding certain Cayman Island tax matters (included in Exhibit 5.1)</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Opinion of Resource Law LLC (in alliance with Reed Smith) regarding certain Singapore tax matters </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Indemnification Agreement between the Registrant and its directors and executive officers</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Employment Agreement, between the Registrant and its executive officers</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 Equity Incentive Plan</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Subsidiaries of the Registrant</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Marcum Asia CPAs LLP, Independent Registered Public Accounting Firm</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Maples and Calder (Hong Kong) LLP (included in Exhibit 5.1)</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Resource Law LLC (in alliance with Reed Smith) (included in Exhibit 8.2)</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Powers of Attorney (included on signature page)</w:t>
            </w:r>
          </w:p>
        </w:tc>
      </w:tr>
      <w:tr>
        <w:trPr/>
        <w:tc>
          <w:tcPr>
            <w:tcW w:w="1404"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65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Code of Business Conduct and Ethics of the Registrant </w:t>
            </w:r>
          </w:p>
        </w:tc>
      </w:tr>
      <w:tr>
        <w:trPr/>
        <w:tc>
          <w:tcPr>
            <w:tcW w:w="1404"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6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Frost &amp; Sullivan</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18"/>
        </w:rPr>
        <w:t>Previously filed.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            ], 2023.</w:t>
      </w:r>
    </w:p>
    <w:tbl>
      <w:tblPr>
        <w:tblW w:w="4056" w:type="dxa"/>
        <w:jc w:val="left"/>
        <w:tblInd w:w="0" w:type="dxa"/>
        <w:tblLayout w:type="fixed"/>
        <w:tblCellMar>
          <w:top w:w="0" w:type="dxa"/>
          <w:left w:w="0" w:type="dxa"/>
          <w:bottom w:w="0" w:type="dxa"/>
          <w:right w:w="0" w:type="dxa"/>
        </w:tblCellMar>
      </w:tblPr>
      <w:tblGrid>
        <w:gridCol w:w="161"/>
        <w:gridCol w:w="146"/>
        <w:gridCol w:w="1158"/>
        <w:gridCol w:w="401"/>
        <w:gridCol w:w="2190"/>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49"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Trident Digital Tech Holdings Ltd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constitutes and appoints [            ] and [            ]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6400" w:type="dxa"/>
        <w:jc w:val="left"/>
        <w:tblInd w:w="0" w:type="dxa"/>
        <w:tblLayout w:type="fixed"/>
        <w:tblCellMar>
          <w:top w:w="0" w:type="dxa"/>
          <w:left w:w="0" w:type="dxa"/>
          <w:bottom w:w="0" w:type="dxa"/>
          <w:right w:w="0" w:type="dxa"/>
        </w:tblCellMar>
      </w:tblPr>
      <w:tblGrid>
        <w:gridCol w:w="1696"/>
        <w:gridCol w:w="146"/>
        <w:gridCol w:w="3061"/>
        <w:gridCol w:w="146"/>
        <w:gridCol w:w="1351"/>
      </w:tblGrid>
      <w:tr>
        <w:trPr/>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30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c>
          <w:tcPr>
            <w:tcW w:w="146" w:type="dxa"/>
            <w:tcBorders/>
          </w:tcPr>
          <w:p>
            <w:pPr>
              <w:pStyle w:val="TableContents"/>
              <w:bidi w:val="0"/>
              <w:spacing w:before="0" w:after="283"/>
              <w:jc w:val="left"/>
              <w:rPr/>
            </w:pPr>
            <w:r>
              <w:rPr/>
              <w:t> </w:t>
            </w:r>
          </w:p>
        </w:tc>
        <w:tc>
          <w:tcPr>
            <w:tcW w:w="1351" w:type="dxa"/>
            <w:tcBorders/>
          </w:tcPr>
          <w:p>
            <w:pPr>
              <w:pStyle w:val="TableContents"/>
              <w:bidi w:val="0"/>
              <w:spacing w:before="0" w:after="283"/>
              <w:jc w:val="left"/>
              <w:rPr/>
            </w:pPr>
            <w:r>
              <w:rPr/>
              <w:t> </w:t>
            </w:r>
          </w:p>
        </w:tc>
      </w:tr>
      <w:tr>
        <w:trPr/>
        <w:tc>
          <w:tcPr>
            <w:tcW w:w="169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            ]</w:t>
            </w:r>
          </w:p>
        </w:tc>
        <w:tc>
          <w:tcPr>
            <w:tcW w:w="146" w:type="dxa"/>
            <w:tcBorders/>
          </w:tcPr>
          <w:p>
            <w:pPr>
              <w:pStyle w:val="TableContents"/>
              <w:bidi w:val="0"/>
              <w:spacing w:before="0" w:after="283"/>
              <w:jc w:val="left"/>
              <w:rPr/>
            </w:pPr>
            <w:r>
              <w:rPr/>
              <w:t> </w:t>
            </w:r>
          </w:p>
        </w:tc>
        <w:tc>
          <w:tcPr>
            <w:tcW w:w="30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(principal financial officer and </w:t>
              <w:br/>
              <w:t>principal accounting officer)</w:t>
            </w:r>
          </w:p>
        </w:tc>
        <w:tc>
          <w:tcPr>
            <w:tcW w:w="146" w:type="dxa"/>
            <w:tcBorders/>
          </w:tcPr>
          <w:p>
            <w:pPr>
              <w:pStyle w:val="TableContents"/>
              <w:bidi w:val="0"/>
              <w:spacing w:before="0" w:after="283"/>
              <w:jc w:val="left"/>
              <w:rPr/>
            </w:pPr>
            <w:r>
              <w:rPr/>
              <w:t> </w:t>
            </w:r>
          </w:p>
        </w:tc>
        <w:tc>
          <w:tcPr>
            <w:tcW w:w="1351" w:type="dxa"/>
            <w:tcBorders/>
          </w:tcPr>
          <w:p>
            <w:pPr>
              <w:pStyle w:val="TableContents"/>
              <w:keepNext w:val="false"/>
              <w:widowControl/>
              <w:pBdr/>
              <w:bidi w:val="0"/>
              <w:spacing w:before="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as amended, the undersigned, the duly authorized representative in the United States of Trident Digital Tech Holdings Ltd, has signed this registration statement or amendment thereto in [            ], United States on [            ], 2023.</w:t>
      </w:r>
    </w:p>
    <w:tbl>
      <w:tblPr>
        <w:tblW w:w="3907" w:type="dxa"/>
        <w:jc w:val="left"/>
        <w:tblInd w:w="0" w:type="dxa"/>
        <w:tblLayout w:type="fixed"/>
        <w:tblCellMar>
          <w:top w:w="0" w:type="dxa"/>
          <w:left w:w="0" w:type="dxa"/>
          <w:bottom w:w="0" w:type="dxa"/>
          <w:right w:w="0" w:type="dxa"/>
        </w:tblCellMar>
      </w:tblPr>
      <w:tblGrid>
        <w:gridCol w:w="161"/>
        <w:gridCol w:w="146"/>
        <w:gridCol w:w="1044"/>
        <w:gridCol w:w="421"/>
        <w:gridCol w:w="2135"/>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00" w:type="dxa"/>
            <w:gridSpan w:val="3"/>
            <w:tcBorders/>
            <w:vAlign w:val="bottom"/>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U.S. Representative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II-6</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173</Pages>
  <Words>94732</Words>
  <Characters>509874</Characters>
  <CharactersWithSpaces>608461</CharactersWithSpaces>
  <Paragraphs>9615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