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00"/>
        <w:spacing w:after="0"/>
        <w:rPr>
          <w:sz w:val="20"/>
          <w:szCs w:val="20"/>
          <w:color w:val="auto"/>
        </w:rPr>
      </w:pPr>
      <w:r>
        <w:rPr>
          <w:rFonts w:ascii="Arial" w:cs="Arial" w:eastAsia="Arial" w:hAnsi="Arial"/>
          <w:sz w:val="18"/>
          <w:szCs w:val="18"/>
          <w:b w:val="1"/>
          <w:bCs w:val="1"/>
          <w:color w:val="auto"/>
        </w:rPr>
        <w:t>As filed with the Securities and Exchange Commission on October 19, 2023.</w:t>
      </w:r>
    </w:p>
    <w:p>
      <w:pPr>
        <w:spacing w:after="0" w:line="50" w:lineRule="exact"/>
        <w:rPr>
          <w:sz w:val="24"/>
          <w:szCs w:val="24"/>
          <w:color w:val="auto"/>
        </w:rPr>
      </w:pPr>
    </w:p>
    <w:p>
      <w:pPr>
        <w:jc w:val="right"/>
        <w:ind w:right="459"/>
        <w:spacing w:after="0"/>
        <w:rPr>
          <w:sz w:val="20"/>
          <w:szCs w:val="20"/>
          <w:color w:val="auto"/>
        </w:rPr>
      </w:pPr>
      <w:r>
        <w:rPr>
          <w:rFonts w:ascii="Arial" w:cs="Arial" w:eastAsia="Arial" w:hAnsi="Arial"/>
          <w:sz w:val="18"/>
          <w:szCs w:val="18"/>
          <w:b w:val="1"/>
          <w:bCs w:val="1"/>
          <w:color w:val="auto"/>
        </w:rPr>
        <w:t>Registration No. 333-274857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60325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102870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_____________________</w:t>
      </w:r>
    </w:p>
    <w:p>
      <w:pPr>
        <w:spacing w:after="0" w:line="18"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AMENDMENT NO. 1</w:t>
      </w:r>
    </w:p>
    <w:p>
      <w:pPr>
        <w:spacing w:after="0" w:line="36"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9"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_____________________</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Trident Digital Tech Holdings Ltd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9"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_____________________</w:t>
      </w:r>
    </w:p>
    <w:p>
      <w:pPr>
        <w:spacing w:after="0" w:line="193"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2680" w:type="dxa"/>
            <w:vAlign w:val="bottom"/>
            <w:gridSpan w:val="2"/>
          </w:tcPr>
          <w:p>
            <w:pPr>
              <w:ind w:left="640"/>
              <w:spacing w:after="0"/>
              <w:rPr>
                <w:sz w:val="20"/>
                <w:szCs w:val="20"/>
                <w:color w:val="auto"/>
              </w:rPr>
            </w:pPr>
            <w:r>
              <w:rPr>
                <w:rFonts w:ascii="Arial" w:cs="Arial" w:eastAsia="Arial" w:hAnsi="Arial"/>
                <w:sz w:val="18"/>
                <w:szCs w:val="18"/>
                <w:b w:val="1"/>
                <w:bCs w:val="1"/>
                <w:color w:val="auto"/>
              </w:rPr>
              <w:t>Cayman Islands</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7389</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0" w:type="dxa"/>
            <w:vAlign w:val="bottom"/>
          </w:tcPr>
          <w:p>
            <w:pPr>
              <w:spacing w:after="0"/>
              <w:rPr>
                <w:sz w:val="1"/>
                <w:szCs w:val="1"/>
                <w:color w:val="auto"/>
              </w:rPr>
            </w:pPr>
          </w:p>
        </w:tc>
      </w:tr>
      <w:tr>
        <w:trPr>
          <w:trHeight w:val="41"/>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600" w:type="dxa"/>
            <w:vAlign w:val="bottom"/>
          </w:tcPr>
          <w:p>
            <w:pPr>
              <w:ind w:left="200"/>
              <w:spacing w:after="0" w:line="195" w:lineRule="exact"/>
              <w:rPr>
                <w:sz w:val="20"/>
                <w:szCs w:val="20"/>
                <w:color w:val="auto"/>
              </w:rPr>
            </w:pPr>
            <w:r>
              <w:rPr>
                <w:rFonts w:ascii="Arial" w:cs="Arial" w:eastAsia="Arial" w:hAnsi="Arial"/>
                <w:sz w:val="18"/>
                <w:szCs w:val="18"/>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95" w:lineRule="exact"/>
              <w:rPr>
                <w:sz w:val="20"/>
                <w:szCs w:val="20"/>
                <w:color w:val="auto"/>
              </w:rPr>
            </w:pPr>
            <w:r>
              <w:rPr>
                <w:rFonts w:ascii="Arial" w:cs="Arial" w:eastAsia="Arial" w:hAnsi="Arial"/>
                <w:sz w:val="18"/>
                <w:szCs w:val="18"/>
                <w:color w:val="auto"/>
                <w:w w:val="91"/>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5" w:lineRule="exact"/>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2680" w:type="dxa"/>
            <w:vAlign w:val="bottom"/>
            <w:gridSpan w:val="2"/>
          </w:tcPr>
          <w:p>
            <w:pPr>
              <w:ind w:left="180"/>
              <w:spacing w:after="0"/>
              <w:rPr>
                <w:sz w:val="20"/>
                <w:szCs w:val="20"/>
                <w:color w:val="auto"/>
              </w:rPr>
            </w:pPr>
            <w:r>
              <w:rPr>
                <w:rFonts w:ascii="Arial" w:cs="Arial" w:eastAsia="Arial" w:hAnsi="Arial"/>
                <w:sz w:val="18"/>
                <w:szCs w:val="18"/>
                <w:color w:val="auto"/>
              </w:rPr>
              <w:t>Incorporation or Organization)</w:t>
            </w:r>
          </w:p>
        </w:tc>
        <w:tc>
          <w:tcPr>
            <w:tcW w:w="27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Classification Code Number)</w:t>
            </w:r>
          </w:p>
        </w:tc>
        <w:tc>
          <w:tcPr>
            <w:tcW w:w="272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c>
          <w:tcPr>
            <w:tcW w:w="0" w:type="dxa"/>
            <w:vAlign w:val="bottom"/>
          </w:tcPr>
          <w:p>
            <w:pPr>
              <w:spacing w:after="0"/>
              <w:rPr>
                <w:sz w:val="1"/>
                <w:szCs w:val="1"/>
                <w:color w:val="auto"/>
              </w:rPr>
            </w:pPr>
          </w:p>
        </w:tc>
      </w:tr>
    </w:tbl>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Suntec Tower 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 Temasek Boulevard Road, #24-03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Singapore, 038988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+65 6513 6868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Executive Offices)</w:t>
      </w:r>
    </w:p>
    <w:p>
      <w:pPr>
        <w:spacing w:after="0" w:line="9"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_____________________</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Cogency Global Inc.</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 East 42</w:t>
      </w:r>
      <w:r>
        <w:rPr>
          <w:rFonts w:ascii="Arial" w:cs="Arial" w:eastAsia="Arial" w:hAnsi="Arial"/>
          <w:sz w:val="20"/>
          <w:szCs w:val="20"/>
          <w:b w:val="1"/>
          <w:bCs w:val="1"/>
          <w:color w:val="auto"/>
          <w:vertAlign w:val="superscript"/>
        </w:rPr>
        <w:t>nd</w:t>
      </w:r>
      <w:r>
        <w:rPr>
          <w:rFonts w:ascii="Arial" w:cs="Arial" w:eastAsia="Arial" w:hAnsi="Arial"/>
          <w:sz w:val="18"/>
          <w:szCs w:val="18"/>
          <w:b w:val="1"/>
          <w:bCs w:val="1"/>
          <w:color w:val="auto"/>
        </w:rPr>
        <w:t xml:space="preserve"> Street, 18</w:t>
      </w:r>
      <w:r>
        <w:rPr>
          <w:rFonts w:ascii="Arial" w:cs="Arial" w:eastAsia="Arial" w:hAnsi="Arial"/>
          <w:sz w:val="20"/>
          <w:szCs w:val="2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10168</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221-0102</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(Name, Address, Including Zip Code, and Telephone Number, Including Area Code, of Agent for Service)</w:t>
      </w:r>
    </w:p>
    <w:p>
      <w:pPr>
        <w:spacing w:after="0" w:line="35"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315"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7"/>
              </w:rPr>
              <w:t>Stephanie Tang, Esq.</w:t>
            </w:r>
          </w:p>
        </w:tc>
        <w:tc>
          <w:tcPr>
            <w:tcW w:w="4380" w:type="dxa"/>
            <w:vAlign w:val="bottom"/>
          </w:tcPr>
          <w:p>
            <w:pPr>
              <w:jc w:val="center"/>
              <w:ind w:left="1490"/>
              <w:spacing w:after="0"/>
              <w:rPr>
                <w:sz w:val="20"/>
                <w:szCs w:val="20"/>
                <w:color w:val="auto"/>
              </w:rPr>
            </w:pPr>
            <w:r>
              <w:rPr>
                <w:rFonts w:ascii="Arial" w:cs="Arial" w:eastAsia="Arial" w:hAnsi="Arial"/>
                <w:sz w:val="18"/>
                <w:szCs w:val="18"/>
                <w:b w:val="1"/>
                <w:bCs w:val="1"/>
                <w:color w:val="auto"/>
                <w:w w:val="90"/>
              </w:rPr>
              <w:t>Ross David Carmel, Esq.</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Hogan Lovells</w:t>
            </w:r>
          </w:p>
        </w:tc>
        <w:tc>
          <w:tcPr>
            <w:tcW w:w="4380" w:type="dxa"/>
            <w:vAlign w:val="bottom"/>
          </w:tcPr>
          <w:p>
            <w:pPr>
              <w:jc w:val="center"/>
              <w:ind w:left="1470"/>
              <w:spacing w:after="0"/>
              <w:rPr>
                <w:sz w:val="20"/>
                <w:szCs w:val="20"/>
                <w:color w:val="auto"/>
              </w:rPr>
            </w:pPr>
            <w:r>
              <w:rPr>
                <w:rFonts w:ascii="Arial" w:cs="Arial" w:eastAsia="Arial" w:hAnsi="Arial"/>
                <w:sz w:val="18"/>
                <w:szCs w:val="18"/>
                <w:b w:val="1"/>
                <w:bCs w:val="1"/>
                <w:color w:val="auto"/>
                <w:w w:val="90"/>
              </w:rPr>
              <w:t>Barry P. Biggar, Esq.</w:t>
            </w:r>
          </w:p>
        </w:tc>
      </w:tr>
      <w:tr>
        <w:trPr>
          <w:trHeight w:val="216"/>
        </w:trPr>
        <w:tc>
          <w:tcPr>
            <w:tcW w:w="2200" w:type="dxa"/>
            <w:vAlign w:val="bottom"/>
          </w:tcPr>
          <w:p>
            <w:pPr>
              <w:jc w:val="center"/>
              <w:spacing w:after="0" w:line="216" w:lineRule="exact"/>
              <w:rPr>
                <w:sz w:val="20"/>
                <w:szCs w:val="20"/>
                <w:color w:val="auto"/>
              </w:rPr>
            </w:pPr>
            <w:r>
              <w:rPr>
                <w:rFonts w:ascii="Arial" w:cs="Arial" w:eastAsia="Arial" w:hAnsi="Arial"/>
                <w:sz w:val="18"/>
                <w:szCs w:val="18"/>
                <w:b w:val="1"/>
                <w:bCs w:val="1"/>
                <w:color w:val="auto"/>
                <w:w w:val="88"/>
              </w:rPr>
              <w:t>11</w:t>
            </w:r>
            <w:r>
              <w:rPr>
                <w:rFonts w:ascii="Arial" w:cs="Arial" w:eastAsia="Arial" w:hAnsi="Arial"/>
                <w:sz w:val="20"/>
                <w:szCs w:val="20"/>
                <w:b w:val="1"/>
                <w:bCs w:val="1"/>
                <w:color w:val="auto"/>
                <w:w w:val="88"/>
                <w:vertAlign w:val="superscript"/>
              </w:rPr>
              <w:t>th</w:t>
            </w:r>
            <w:r>
              <w:rPr>
                <w:rFonts w:ascii="Arial" w:cs="Arial" w:eastAsia="Arial" w:hAnsi="Arial"/>
                <w:sz w:val="18"/>
                <w:szCs w:val="18"/>
                <w:b w:val="1"/>
                <w:bCs w:val="1"/>
                <w:color w:val="auto"/>
                <w:w w:val="88"/>
              </w:rPr>
              <w:t xml:space="preserve"> Floor, One Pacific Place</w:t>
            </w:r>
          </w:p>
        </w:tc>
        <w:tc>
          <w:tcPr>
            <w:tcW w:w="4380" w:type="dxa"/>
            <w:vAlign w:val="bottom"/>
          </w:tcPr>
          <w:p>
            <w:pPr>
              <w:jc w:val="center"/>
              <w:ind w:left="1490"/>
              <w:spacing w:after="0"/>
              <w:rPr>
                <w:sz w:val="20"/>
                <w:szCs w:val="20"/>
                <w:color w:val="auto"/>
              </w:rPr>
            </w:pPr>
            <w:r>
              <w:rPr>
                <w:rFonts w:ascii="Arial" w:cs="Arial" w:eastAsia="Arial" w:hAnsi="Arial"/>
                <w:sz w:val="18"/>
                <w:szCs w:val="18"/>
                <w:b w:val="1"/>
                <w:bCs w:val="1"/>
                <w:color w:val="auto"/>
                <w:w w:val="89"/>
              </w:rPr>
              <w:t>Sichenzia Ross Ference Carmel LLP</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88 Queensway Road</w:t>
            </w:r>
          </w:p>
        </w:tc>
        <w:tc>
          <w:tcPr>
            <w:tcW w:w="4380" w:type="dxa"/>
            <w:vAlign w:val="bottom"/>
          </w:tcPr>
          <w:p>
            <w:pPr>
              <w:jc w:val="center"/>
              <w:ind w:left="1470"/>
              <w:spacing w:after="0" w:line="216" w:lineRule="exact"/>
              <w:rPr>
                <w:sz w:val="20"/>
                <w:szCs w:val="20"/>
                <w:color w:val="auto"/>
              </w:rPr>
            </w:pPr>
            <w:r>
              <w:rPr>
                <w:rFonts w:ascii="Arial" w:cs="Arial" w:eastAsia="Arial" w:hAnsi="Arial"/>
                <w:sz w:val="18"/>
                <w:szCs w:val="18"/>
                <w:b w:val="1"/>
                <w:bCs w:val="1"/>
                <w:color w:val="auto"/>
                <w:w w:val="88"/>
              </w:rPr>
              <w:t>Avenue of the Americas 31</w:t>
            </w:r>
            <w:r>
              <w:rPr>
                <w:rFonts w:ascii="Arial" w:cs="Arial" w:eastAsia="Arial" w:hAnsi="Arial"/>
                <w:sz w:val="20"/>
                <w:szCs w:val="20"/>
                <w:b w:val="1"/>
                <w:bCs w:val="1"/>
                <w:color w:val="auto"/>
                <w:w w:val="88"/>
                <w:vertAlign w:val="superscript"/>
              </w:rPr>
              <w:t>st</w:t>
            </w:r>
            <w:r>
              <w:rPr>
                <w:rFonts w:ascii="Arial" w:cs="Arial" w:eastAsia="Arial" w:hAnsi="Arial"/>
                <w:sz w:val="18"/>
                <w:szCs w:val="18"/>
                <w:b w:val="1"/>
                <w:bCs w:val="1"/>
                <w:color w:val="auto"/>
                <w:w w:val="88"/>
              </w:rPr>
              <w:t xml:space="preserve"> Floor</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Hong Kong</w:t>
            </w:r>
          </w:p>
        </w:tc>
        <w:tc>
          <w:tcPr>
            <w:tcW w:w="4380" w:type="dxa"/>
            <w:vAlign w:val="bottom"/>
          </w:tcPr>
          <w:p>
            <w:pPr>
              <w:jc w:val="center"/>
              <w:ind w:left="1490"/>
              <w:spacing w:after="0"/>
              <w:rPr>
                <w:sz w:val="20"/>
                <w:szCs w:val="20"/>
                <w:color w:val="auto"/>
              </w:rPr>
            </w:pPr>
            <w:r>
              <w:rPr>
                <w:rFonts w:ascii="Arial" w:cs="Arial" w:eastAsia="Arial" w:hAnsi="Arial"/>
                <w:sz w:val="18"/>
                <w:szCs w:val="18"/>
                <w:b w:val="1"/>
                <w:bCs w:val="1"/>
                <w:color w:val="auto"/>
                <w:w w:val="92"/>
              </w:rPr>
              <w:t>New York, NY 10036</w:t>
            </w:r>
          </w:p>
        </w:tc>
      </w:tr>
      <w:tr>
        <w:trPr>
          <w:trHeight w:val="23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+852 2219 0888</w:t>
            </w:r>
          </w:p>
        </w:tc>
        <w:tc>
          <w:tcPr>
            <w:tcW w:w="4380" w:type="dxa"/>
            <w:vAlign w:val="bottom"/>
          </w:tcPr>
          <w:p>
            <w:pPr>
              <w:jc w:val="center"/>
              <w:ind w:left="1470"/>
              <w:spacing w:after="0"/>
              <w:rPr>
                <w:sz w:val="20"/>
                <w:szCs w:val="20"/>
                <w:color w:val="auto"/>
              </w:rPr>
            </w:pPr>
            <w:r>
              <w:rPr>
                <w:rFonts w:ascii="Arial" w:cs="Arial" w:eastAsia="Arial" w:hAnsi="Arial"/>
                <w:sz w:val="18"/>
                <w:szCs w:val="18"/>
                <w:b w:val="1"/>
                <w:bCs w:val="1"/>
                <w:color w:val="auto"/>
                <w:w w:val="89"/>
              </w:rPr>
              <w:t>+1 212 930 9700</w:t>
            </w:r>
          </w:p>
        </w:tc>
      </w:tr>
      <w:tr>
        <w:trPr>
          <w:trHeight w:val="324"/>
        </w:trPr>
        <w:tc>
          <w:tcPr>
            <w:tcW w:w="2200" w:type="dxa"/>
            <w:vAlign w:val="bottom"/>
          </w:tcPr>
          <w:p>
            <w:pPr>
              <w:spacing w:after="0"/>
              <w:rPr>
                <w:sz w:val="24"/>
                <w:szCs w:val="24"/>
                <w:color w:val="auto"/>
              </w:rPr>
            </w:pPr>
          </w:p>
        </w:tc>
        <w:tc>
          <w:tcPr>
            <w:tcW w:w="4380" w:type="dxa"/>
            <w:vAlign w:val="bottom"/>
          </w:tcPr>
          <w:p>
            <w:pPr>
              <w:jc w:val="right"/>
              <w:ind w:right="2370"/>
              <w:spacing w:after="0"/>
              <w:rPr>
                <w:sz w:val="20"/>
                <w:szCs w:val="20"/>
                <w:color w:val="auto"/>
              </w:rPr>
            </w:pPr>
            <w:r>
              <w:rPr>
                <w:rFonts w:ascii="Arial" w:cs="Arial" w:eastAsia="Arial" w:hAnsi="Arial"/>
                <w:sz w:val="18"/>
                <w:szCs w:val="18"/>
                <w:color w:val="auto"/>
                <w:w w:val="90"/>
              </w:rPr>
              <w:t>_____________________</w:t>
            </w:r>
          </w:p>
        </w:tc>
      </w:tr>
    </w:tbl>
    <w:p>
      <w:pPr>
        <w:spacing w:after="0" w:line="54" w:lineRule="exact"/>
        <w:rPr>
          <w:sz w:val="24"/>
          <w:szCs w:val="24"/>
          <w:color w:val="auto"/>
        </w:rPr>
      </w:pPr>
    </w:p>
    <w:p>
      <w:pPr>
        <w:ind w:left="460" w:right="679" w:firstLine="432"/>
        <w:spacing w:after="0" w:line="298" w:lineRule="auto"/>
        <w:rPr>
          <w:sz w:val="20"/>
          <w:szCs w:val="20"/>
          <w:color w:val="auto"/>
        </w:rPr>
      </w:pPr>
      <w:r>
        <w:rPr>
          <w:rFonts w:ascii="Arial" w:cs="Arial" w:eastAsia="Arial" w:hAnsi="Arial"/>
          <w:sz w:val="16"/>
          <w:szCs w:val="16"/>
          <w:b w:val="1"/>
          <w:bCs w:val="1"/>
          <w:color w:val="auto"/>
        </w:rPr>
        <w:t>Approximate date of commencement of proposed sale to the public: as soon as practicable after the effective date of this registration statement.</w:t>
      </w:r>
    </w:p>
    <w:p>
      <w:pPr>
        <w:spacing w:after="0" w:line="6" w:lineRule="exact"/>
        <w:rPr>
          <w:sz w:val="24"/>
          <w:szCs w:val="24"/>
          <w:color w:val="auto"/>
        </w:rPr>
      </w:pPr>
    </w:p>
    <w:p>
      <w:pPr>
        <w:ind w:left="460" w:right="719" w:firstLine="432"/>
        <w:spacing w:after="0" w:line="217"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25" w:lineRule="exact"/>
        <w:rPr>
          <w:sz w:val="24"/>
          <w:szCs w:val="24"/>
          <w:color w:val="auto"/>
        </w:rPr>
      </w:pPr>
    </w:p>
    <w:p>
      <w:pPr>
        <w:ind w:left="460" w:right="639" w:firstLine="432"/>
        <w:spacing w:after="0" w:line="213"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4" w:lineRule="exact"/>
        <w:rPr>
          <w:sz w:val="24"/>
          <w:szCs w:val="24"/>
          <w:color w:val="auto"/>
        </w:rPr>
      </w:pPr>
    </w:p>
    <w:p>
      <w:pPr>
        <w:ind w:left="460" w:right="499" w:firstLine="432"/>
        <w:spacing w:after="0" w:line="213"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4" w:lineRule="exact"/>
        <w:rPr>
          <w:sz w:val="24"/>
          <w:szCs w:val="24"/>
          <w:color w:val="auto"/>
        </w:rPr>
      </w:pPr>
    </w:p>
    <w:p>
      <w:pPr>
        <w:ind w:left="460" w:right="479" w:firstLine="432"/>
        <w:spacing w:after="0" w:line="213"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4" w:lineRule="exact"/>
        <w:rPr>
          <w:sz w:val="24"/>
          <w:szCs w:val="24"/>
          <w:color w:val="auto"/>
        </w:rPr>
      </w:pPr>
    </w:p>
    <w:p>
      <w:pPr>
        <w:ind w:left="460" w:right="1119" w:firstLine="432"/>
        <w:spacing w:after="0" w:line="27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w:t>
      </w:r>
    </w:p>
    <w:p>
      <w:pPr>
        <w:ind w:left="8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13" w:lineRule="exact"/>
        <w:rPr>
          <w:sz w:val="24"/>
          <w:szCs w:val="24"/>
          <w:color w:val="auto"/>
        </w:rPr>
      </w:pPr>
    </w:p>
    <w:p>
      <w:pPr>
        <w:jc w:val="both"/>
        <w:ind w:left="460" w:right="799" w:firstLine="432"/>
        <w:spacing w:after="0" w:line="207" w:lineRule="exact"/>
        <w:rPr>
          <w:sz w:val="20"/>
          <w:szCs w:val="20"/>
          <w:color w:val="auto"/>
        </w:rPr>
      </w:pPr>
      <w:r>
        <w:rPr>
          <w:rFonts w:ascii="Arial" w:cs="Arial" w:eastAsia="Arial" w:hAnsi="Arial"/>
          <w:sz w:val="15"/>
          <w:szCs w:val="15"/>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59" w:lineRule="exact"/>
        <w:rPr>
          <w:sz w:val="24"/>
          <w:szCs w:val="24"/>
          <w:color w:val="auto"/>
        </w:rPr>
      </w:pPr>
    </w:p>
    <w:p>
      <w:pPr>
        <w:ind w:left="880" w:right="839" w:hanging="426"/>
        <w:spacing w:after="0" w:line="293" w:lineRule="auto"/>
        <w:tabs>
          <w:tab w:leader="none" w:pos="853"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term “new or revised financial accounting standard” refers to any update issued by the Financial Accounting Standards Board to its Accounting Standards Codification after April 5, 2012.</w:t>
      </w:r>
    </w:p>
    <w:p>
      <w:pPr>
        <w:spacing w:after="0" w:line="6" w:lineRule="exact"/>
        <w:rPr>
          <w:sz w:val="24"/>
          <w:szCs w:val="24"/>
          <w:color w:val="auto"/>
        </w:rPr>
      </w:pPr>
    </w:p>
    <w:p>
      <w:pPr>
        <w:ind w:left="460" w:right="559" w:firstLine="432"/>
        <w:spacing w:after="0" w:line="375"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w:t>
      </w:r>
    </w:p>
    <w:p>
      <w:pPr>
        <w:sectPr>
          <w:pgSz w:w="11900" w:h="16838" w:orient="portrait"/>
          <w:cols w:equalWidth="0" w:num="1">
            <w:col w:w="9019"/>
          </w:cols>
          <w:pgMar w:left="1440" w:top="337" w:right="1440" w:bottom="66" w:gutter="0" w:footer="0" w:header="0"/>
        </w:sectPr>
      </w:pPr>
    </w:p>
    <w:bookmarkStart w:id="1" w:name="page2"/>
    <w:bookmarkEnd w:id="1"/>
    <w:p>
      <w:pPr>
        <w:ind w:left="460" w:right="479"/>
        <w:spacing w:after="0" w:line="281" w:lineRule="auto"/>
        <w:rPr>
          <w:sz w:val="20"/>
          <w:szCs w:val="20"/>
          <w:color w:val="auto"/>
        </w:rPr>
      </w:pPr>
      <w:r>
        <w:rPr>
          <w:rFonts w:ascii="Arial" w:cs="Arial" w:eastAsia="Arial" w:hAnsi="Arial"/>
          <w:sz w:val="16"/>
          <w:szCs w:val="16"/>
          <w:b w:val="1"/>
          <w:bCs w:val="1"/>
          <w:color w:val="auto"/>
        </w:rPr>
        <w:t>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164465</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207010</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490220</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 w:name="page3"/>
    <w:bookmarkEnd w:id="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both"/>
        <w:ind w:left="460" w:right="459"/>
        <w:spacing w:after="0" w:line="303" w:lineRule="auto"/>
        <w:rPr>
          <w:sz w:val="20"/>
          <w:szCs w:val="20"/>
          <w:color w:val="auto"/>
        </w:rPr>
      </w:pPr>
      <w:r>
        <w:rPr>
          <w:rFonts w:ascii="Arial" w:cs="Arial" w:eastAsia="Arial" w:hAnsi="Arial"/>
          <w:sz w:val="16"/>
          <w:szCs w:val="16"/>
          <w:b w:val="1"/>
          <w:bCs w:val="1"/>
          <w:color w:val="D2232A"/>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2232A"/>
        </w:rPr>
        <w:t>PRELIMINARY PROSPECTUS (Subject to Completion)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D2232A"/>
        </w:rPr>
        <w:t>Dated October 19, 2023.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1,875,000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147955</wp:posOffset>
            </wp:positionV>
            <wp:extent cx="3943350" cy="8401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Trident Digital Tech Holdings Ltd</w:t>
      </w:r>
    </w:p>
    <w:p>
      <w:pPr>
        <w:spacing w:after="0" w:line="3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_____________________</w:t>
      </w:r>
    </w:p>
    <w:p>
      <w:pPr>
        <w:spacing w:after="0" w:line="155" w:lineRule="exact"/>
        <w:rPr>
          <w:sz w:val="20"/>
          <w:szCs w:val="20"/>
          <w:color w:val="auto"/>
        </w:rPr>
      </w:pPr>
    </w:p>
    <w:p>
      <w:pPr>
        <w:ind w:left="1140"/>
        <w:spacing w:after="0"/>
        <w:tabs>
          <w:tab w:leader="none" w:pos="3940" w:val="left"/>
          <w:tab w:leader="none" w:pos="6040" w:val="left"/>
        </w:tabs>
        <w:rPr>
          <w:sz w:val="20"/>
          <w:szCs w:val="20"/>
          <w:color w:val="auto"/>
        </w:rPr>
      </w:pPr>
      <w:r>
        <w:rPr>
          <w:rFonts w:ascii="Arial" w:cs="Arial" w:eastAsia="Arial" w:hAnsi="Arial"/>
          <w:sz w:val="22"/>
          <w:szCs w:val="22"/>
          <w:b w:val="1"/>
          <w:bCs w:val="1"/>
          <w:color w:val="auto"/>
        </w:rPr>
        <w:t>Representing</w:t>
      </w:r>
      <w:r>
        <w:rPr>
          <w:sz w:val="20"/>
          <w:szCs w:val="20"/>
          <w:color w:val="auto"/>
        </w:rPr>
        <w:tab/>
      </w:r>
      <w:r>
        <w:rPr>
          <w:rFonts w:ascii="Arial" w:cs="Arial" w:eastAsia="Arial" w:hAnsi="Arial"/>
          <w:sz w:val="22"/>
          <w:szCs w:val="22"/>
          <w:b w:val="1"/>
          <w:bCs w:val="1"/>
          <w:color w:val="auto"/>
        </w:rPr>
        <w:t>18,750,000</w:t>
      </w:r>
      <w:r>
        <w:rPr>
          <w:sz w:val="20"/>
          <w:szCs w:val="20"/>
          <w:color w:val="auto"/>
        </w:rPr>
        <w:tab/>
      </w:r>
      <w:r>
        <w:rPr>
          <w:rFonts w:ascii="Arial" w:cs="Arial" w:eastAsia="Arial" w:hAnsi="Arial"/>
          <w:sz w:val="19"/>
          <w:szCs w:val="19"/>
          <w:b w:val="1"/>
          <w:bCs w:val="1"/>
          <w:color w:val="auto"/>
        </w:rPr>
        <w:t>Class B Ordinary Shares</w:t>
      </w:r>
    </w:p>
    <w:p>
      <w:pPr>
        <w:spacing w:after="0" w:line="1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_____________________</w:t>
      </w:r>
    </w:p>
    <w:p>
      <w:pPr>
        <w:spacing w:after="0" w:line="122" w:lineRule="exact"/>
        <w:rPr>
          <w:sz w:val="20"/>
          <w:szCs w:val="20"/>
          <w:color w:val="auto"/>
        </w:rPr>
      </w:pPr>
    </w:p>
    <w:p>
      <w:pPr>
        <w:ind w:left="460" w:right="619" w:firstLine="432"/>
        <w:spacing w:after="0" w:line="278" w:lineRule="auto"/>
        <w:rPr>
          <w:sz w:val="20"/>
          <w:szCs w:val="20"/>
          <w:color w:val="auto"/>
        </w:rPr>
      </w:pPr>
      <w:r>
        <w:rPr>
          <w:rFonts w:ascii="Arial" w:cs="Arial" w:eastAsia="Arial" w:hAnsi="Arial"/>
          <w:sz w:val="16"/>
          <w:szCs w:val="16"/>
          <w:color w:val="auto"/>
        </w:rPr>
        <w:t>This is the initial public offering of American depositary shares, or ADSs, of Trident Digital Tech Holdings Ltd. We are offering 1,875,000 ADSs. Each ADS represents ten Class B ordinary shares, par value US$0.00001 per share. We anticipate that the initial public offering price per ADS will be between US$8.00 and US$10.00.</w:t>
      </w:r>
    </w:p>
    <w:p>
      <w:pPr>
        <w:spacing w:after="0" w:line="76" w:lineRule="exact"/>
        <w:rPr>
          <w:sz w:val="20"/>
          <w:szCs w:val="20"/>
          <w:color w:val="auto"/>
        </w:rPr>
      </w:pPr>
    </w:p>
    <w:p>
      <w:pPr>
        <w:ind w:left="460" w:right="699" w:firstLine="432"/>
        <w:spacing w:after="0" w:line="273" w:lineRule="auto"/>
        <w:rPr>
          <w:sz w:val="20"/>
          <w:szCs w:val="20"/>
          <w:color w:val="auto"/>
        </w:rPr>
      </w:pPr>
      <w:r>
        <w:rPr>
          <w:rFonts w:ascii="Arial" w:cs="Arial" w:eastAsia="Arial" w:hAnsi="Arial"/>
          <w:sz w:val="16"/>
          <w:szCs w:val="16"/>
          <w:color w:val="auto"/>
        </w:rPr>
        <w:t>Prior to this offering, there has been no public market for our ADSs or our Class B ordinary shares. We have submitted an application to list the ADSs on the Nasdaq Capital Market under the symbol “TDTH.” We cannot guarantee that we will be successful in listing our ADSs on the Nasdaq Capital Market; however, we will not complete this offering unless we are so listed.</w:t>
      </w:r>
    </w:p>
    <w:p>
      <w:pPr>
        <w:spacing w:after="0" w:line="81" w:lineRule="exact"/>
        <w:rPr>
          <w:sz w:val="20"/>
          <w:szCs w:val="20"/>
          <w:color w:val="auto"/>
        </w:rPr>
      </w:pPr>
    </w:p>
    <w:p>
      <w:pPr>
        <w:ind w:left="460" w:right="479" w:firstLine="432"/>
        <w:spacing w:after="0" w:line="308" w:lineRule="auto"/>
        <w:rPr>
          <w:sz w:val="20"/>
          <w:szCs w:val="20"/>
          <w:color w:val="auto"/>
        </w:rPr>
      </w:pPr>
      <w:r>
        <w:rPr>
          <w:rFonts w:ascii="Arial" w:cs="Arial" w:eastAsia="Arial" w:hAnsi="Arial"/>
          <w:sz w:val="14"/>
          <w:szCs w:val="14"/>
          <w:color w:val="auto"/>
        </w:rPr>
        <w:t>Following the completion of this offering, our issued and outstanding share capital will consist of 50,000,000 Class A ordinary shares and 470,714,286 Class B ordinary shares. Mr. Soon Huat Lim will beneficially own all of our issued Class A ordinary shares and will be able to exercise 94.4% of the total voting power of our issued and outstanding share capital immediately following the completion of this offering. Holders of Class A ordinary shares and Class B ordinary shares have the same rights except for voting and conversion rights. Each Class A ordinary share is entitled to sixty votes and is convertible into one Class B ordinary share, and each Class B ordinary share is entitled to one vote. Class A ordinary shares may be converted into the same number of Class B ordinary shares by the holders thereof at any time, while Class B ordinary shares are not convertible into Class A ordinary shares under any circumstances. Upon any sale, transfer, assignment or disposition of any Class A ordinary shares by a holder thereof to any person who is not an affiliate of Mr. Soon Huat Lim, such Class A ordinary shares will be automatically and immediately converted into the same number of Class B ordinary share. See “Description of Share Capital.” Immediately following the completion of this offering, we will be a “controlled company” within the meaning of the Nasdaq Stock Market Rules. See “Principal Shareholders.”</w:t>
      </w:r>
    </w:p>
    <w:p>
      <w:pPr>
        <w:spacing w:after="0" w:line="59" w:lineRule="exact"/>
        <w:rPr>
          <w:sz w:val="20"/>
          <w:szCs w:val="20"/>
          <w:color w:val="auto"/>
        </w:rPr>
      </w:pPr>
    </w:p>
    <w:p>
      <w:pPr>
        <w:ind w:left="460" w:right="819" w:firstLine="432"/>
        <w:spacing w:after="0" w:line="293" w:lineRule="auto"/>
        <w:rPr>
          <w:sz w:val="20"/>
          <w:szCs w:val="20"/>
          <w:color w:val="auto"/>
        </w:rPr>
      </w:pPr>
      <w:r>
        <w:rPr>
          <w:rFonts w:ascii="Arial" w:cs="Arial" w:eastAsia="Arial" w:hAnsi="Arial"/>
          <w:sz w:val="16"/>
          <w:szCs w:val="16"/>
          <w:color w:val="auto"/>
        </w:rPr>
        <w:t>We are an “emerging growth company” under applicable U.S. federal securities laws and are eligible for reduced public company reporting requirements.</w:t>
      </w:r>
    </w:p>
    <w:p>
      <w:pPr>
        <w:spacing w:after="0" w:line="1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_____________________</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Investing in our ADSs involves risks. See “</w:t>
      </w:r>
      <w:r>
        <w:rPr>
          <w:rFonts w:ascii="Arial" w:cs="Arial" w:eastAsia="Arial" w:hAnsi="Arial"/>
          <w:sz w:val="18"/>
          <w:szCs w:val="18"/>
          <w:b w:val="1"/>
          <w:bCs w:val="1"/>
          <w:i w:val="1"/>
          <w:iCs w:val="1"/>
          <w:u w:val="single" w:color="auto"/>
          <w:color w:val="auto"/>
        </w:rPr>
        <w:t>Risk Factors</w:t>
      </w:r>
      <w:r>
        <w:rPr>
          <w:rFonts w:ascii="Arial" w:cs="Arial" w:eastAsia="Arial" w:hAnsi="Arial"/>
          <w:sz w:val="18"/>
          <w:szCs w:val="18"/>
          <w:b w:val="1"/>
          <w:bCs w:val="1"/>
          <w:color w:val="auto"/>
        </w:rPr>
        <w:t>” beginning on page 11.</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120" w:type="dxa"/>
            <w:vAlign w:val="bottom"/>
          </w:tcPr>
          <w:p>
            <w:pPr>
              <w:ind w:left="2960"/>
              <w:spacing w:after="0"/>
              <w:rPr>
                <w:sz w:val="20"/>
                <w:szCs w:val="20"/>
                <w:color w:val="auto"/>
              </w:rPr>
            </w:pPr>
            <w:r>
              <w:rPr>
                <w:rFonts w:ascii="Arial" w:cs="Arial" w:eastAsia="Arial" w:hAnsi="Arial"/>
                <w:sz w:val="18"/>
                <w:szCs w:val="18"/>
                <w:color w:val="auto"/>
              </w:rPr>
              <w:t>PRICE US$</w:t>
            </w:r>
          </w:p>
        </w:tc>
        <w:tc>
          <w:tcPr>
            <w:tcW w:w="2660" w:type="dxa"/>
            <w:vAlign w:val="bottom"/>
            <w:gridSpan w:val="2"/>
          </w:tcPr>
          <w:p>
            <w:pPr>
              <w:ind w:left="260"/>
              <w:spacing w:after="0"/>
              <w:rPr>
                <w:sz w:val="20"/>
                <w:szCs w:val="20"/>
                <w:color w:val="auto"/>
              </w:rPr>
            </w:pPr>
            <w:r>
              <w:rPr>
                <w:rFonts w:ascii="Arial" w:cs="Arial" w:eastAsia="Arial" w:hAnsi="Arial"/>
                <w:sz w:val="18"/>
                <w:szCs w:val="18"/>
                <w:color w:val="auto"/>
              </w:rPr>
              <w:t>PER ADS</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3"/>
        </w:trPr>
        <w:tc>
          <w:tcPr>
            <w:tcW w:w="5640" w:type="dxa"/>
            <w:vAlign w:val="bottom"/>
            <w:gridSpan w:val="2"/>
          </w:tcPr>
          <w:p>
            <w:pPr>
              <w:ind w:left="3100"/>
              <w:spacing w:after="0"/>
              <w:rPr>
                <w:sz w:val="20"/>
                <w:szCs w:val="20"/>
                <w:color w:val="auto"/>
              </w:rPr>
            </w:pPr>
            <w:r>
              <w:rPr>
                <w:rFonts w:ascii="Arial" w:cs="Arial" w:eastAsia="Arial" w:hAnsi="Arial"/>
                <w:sz w:val="18"/>
                <w:szCs w:val="18"/>
                <w:color w:val="auto"/>
              </w:rPr>
              <w:t>_____________________</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47"/>
        </w:trPr>
        <w:tc>
          <w:tcPr>
            <w:tcW w:w="4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40" w:type="dxa"/>
            <w:vAlign w:val="bottom"/>
          </w:tcPr>
          <w:p>
            <w:pPr>
              <w:ind w:left="300"/>
              <w:spacing w:after="0"/>
              <w:rPr>
                <w:sz w:val="20"/>
                <w:szCs w:val="20"/>
                <w:color w:val="auto"/>
              </w:rPr>
            </w:pPr>
            <w:r>
              <w:rPr>
                <w:rFonts w:ascii="Arial" w:cs="Arial" w:eastAsia="Arial" w:hAnsi="Arial"/>
                <w:sz w:val="14"/>
                <w:szCs w:val="14"/>
                <w:b w:val="1"/>
                <w:bCs w:val="1"/>
                <w:color w:val="auto"/>
              </w:rPr>
              <w:t>Per ADS</w:t>
            </w:r>
          </w:p>
        </w:tc>
        <w:tc>
          <w:tcPr>
            <w:tcW w:w="80" w:type="dxa"/>
            <w:vAlign w:val="bottom"/>
          </w:tcPr>
          <w:p>
            <w:pPr>
              <w:spacing w:after="0"/>
              <w:rPr>
                <w:sz w:val="24"/>
                <w:szCs w:val="24"/>
                <w:color w:val="auto"/>
              </w:rPr>
            </w:pP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Total</w:t>
            </w:r>
          </w:p>
        </w:tc>
      </w:tr>
      <w:tr>
        <w:trPr>
          <w:trHeight w:val="25"/>
        </w:trPr>
        <w:tc>
          <w:tcPr>
            <w:tcW w:w="41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1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US$</w:t>
            </w:r>
          </w:p>
        </w:tc>
        <w:tc>
          <w:tcPr>
            <w:tcW w:w="13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US$</w:t>
            </w:r>
          </w:p>
        </w:tc>
      </w:tr>
      <w:tr>
        <w:trPr>
          <w:trHeight w:val="283"/>
        </w:trPr>
        <w:tc>
          <w:tcPr>
            <w:tcW w:w="4120" w:type="dxa"/>
            <w:vAlign w:val="bottom"/>
          </w:tcPr>
          <w:p>
            <w:pPr>
              <w:spacing w:after="0"/>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1"/>
                <w:szCs w:val="21"/>
                <w:color w:val="auto"/>
                <w:vertAlign w:val="superscript"/>
              </w:rPr>
              <w:t>(1)</w:t>
            </w:r>
          </w:p>
        </w:tc>
        <w:tc>
          <w:tcPr>
            <w:tcW w:w="15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6"/>
                <w:szCs w:val="16"/>
                <w:color w:val="auto"/>
              </w:rPr>
              <w:t>US$</w:t>
            </w:r>
          </w:p>
        </w:tc>
        <w:tc>
          <w:tcPr>
            <w:tcW w:w="1320" w:type="dxa"/>
            <w:vAlign w:val="bottom"/>
            <w:gridSpan w:val="2"/>
          </w:tcPr>
          <w:p>
            <w:pPr>
              <w:ind w:left="80"/>
              <w:spacing w:after="0"/>
              <w:rPr>
                <w:sz w:val="20"/>
                <w:szCs w:val="20"/>
                <w:color w:val="auto"/>
              </w:rPr>
            </w:pPr>
            <w:r>
              <w:rPr>
                <w:rFonts w:ascii="Arial" w:cs="Arial" w:eastAsia="Arial" w:hAnsi="Arial"/>
                <w:sz w:val="16"/>
                <w:szCs w:val="16"/>
                <w:color w:val="auto"/>
              </w:rPr>
              <w:t>US$</w:t>
            </w:r>
          </w:p>
        </w:tc>
      </w:tr>
      <w:tr>
        <w:trPr>
          <w:trHeight w:val="264"/>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15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US$</w:t>
            </w:r>
          </w:p>
        </w:tc>
        <w:tc>
          <w:tcPr>
            <w:tcW w:w="13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US$</w:t>
            </w:r>
          </w:p>
        </w:tc>
      </w:tr>
      <w:tr>
        <w:trPr>
          <w:trHeight w:val="250"/>
        </w:trPr>
        <w:tc>
          <w:tcPr>
            <w:tcW w:w="4120" w:type="dxa"/>
            <w:vAlign w:val="bottom"/>
          </w:tcPr>
          <w:p>
            <w:pPr>
              <w:spacing w:after="0"/>
              <w:rPr>
                <w:sz w:val="20"/>
                <w:szCs w:val="20"/>
                <w:color w:val="auto"/>
              </w:rPr>
            </w:pPr>
            <w:r>
              <w:rPr>
                <w:rFonts w:ascii="Arial" w:cs="Arial" w:eastAsia="Arial" w:hAnsi="Arial"/>
                <w:sz w:val="16"/>
                <w:szCs w:val="16"/>
                <w:color w:val="auto"/>
              </w:rPr>
              <w:t>____________</w:t>
            </w:r>
          </w:p>
        </w:tc>
        <w:tc>
          <w:tcPr>
            <w:tcW w:w="1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68" w:lineRule="exact"/>
        <w:rPr>
          <w:sz w:val="20"/>
          <w:szCs w:val="20"/>
          <w:color w:val="auto"/>
        </w:rPr>
      </w:pPr>
    </w:p>
    <w:p>
      <w:pPr>
        <w:ind w:left="880" w:hanging="426"/>
        <w:spacing w:after="0"/>
        <w:tabs>
          <w:tab w:leader="none" w:pos="88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for additional disclosure regarding underwriting compensation payable by us.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We expect our total cash expenses for this offering (including cash expenses payable to our underwriters for their out-</w:t>
      </w:r>
    </w:p>
    <w:p>
      <w:pPr>
        <w:spacing w:after="0" w:line="45" w:lineRule="exact"/>
        <w:rPr>
          <w:sz w:val="20"/>
          <w:szCs w:val="20"/>
          <w:color w:val="auto"/>
        </w:rPr>
      </w:pPr>
    </w:p>
    <w:p>
      <w:pPr>
        <w:ind w:left="460" w:right="719"/>
        <w:spacing w:after="0" w:line="272" w:lineRule="auto"/>
        <w:rPr>
          <w:sz w:val="20"/>
          <w:szCs w:val="20"/>
          <w:color w:val="auto"/>
        </w:rPr>
      </w:pPr>
      <w:r>
        <w:rPr>
          <w:rFonts w:ascii="Arial" w:cs="Arial" w:eastAsia="Arial" w:hAnsi="Arial"/>
          <w:sz w:val="16"/>
          <w:szCs w:val="16"/>
          <w:color w:val="auto"/>
        </w:rPr>
        <w:t>of-pocket expenses) to be approximately US$ , exclusive of the above discounts and commissions. In addition, we will pay additional items of value in connection with this offering that are viewed by the Financial Industry Regulatory Authority, or FINRA, as underwriting compensation. These payments will further reduce proceeds available to us before expenses. See “Underwriting.”</w:t>
      </w:r>
    </w:p>
    <w:p>
      <w:pPr>
        <w:spacing w:after="0" w:line="8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We have granted the underwriters an option to purchase up to an additional 281,250 ADSs to cover over-allotments.</w:t>
      </w:r>
    </w:p>
    <w:p>
      <w:pPr>
        <w:spacing w:after="0" w:line="146" w:lineRule="exact"/>
        <w:rPr>
          <w:sz w:val="20"/>
          <w:szCs w:val="20"/>
          <w:color w:val="auto"/>
        </w:rPr>
      </w:pPr>
    </w:p>
    <w:p>
      <w:pPr>
        <w:jc w:val="both"/>
        <w:ind w:left="460" w:right="459" w:firstLine="432"/>
        <w:spacing w:after="0" w:line="281" w:lineRule="auto"/>
        <w:rPr>
          <w:sz w:val="20"/>
          <w:szCs w:val="20"/>
          <w:color w:val="auto"/>
        </w:rPr>
      </w:pPr>
      <w:r>
        <w:rPr>
          <w:rFonts w:ascii="Arial" w:cs="Arial" w:eastAsia="Arial" w:hAnsi="Arial"/>
          <w:sz w:val="16"/>
          <w:szCs w:val="16"/>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73" w:lineRule="exact"/>
        <w:rPr>
          <w:sz w:val="20"/>
          <w:szCs w:val="20"/>
          <w:color w:val="auto"/>
        </w:rPr>
      </w:pPr>
    </w:p>
    <w:tbl>
      <w:tblPr>
        <w:tblLayout w:type="fixed"/>
        <w:tblInd w:w="880" w:type="dxa"/>
        <w:tblCellMar>
          <w:top w:w="0" w:type="dxa"/>
          <w:left w:w="0" w:type="dxa"/>
          <w:bottom w:w="0" w:type="dxa"/>
          <w:right w:w="0" w:type="dxa"/>
        </w:tblCellMar>
      </w:tblPr>
      <w:tr>
        <w:trPr>
          <w:trHeight w:val="206"/>
        </w:trPr>
        <w:tc>
          <w:tcPr>
            <w:tcW w:w="6900" w:type="dxa"/>
            <w:vAlign w:val="bottom"/>
          </w:tcPr>
          <w:p>
            <w:pPr>
              <w:spacing w:after="0"/>
              <w:rPr>
                <w:sz w:val="20"/>
                <w:szCs w:val="20"/>
                <w:color w:val="auto"/>
              </w:rPr>
            </w:pPr>
            <w:r>
              <w:rPr>
                <w:rFonts w:ascii="Arial" w:cs="Arial" w:eastAsia="Arial" w:hAnsi="Arial"/>
                <w:sz w:val="16"/>
                <w:szCs w:val="16"/>
                <w:color w:val="auto"/>
                <w:w w:val="94"/>
              </w:rPr>
              <w:t>The underwriters expect to deliver the ADSs against payment in U.S. dollars to purchasers on or about</w:t>
            </w:r>
          </w:p>
        </w:tc>
        <w:tc>
          <w:tcPr>
            <w:tcW w:w="680" w:type="dxa"/>
            <w:vAlign w:val="bottom"/>
          </w:tcPr>
          <w:p>
            <w:pPr>
              <w:jc w:val="right"/>
              <w:spacing w:after="0"/>
              <w:rPr>
                <w:sz w:val="20"/>
                <w:szCs w:val="20"/>
                <w:color w:val="auto"/>
              </w:rPr>
            </w:pPr>
            <w:r>
              <w:rPr>
                <w:rFonts w:ascii="Arial" w:cs="Arial" w:eastAsia="Arial" w:hAnsi="Arial"/>
                <w:sz w:val="16"/>
                <w:szCs w:val="16"/>
                <w:color w:val="auto"/>
              </w:rPr>
              <w:t>, 2023.</w:t>
            </w: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US Tiger Securities, Inc.</w:t>
      </w:r>
    </w:p>
    <w:p>
      <w:pPr>
        <w:sectPr>
          <w:pgSz w:w="11900" w:h="16838" w:orient="portrait"/>
          <w:cols w:equalWidth="0" w:num="1">
            <w:col w:w="9019"/>
          </w:cols>
          <w:pgMar w:left="1440" w:top="274" w:right="1440" w:bottom="0" w:gutter="0" w:footer="0" w:header="0"/>
        </w:sectPr>
      </w:pPr>
    </w:p>
    <w:p>
      <w:pPr>
        <w:spacing w:after="0" w:line="130" w:lineRule="exact"/>
        <w:rPr>
          <w:sz w:val="20"/>
          <w:szCs w:val="20"/>
          <w:color w:val="auto"/>
        </w:rPr>
      </w:pPr>
    </w:p>
    <w:p>
      <w:pPr>
        <w:ind w:left="3400"/>
        <w:spacing w:after="0"/>
        <w:tabs>
          <w:tab w:leader="none" w:pos="514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5"/>
          <w:szCs w:val="15"/>
          <w:color w:val="auto"/>
        </w:rPr>
        <w:t>, 2023</w:t>
      </w:r>
    </w:p>
    <w:p>
      <w:pPr>
        <w:sectPr>
          <w:pgSz w:w="11900" w:h="16838" w:orient="portrait"/>
          <w:cols w:equalWidth="0" w:num="1">
            <w:col w:w="9019"/>
          </w:cols>
          <w:pgMar w:left="1440" w:top="274" w:right="1440" w:bottom="0" w:gutter="0" w:footer="0" w:header="0"/>
          <w:type w:val="continuous"/>
        </w:sectPr>
      </w:pPr>
    </w:p>
    <w:bookmarkStart w:id="3" w:name="page4"/>
    <w:bookmarkEnd w:id="3"/>
    <w:p>
      <w:pPr>
        <w:spacing w:after="0"/>
        <w:tabs>
          <w:tab w:leader="none" w:pos="51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226060</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intentionally left blank for 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286385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60" w:type="dxa"/>
            <w:vAlign w:val="bottom"/>
            <w:gridSpan w:val="10"/>
          </w:tcPr>
          <w:p>
            <w:pPr>
              <w:ind w:left="2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1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83"/>
        </w:trPr>
        <w:tc>
          <w:tcPr>
            <w:tcW w:w="7320" w:type="dxa"/>
            <w:vAlign w:val="bottom"/>
            <w:gridSpan w:val="29"/>
            <w:shd w:val="clear" w:color="auto" w:fill="CCEEFF"/>
          </w:tcPr>
          <w:p>
            <w:pPr>
              <w:spacing w:after="0" w:line="182" w:lineRule="exact"/>
              <w:rPr>
                <w:sz w:val="20"/>
                <w:szCs w:val="20"/>
                <w:color w:val="auto"/>
              </w:rPr>
            </w:pPr>
            <w:r>
              <w:rPr>
                <w:rFonts w:ascii="Arial" w:cs="Arial" w:eastAsia="Arial" w:hAnsi="Arial"/>
                <w:sz w:val="18"/>
                <w:szCs w:val="18"/>
                <w:color w:val="0000EE"/>
              </w:rPr>
              <w:t>PROSPECTUS SUMMARY</w:t>
            </w:r>
          </w:p>
        </w:tc>
        <w:tc>
          <w:tcPr>
            <w:tcW w:w="7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RISK FACTORS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11</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76"/>
        </w:trPr>
        <w:tc>
          <w:tcPr>
            <w:tcW w:w="732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0000EE"/>
              </w:rPr>
              <w:t>SPECIAL NOTE REGARDING FORWARD-LOOKING STATEMENTS AND INDUSTRY</w:t>
            </w:r>
          </w:p>
        </w:tc>
        <w:tc>
          <w:tcPr>
            <w:tcW w:w="78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520" w:type="dxa"/>
            <w:vAlign w:val="bottom"/>
            <w:tcBorders>
              <w:top w:val="single" w:sz="8" w:color="0000EE"/>
            </w:tcBorders>
            <w:gridSpan w:val="27"/>
            <w:shd w:val="clear" w:color="auto" w:fill="CCEEFF"/>
          </w:tcPr>
          <w:p>
            <w:pPr>
              <w:spacing w:after="0" w:line="196" w:lineRule="exact"/>
              <w:rPr>
                <w:sz w:val="20"/>
                <w:szCs w:val="20"/>
                <w:color w:val="auto"/>
              </w:rPr>
            </w:pPr>
            <w:r>
              <w:rPr>
                <w:rFonts w:ascii="Arial" w:cs="Arial" w:eastAsia="Arial" w:hAnsi="Arial"/>
                <w:sz w:val="18"/>
                <w:szCs w:val="18"/>
                <w:color w:val="0000EE"/>
              </w:rPr>
              <w:t>DATA</w:t>
            </w:r>
          </w:p>
        </w:tc>
        <w:tc>
          <w:tcPr>
            <w:tcW w:w="6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USE OF PROCEEDS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37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DIVIDEND POLICY</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CAPITALIZATION</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39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DILUTION</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ENFORCEABILITY OF CIVIL LIABILITIES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41</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CORPORATE HISTORY AND STRUCTURE</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SELECTED CONSOLIDATED FINANCIAL DATA</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44</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76"/>
        </w:trPr>
        <w:tc>
          <w:tcPr>
            <w:tcW w:w="6680" w:type="dxa"/>
            <w:vAlign w:val="bottom"/>
            <w:tcBorders>
              <w:bottom w:val="single" w:sz="8" w:color="0000EE"/>
            </w:tcBorders>
            <w:gridSpan w:val="27"/>
            <w:shd w:val="clear" w:color="auto" w:fill="CCEEFF"/>
          </w:tcPr>
          <w:p>
            <w:pPr>
              <w:spacing w:after="0" w:line="176" w:lineRule="exact"/>
              <w:rPr>
                <w:sz w:val="20"/>
                <w:szCs w:val="20"/>
                <w:color w:val="auto"/>
              </w:rPr>
            </w:pPr>
            <w:r>
              <w:rPr>
                <w:rFonts w:ascii="Arial" w:cs="Arial" w:eastAsia="Arial" w:hAnsi="Arial"/>
                <w:sz w:val="18"/>
                <w:szCs w:val="18"/>
                <w:color w:val="0000EE"/>
                <w:w w:val="98"/>
              </w:rPr>
              <w:t>MANAGEMENT’S DISCUSSION AND ANALYSIS OF FINANCIAL CONDITION AND</w:t>
            </w:r>
          </w:p>
        </w:tc>
        <w:tc>
          <w:tcPr>
            <w:tcW w:w="640" w:type="dxa"/>
            <w:vAlign w:val="bottom"/>
            <w:tcBorders>
              <w:bottom w:val="single" w:sz="8" w:color="CCEEFF"/>
            </w:tcBorders>
            <w:gridSpan w:val="2"/>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40" w:type="dxa"/>
            <w:vAlign w:val="bottom"/>
            <w:gridSpan w:val="28"/>
            <w:shd w:val="clear" w:color="auto" w:fill="CCEEFF"/>
          </w:tcPr>
          <w:p>
            <w:pPr>
              <w:spacing w:after="0" w:line="196" w:lineRule="exact"/>
              <w:rPr>
                <w:sz w:val="20"/>
                <w:szCs w:val="20"/>
                <w:color w:val="auto"/>
              </w:rPr>
            </w:pPr>
            <w:r>
              <w:rPr>
                <w:rFonts w:ascii="Arial" w:cs="Arial" w:eastAsia="Arial" w:hAnsi="Arial"/>
                <w:sz w:val="18"/>
                <w:szCs w:val="18"/>
                <w:color w:val="0000EE"/>
              </w:rPr>
              <w:t>RESULTS OF OPERATIONS</w:t>
            </w:r>
          </w:p>
        </w:tc>
        <w:tc>
          <w:tcPr>
            <w:tcW w:w="7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46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INDUSTRY</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59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BUSINESS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66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REGULATION</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76</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MANAGEMENT</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79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PRINCIPAL SHAREHOLDERS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85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RELATED PARTY TRANSACTIONS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87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DESCRIPTION OF SHARE CAPITAL</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88</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DESCRIPTION OF AMERICAN DEPOSITARY SHARES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97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SHARES ELIGIBLE FOR FUTURE SALE</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6"/>
              </w:rPr>
              <w:t>108</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TAXATION</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110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UNDERWRITING</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6"/>
              </w:rPr>
              <w:t>118</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EXPENSES RELATED TO THIS OFFERING</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125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LEGAL MATTERS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6"/>
              </w:rPr>
              <w:t>126</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EXPERTS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126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WHERE YOU CAN FIND ADDITIONAL INFORMATION</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6"/>
              </w:rPr>
              <w:t>126</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INDEX TO CONSOLIDATED FINANCIAL STATEMENTS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bl>
    <w:p>
      <w:pPr>
        <w:spacing w:after="0" w:line="16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You should rely only on the information contained in this prospectus or in any related free writing prospectus. We have not authorized anyone to provide you with information different from that contained in this prospectus or in any related free writing prospectus. We are offering to sell, and seeking offers to buy, the ADSs only in jurisdictions where offers and sales are permitted. The information contained in this prospectus is current only as of the date of this prospectus, regardless of the time of delivery of this prospectus or of any sale of the ADSs.</w:t>
      </w:r>
    </w:p>
    <w:p>
      <w:pPr>
        <w:spacing w:after="0" w:line="125"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Neither we nor any of the underwriters have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 about and observe any restrictions relating to the offering of the ADSs and the distribution of this prospectus or any filed free writing prospectus outside the United States.</w:t>
      </w:r>
    </w:p>
    <w:p>
      <w:pPr>
        <w:spacing w:after="0" w:line="121" w:lineRule="exact"/>
        <w:rPr>
          <w:sz w:val="20"/>
          <w:szCs w:val="20"/>
          <w:color w:val="auto"/>
        </w:rPr>
      </w:pPr>
    </w:p>
    <w:p>
      <w:pPr>
        <w:ind w:left="460" w:right="519" w:firstLine="432"/>
        <w:spacing w:after="0" w:line="251" w:lineRule="auto"/>
        <w:rPr>
          <w:sz w:val="20"/>
          <w:szCs w:val="20"/>
          <w:color w:val="auto"/>
        </w:rPr>
      </w:pPr>
      <w:r>
        <w:rPr>
          <w:rFonts w:ascii="Arial" w:cs="Arial" w:eastAsia="Arial" w:hAnsi="Arial"/>
          <w:sz w:val="18"/>
          <w:szCs w:val="18"/>
          <w:b w:val="1"/>
          <w:bCs w:val="1"/>
          <w:color w:val="auto"/>
        </w:rPr>
        <w:t>Until , 2023 (the 25</w:t>
      </w:r>
      <w:r>
        <w:rPr>
          <w:rFonts w:ascii="Arial" w:cs="Arial" w:eastAsia="Arial" w:hAnsi="Arial"/>
          <w:sz w:val="20"/>
          <w:szCs w:val="20"/>
          <w:b w:val="1"/>
          <w:bCs w:val="1"/>
          <w:color w:val="auto"/>
          <w:vertAlign w:val="superscript"/>
        </w:rPr>
        <w:t>th</w:t>
      </w:r>
      <w:r>
        <w:rPr>
          <w:rFonts w:ascii="Arial" w:cs="Arial" w:eastAsia="Arial" w:hAnsi="Arial"/>
          <w:sz w:val="18"/>
          <w:szCs w:val="18"/>
          <w:b w:val="1"/>
          <w:bCs w:val="1"/>
          <w:color w:val="auto"/>
        </w:rPr>
        <w:t xml:space="preserve">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 w:name="page7"/>
    <w:bookmarkEnd w:id="6"/>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077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7310" cy="85077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540" w:right="599" w:firstLine="432"/>
        <w:spacing w:after="0" w:line="291" w:lineRule="auto"/>
        <w:rPr>
          <w:sz w:val="20"/>
          <w:szCs w:val="20"/>
          <w:color w:val="auto"/>
        </w:rPr>
      </w:pPr>
      <w:r>
        <w:rPr>
          <w:rFonts w:ascii="Arial" w:cs="Arial" w:eastAsia="Arial" w:hAnsi="Arial"/>
          <w:sz w:val="16"/>
          <w:szCs w:val="16"/>
          <w:i w:val="1"/>
          <w:iCs w:val="1"/>
          <w:color w:val="auto"/>
        </w:rPr>
        <w:t>The following summary is qualified in its entirety by, and should be read in conjunction with, the more detailed information and financial statements appearing elsewhere in this prospectus, especially our consolidated financial statements and the related notes and sections titled “Risk Factors,” “Business,” and “Management’s Discussion and Analysis of Financial Condition and Results of Operations.” This prospectus contains information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40" w:right="1119" w:firstLine="432"/>
        <w:spacing w:after="0" w:line="259" w:lineRule="auto"/>
        <w:rPr>
          <w:sz w:val="20"/>
          <w:szCs w:val="20"/>
          <w:color w:val="auto"/>
        </w:rPr>
      </w:pPr>
      <w:r>
        <w:rPr>
          <w:rFonts w:ascii="Arial" w:cs="Arial" w:eastAsia="Arial" w:hAnsi="Arial"/>
          <w:sz w:val="18"/>
          <w:szCs w:val="18"/>
          <w:color w:val="auto"/>
        </w:rPr>
        <w:t>We are a leading digital transformation enabler in the small and medium enterprise, or the SME segment of the e-commerce enablement and digital optimizing services market in Singapore. We offer business and technology solutions which are designed to optimize our clients’ experiences with their customers by driving digital adoption and self-service.</w:t>
      </w:r>
    </w:p>
    <w:p>
      <w:pPr>
        <w:spacing w:after="0" w:line="79" w:lineRule="exact"/>
        <w:rPr>
          <w:sz w:val="20"/>
          <w:szCs w:val="20"/>
          <w:color w:val="auto"/>
        </w:rPr>
      </w:pPr>
    </w:p>
    <w:p>
      <w:pPr>
        <w:ind w:left="540" w:right="559" w:firstLine="432"/>
        <w:spacing w:after="0" w:line="270" w:lineRule="auto"/>
        <w:rPr>
          <w:sz w:val="20"/>
          <w:szCs w:val="20"/>
          <w:color w:val="auto"/>
        </w:rPr>
      </w:pPr>
      <w:r>
        <w:rPr>
          <w:rFonts w:ascii="Arial" w:cs="Arial" w:eastAsia="Arial" w:hAnsi="Arial"/>
          <w:sz w:val="17"/>
          <w:szCs w:val="17"/>
          <w:color w:val="auto"/>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e-commerce enablement and digital optimizing services market in Singapore. According to the Frost &amp; Sullivan Report, among the Singapore-based companies who have been approved to participate in the SMEs Go Digital program led by Infocomm Media Development Authority, a statutory board under the Singapore Ministry of Communications and Information of the Republic of Singapore, we ranked fourth, contributing to 1.5% of the SME segment of the e-commerce enablement and digital optimizing services market in Singapore in 2022.</w:t>
      </w:r>
    </w:p>
    <w:p>
      <w:pPr>
        <w:spacing w:after="0" w:line="73" w:lineRule="exact"/>
        <w:rPr>
          <w:sz w:val="20"/>
          <w:szCs w:val="20"/>
          <w:color w:val="auto"/>
        </w:rPr>
      </w:pPr>
    </w:p>
    <w:p>
      <w:pPr>
        <w:ind w:left="540" w:right="699" w:firstLine="432"/>
        <w:spacing w:after="0" w:line="311" w:lineRule="auto"/>
        <w:rPr>
          <w:sz w:val="20"/>
          <w:szCs w:val="20"/>
          <w:color w:val="auto"/>
        </w:rPr>
      </w:pPr>
      <w:r>
        <w:rPr>
          <w:rFonts w:ascii="Arial" w:cs="Arial" w:eastAsia="Arial" w:hAnsi="Arial"/>
          <w:sz w:val="16"/>
          <w:szCs w:val="16"/>
          <w:color w:val="auto"/>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spacing w:after="0" w:line="41" w:lineRule="exact"/>
        <w:rPr>
          <w:sz w:val="20"/>
          <w:szCs w:val="20"/>
          <w:color w:val="auto"/>
        </w:rPr>
      </w:pPr>
    </w:p>
    <w:p>
      <w:pPr>
        <w:ind w:left="540" w:right="639" w:firstLine="432"/>
        <w:spacing w:after="0" w:line="272" w:lineRule="auto"/>
        <w:rPr>
          <w:sz w:val="20"/>
          <w:szCs w:val="20"/>
          <w:color w:val="auto"/>
        </w:rPr>
      </w:pPr>
      <w:r>
        <w:rPr>
          <w:rFonts w:ascii="Arial" w:cs="Arial" w:eastAsia="Arial" w:hAnsi="Arial"/>
          <w:sz w:val="17"/>
          <w:szCs w:val="17"/>
          <w:color w:val="auto"/>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spacing w:after="0" w:line="110" w:lineRule="exact"/>
        <w:rPr>
          <w:sz w:val="20"/>
          <w:szCs w:val="20"/>
          <w:color w:val="auto"/>
        </w:rPr>
      </w:pPr>
    </w:p>
    <w:p>
      <w:pPr>
        <w:ind w:left="1400" w:right="659" w:hanging="424"/>
        <w:spacing w:after="0" w:line="275" w:lineRule="auto"/>
        <w:tabs>
          <w:tab w:leader="none" w:pos="1395"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Business consulting: </w:t>
      </w:r>
      <w:r>
        <w:rPr>
          <w:rFonts w:ascii="Arial" w:cs="Arial" w:eastAsia="Arial" w:hAnsi="Arial"/>
          <w:sz w:val="17"/>
          <w:szCs w:val="17"/>
          <w:color w:val="auto"/>
        </w:rPr>
        <w:t>We support clients to define and deliver technology-enabled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08" w:lineRule="exact"/>
        <w:rPr>
          <w:rFonts w:ascii="Arial" w:cs="Arial" w:eastAsia="Arial" w:hAnsi="Arial"/>
          <w:sz w:val="17"/>
          <w:szCs w:val="17"/>
          <w:color w:val="auto"/>
        </w:rPr>
      </w:pPr>
    </w:p>
    <w:p>
      <w:pPr>
        <w:ind w:left="1400" w:right="639" w:hanging="424"/>
        <w:spacing w:after="0" w:line="279" w:lineRule="auto"/>
        <w:tabs>
          <w:tab w:leader="none" w:pos="1395"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IT customization: </w:t>
      </w:r>
      <w:r>
        <w:rPr>
          <w:rFonts w:ascii="Arial" w:cs="Arial" w:eastAsia="Arial" w:hAnsi="Arial"/>
          <w:sz w:val="17"/>
          <w:szCs w:val="17"/>
          <w:color w:val="auto"/>
        </w:rPr>
        <w:t>We offer solutions and services to plan, design, operate, optimize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90" w:lineRule="exact"/>
        <w:rPr>
          <w:sz w:val="20"/>
          <w:szCs w:val="20"/>
          <w:color w:val="auto"/>
        </w:rPr>
      </w:pPr>
    </w:p>
    <w:p>
      <w:pPr>
        <w:ind w:left="540" w:right="559" w:firstLine="432"/>
        <w:spacing w:after="0" w:line="273" w:lineRule="auto"/>
        <w:rPr>
          <w:sz w:val="20"/>
          <w:szCs w:val="20"/>
          <w:color w:val="auto"/>
        </w:rPr>
      </w:pPr>
      <w:r>
        <w:rPr>
          <w:rFonts w:ascii="Arial" w:cs="Arial" w:eastAsia="Arial" w:hAnsi="Arial"/>
          <w:sz w:val="17"/>
          <w:szCs w:val="17"/>
          <w:color w:val="auto"/>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June 30, 2023, we served over 200 clients across our core verticals such as food and beverage, wholesale and retail.</w:t>
      </w:r>
    </w:p>
    <w:p>
      <w:pPr>
        <w:spacing w:after="0" w:line="110" w:lineRule="exact"/>
        <w:rPr>
          <w:sz w:val="20"/>
          <w:szCs w:val="20"/>
          <w:color w:val="auto"/>
        </w:rPr>
      </w:pPr>
    </w:p>
    <w:p>
      <w:pPr>
        <w:ind w:left="540" w:right="599" w:firstLine="432"/>
        <w:spacing w:after="0" w:line="255" w:lineRule="auto"/>
        <w:rPr>
          <w:sz w:val="20"/>
          <w:szCs w:val="20"/>
          <w:color w:val="auto"/>
        </w:rPr>
      </w:pPr>
      <w:r>
        <w:rPr>
          <w:rFonts w:ascii="Arial" w:cs="Arial" w:eastAsia="Arial" w:hAnsi="Arial"/>
          <w:sz w:val="18"/>
          <w:szCs w:val="18"/>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plan to launch a Web 3.0 e-commerce platform whereby customers and merchants can transact in a transparent and secure way, or Tridentity, in the fourth quarter of 2023. We believe Tridentity addresses a massive market opportunity today and provides</w:t>
      </w:r>
    </w:p>
    <w:p>
      <w:pPr>
        <w:sectPr>
          <w:pgSz w:w="11900" w:h="16838" w:orient="portrait"/>
          <w:cols w:equalWidth="0" w:num="1">
            <w:col w:w="9019"/>
          </w:cols>
          <w:pgMar w:left="1440" w:top="274" w:right="1440" w:bottom="1440"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 w:name="page8"/>
    <w:bookmarkEnd w:id="7"/>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19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801941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679"/>
        <w:spacing w:after="0" w:line="263" w:lineRule="auto"/>
        <w:rPr>
          <w:sz w:val="20"/>
          <w:szCs w:val="20"/>
          <w:color w:val="auto"/>
        </w:rPr>
      </w:pPr>
      <w:r>
        <w:rPr>
          <w:rFonts w:ascii="Arial" w:cs="Arial" w:eastAsia="Arial" w:hAnsi="Arial"/>
          <w:sz w:val="18"/>
          <w:szCs w:val="18"/>
          <w:color w:val="auto"/>
        </w:rPr>
        <w:t>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16" w:lineRule="exact"/>
        <w:rPr>
          <w:sz w:val="20"/>
          <w:szCs w:val="20"/>
          <w:color w:val="auto"/>
        </w:rPr>
      </w:pPr>
    </w:p>
    <w:p>
      <w:pPr>
        <w:ind w:left="540" w:right="559" w:firstLine="432"/>
        <w:spacing w:after="0" w:line="268" w:lineRule="auto"/>
        <w:rPr>
          <w:sz w:val="20"/>
          <w:szCs w:val="20"/>
          <w:color w:val="auto"/>
        </w:rPr>
      </w:pPr>
      <w:r>
        <w:rPr>
          <w:rFonts w:ascii="Arial" w:cs="Arial" w:eastAsia="Arial" w:hAnsi="Arial"/>
          <w:sz w:val="17"/>
          <w:szCs w:val="17"/>
          <w:color w:val="auto"/>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Strengths</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believe the following strengths have contributed to our continued success:</w:t>
      </w:r>
    </w:p>
    <w:p>
      <w:pPr>
        <w:spacing w:after="0" w:line="158" w:lineRule="exact"/>
        <w:rPr>
          <w:sz w:val="20"/>
          <w:szCs w:val="20"/>
          <w:color w:val="auto"/>
        </w:rPr>
      </w:pPr>
    </w:p>
    <w:p>
      <w:pPr>
        <w:ind w:left="1400" w:right="819" w:hanging="424"/>
        <w:spacing w:after="0" w:line="277" w:lineRule="auto"/>
        <w:tabs>
          <w:tab w:leader="none" w:pos="139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leading digital transformation enabler in the SME segment of the e-commerce enablement and digital optimizing services market in Singapore;</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proprietary technology architecture;</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unique perspective and efficient operational capabilities; and</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seasoned and visionary management team with international perspective.</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Strategies</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intend to further grow our business by pursuing the following strategies:</w:t>
      </w:r>
    </w:p>
    <w:p>
      <w:pPr>
        <w:spacing w:after="0" w:line="144" w:lineRule="exact"/>
        <w:rPr>
          <w:sz w:val="20"/>
          <w:szCs w:val="20"/>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capitalize on a generational shift to Web 3.0;</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and grow our client base;</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broaden our geographical reach; and</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selectively pursue strategic acquisitions.</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Summary of Risk Factors</w:t>
      </w:r>
    </w:p>
    <w:p>
      <w:pPr>
        <w:spacing w:after="0" w:line="162" w:lineRule="exact"/>
        <w:rPr>
          <w:sz w:val="20"/>
          <w:szCs w:val="20"/>
          <w:color w:val="auto"/>
        </w:rPr>
      </w:pPr>
    </w:p>
    <w:p>
      <w:pPr>
        <w:ind w:left="540" w:right="559" w:firstLine="432"/>
        <w:spacing w:after="0" w:line="259" w:lineRule="auto"/>
        <w:rPr>
          <w:sz w:val="20"/>
          <w:szCs w:val="20"/>
          <w:color w:val="auto"/>
        </w:rPr>
      </w:pPr>
      <w:r>
        <w:rPr>
          <w:rFonts w:ascii="Arial" w:cs="Arial" w:eastAsia="Arial" w:hAnsi="Arial"/>
          <w:sz w:val="18"/>
          <w:szCs w:val="18"/>
          <w:color w:val="auto"/>
        </w:rPr>
        <w:t>Investing in our ADSs involves significant risks. You should carefully consider all of the information in this prospectus before making an investment in our ADSs. Below please find a summary of the principal risks we face, organized under relevant headings. These risks are discussed more fully in the section titled “Risk Factors.”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58" w:lineRule="exact"/>
        <w:rPr>
          <w:sz w:val="20"/>
          <w:szCs w:val="20"/>
          <w:color w:val="auto"/>
        </w:rPr>
      </w:pPr>
    </w:p>
    <w:p>
      <w:pPr>
        <w:ind w:left="1400" w:right="759" w:hanging="424"/>
        <w:spacing w:after="0" w:line="308" w:lineRule="auto"/>
        <w:tabs>
          <w:tab w:leader="none" w:pos="1395"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rapid growth may not be sustainable or indicative of our future growth. Our business could be harmed if we fail to manage our infrastructure to support future growth.</w:t>
      </w:r>
    </w:p>
    <w:p>
      <w:pPr>
        <w:spacing w:after="0" w:line="65" w:lineRule="exact"/>
        <w:rPr>
          <w:rFonts w:ascii="Arial" w:cs="Arial" w:eastAsia="Arial" w:hAnsi="Arial"/>
          <w:sz w:val="17"/>
          <w:szCs w:val="17"/>
          <w:color w:val="auto"/>
        </w:rPr>
      </w:pPr>
    </w:p>
    <w:p>
      <w:pPr>
        <w:ind w:left="1400" w:right="579" w:hanging="424"/>
        <w:spacing w:after="0" w:line="263" w:lineRule="auto"/>
        <w:tabs>
          <w:tab w:leader="none" w:pos="1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Substantially all of our revenues are generated by sales to clients in our targeted verticals, and factors, including Singapore and global market and economic conditions, that adversely affect the applicable industry could also adversely affect us.</w:t>
      </w:r>
    </w:p>
    <w:p>
      <w:pPr>
        <w:spacing w:after="0" w:line="116" w:lineRule="exact"/>
        <w:rPr>
          <w:rFonts w:ascii="Arial" w:cs="Arial" w:eastAsia="Arial" w:hAnsi="Arial"/>
          <w:sz w:val="18"/>
          <w:szCs w:val="18"/>
          <w:color w:val="auto"/>
        </w:rPr>
      </w:pPr>
    </w:p>
    <w:p>
      <w:pPr>
        <w:ind w:left="1400" w:right="579" w:hanging="424"/>
        <w:spacing w:after="0" w:line="342" w:lineRule="auto"/>
        <w:tabs>
          <w:tab w:leader="none" w:pos="1395"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are not able to introduce new features or services successfully and to make enhancements to our solutions and services, our business and results of operations could be adversely affected.</w:t>
      </w:r>
    </w:p>
    <w:p>
      <w:pPr>
        <w:sectPr>
          <w:pgSz w:w="11900" w:h="16838" w:orient="portrait"/>
          <w:cols w:equalWidth="0" w:num="1">
            <w:col w:w="9019"/>
          </w:cols>
          <w:pgMar w:left="1440" w:top="274" w:right="1440" w:bottom="1440" w:gutter="0" w:footer="0" w:header="0"/>
          <w:type w:val="continuous"/>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 w:name="page9"/>
    <w:bookmarkEnd w:id="8"/>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19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801941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1400" w:right="839" w:hanging="424"/>
        <w:spacing w:after="0" w:line="263"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face intense competition, which could limit our ability to maintain or expand market share within our industry, and if we do not maintain or expand our market share, our business, financial condition, and operating results will be harmed.</w:t>
      </w:r>
    </w:p>
    <w:p>
      <w:pPr>
        <w:spacing w:after="0" w:line="116" w:lineRule="exact"/>
        <w:rPr>
          <w:rFonts w:ascii="Arial" w:cs="Arial" w:eastAsia="Arial" w:hAnsi="Arial"/>
          <w:sz w:val="18"/>
          <w:szCs w:val="18"/>
          <w:color w:val="auto"/>
        </w:rPr>
      </w:pPr>
    </w:p>
    <w:p>
      <w:pPr>
        <w:ind w:left="1400" w:right="639" w:hanging="424"/>
        <w:spacing w:after="0" w:line="263"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expect fluctuations in our operating results, making it difficult to project future results, and if we fail to meet the expectations of securities analysts or investors with respect to our operating results, the market price of our ADSs could decline.</w:t>
      </w:r>
    </w:p>
    <w:p>
      <w:pPr>
        <w:spacing w:after="0" w:line="102" w:lineRule="exact"/>
        <w:rPr>
          <w:rFonts w:ascii="Arial" w:cs="Arial" w:eastAsia="Arial" w:hAnsi="Arial"/>
          <w:sz w:val="18"/>
          <w:szCs w:val="18"/>
          <w:color w:val="auto"/>
        </w:rPr>
      </w:pPr>
    </w:p>
    <w:p>
      <w:pPr>
        <w:ind w:left="1400" w:right="739" w:hanging="424"/>
        <w:spacing w:after="0" w:line="263"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are subject to risks associated with rising interest rates, which could negatively impact our ability to maintain the current financing and obtain additional financing.</w:t>
      </w:r>
    </w:p>
    <w:p>
      <w:pPr>
        <w:spacing w:after="0" w:line="116" w:lineRule="exact"/>
        <w:rPr>
          <w:rFonts w:ascii="Arial" w:cs="Arial" w:eastAsia="Arial" w:hAnsi="Arial"/>
          <w:sz w:val="18"/>
          <w:szCs w:val="18"/>
          <w:color w:val="auto"/>
        </w:rPr>
      </w:pPr>
    </w:p>
    <w:p>
      <w:pPr>
        <w:ind w:left="1400" w:right="819" w:hanging="424"/>
        <w:spacing w:after="0" w:line="277"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might not implement our growth strategies successfully which would limit our growth and cause the market price of our ADS to decline.</w:t>
      </w:r>
    </w:p>
    <w:p>
      <w:pPr>
        <w:spacing w:after="0" w:line="102" w:lineRule="exact"/>
        <w:rPr>
          <w:rFonts w:ascii="Arial" w:cs="Arial" w:eastAsia="Arial" w:hAnsi="Arial"/>
          <w:sz w:val="18"/>
          <w:szCs w:val="18"/>
          <w:color w:val="auto"/>
        </w:rPr>
      </w:pPr>
    </w:p>
    <w:p>
      <w:pPr>
        <w:ind w:left="1400" w:right="839" w:hanging="424"/>
        <w:spacing w:after="0" w:line="277"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Interruptions or performance problems associated with our infrastructure may adversely affect our business, results of operations and financial condition.</w:t>
      </w:r>
    </w:p>
    <w:p>
      <w:pPr>
        <w:spacing w:after="0" w:line="89" w:lineRule="exact"/>
        <w:rPr>
          <w:rFonts w:ascii="Arial" w:cs="Arial" w:eastAsia="Arial" w:hAnsi="Arial"/>
          <w:sz w:val="18"/>
          <w:szCs w:val="18"/>
          <w:color w:val="auto"/>
        </w:rPr>
      </w:pPr>
    </w:p>
    <w:p>
      <w:pPr>
        <w:ind w:left="1400" w:right="1019" w:hanging="424"/>
        <w:spacing w:after="0" w:line="308" w:lineRule="auto"/>
        <w:tabs>
          <w:tab w:leader="none" w:pos="1395"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depend on the reliable performance of Internet infrastructure, bandwidth providers, data center providers, cloud providers, mobile infrastructure, and other third parties.</w:t>
      </w:r>
    </w:p>
    <w:p>
      <w:pPr>
        <w:spacing w:after="0" w:line="78" w:lineRule="exact"/>
        <w:rPr>
          <w:rFonts w:ascii="Arial" w:cs="Arial" w:eastAsia="Arial" w:hAnsi="Arial"/>
          <w:sz w:val="17"/>
          <w:szCs w:val="17"/>
          <w:color w:val="auto"/>
        </w:rPr>
      </w:pPr>
    </w:p>
    <w:p>
      <w:pPr>
        <w:ind w:left="1400" w:right="759" w:hanging="424"/>
        <w:spacing w:after="0" w:line="263"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generates and processes a large amount of consumer data, and the improper use, collection or disclosure of such data could subject us to significant reputational, financial, legal and operational consequences.</w:t>
      </w:r>
    </w:p>
    <w:p>
      <w:pPr>
        <w:spacing w:after="0" w:line="116" w:lineRule="exact"/>
        <w:rPr>
          <w:rFonts w:ascii="Arial" w:cs="Arial" w:eastAsia="Arial" w:hAnsi="Arial"/>
          <w:sz w:val="18"/>
          <w:szCs w:val="18"/>
          <w:color w:val="auto"/>
        </w:rPr>
      </w:pPr>
    </w:p>
    <w:p>
      <w:pPr>
        <w:ind w:left="1400" w:right="999" w:hanging="424"/>
        <w:spacing w:after="0" w:line="277"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protect our intellectual property or proprietary rights could substantially harm our business and results of operations.</w:t>
      </w:r>
    </w:p>
    <w:p>
      <w:pPr>
        <w:spacing w:after="0" w:line="89" w:lineRule="exact"/>
        <w:rPr>
          <w:rFonts w:ascii="Arial" w:cs="Arial" w:eastAsia="Arial" w:hAnsi="Arial"/>
          <w:sz w:val="18"/>
          <w:szCs w:val="18"/>
          <w:color w:val="auto"/>
        </w:rPr>
      </w:pPr>
    </w:p>
    <w:p>
      <w:pPr>
        <w:ind w:left="1400" w:right="639" w:hanging="424"/>
        <w:spacing w:after="0" w:line="259"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spacing w:after="0" w:line="119" w:lineRule="exact"/>
        <w:rPr>
          <w:rFonts w:ascii="Arial" w:cs="Arial" w:eastAsia="Arial" w:hAnsi="Arial"/>
          <w:sz w:val="18"/>
          <w:szCs w:val="18"/>
          <w:color w:val="auto"/>
        </w:rPr>
      </w:pPr>
    </w:p>
    <w:p>
      <w:pPr>
        <w:jc w:val="both"/>
        <w:ind w:left="1400" w:right="779" w:hanging="424"/>
        <w:spacing w:after="0" w:line="263"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the performance of senior management team and highly skilled personnel; if we are unable to retain or motivate key personnel or hire, retain and motivate qualified personnel, our business would be harmed.</w:t>
      </w:r>
    </w:p>
    <w:p>
      <w:pPr>
        <w:spacing w:after="0" w:line="116" w:lineRule="exact"/>
        <w:rPr>
          <w:rFonts w:ascii="Arial" w:cs="Arial" w:eastAsia="Arial" w:hAnsi="Arial"/>
          <w:sz w:val="18"/>
          <w:szCs w:val="18"/>
          <w:color w:val="auto"/>
        </w:rPr>
      </w:pPr>
    </w:p>
    <w:p>
      <w:pPr>
        <w:ind w:left="1400" w:right="679" w:hanging="424"/>
        <w:spacing w:after="0" w:line="263"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02" w:lineRule="exact"/>
        <w:rPr>
          <w:rFonts w:ascii="Arial" w:cs="Arial" w:eastAsia="Arial" w:hAnsi="Arial"/>
          <w:sz w:val="18"/>
          <w:szCs w:val="18"/>
          <w:color w:val="auto"/>
        </w:rPr>
      </w:pPr>
    </w:p>
    <w:p>
      <w:pPr>
        <w:ind w:left="1400" w:right="599" w:hanging="424"/>
        <w:spacing w:after="0" w:line="263"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Risks Related to the Jurisdictions Where We Operate</w:t>
      </w:r>
    </w:p>
    <w:p>
      <w:pPr>
        <w:spacing w:after="0" w:line="158" w:lineRule="exact"/>
        <w:rPr>
          <w:sz w:val="20"/>
          <w:szCs w:val="20"/>
          <w:color w:val="auto"/>
        </w:rPr>
      </w:pPr>
    </w:p>
    <w:p>
      <w:pPr>
        <w:jc w:val="both"/>
        <w:ind w:left="1400" w:right="659" w:hanging="424"/>
        <w:spacing w:after="0" w:line="286" w:lineRule="auto"/>
        <w:tabs>
          <w:tab w:leader="none" w:pos="1395"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spacing w:after="0" w:line="97" w:lineRule="exact"/>
        <w:rPr>
          <w:rFonts w:ascii="Arial" w:cs="Arial" w:eastAsia="Arial" w:hAnsi="Arial"/>
          <w:sz w:val="17"/>
          <w:szCs w:val="17"/>
          <w:color w:val="auto"/>
        </w:rPr>
      </w:pPr>
    </w:p>
    <w:p>
      <w:pPr>
        <w:ind w:left="1400" w:right="919" w:hanging="424"/>
        <w:spacing w:after="0" w:line="277"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exposed to risks in respect of acts of war, terrorist attacks, epidemics, political unrest, natural disasters, adverse weather and other uncontrollable events.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Risks Related to our ADSs and This Offering</w:t>
      </w:r>
    </w:p>
    <w:p>
      <w:pPr>
        <w:spacing w:after="0" w:line="144" w:lineRule="exact"/>
        <w:rPr>
          <w:sz w:val="20"/>
          <w:szCs w:val="20"/>
          <w:color w:val="auto"/>
        </w:rPr>
      </w:pPr>
    </w:p>
    <w:p>
      <w:pPr>
        <w:ind w:left="1400" w:right="819" w:hanging="424"/>
        <w:spacing w:after="0" w:line="277" w:lineRule="auto"/>
        <w:tabs>
          <w:tab w:leader="none" w:pos="13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active trading market for our ordinary shares or our ADSs may not develop and the trading price for our ADSs may fluctuate significantly.</w:t>
      </w:r>
    </w:p>
    <w:p>
      <w:pPr>
        <w:spacing w:after="0" w:line="102" w:lineRule="exact"/>
        <w:rPr>
          <w:rFonts w:ascii="Arial" w:cs="Arial" w:eastAsia="Arial" w:hAnsi="Arial"/>
          <w:sz w:val="18"/>
          <w:szCs w:val="18"/>
          <w:color w:val="auto"/>
        </w:rPr>
      </w:pPr>
    </w:p>
    <w:p>
      <w:pPr>
        <w:ind w:left="1400" w:right="959" w:hanging="424"/>
        <w:spacing w:after="0" w:line="277" w:lineRule="auto"/>
        <w:tabs>
          <w:tab w:leader="none" w:pos="13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an emerging growth company within the meaning of the Securities Act and may take advantage of certain reduced reporting requirements.</w:t>
      </w:r>
    </w:p>
    <w:p>
      <w:pPr>
        <w:sectPr>
          <w:pgSz w:w="11900" w:h="16838" w:orient="portrait"/>
          <w:cols w:equalWidth="0" w:num="1">
            <w:col w:w="9019"/>
          </w:cols>
          <w:pgMar w:left="1440" w:top="274" w:right="1440" w:bottom="1440" w:gutter="0" w:footer="0" w:header="0"/>
          <w:type w:val="continuous"/>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 w:name="page10"/>
    <w:bookmarkEnd w:id="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710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7710805"/>
                    </a:xfrm>
                    <a:prstGeom prst="rect">
                      <a:avLst/>
                    </a:prstGeom>
                    <a:noFill/>
                  </pic:spPr>
                </pic:pic>
              </a:graphicData>
            </a:graphic>
          </wp:anchor>
        </w:drawing>
      </w:r>
    </w:p>
    <w:p>
      <w:pPr>
        <w:spacing w:after="0" w:line="327" w:lineRule="exact"/>
        <w:rPr>
          <w:sz w:val="20"/>
          <w:szCs w:val="20"/>
          <w:color w:val="auto"/>
        </w:rPr>
      </w:pPr>
    </w:p>
    <w:p>
      <w:pPr>
        <w:ind w:left="1400" w:right="719" w:hanging="424"/>
        <w:spacing w:after="0" w:line="286" w:lineRule="auto"/>
        <w:tabs>
          <w:tab w:leader="none" w:pos="13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spacing w:after="0" w:line="97" w:lineRule="exact"/>
        <w:rPr>
          <w:rFonts w:ascii="Arial" w:cs="Arial" w:eastAsia="Arial" w:hAnsi="Arial"/>
          <w:sz w:val="17"/>
          <w:szCs w:val="17"/>
          <w:color w:val="auto"/>
        </w:rPr>
      </w:pPr>
    </w:p>
    <w:p>
      <w:pPr>
        <w:ind w:left="1400" w:right="579" w:hanging="424"/>
        <w:spacing w:after="0" w:line="286" w:lineRule="auto"/>
        <w:tabs>
          <w:tab w:leader="none" w:pos="13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History and Structure</w:t>
      </w:r>
    </w:p>
    <w:p>
      <w:pPr>
        <w:spacing w:after="0" w:line="148" w:lineRule="exact"/>
        <w:rPr>
          <w:sz w:val="20"/>
          <w:szCs w:val="20"/>
          <w:color w:val="auto"/>
        </w:rPr>
      </w:pPr>
    </w:p>
    <w:p>
      <w:pPr>
        <w:ind w:left="540" w:right="619" w:firstLine="432"/>
        <w:spacing w:after="0" w:line="259" w:lineRule="auto"/>
        <w:rPr>
          <w:sz w:val="20"/>
          <w:szCs w:val="20"/>
          <w:color w:val="auto"/>
        </w:rPr>
      </w:pPr>
      <w:r>
        <w:rPr>
          <w:rFonts w:ascii="Arial" w:cs="Arial" w:eastAsia="Arial" w:hAnsi="Arial"/>
          <w:sz w:val="18"/>
          <w:szCs w:val="18"/>
          <w:color w:val="auto"/>
        </w:rPr>
        <w:t>We commenced our operations in 2014 through Quality Zone Technologies Pte. Ltd., a company incorporated in Singapore, to offer services and solutions to operate, optimize and transform business processes. In May 2022, we established Trident Digital Tech Pte. Ltd., a company incorporated in Singapore, to expand our business in Web 3.0 e-commerce.</w:t>
      </w:r>
    </w:p>
    <w:p>
      <w:pPr>
        <w:spacing w:after="0" w:line="119" w:lineRule="exact"/>
        <w:rPr>
          <w:sz w:val="20"/>
          <w:szCs w:val="20"/>
          <w:color w:val="auto"/>
        </w:rPr>
      </w:pPr>
    </w:p>
    <w:p>
      <w:pPr>
        <w:ind w:left="540" w:right="659" w:firstLine="432"/>
        <w:spacing w:after="0" w:line="275" w:lineRule="auto"/>
        <w:rPr>
          <w:sz w:val="20"/>
          <w:szCs w:val="20"/>
          <w:color w:val="auto"/>
        </w:rPr>
      </w:pPr>
      <w:r>
        <w:rPr>
          <w:rFonts w:ascii="Arial" w:cs="Arial" w:eastAsia="Arial" w:hAnsi="Arial"/>
          <w:sz w:val="17"/>
          <w:szCs w:val="17"/>
          <w:color w:val="auto"/>
        </w:rPr>
        <w:t>In June and July 2023, to facilitate our financing and listing opportunities outside Singapore, we established Trident Digital Tech Holdings Ltd, our holding company incorporated under the laws of the Cayman Islands. Shortly following its incorporation, Trident Digital Tech Holdings Ltd acquired 100% interest in Quality Zone Technologies Pte. Ltd. and then Quality Zone Technologies Pte. Ltd. acquired 100% interest in Trident Digital Tech Pte. Ltd. as part of our reorganization.</w:t>
      </w:r>
    </w:p>
    <w:p>
      <w:pPr>
        <w:spacing w:after="0" w:line="109" w:lineRule="exact"/>
        <w:rPr>
          <w:sz w:val="20"/>
          <w:szCs w:val="20"/>
          <w:color w:val="auto"/>
        </w:rPr>
      </w:pPr>
    </w:p>
    <w:p>
      <w:pPr>
        <w:ind w:left="540" w:right="719" w:firstLine="432"/>
        <w:spacing w:after="0" w:line="263" w:lineRule="auto"/>
        <w:rPr>
          <w:sz w:val="20"/>
          <w:szCs w:val="20"/>
          <w:color w:val="auto"/>
        </w:rPr>
      </w:pPr>
      <w:r>
        <w:rPr>
          <w:rFonts w:ascii="Arial" w:cs="Arial" w:eastAsia="Arial" w:hAnsi="Arial"/>
          <w:sz w:val="18"/>
          <w:szCs w:val="18"/>
          <w:color w:val="auto"/>
        </w:rPr>
        <w:t>Upon the completion of the reorganization, Quality Zone Technologies Pte. Ltd. became a wholly-owned subsidiary of Trident Digital Tech Holdings Ltd and Trident Digital Tech Pte. Ltd. became a wholly-owned subsidiary of Quality Zone Technologies Pte. Ltd.</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diagram below illustrates our corporate structure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Implication of Being an Emerging Growth Company</w:t>
      </w:r>
    </w:p>
    <w:p>
      <w:pPr>
        <w:spacing w:after="0" w:line="162" w:lineRule="exact"/>
        <w:rPr>
          <w:sz w:val="20"/>
          <w:szCs w:val="20"/>
          <w:color w:val="auto"/>
        </w:rPr>
      </w:pPr>
    </w:p>
    <w:p>
      <w:pPr>
        <w:ind w:left="540" w:right="659" w:firstLine="432"/>
        <w:spacing w:after="0" w:line="268" w:lineRule="auto"/>
        <w:rPr>
          <w:sz w:val="20"/>
          <w:szCs w:val="20"/>
          <w:color w:val="auto"/>
        </w:rPr>
      </w:pPr>
      <w:r>
        <w:rPr>
          <w:rFonts w:ascii="Arial" w:cs="Arial" w:eastAsia="Arial" w:hAnsi="Arial"/>
          <w:sz w:val="17"/>
          <w:szCs w:val="17"/>
          <w:color w:val="auto"/>
        </w:rPr>
        <w:t>As a company with less than US$1.235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 w:name="page11"/>
    <w:bookmarkEnd w:id="10"/>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76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599" w:firstLine="432"/>
        <w:spacing w:after="0" w:line="270" w:lineRule="auto"/>
        <w:rPr>
          <w:sz w:val="20"/>
          <w:szCs w:val="20"/>
          <w:color w:val="auto"/>
        </w:rPr>
      </w:pPr>
      <w:r>
        <w:rPr>
          <w:rFonts w:ascii="Arial" w:cs="Arial" w:eastAsia="Arial" w:hAnsi="Arial"/>
          <w:sz w:val="17"/>
          <w:szCs w:val="17"/>
          <w:color w:val="auto"/>
        </w:rPr>
        <w:t>We will remain an emerging growth company until the earliest of (i) the last day of the fiscal year during which we have total annual gross revenues of at least US$1.235 billion; (ii) the last day of our fiscal year following the fifth anniversary of the completion of this offering; (iii) the date on which we have, during the preceding three-year period, issued more than US$1.0 billion in non-convertible debt; or (iv)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Implications of Being a Controlled Company</w:t>
      </w:r>
    </w:p>
    <w:p>
      <w:pPr>
        <w:spacing w:after="0" w:line="162" w:lineRule="exact"/>
        <w:rPr>
          <w:sz w:val="20"/>
          <w:szCs w:val="20"/>
          <w:color w:val="auto"/>
        </w:rPr>
      </w:pPr>
    </w:p>
    <w:p>
      <w:pPr>
        <w:ind w:left="540" w:right="599" w:firstLine="432"/>
        <w:spacing w:after="0" w:line="268" w:lineRule="auto"/>
        <w:rPr>
          <w:sz w:val="20"/>
          <w:szCs w:val="20"/>
          <w:color w:val="auto"/>
        </w:rPr>
      </w:pPr>
      <w:r>
        <w:rPr>
          <w:rFonts w:ascii="Arial" w:cs="Arial" w:eastAsia="Arial" w:hAnsi="Arial"/>
          <w:sz w:val="17"/>
          <w:szCs w:val="17"/>
          <w:color w:val="auto"/>
        </w:rPr>
        <w:t>Upon the completion of this offering, Mr. Soon Huat Lim, our founder, chairman of board of directors and chief executive officer will beneficially own 62.3% of our total issued and outstanding ordinary shares, representing 94.4% of the total voting power, assuming that the underwriters do not exercise their over-allotment option, or 62.0% of our total issued and outstanding ordinary shares, representing 94.3% of the total voting power, assuming that the over-allotment option is exercised in full. As a result, we will be a “controlled company” as defined under the Nasdaq Stock Market Rules because Mr. Lim will hold more than 50% of the voting power for the election of directors. As a “controlled company,” we are permitted to elect not to comply with certain corporate governance requirements. If we rely on these exemptions, you will not have the same protection afforded to shareholders of companies that are subject to these corporate governance requirements. See “Risk Factors — Risks Relating to Our ADSs and This Offering — 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48" w:lineRule="exact"/>
        <w:rPr>
          <w:sz w:val="20"/>
          <w:szCs w:val="20"/>
          <w:color w:val="auto"/>
        </w:rPr>
      </w:pPr>
    </w:p>
    <w:p>
      <w:pPr>
        <w:ind w:left="540" w:right="599" w:firstLine="432"/>
        <w:spacing w:after="0" w:line="286" w:lineRule="auto"/>
        <w:rPr>
          <w:sz w:val="20"/>
          <w:szCs w:val="20"/>
          <w:color w:val="auto"/>
        </w:rPr>
      </w:pPr>
      <w:r>
        <w:rPr>
          <w:rFonts w:ascii="Arial" w:cs="Arial" w:eastAsia="Arial" w:hAnsi="Arial"/>
          <w:sz w:val="16"/>
          <w:szCs w:val="16"/>
          <w:color w:val="auto"/>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w:t>
      </w:r>
    </w:p>
    <w:p>
      <w:pPr>
        <w:spacing w:after="0" w:line="1" w:lineRule="exact"/>
        <w:rPr>
          <w:sz w:val="20"/>
          <w:szCs w:val="20"/>
          <w:color w:val="auto"/>
        </w:rPr>
      </w:pPr>
    </w:p>
    <w:p>
      <w:pPr>
        <w:ind w:left="540" w:right="579"/>
        <w:spacing w:after="0" w:line="252" w:lineRule="auto"/>
        <w:rPr>
          <w:sz w:val="20"/>
          <w:szCs w:val="20"/>
          <w:color w:val="auto"/>
        </w:rPr>
      </w:pPr>
      <w:r>
        <w:rPr>
          <w:rFonts w:ascii="Arial" w:cs="Arial" w:eastAsia="Arial" w:hAnsi="Arial"/>
          <w:sz w:val="18"/>
          <w:szCs w:val="18"/>
          <w:color w:val="auto"/>
        </w:rPr>
        <w:t>U.S. domestic issuers. In addition, as a company incorporated in the Cayman Islands, we are permitted to adopt certain home country practices in relation to corporate governance matters that differ significantly from the Nasdaq Stock Market Rules corporate governance listing standards. See “Risk Factors — Risks Related to Our ADSs and This Offering — As a company incorporated in the Cayman Islands, we are permitted to adopt certain home country practices in relation to corporate governance matters that differ significantly from the Nasdaq Stock Market Rules.”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540" w:right="579" w:firstLine="432"/>
        <w:spacing w:after="0" w:line="282" w:lineRule="auto"/>
        <w:rPr>
          <w:sz w:val="20"/>
          <w:szCs w:val="20"/>
          <w:color w:val="auto"/>
        </w:rPr>
      </w:pPr>
      <w:r>
        <w:rPr>
          <w:rFonts w:ascii="Arial" w:cs="Arial" w:eastAsia="Arial" w:hAnsi="Arial"/>
          <w:sz w:val="17"/>
          <w:szCs w:val="17"/>
          <w:color w:val="auto"/>
        </w:rPr>
        <w:t>Our principal executive office is located at Suntec Tower 3, 8 Temasek Boulevard Road, #24-03, Singapore, 038988. Our telephone number at this address is +65 8813 1312. Our registered office in the Cayman Islands is located at the Office of Maples Corporate Services Limited, PO Box 309, Ugland House, Grand Cayman, KY1-1104, Cayman Islands. Our agent for service of process in the United States is Cogency Global Inc., located at 122 East 42</w:t>
      </w:r>
      <w:r>
        <w:rPr>
          <w:rFonts w:ascii="Arial" w:cs="Arial" w:eastAsia="Arial" w:hAnsi="Arial"/>
          <w:sz w:val="19"/>
          <w:szCs w:val="19"/>
          <w:color w:val="auto"/>
          <w:vertAlign w:val="superscript"/>
        </w:rPr>
        <w:t>nd</w:t>
      </w:r>
      <w:r>
        <w:rPr>
          <w:rFonts w:ascii="Arial" w:cs="Arial" w:eastAsia="Arial" w:hAnsi="Arial"/>
          <w:sz w:val="17"/>
          <w:szCs w:val="17"/>
          <w:color w:val="auto"/>
        </w:rPr>
        <w:t xml:space="preserve"> Street, 18</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Floor, New York, NY 10168.</w:t>
      </w:r>
    </w:p>
    <w:p>
      <w:pPr>
        <w:spacing w:after="0" w:line="53" w:lineRule="exact"/>
        <w:rPr>
          <w:sz w:val="20"/>
          <w:szCs w:val="20"/>
          <w:color w:val="auto"/>
        </w:rPr>
      </w:pPr>
    </w:p>
    <w:p>
      <w:pPr>
        <w:jc w:val="both"/>
        <w:ind w:left="540" w:right="599" w:firstLine="432"/>
        <w:spacing w:after="0" w:line="263" w:lineRule="auto"/>
        <w:rPr>
          <w:sz w:val="20"/>
          <w:szCs w:val="20"/>
          <w:color w:val="auto"/>
        </w:rPr>
      </w:pPr>
      <w:r>
        <w:rPr>
          <w:rFonts w:ascii="Arial" w:cs="Arial" w:eastAsia="Arial" w:hAnsi="Arial"/>
          <w:sz w:val="18"/>
          <w:szCs w:val="18"/>
          <w:color w:val="auto"/>
        </w:rPr>
        <w:t xml:space="preserve">Investors should contact us for any inquiries through the address and telephone number of our principal executive offices. Our website is </w:t>
      </w:r>
      <w:r>
        <w:rPr>
          <w:rFonts w:ascii="Arial" w:cs="Arial" w:eastAsia="Arial" w:hAnsi="Arial"/>
          <w:sz w:val="18"/>
          <w:szCs w:val="18"/>
          <w:i w:val="1"/>
          <w:iCs w:val="1"/>
          <w:color w:val="auto"/>
        </w:rPr>
        <w:t>https://tridentity.me</w:t>
      </w:r>
      <w:r>
        <w:rPr>
          <w:rFonts w:ascii="Arial" w:cs="Arial" w:eastAsia="Arial" w:hAnsi="Arial"/>
          <w:sz w:val="18"/>
          <w:szCs w:val="18"/>
          <w:color w:val="auto"/>
        </w:rPr>
        <w:t>. The information contained on our website is not a part of this prospectus.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Except where the context otherwise requires and for purposes of this prospectus only:</w:t>
      </w:r>
    </w:p>
    <w:p>
      <w:pPr>
        <w:spacing w:after="0" w:line="158" w:lineRule="exact"/>
        <w:rPr>
          <w:sz w:val="20"/>
          <w:szCs w:val="20"/>
          <w:color w:val="auto"/>
        </w:rPr>
      </w:pPr>
    </w:p>
    <w:p>
      <w:pPr>
        <w:ind w:left="1400" w:hanging="424"/>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“ADRs” refers to the American depositary receipts that evidence our ADSs;</w:t>
      </w:r>
    </w:p>
    <w:p>
      <w:pPr>
        <w:spacing w:after="0" w:line="157" w:lineRule="exact"/>
        <w:rPr>
          <w:rFonts w:ascii="Arial" w:cs="Arial" w:eastAsia="Arial" w:hAnsi="Arial"/>
          <w:sz w:val="18"/>
          <w:szCs w:val="18"/>
          <w:color w:val="auto"/>
        </w:rPr>
      </w:pPr>
    </w:p>
    <w:p>
      <w:pPr>
        <w:ind w:left="1400" w:right="659" w:hanging="424"/>
        <w:spacing w:after="0" w:line="277" w:lineRule="auto"/>
        <w:tabs>
          <w:tab w:leader="none" w:pos="13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“ADSs” refers to our American depositary shares, each of which represents ten Class B ordinary shares;</w:t>
      </w:r>
    </w:p>
    <w:p>
      <w:pPr>
        <w:spacing w:after="0" w:line="89" w:lineRule="exact"/>
        <w:rPr>
          <w:rFonts w:ascii="Arial" w:cs="Arial" w:eastAsia="Arial" w:hAnsi="Arial"/>
          <w:sz w:val="18"/>
          <w:szCs w:val="18"/>
          <w:color w:val="auto"/>
        </w:rPr>
      </w:pPr>
    </w:p>
    <w:p>
      <w:pPr>
        <w:ind w:left="1400" w:hanging="424"/>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“CAGR” refers to compound annual growth rate;</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“Class A ordinary shares” refers to our Class A ordinary shares, par value US$0.00001 per share;</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 w:name="page12"/>
    <w:bookmarkEnd w:id="1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5601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5601970"/>
                    </a:xfrm>
                    <a:prstGeom prst="rect">
                      <a:avLst/>
                    </a:prstGeom>
                    <a:noFill/>
                  </pic:spPr>
                </pic:pic>
              </a:graphicData>
            </a:graphic>
          </wp:anchor>
        </w:drawing>
      </w:r>
    </w:p>
    <w:p>
      <w:pPr>
        <w:spacing w:after="0" w:line="327" w:lineRule="exact"/>
        <w:rPr>
          <w:sz w:val="20"/>
          <w:szCs w:val="20"/>
          <w:color w:val="auto"/>
        </w:rPr>
      </w:pPr>
    </w:p>
    <w:p>
      <w:pPr>
        <w:ind w:left="1400" w:hanging="424"/>
        <w:spacing w:after="0"/>
        <w:tabs>
          <w:tab w:leader="none" w:pos="1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“Class B ordinary shares” refers to our Class B ordinary shares, par value US$0.00001 per share;</w:t>
      </w:r>
    </w:p>
    <w:p>
      <w:pPr>
        <w:spacing w:after="0" w:line="180" w:lineRule="exact"/>
        <w:rPr>
          <w:rFonts w:ascii="Arial" w:cs="Arial" w:eastAsia="Arial" w:hAnsi="Arial"/>
          <w:sz w:val="16"/>
          <w:szCs w:val="16"/>
          <w:color w:val="auto"/>
        </w:rPr>
      </w:pP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“GDP” refers to gross domestic product;</w:t>
      </w:r>
    </w:p>
    <w:p>
      <w:pPr>
        <w:spacing w:after="0" w:line="144" w:lineRule="exact"/>
        <w:rPr>
          <w:rFonts w:ascii="Arial" w:cs="Arial" w:eastAsia="Arial" w:hAnsi="Arial"/>
          <w:sz w:val="18"/>
          <w:szCs w:val="18"/>
          <w:color w:val="auto"/>
        </w:rPr>
      </w:pPr>
    </w:p>
    <w:p>
      <w:pPr>
        <w:ind w:left="1400" w:right="1279" w:hanging="424"/>
        <w:spacing w:after="0" w:line="342" w:lineRule="auto"/>
        <w:tabs>
          <w:tab w:leader="none" w:pos="13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“IMDA” refers to Infocomm Media Development Authority, a statutory board under the Singapore Ministry of Communications and Information of the Republic of Singapore;</w:t>
      </w:r>
    </w:p>
    <w:p>
      <w:pPr>
        <w:spacing w:after="0" w:line="56" w:lineRule="exact"/>
        <w:rPr>
          <w:rFonts w:ascii="Arial" w:cs="Arial" w:eastAsia="Arial" w:hAnsi="Arial"/>
          <w:sz w:val="16"/>
          <w:szCs w:val="16"/>
          <w:color w:val="auto"/>
        </w:rPr>
      </w:pPr>
    </w:p>
    <w:p>
      <w:pPr>
        <w:ind w:left="1400" w:right="779" w:hanging="424"/>
        <w:spacing w:after="0" w:line="277" w:lineRule="auto"/>
        <w:tabs>
          <w:tab w:leader="none" w:pos="13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“ordinary shares” refers to our Class A and Class B ordinary shares, par value US$0.00001 per share;</w:t>
      </w:r>
    </w:p>
    <w:p>
      <w:pPr>
        <w:spacing w:after="0" w:line="102" w:lineRule="exact"/>
        <w:rPr>
          <w:rFonts w:ascii="Arial" w:cs="Arial" w:eastAsia="Arial" w:hAnsi="Arial"/>
          <w:sz w:val="18"/>
          <w:szCs w:val="18"/>
          <w:color w:val="auto"/>
        </w:rPr>
      </w:pPr>
    </w:p>
    <w:p>
      <w:pPr>
        <w:ind w:left="1400" w:right="659" w:hanging="424"/>
        <w:spacing w:after="0" w:line="277" w:lineRule="auto"/>
        <w:tabs>
          <w:tab w:leader="none" w:pos="13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“QZT” refers to Quality Zone Technologies Pte. Ltd., a company incorporated in Singapore, and a direct wholly-owned subsidiary of our Company;</w:t>
      </w:r>
    </w:p>
    <w:p>
      <w:pPr>
        <w:spacing w:after="0" w:line="89" w:lineRule="exact"/>
        <w:rPr>
          <w:rFonts w:ascii="Arial" w:cs="Arial" w:eastAsia="Arial" w:hAnsi="Arial"/>
          <w:sz w:val="18"/>
          <w:szCs w:val="18"/>
          <w:color w:val="auto"/>
        </w:rPr>
      </w:pP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 or “SGD” refers to the Singapore dollar, the legal currency of Singapore;</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refers to the United States Securities and Exchange Commission;</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“Singapore” refers to the Republic of Singapore;</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“SME” refers to small and medium enterprises;</w:t>
      </w:r>
    </w:p>
    <w:p>
      <w:pPr>
        <w:spacing w:after="0" w:line="157" w:lineRule="exact"/>
        <w:rPr>
          <w:rFonts w:ascii="Arial" w:cs="Arial" w:eastAsia="Arial" w:hAnsi="Arial"/>
          <w:sz w:val="18"/>
          <w:szCs w:val="18"/>
          <w:color w:val="auto"/>
        </w:rPr>
      </w:pPr>
    </w:p>
    <w:p>
      <w:pPr>
        <w:ind w:left="1400" w:right="559" w:hanging="424"/>
        <w:spacing w:after="0" w:line="301" w:lineRule="auto"/>
        <w:tabs>
          <w:tab w:leader="none" w:pos="13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“Southeast Asia” refers to the Brunei Darussalam, the Kingdom of Cambodia, the Republic of Indonesia, the Lao People’s Democratic Republic, the Federation of Malaysia, the Republic of the Union of Myanmar, the Republic of the Philippines, the Republic of Singapore, the Kingdom of Thailand, the Democratic Republic of Timor-Leste and the Socialist Republic of Vietnam;</w:t>
      </w:r>
    </w:p>
    <w:p>
      <w:pPr>
        <w:spacing w:after="0" w:line="89" w:lineRule="exact"/>
        <w:rPr>
          <w:rFonts w:ascii="Arial" w:cs="Arial" w:eastAsia="Arial" w:hAnsi="Arial"/>
          <w:sz w:val="16"/>
          <w:szCs w:val="16"/>
          <w:color w:val="auto"/>
        </w:rPr>
      </w:pPr>
    </w:p>
    <w:p>
      <w:pPr>
        <w:ind w:left="1400" w:right="1339" w:hanging="424"/>
        <w:spacing w:after="0" w:line="308" w:lineRule="auto"/>
        <w:tabs>
          <w:tab w:leader="none" w:pos="13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“Trident Singapore” refers to Trident Digital Tech Pte. Ltd., a company incorporated in Singapore, and an indirect wholly-owned subsidiary of our Company;</w:t>
      </w:r>
    </w:p>
    <w:p>
      <w:pPr>
        <w:spacing w:after="0" w:line="65" w:lineRule="exact"/>
        <w:rPr>
          <w:rFonts w:ascii="Arial" w:cs="Arial" w:eastAsia="Arial" w:hAnsi="Arial"/>
          <w:sz w:val="17"/>
          <w:szCs w:val="17"/>
          <w:color w:val="auto"/>
        </w:rPr>
      </w:pP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 “dollars,” or “U.S. dollars” refers to the legal currency of the United States;</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GAAP” refers to generally accepted accounting principles in the United States; and</w:t>
      </w:r>
    </w:p>
    <w:p>
      <w:pPr>
        <w:spacing w:after="0" w:line="157" w:lineRule="exact"/>
        <w:rPr>
          <w:rFonts w:ascii="Arial" w:cs="Arial" w:eastAsia="Arial" w:hAnsi="Arial"/>
          <w:sz w:val="18"/>
          <w:szCs w:val="18"/>
          <w:color w:val="auto"/>
        </w:rPr>
      </w:pPr>
    </w:p>
    <w:p>
      <w:pPr>
        <w:ind w:left="1400" w:right="599" w:hanging="424"/>
        <w:spacing w:after="0" w:line="277" w:lineRule="auto"/>
        <w:tabs>
          <w:tab w:leader="none" w:pos="13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“us,” “our company,” the “Company,” “Trident Cayman” and “our” refer to Trident Digital Tech Holdings Ltd, a Cayman Islands company and its subsidiaries.</w:t>
      </w:r>
    </w:p>
    <w:p>
      <w:pPr>
        <w:spacing w:after="0" w:line="89" w:lineRule="exact"/>
        <w:rPr>
          <w:sz w:val="20"/>
          <w:szCs w:val="20"/>
          <w:color w:val="auto"/>
        </w:rPr>
      </w:pPr>
    </w:p>
    <w:p>
      <w:pPr>
        <w:ind w:left="540" w:right="579" w:firstLine="432"/>
        <w:spacing w:after="0" w:line="272" w:lineRule="auto"/>
        <w:rPr>
          <w:sz w:val="20"/>
          <w:szCs w:val="20"/>
          <w:color w:val="auto"/>
        </w:rPr>
      </w:pPr>
      <w:r>
        <w:rPr>
          <w:rFonts w:ascii="Arial" w:cs="Arial" w:eastAsia="Arial" w:hAnsi="Arial"/>
          <w:sz w:val="17"/>
          <w:szCs w:val="17"/>
          <w:color w:val="auto"/>
        </w:rPr>
        <w:t>Substantially all of our revenues and expenditures are denominated in SGD, whereas our reporting currency is the U.S. dollar. This prospectus contains translations of SGD into U.S. dollars solely for the convenience of the reader. Unless otherwise stated, all translations of SGD into U.S. dollars in this prospectus were made at the rate of SGD1.3404 to US$1.00, the noon buying rate on December 31, 2022, as set forth in the H.10 statistical release of the U.S. Federal Reserve Board. We make no representation that the SGD or U.S. dollar amounts referred to in this prospectus could have been or could be converted into U.S. dollars or SGD, as the case may be, at any particular rate or at all.</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0421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704215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540" w:right="619" w:firstLine="432"/>
        <w:spacing w:after="0" w:line="277" w:lineRule="auto"/>
        <w:rPr>
          <w:sz w:val="20"/>
          <w:szCs w:val="20"/>
          <w:color w:val="auto"/>
        </w:rPr>
      </w:pPr>
      <w:r>
        <w:rPr>
          <w:rFonts w:ascii="Arial" w:cs="Arial" w:eastAsia="Arial" w:hAnsi="Arial"/>
          <w:sz w:val="18"/>
          <w:szCs w:val="18"/>
          <w:color w:val="auto"/>
        </w:rPr>
        <w:t>The following assumes that the underwriters will not exercise their option to purchase additional ADSs in the offering, unless otherwise indicated.</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Offering Price</w:t>
      </w: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ADSs offered by us</w:t>
      </w:r>
    </w:p>
    <w:p>
      <w:pPr>
        <w:spacing w:after="0" w:line="200" w:lineRule="exact"/>
        <w:rPr>
          <w:sz w:val="20"/>
          <w:szCs w:val="20"/>
          <w:color w:val="auto"/>
        </w:rPr>
      </w:pPr>
    </w:p>
    <w:p>
      <w:pPr>
        <w:spacing w:after="0" w:line="214"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ADSs Outstanding immediately after this offering</w:t>
      </w:r>
    </w:p>
    <w:p>
      <w:pPr>
        <w:spacing w:after="0" w:line="359"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Ordinary shares outstanding immediately after this offering</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right="739"/>
        <w:spacing w:after="0" w:line="277" w:lineRule="auto"/>
        <w:rPr>
          <w:sz w:val="20"/>
          <w:szCs w:val="20"/>
          <w:color w:val="auto"/>
        </w:rPr>
      </w:pPr>
      <w:r>
        <w:rPr>
          <w:rFonts w:ascii="Arial" w:cs="Arial" w:eastAsia="Arial" w:hAnsi="Arial"/>
          <w:sz w:val="18"/>
          <w:szCs w:val="18"/>
          <w:color w:val="auto"/>
        </w:rPr>
        <w:t>We expect that the initial public offering price will be between US$8.00 and US$10.00 per ADS.</w:t>
      </w:r>
    </w:p>
    <w:p>
      <w:pPr>
        <w:spacing w:after="0" w:line="143" w:lineRule="exact"/>
        <w:rPr>
          <w:sz w:val="20"/>
          <w:szCs w:val="20"/>
          <w:color w:val="auto"/>
        </w:rPr>
      </w:pPr>
    </w:p>
    <w:p>
      <w:pPr>
        <w:ind w:right="1079"/>
        <w:spacing w:after="0" w:line="342" w:lineRule="auto"/>
        <w:rPr>
          <w:sz w:val="20"/>
          <w:szCs w:val="20"/>
          <w:color w:val="auto"/>
        </w:rPr>
      </w:pPr>
      <w:r>
        <w:rPr>
          <w:rFonts w:ascii="Arial" w:cs="Arial" w:eastAsia="Arial" w:hAnsi="Arial"/>
          <w:sz w:val="16"/>
          <w:szCs w:val="16"/>
          <w:color w:val="auto"/>
        </w:rPr>
        <w:t>1,875,000 ADSs (or 2,156,250 ADSs if the underwriters exercise their option to purchase additional ADSs in full).</w:t>
      </w:r>
    </w:p>
    <w:p>
      <w:pPr>
        <w:spacing w:after="0" w:line="313" w:lineRule="exact"/>
        <w:rPr>
          <w:sz w:val="20"/>
          <w:szCs w:val="20"/>
          <w:color w:val="auto"/>
        </w:rPr>
      </w:pPr>
    </w:p>
    <w:p>
      <w:pPr>
        <w:jc w:val="both"/>
        <w:ind w:right="1139"/>
        <w:spacing w:after="0" w:line="342" w:lineRule="auto"/>
        <w:rPr>
          <w:sz w:val="20"/>
          <w:szCs w:val="20"/>
          <w:color w:val="auto"/>
        </w:rPr>
      </w:pPr>
      <w:r>
        <w:rPr>
          <w:rFonts w:ascii="Arial" w:cs="Arial" w:eastAsia="Arial" w:hAnsi="Arial"/>
          <w:sz w:val="16"/>
          <w:szCs w:val="16"/>
          <w:color w:val="auto"/>
        </w:rPr>
        <w:t>1,875,000 ADSs (or 2,156,250 ADSs if the underwriters exercise their option to purchase additional ADS in full).</w:t>
      </w:r>
    </w:p>
    <w:p>
      <w:pPr>
        <w:spacing w:after="0" w:line="313" w:lineRule="exact"/>
        <w:rPr>
          <w:sz w:val="20"/>
          <w:szCs w:val="20"/>
          <w:color w:val="auto"/>
        </w:rPr>
      </w:pPr>
    </w:p>
    <w:p>
      <w:pPr>
        <w:ind w:right="579"/>
        <w:spacing w:after="0" w:line="259" w:lineRule="auto"/>
        <w:rPr>
          <w:sz w:val="20"/>
          <w:szCs w:val="20"/>
          <w:color w:val="auto"/>
        </w:rPr>
      </w:pPr>
      <w:r>
        <w:rPr>
          <w:rFonts w:ascii="Arial" w:cs="Arial" w:eastAsia="Arial" w:hAnsi="Arial"/>
          <w:sz w:val="18"/>
          <w:szCs w:val="18"/>
          <w:color w:val="auto"/>
        </w:rPr>
        <w:t>50,000,000 Class A ordinary shares and 470,714,286 Class B ordinary shares (or 473,526,786 Class B ordinary shares if the underwriters exercise their option to purchase additional ADS in full).</w:t>
      </w:r>
    </w:p>
    <w:p>
      <w:pPr>
        <w:spacing w:after="0" w:line="160" w:lineRule="exact"/>
        <w:rPr>
          <w:sz w:val="20"/>
          <w:szCs w:val="20"/>
          <w:color w:val="auto"/>
        </w:rPr>
      </w:pPr>
    </w:p>
    <w:p>
      <w:pPr>
        <w:sectPr>
          <w:pgSz w:w="11900" w:h="16838" w:orient="portrait"/>
          <w:cols w:equalWidth="0" w:num="2">
            <w:col w:w="3520" w:space="260"/>
            <w:col w:w="5239"/>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3000" w:type="dxa"/>
            <w:vAlign w:val="bottom"/>
          </w:tcPr>
          <w:p>
            <w:pPr>
              <w:ind w:left="80"/>
              <w:spacing w:after="0"/>
              <w:rPr>
                <w:sz w:val="20"/>
                <w:szCs w:val="20"/>
                <w:color w:val="auto"/>
              </w:rPr>
            </w:pPr>
            <w:r>
              <w:rPr>
                <w:rFonts w:ascii="Arial" w:cs="Arial" w:eastAsia="Arial" w:hAnsi="Arial"/>
                <w:sz w:val="18"/>
                <w:szCs w:val="18"/>
                <w:color w:val="auto"/>
              </w:rPr>
              <w:t>The ADSs</w:t>
            </w:r>
          </w:p>
        </w:tc>
        <w:tc>
          <w:tcPr>
            <w:tcW w:w="5100" w:type="dxa"/>
            <w:vAlign w:val="bottom"/>
          </w:tcPr>
          <w:p>
            <w:pPr>
              <w:ind w:left="320"/>
              <w:spacing w:after="0"/>
              <w:rPr>
                <w:sz w:val="20"/>
                <w:szCs w:val="20"/>
                <w:color w:val="auto"/>
              </w:rPr>
            </w:pPr>
            <w:r>
              <w:rPr>
                <w:rFonts w:ascii="Arial" w:cs="Arial" w:eastAsia="Arial" w:hAnsi="Arial"/>
                <w:sz w:val="18"/>
                <w:szCs w:val="18"/>
                <w:color w:val="auto"/>
                <w:w w:val="98"/>
              </w:rPr>
              <w:t>Each ADS represents ten Class B ordinary shares, par value</w:t>
            </w:r>
          </w:p>
        </w:tc>
      </w:tr>
      <w:tr>
        <w:trPr>
          <w:trHeight w:val="230"/>
        </w:trPr>
        <w:tc>
          <w:tcPr>
            <w:tcW w:w="3000" w:type="dxa"/>
            <w:vAlign w:val="bottom"/>
          </w:tcPr>
          <w:p>
            <w:pPr>
              <w:spacing w:after="0"/>
              <w:rPr>
                <w:sz w:val="20"/>
                <w:szCs w:val="20"/>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w w:val="95"/>
              </w:rPr>
              <w:t>US$0.00001 per share. The ADSs generally are uncertificated.</w:t>
            </w:r>
          </w:p>
        </w:tc>
      </w:tr>
      <w:tr>
        <w:trPr>
          <w:trHeight w:val="350"/>
        </w:trPr>
        <w:tc>
          <w:tcPr>
            <w:tcW w:w="3000" w:type="dxa"/>
            <w:vAlign w:val="bottom"/>
          </w:tcPr>
          <w:p>
            <w:pPr>
              <w:spacing w:after="0"/>
              <w:rPr>
                <w:sz w:val="24"/>
                <w:szCs w:val="24"/>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w w:val="94"/>
              </w:rPr>
              <w:t>The depositary will hold the Class B ordinary shares underlying</w:t>
            </w:r>
          </w:p>
        </w:tc>
      </w:tr>
      <w:tr>
        <w:trPr>
          <w:trHeight w:val="216"/>
        </w:trPr>
        <w:tc>
          <w:tcPr>
            <w:tcW w:w="300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w w:val="97"/>
              </w:rPr>
              <w:t>your ADSs and you will have rights as provided in the deposit</w:t>
            </w:r>
          </w:p>
        </w:tc>
      </w:tr>
      <w:tr>
        <w:trPr>
          <w:trHeight w:val="230"/>
        </w:trPr>
        <w:tc>
          <w:tcPr>
            <w:tcW w:w="3000" w:type="dxa"/>
            <w:vAlign w:val="bottom"/>
          </w:tcPr>
          <w:p>
            <w:pPr>
              <w:spacing w:after="0"/>
              <w:rPr>
                <w:sz w:val="20"/>
                <w:szCs w:val="20"/>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agreement.</w:t>
            </w:r>
          </w:p>
        </w:tc>
      </w:tr>
      <w:tr>
        <w:trPr>
          <w:trHeight w:val="337"/>
        </w:trPr>
        <w:tc>
          <w:tcPr>
            <w:tcW w:w="3000" w:type="dxa"/>
            <w:vAlign w:val="bottom"/>
          </w:tcPr>
          <w:p>
            <w:pPr>
              <w:spacing w:after="0"/>
              <w:rPr>
                <w:sz w:val="24"/>
                <w:szCs w:val="24"/>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If we declare dividends on our Class B ordinary shares, the</w:t>
            </w:r>
          </w:p>
        </w:tc>
      </w:tr>
      <w:tr>
        <w:trPr>
          <w:trHeight w:val="216"/>
        </w:trPr>
        <w:tc>
          <w:tcPr>
            <w:tcW w:w="300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depositary will pay you the cash dividends and other</w:t>
            </w:r>
          </w:p>
        </w:tc>
      </w:tr>
      <w:tr>
        <w:trPr>
          <w:trHeight w:val="216"/>
        </w:trPr>
        <w:tc>
          <w:tcPr>
            <w:tcW w:w="300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w w:val="99"/>
              </w:rPr>
              <w:t>distributions it receives on our Class B ordinary shares, after</w:t>
            </w:r>
          </w:p>
        </w:tc>
      </w:tr>
      <w:tr>
        <w:trPr>
          <w:trHeight w:val="216"/>
        </w:trPr>
        <w:tc>
          <w:tcPr>
            <w:tcW w:w="300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w w:val="91"/>
              </w:rPr>
              <w:t>deducting its fees and expenses in accordance with the terms set</w:t>
            </w:r>
          </w:p>
        </w:tc>
      </w:tr>
      <w:tr>
        <w:trPr>
          <w:trHeight w:val="230"/>
        </w:trPr>
        <w:tc>
          <w:tcPr>
            <w:tcW w:w="3000" w:type="dxa"/>
            <w:vAlign w:val="bottom"/>
          </w:tcPr>
          <w:p>
            <w:pPr>
              <w:spacing w:after="0"/>
              <w:rPr>
                <w:sz w:val="20"/>
                <w:szCs w:val="20"/>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forth in the deposit agreement.</w:t>
            </w:r>
          </w:p>
        </w:tc>
      </w:tr>
      <w:tr>
        <w:trPr>
          <w:trHeight w:val="350"/>
        </w:trPr>
        <w:tc>
          <w:tcPr>
            <w:tcW w:w="3000" w:type="dxa"/>
            <w:vAlign w:val="bottom"/>
          </w:tcPr>
          <w:p>
            <w:pPr>
              <w:spacing w:after="0"/>
              <w:rPr>
                <w:sz w:val="24"/>
                <w:szCs w:val="24"/>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w w:val="93"/>
              </w:rPr>
              <w:t>You may surrender your ADSs to the depositary in exchange for</w:t>
            </w:r>
          </w:p>
        </w:tc>
      </w:tr>
      <w:tr>
        <w:trPr>
          <w:trHeight w:val="216"/>
        </w:trPr>
        <w:tc>
          <w:tcPr>
            <w:tcW w:w="300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w w:val="92"/>
              </w:rPr>
              <w:t>our Class B ordinary shares. The depositary will charge you fees</w:t>
            </w:r>
          </w:p>
        </w:tc>
      </w:tr>
      <w:tr>
        <w:trPr>
          <w:trHeight w:val="216"/>
        </w:trPr>
        <w:tc>
          <w:tcPr>
            <w:tcW w:w="300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for any exchange. We may amend or terminate the deposit</w:t>
            </w:r>
          </w:p>
        </w:tc>
      </w:tr>
      <w:tr>
        <w:trPr>
          <w:trHeight w:val="216"/>
        </w:trPr>
        <w:tc>
          <w:tcPr>
            <w:tcW w:w="300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w w:val="98"/>
              </w:rPr>
              <w:t>agreement without your consent. If you continue to hold your</w:t>
            </w:r>
          </w:p>
        </w:tc>
      </w:tr>
      <w:tr>
        <w:trPr>
          <w:trHeight w:val="216"/>
        </w:trPr>
        <w:tc>
          <w:tcPr>
            <w:tcW w:w="300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ADSs, you agree to be bound by the deposit agreement as</w:t>
            </w:r>
          </w:p>
        </w:tc>
      </w:tr>
      <w:tr>
        <w:trPr>
          <w:trHeight w:val="230"/>
        </w:trPr>
        <w:tc>
          <w:tcPr>
            <w:tcW w:w="3000" w:type="dxa"/>
            <w:vAlign w:val="bottom"/>
          </w:tcPr>
          <w:p>
            <w:pPr>
              <w:spacing w:after="0"/>
              <w:rPr>
                <w:sz w:val="20"/>
                <w:szCs w:val="20"/>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amended.</w:t>
            </w:r>
          </w:p>
        </w:tc>
      </w:tr>
      <w:tr>
        <w:trPr>
          <w:trHeight w:val="350"/>
        </w:trPr>
        <w:tc>
          <w:tcPr>
            <w:tcW w:w="3000" w:type="dxa"/>
            <w:vAlign w:val="bottom"/>
          </w:tcPr>
          <w:p>
            <w:pPr>
              <w:spacing w:after="0"/>
              <w:rPr>
                <w:sz w:val="24"/>
                <w:szCs w:val="24"/>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To better understand the terms of the ADSs, you should</w:t>
            </w:r>
          </w:p>
        </w:tc>
      </w:tr>
      <w:tr>
        <w:trPr>
          <w:trHeight w:val="216"/>
        </w:trPr>
        <w:tc>
          <w:tcPr>
            <w:tcW w:w="300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w w:val="95"/>
              </w:rPr>
              <w:t>carefully read the “Description of American Depositary Shares”</w:t>
            </w:r>
          </w:p>
        </w:tc>
      </w:tr>
      <w:tr>
        <w:trPr>
          <w:trHeight w:val="216"/>
        </w:trPr>
        <w:tc>
          <w:tcPr>
            <w:tcW w:w="300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section of this prospectus. You should also read the deposit</w:t>
            </w:r>
          </w:p>
        </w:tc>
      </w:tr>
      <w:tr>
        <w:trPr>
          <w:trHeight w:val="216"/>
        </w:trPr>
        <w:tc>
          <w:tcPr>
            <w:tcW w:w="300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agreement, which is filed as an exhibit to the registration</w:t>
            </w:r>
          </w:p>
        </w:tc>
      </w:tr>
      <w:tr>
        <w:trPr>
          <w:trHeight w:val="230"/>
        </w:trPr>
        <w:tc>
          <w:tcPr>
            <w:tcW w:w="3000" w:type="dxa"/>
            <w:vAlign w:val="bottom"/>
          </w:tcPr>
          <w:p>
            <w:pPr>
              <w:spacing w:after="0"/>
              <w:rPr>
                <w:sz w:val="20"/>
                <w:szCs w:val="20"/>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statement that includes this prospectus.</w:t>
            </w:r>
          </w:p>
        </w:tc>
      </w:tr>
      <w:tr>
        <w:trPr>
          <w:trHeight w:val="377"/>
        </w:trPr>
        <w:tc>
          <w:tcPr>
            <w:tcW w:w="3000" w:type="dxa"/>
            <w:vAlign w:val="bottom"/>
          </w:tcPr>
          <w:p>
            <w:pPr>
              <w:ind w:left="80"/>
              <w:spacing w:after="0"/>
              <w:rPr>
                <w:sz w:val="20"/>
                <w:szCs w:val="20"/>
                <w:color w:val="auto"/>
              </w:rPr>
            </w:pPr>
            <w:r>
              <w:rPr>
                <w:rFonts w:ascii="Arial" w:cs="Arial" w:eastAsia="Arial" w:hAnsi="Arial"/>
                <w:sz w:val="18"/>
                <w:szCs w:val="18"/>
                <w:color w:val="auto"/>
              </w:rPr>
              <w:t>Option to purchase additional ADSs</w:t>
            </w:r>
          </w:p>
        </w:tc>
        <w:tc>
          <w:tcPr>
            <w:tcW w:w="5100" w:type="dxa"/>
            <w:vAlign w:val="bottom"/>
          </w:tcPr>
          <w:p>
            <w:pPr>
              <w:ind w:left="320"/>
              <w:spacing w:after="0"/>
              <w:rPr>
                <w:sz w:val="20"/>
                <w:szCs w:val="20"/>
                <w:color w:val="auto"/>
              </w:rPr>
            </w:pPr>
            <w:r>
              <w:rPr>
                <w:rFonts w:ascii="Arial" w:cs="Arial" w:eastAsia="Arial" w:hAnsi="Arial"/>
                <w:sz w:val="18"/>
                <w:szCs w:val="18"/>
                <w:color w:val="auto"/>
              </w:rPr>
              <w:t>We have granted to the underwriters an option, which is</w:t>
            </w:r>
          </w:p>
        </w:tc>
      </w:tr>
      <w:tr>
        <w:trPr>
          <w:trHeight w:val="216"/>
        </w:trPr>
        <w:tc>
          <w:tcPr>
            <w:tcW w:w="300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w w:val="96"/>
              </w:rPr>
              <w:t>exercisable within 45 days from the date of this prospectus, to</w:t>
            </w:r>
          </w:p>
        </w:tc>
      </w:tr>
      <w:tr>
        <w:trPr>
          <w:trHeight w:val="230"/>
        </w:trPr>
        <w:tc>
          <w:tcPr>
            <w:tcW w:w="3000" w:type="dxa"/>
            <w:vAlign w:val="bottom"/>
          </w:tcPr>
          <w:p>
            <w:pPr>
              <w:spacing w:after="0"/>
              <w:rPr>
                <w:sz w:val="20"/>
                <w:szCs w:val="20"/>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purchase up to 281,250 additional ADSs.</w:t>
            </w:r>
          </w:p>
        </w:tc>
      </w:tr>
      <w:tr>
        <w:trPr>
          <w:trHeight w:val="402"/>
        </w:trPr>
        <w:tc>
          <w:tcPr>
            <w:tcW w:w="30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r>
        <w:trPr>
          <w:trHeight w:val="402"/>
        </w:trPr>
        <w:tc>
          <w:tcPr>
            <w:tcW w:w="30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9019"/>
          </w:cols>
          <w:pgMar w:left="1440" w:top="274" w:right="1440" w:bottom="1440" w:gutter="0" w:footer="0" w:header="0"/>
          <w:type w:val="continuous"/>
        </w:sectPr>
      </w:pPr>
    </w:p>
    <w:bookmarkStart w:id="13" w:name="page14"/>
    <w:bookmarkEnd w:id="13"/>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6819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681926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right="619"/>
        <w:spacing w:after="0" w:line="253" w:lineRule="auto"/>
        <w:rPr>
          <w:sz w:val="20"/>
          <w:szCs w:val="20"/>
          <w:color w:val="auto"/>
        </w:rPr>
      </w:pPr>
      <w:r>
        <w:rPr>
          <w:rFonts w:ascii="Arial" w:cs="Arial" w:eastAsia="Arial" w:hAnsi="Arial"/>
          <w:sz w:val="18"/>
          <w:szCs w:val="18"/>
          <w:color w:val="auto"/>
        </w:rPr>
        <w:t>We estimate that we will receive net proceeds of approximately US$14.47 million from this offering (or US$16.82 million if the underwriters exercise their option to purchase additional ADSs in full), after deducting the underwriting discounts, commissions, and estimated offering expenses payable by us and assuming an initial public offering price of US$9.00 per ADS, being the mid-point of the estimated range of the initial public offering price shown on the front cover of this prospectus.</w:t>
      </w:r>
    </w:p>
    <w:p>
      <w:pPr>
        <w:spacing w:after="0" w:line="129" w:lineRule="exact"/>
        <w:rPr>
          <w:sz w:val="20"/>
          <w:szCs w:val="20"/>
          <w:color w:val="auto"/>
        </w:rPr>
      </w:pPr>
    </w:p>
    <w:p>
      <w:pPr>
        <w:sectPr>
          <w:pgSz w:w="11900" w:h="16838" w:orient="portrait"/>
          <w:cols w:equalWidth="0" w:num="2">
            <w:col w:w="3060" w:space="720"/>
            <w:col w:w="5239"/>
          </w:cols>
          <w:pgMar w:left="1440" w:top="274" w:right="1440" w:bottom="1440" w:gutter="0" w:footer="0" w:header="0"/>
          <w:type w:val="continuous"/>
        </w:sectPr>
      </w:pPr>
    </w:p>
    <w:p>
      <w:pPr>
        <w:ind w:left="3780" w:right="639"/>
        <w:spacing w:after="0" w:line="259" w:lineRule="auto"/>
        <w:rPr>
          <w:sz w:val="20"/>
          <w:szCs w:val="20"/>
          <w:color w:val="auto"/>
        </w:rPr>
      </w:pPr>
      <w:r>
        <w:rPr>
          <w:rFonts w:ascii="Arial" w:cs="Arial" w:eastAsia="Arial" w:hAnsi="Arial"/>
          <w:sz w:val="18"/>
          <w:szCs w:val="18"/>
          <w:color w:val="auto"/>
        </w:rPr>
        <w:t>We plan to use the net proceeds we receive from this offering to invest in research and development, the Singapore market, and for general corporate purposes. See “Use of Proceeds” for additional information.</w:t>
      </w:r>
    </w:p>
    <w:p>
      <w:pPr>
        <w:sectPr>
          <w:pgSz w:w="11900" w:h="16838" w:orient="portrait"/>
          <w:cols w:equalWidth="0" w:num="1">
            <w:col w:w="9019"/>
          </w:cols>
          <w:pgMar w:left="1440" w:top="274" w:right="1440" w:bottom="1440" w:gutter="0" w:footer="0" w:header="0"/>
          <w:type w:val="continuous"/>
        </w:sectPr>
      </w:pPr>
    </w:p>
    <w:p>
      <w:pPr>
        <w:spacing w:after="0" w:line="1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Lock-up</w:t>
      </w:r>
    </w:p>
    <w:p>
      <w:pPr>
        <w:spacing w:after="0" w:line="20" w:lineRule="exact"/>
        <w:rPr>
          <w:sz w:val="20"/>
          <w:szCs w:val="20"/>
          <w:color w:val="auto"/>
        </w:rPr>
      </w:pPr>
      <w:r>
        <w:rPr>
          <w:sz w:val="20"/>
          <w:szCs w:val="20"/>
          <w:color w:val="auto"/>
        </w:rPr>
        <w:br w:type="column"/>
      </w:r>
    </w:p>
    <w:p>
      <w:pPr>
        <w:ind w:right="739"/>
        <w:spacing w:after="0" w:line="273" w:lineRule="auto"/>
        <w:rPr>
          <w:sz w:val="20"/>
          <w:szCs w:val="20"/>
          <w:color w:val="auto"/>
        </w:rPr>
      </w:pPr>
      <w:r>
        <w:rPr>
          <w:rFonts w:ascii="Arial" w:cs="Arial" w:eastAsia="Arial" w:hAnsi="Arial"/>
          <w:sz w:val="17"/>
          <w:szCs w:val="17"/>
          <w:color w:val="auto"/>
        </w:rPr>
        <w:t>We, our directors and executive officers, and shareholders holding 10% or more of our ordinary shares are expected to enter into lock-up agreements with the Underwriter not to sell, transfer, or dispose of any Class B ordinary shares for a period of up to six months after this offering is completed. See “Underwriting” for more information.</w:t>
      </w:r>
    </w:p>
    <w:p>
      <w:pPr>
        <w:spacing w:after="0" w:line="137" w:lineRule="exact"/>
        <w:rPr>
          <w:sz w:val="20"/>
          <w:szCs w:val="20"/>
          <w:color w:val="auto"/>
        </w:rPr>
      </w:pPr>
    </w:p>
    <w:p>
      <w:pPr>
        <w:sectPr>
          <w:pgSz w:w="11900" w:h="16838" w:orient="portrait"/>
          <w:cols w:equalWidth="0" w:num="2">
            <w:col w:w="3060" w:space="720"/>
            <w:col w:w="5239"/>
          </w:cols>
          <w:pgMar w:left="1440" w:top="274" w:right="1440"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919"/>
        <w:spacing w:after="0" w:line="286" w:lineRule="auto"/>
        <w:rPr>
          <w:sz w:val="20"/>
          <w:szCs w:val="20"/>
          <w:color w:val="auto"/>
        </w:rPr>
      </w:pPr>
      <w:r>
        <w:rPr>
          <w:rFonts w:ascii="Arial" w:cs="Arial" w:eastAsia="Arial" w:hAnsi="Arial"/>
          <w:sz w:val="17"/>
          <w:szCs w:val="17"/>
          <w:color w:val="auto"/>
        </w:rPr>
        <w:t>See “Risk Factors” and other information included in this prospectus for a discussion of the risks you should carefully consider before investing in the ADSs.</w:t>
      </w:r>
    </w:p>
    <w:p>
      <w:pPr>
        <w:spacing w:after="0" w:line="138" w:lineRule="exact"/>
        <w:rPr>
          <w:sz w:val="20"/>
          <w:szCs w:val="20"/>
          <w:color w:val="auto"/>
        </w:rPr>
      </w:pPr>
    </w:p>
    <w:p>
      <w:pPr>
        <w:sectPr>
          <w:pgSz w:w="11900" w:h="16838" w:orient="portrait"/>
          <w:cols w:equalWidth="0" w:num="2">
            <w:col w:w="3060" w:space="720"/>
            <w:col w:w="5239"/>
          </w:cols>
          <w:pgMar w:left="1440" w:top="274" w:right="1440"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ind w:right="919"/>
        <w:spacing w:after="0" w:line="301" w:lineRule="auto"/>
        <w:rPr>
          <w:sz w:val="20"/>
          <w:szCs w:val="20"/>
          <w:color w:val="auto"/>
        </w:rPr>
      </w:pPr>
      <w:r>
        <w:rPr>
          <w:rFonts w:ascii="Arial" w:cs="Arial" w:eastAsia="Arial" w:hAnsi="Arial"/>
          <w:sz w:val="16"/>
          <w:szCs w:val="16"/>
          <w:color w:val="auto"/>
        </w:rPr>
        <w:t>We intend to apply to have the ADSs listed on the Nasdaq Capital Market under the symbol “TDTH.” Our ADSs and Class B ordinary shares will not be listed on any other stock exchanges or traded on any automated quotation system.</w:t>
      </w:r>
    </w:p>
    <w:p>
      <w:pPr>
        <w:spacing w:after="0" w:line="130" w:lineRule="exact"/>
        <w:rPr>
          <w:sz w:val="20"/>
          <w:szCs w:val="20"/>
          <w:color w:val="auto"/>
        </w:rPr>
      </w:pPr>
    </w:p>
    <w:p>
      <w:pPr>
        <w:sectPr>
          <w:pgSz w:w="11900" w:h="16838" w:orient="portrait"/>
          <w:cols w:equalWidth="0" w:num="2">
            <w:col w:w="3060" w:space="720"/>
            <w:col w:w="5239"/>
          </w:cols>
          <w:pgMar w:left="1440" w:top="274" w:right="1440"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Payment and Settlement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ADSs are expected to be delivered against payment on</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2023. They will be registered in the name of a nominee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Depository Trust Company, or DTC.</w:t>
      </w:r>
    </w:p>
    <w:p>
      <w:pPr>
        <w:spacing w:after="0" w:line="184" w:lineRule="exact"/>
        <w:rPr>
          <w:sz w:val="20"/>
          <w:szCs w:val="20"/>
          <w:color w:val="auto"/>
        </w:rPr>
      </w:pPr>
    </w:p>
    <w:p>
      <w:pPr>
        <w:sectPr>
          <w:pgSz w:w="11900" w:h="16838" w:orient="portrait"/>
          <w:cols w:equalWidth="0" w:num="2">
            <w:col w:w="3060" w:space="720"/>
            <w:col w:w="5239"/>
          </w:cols>
          <w:pgMar w:left="1440" w:top="274" w:right="1440"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Citibank, N.A.</w:t>
      </w:r>
    </w:p>
    <w:p>
      <w:pPr>
        <w:spacing w:after="0" w:line="200" w:lineRule="exact"/>
        <w:rPr>
          <w:sz w:val="20"/>
          <w:szCs w:val="20"/>
          <w:color w:val="auto"/>
        </w:rPr>
      </w:pPr>
    </w:p>
    <w:p>
      <w:pPr>
        <w:sectPr>
          <w:pgSz w:w="11900" w:h="16838" w:orient="portrait"/>
          <w:cols w:equalWidth="0" w:num="2">
            <w:col w:w="3060" w:space="720"/>
            <w:col w:w="5239"/>
          </w:cols>
          <w:pgMar w:left="1440" w:top="274" w:right="1440" w:bottom="1440" w:gutter="0" w:footer="0" w:header="0"/>
          <w:type w:val="continuous"/>
        </w:sectPr>
      </w:pP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number of ordinary shares that will be issued and outstanding immediately after this offering:</w:t>
      </w:r>
    </w:p>
    <w:p>
      <w:pPr>
        <w:spacing w:after="0" w:line="181" w:lineRule="exact"/>
        <w:rPr>
          <w:sz w:val="20"/>
          <w:szCs w:val="20"/>
          <w:color w:val="auto"/>
        </w:rPr>
      </w:pPr>
    </w:p>
    <w:p>
      <w:pPr>
        <w:ind w:left="1400" w:hanging="424"/>
        <w:spacing w:after="0"/>
        <w:tabs>
          <w:tab w:leader="none" w:pos="14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is based on 501,964,286 issued and outstanding ordinary shares as of the date of this prospectus;</w:t>
      </w:r>
    </w:p>
    <w:p>
      <w:pPr>
        <w:spacing w:after="0" w:line="167" w:lineRule="exact"/>
        <w:rPr>
          <w:rFonts w:ascii="Arial" w:cs="Arial" w:eastAsia="Arial" w:hAnsi="Arial"/>
          <w:sz w:val="16"/>
          <w:szCs w:val="16"/>
          <w:color w:val="auto"/>
        </w:rPr>
      </w:pPr>
    </w:p>
    <w:p>
      <w:pPr>
        <w:ind w:left="1400" w:right="559" w:hanging="424"/>
        <w:spacing w:after="0" w:line="263" w:lineRule="auto"/>
        <w:tabs>
          <w:tab w:leader="none" w:pos="13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18,750,000 Class B ordinary shares in the form of ADSs that we will issue and sell in this offering, assuming the underwriters do not exercise their option to purchase additional ADSs; and</w:t>
      </w:r>
    </w:p>
    <w:p>
      <w:pPr>
        <w:spacing w:after="0" w:line="116" w:lineRule="exact"/>
        <w:rPr>
          <w:rFonts w:ascii="Arial" w:cs="Arial" w:eastAsia="Arial" w:hAnsi="Arial"/>
          <w:sz w:val="18"/>
          <w:szCs w:val="18"/>
          <w:color w:val="auto"/>
        </w:rPr>
      </w:pPr>
    </w:p>
    <w:p>
      <w:pPr>
        <w:ind w:left="1400" w:right="559" w:hanging="424"/>
        <w:spacing w:after="0" w:line="259" w:lineRule="auto"/>
        <w:tabs>
          <w:tab w:leader="none" w:pos="13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ordinary shares issuable upon exercise of our outstanding options, ordinary shares reserved for future issuances under our 2023 Equity Incentive Plan, and ordinary shares that are treated as treasury stock for accounting purposes and are subject to forfeiture if vesting conditions are not met.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 w:name="page15"/>
    <w:bookmarkEnd w:id="1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676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767651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162" w:lineRule="exact"/>
        <w:rPr>
          <w:sz w:val="20"/>
          <w:szCs w:val="20"/>
          <w:color w:val="auto"/>
        </w:rPr>
      </w:pPr>
    </w:p>
    <w:p>
      <w:pPr>
        <w:ind w:left="540" w:right="559" w:firstLine="432"/>
        <w:spacing w:after="0" w:line="291" w:lineRule="auto"/>
        <w:rPr>
          <w:sz w:val="20"/>
          <w:szCs w:val="20"/>
          <w:color w:val="auto"/>
        </w:rPr>
      </w:pPr>
      <w:r>
        <w:rPr>
          <w:rFonts w:ascii="Arial" w:cs="Arial" w:eastAsia="Arial" w:hAnsi="Arial"/>
          <w:sz w:val="16"/>
          <w:szCs w:val="16"/>
          <w:color w:val="auto"/>
        </w:rPr>
        <w:t>The following summary consolidated statements of operations data and summary consolidated cash flow data for the years ended December 31, 2021 and 2022 and summary consolidated balance sheet data as of December 31, 2021 and 2022 have been derived from our audited consolidated financial statements included elsewhere in this prospectus. The following summary consolidated statements of operations data and summary consolidated statements of cash flows data for the six months ended June 30, 2023 and 2022 and summary consolidated balance sheet data as of June 30, 2023 have been derived from our unaudited interim condensed consolidated financial statements included elsewhere in this prospectus.</w:t>
      </w:r>
    </w:p>
    <w:p>
      <w:pPr>
        <w:spacing w:after="0" w:line="99" w:lineRule="exact"/>
        <w:rPr>
          <w:sz w:val="20"/>
          <w:szCs w:val="20"/>
          <w:color w:val="auto"/>
        </w:rPr>
      </w:pPr>
    </w:p>
    <w:p>
      <w:pPr>
        <w:ind w:left="540" w:right="799" w:firstLine="432"/>
        <w:spacing w:after="0" w:line="255" w:lineRule="auto"/>
        <w:rPr>
          <w:sz w:val="20"/>
          <w:szCs w:val="20"/>
          <w:color w:val="auto"/>
        </w:rPr>
      </w:pPr>
      <w:r>
        <w:rPr>
          <w:rFonts w:ascii="Arial" w:cs="Arial" w:eastAsia="Arial" w:hAnsi="Arial"/>
          <w:sz w:val="18"/>
          <w:szCs w:val="18"/>
          <w:color w:val="auto"/>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11" w:lineRule="exact"/>
        <w:rPr>
          <w:sz w:val="20"/>
          <w:szCs w:val="20"/>
          <w:color w:val="auto"/>
        </w:rPr>
      </w:pPr>
    </w:p>
    <w:p>
      <w:pPr>
        <w:ind w:left="540" w:right="799" w:firstLine="432"/>
        <w:spacing w:after="0" w:line="277" w:lineRule="auto"/>
        <w:rPr>
          <w:sz w:val="20"/>
          <w:szCs w:val="20"/>
          <w:color w:val="auto"/>
        </w:rPr>
      </w:pPr>
      <w:r>
        <w:rPr>
          <w:rFonts w:ascii="Arial" w:cs="Arial" w:eastAsia="Arial" w:hAnsi="Arial"/>
          <w:sz w:val="18"/>
          <w:szCs w:val="18"/>
          <w:color w:val="auto"/>
        </w:rPr>
        <w:t>The following table presents our summary consolidated statements of operations data for the periods indicated.</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6"/>
          </w:tcPr>
          <w:p>
            <w:pPr>
              <w:jc w:val="right"/>
              <w:ind w:right="441"/>
              <w:spacing w:after="0"/>
              <w:rPr>
                <w:sz w:val="20"/>
                <w:szCs w:val="20"/>
                <w:color w:val="auto"/>
              </w:rPr>
            </w:pPr>
            <w:r>
              <w:rPr>
                <w:rFonts w:ascii="Arial" w:cs="Arial" w:eastAsia="Arial" w:hAnsi="Arial"/>
                <w:sz w:val="16"/>
                <w:szCs w:val="16"/>
                <w:b w:val="1"/>
                <w:bCs w:val="1"/>
                <w:color w:val="auto"/>
              </w:rPr>
              <w:t>For the Years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7"/>
          </w:tcPr>
          <w:p>
            <w:pPr>
              <w:jc w:val="center"/>
              <w:ind w:right="260"/>
              <w:spacing w:after="0"/>
              <w:rPr>
                <w:sz w:val="20"/>
                <w:szCs w:val="20"/>
                <w:color w:val="auto"/>
              </w:rPr>
            </w:pPr>
            <w:r>
              <w:rPr>
                <w:rFonts w:ascii="Arial" w:cs="Arial" w:eastAsia="Arial" w:hAnsi="Arial"/>
                <w:sz w:val="16"/>
                <w:szCs w:val="16"/>
                <w:b w:val="1"/>
                <w:bCs w:val="1"/>
                <w:color w:val="auto"/>
                <w:w w:val="92"/>
              </w:rPr>
              <w:t>For the Six Months Ended</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6"/>
          </w:tcPr>
          <w:p>
            <w:pPr>
              <w:jc w:val="right"/>
              <w:ind w:right="681"/>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7"/>
          </w:tcPr>
          <w:p>
            <w:pPr>
              <w:jc w:val="center"/>
              <w:ind w:right="220"/>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1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11"/>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1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96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1,262,899</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657,092</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481,165</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475,123</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gridSpan w:val="2"/>
          </w:tcPr>
          <w:p>
            <w:pPr>
              <w:ind w:left="80"/>
              <w:spacing w:after="0"/>
              <w:rPr>
                <w:sz w:val="20"/>
                <w:szCs w:val="20"/>
                <w:color w:val="auto"/>
              </w:rPr>
            </w:pPr>
            <w:r>
              <w:rPr>
                <w:rFonts w:ascii="Arial" w:cs="Arial" w:eastAsia="Arial" w:hAnsi="Arial"/>
                <w:sz w:val="18"/>
                <w:szCs w:val="18"/>
                <w:color w:val="auto"/>
              </w:rPr>
              <w:t>Cost of revenue</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(1,000,689)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(456,645)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(389,569)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(378,896)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262,210</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200,447</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91,596</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96,227</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(241,344)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(123,533)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(253,343)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(71,530)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w w:val="90"/>
              </w:rPr>
              <w:t>General and administrative expenses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(989,774)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(174,377)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(1,551,710)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(170,817)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8"/>
              </w:rPr>
              <w:t>Research and development expenses</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(287,578)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(192,855)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(80,883)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operating expenses</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(1,518,696</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(297,910</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(1,997,908</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(323,230</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Financial (expense) income, net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(4,786)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23,742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136,576</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156,220</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21,158</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71,019</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other income, net</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131,790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155,475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44,900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70,300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2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(Loss)/Income before income tax</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(1,124,696)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58,012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(1,861,412)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(156,703)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Income tax expenses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(4,793)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(28,045)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(1,129,489</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29,967</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(1,861,412</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(156,703</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Other comprehensive loss:</w:t>
            </w: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vMerge w:val="continue"/>
          </w:tcPr>
          <w:p>
            <w:pPr>
              <w:spacing w:after="0"/>
              <w:rPr>
                <w:sz w:val="20"/>
                <w:szCs w:val="20"/>
                <w:color w:val="auto"/>
              </w:rPr>
            </w:pPr>
          </w:p>
        </w:tc>
        <w:tc>
          <w:tcPr>
            <w:tcW w:w="2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8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Foreign currency translation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80" w:type="dxa"/>
            <w:vAlign w:val="bottom"/>
          </w:tcPr>
          <w:p>
            <w:pPr>
              <w:spacing w:after="0"/>
              <w:rPr>
                <w:sz w:val="23"/>
                <w:szCs w:val="23"/>
                <w:color w:val="auto"/>
              </w:rPr>
            </w:pPr>
          </w:p>
        </w:tc>
        <w:tc>
          <w:tcPr>
            <w:tcW w:w="2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adjustment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(37,482)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34,853</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Arial" w:cs="Arial" w:eastAsia="Arial" w:hAnsi="Arial"/>
                <w:sz w:val="18"/>
                <w:szCs w:val="18"/>
                <w:b w:val="1"/>
                <w:bCs w:val="1"/>
                <w:color w:val="auto"/>
                <w:w w:val="94"/>
              </w:rPr>
              <w:t>Total comprehensive (loss)/income</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(1,166,971</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29,661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(1,826,559</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(153,220</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2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Weighted average number of Ordinary</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 basic and diluted</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410,205,000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410,205,000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410,205,000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410,205,000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880" w:type="dxa"/>
            <w:vAlign w:val="bottom"/>
          </w:tcPr>
          <w:p>
            <w:pPr>
              <w:spacing w:after="0" w:line="201" w:lineRule="exact"/>
              <w:rPr>
                <w:sz w:val="20"/>
                <w:szCs w:val="20"/>
                <w:color w:val="auto"/>
              </w:rPr>
            </w:pPr>
            <w:r>
              <w:rPr>
                <w:rFonts w:ascii="Arial" w:cs="Arial" w:eastAsia="Arial" w:hAnsi="Arial"/>
                <w:sz w:val="18"/>
                <w:szCs w:val="18"/>
                <w:color w:val="auto"/>
                <w:w w:val="91"/>
              </w:rPr>
              <w:t>Basic and diluted earnings per ordinary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share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5747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5747385"/>
                    </a:xfrm>
                    <a:prstGeom prst="rect">
                      <a:avLst/>
                    </a:prstGeom>
                    <a:noFill/>
                  </pic:spPr>
                </pic:pic>
              </a:graphicData>
            </a:graphic>
          </wp:anchor>
        </w:drawing>
      </w:r>
    </w:p>
    <w:p>
      <w:pPr>
        <w:spacing w:after="0" w:line="3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presents our summary consolidated balance sheet data as of the dates indicated.</w:t>
      </w:r>
    </w:p>
    <w:p>
      <w:pPr>
        <w:spacing w:after="0" w:line="249"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6"/>
          </w:tcPr>
          <w:p>
            <w:pPr>
              <w:ind w:left="340"/>
              <w:spacing w:after="0"/>
              <w:rPr>
                <w:sz w:val="20"/>
                <w:szCs w:val="20"/>
                <w:color w:val="auto"/>
              </w:rPr>
            </w:pPr>
            <w:r>
              <w:rPr>
                <w:rFonts w:ascii="Arial" w:cs="Arial" w:eastAsia="Arial" w:hAnsi="Arial"/>
                <w:sz w:val="16"/>
                <w:szCs w:val="16"/>
                <w:b w:val="1"/>
                <w:bCs w:val="1"/>
                <w:color w:val="auto"/>
              </w:rPr>
              <w:t>As of 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6"/>
                <w:szCs w:val="16"/>
                <w:b w:val="1"/>
                <w:bCs w:val="1"/>
                <w:color w:val="auto"/>
                <w:w w:val="90"/>
              </w:rPr>
              <w:t>As of June 30,</w:t>
            </w:r>
          </w:p>
        </w:tc>
        <w:tc>
          <w:tcPr>
            <w:tcW w:w="0" w:type="dxa"/>
            <w:vAlign w:val="bottom"/>
          </w:tcPr>
          <w:p>
            <w:pPr>
              <w:spacing w:after="0"/>
              <w:rPr>
                <w:sz w:val="1"/>
                <w:szCs w:val="1"/>
                <w:color w:val="auto"/>
              </w:rPr>
            </w:pPr>
          </w:p>
        </w:tc>
      </w:tr>
      <w:tr>
        <w:trPr>
          <w:trHeight w:val="47"/>
        </w:trPr>
        <w:tc>
          <w:tcPr>
            <w:tcW w:w="3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231"/>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72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945,265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3,965,607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47,547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118,779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74,554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cost assets</w:t>
            </w: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268,509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540,496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Amounts due from related parties</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995,563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437,299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141,851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29,870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166,436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1,403,172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422,242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6,179,955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3,003,972</w:t>
            </w:r>
          </w:p>
        </w:tc>
        <w:tc>
          <w:tcPr>
            <w:tcW w:w="140" w:type="dxa"/>
            <w:vAlign w:val="bottom"/>
          </w:tcPr>
          <w:p>
            <w:pPr>
              <w:spacing w:after="0"/>
              <w:rPr>
                <w:sz w:val="17"/>
                <w:szCs w:val="17"/>
                <w:color w:val="auto"/>
              </w:rPr>
            </w:pPr>
          </w:p>
        </w:tc>
        <w:tc>
          <w:tcPr>
            <w:tcW w:w="340" w:type="dxa"/>
            <w:vAlign w:val="bottom"/>
            <w:gridSpan w:val="2"/>
          </w:tcPr>
          <w:p>
            <w:pPr>
              <w:jc w:val="right"/>
              <w:ind w:right="87"/>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506,451</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7,866,857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372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top w:val="single" w:sz="8" w:color="auto"/>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7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2,639,900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424,656</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left w:val="single" w:sz="8" w:color="CCEEFF"/>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9,524,598</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4,328,759</w:t>
            </w:r>
          </w:p>
        </w:tc>
        <w:tc>
          <w:tcPr>
            <w:tcW w:w="140" w:type="dxa"/>
            <w:vAlign w:val="bottom"/>
          </w:tcPr>
          <w:p>
            <w:pPr>
              <w:spacing w:after="0"/>
              <w:rPr>
                <w:sz w:val="17"/>
                <w:szCs w:val="17"/>
                <w:color w:val="auto"/>
              </w:rPr>
            </w:pPr>
          </w:p>
        </w:tc>
        <w:tc>
          <w:tcPr>
            <w:tcW w:w="340" w:type="dxa"/>
            <w:vAlign w:val="bottom"/>
            <w:gridSpan w:val="2"/>
          </w:tcPr>
          <w:p>
            <w:pPr>
              <w:jc w:val="right"/>
              <w:ind w:right="87"/>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471,332</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11,093,048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372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top w:val="single" w:sz="8" w:color="auto"/>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7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shareholders’ equity</w:t>
            </w: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(1,324,787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35,119</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left w:val="single" w:sz="8" w:color="CCEEFF"/>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(3,226,191</w:t>
            </w:r>
          </w:p>
        </w:tc>
        <w:tc>
          <w:tcPr>
            <w:tcW w:w="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3,003,972</w:t>
            </w:r>
          </w:p>
        </w:tc>
        <w:tc>
          <w:tcPr>
            <w:tcW w:w="140" w:type="dxa"/>
            <w:vAlign w:val="bottom"/>
          </w:tcPr>
          <w:p>
            <w:pPr>
              <w:spacing w:after="0"/>
              <w:rPr>
                <w:sz w:val="17"/>
                <w:szCs w:val="17"/>
                <w:color w:val="auto"/>
              </w:rPr>
            </w:pPr>
          </w:p>
        </w:tc>
        <w:tc>
          <w:tcPr>
            <w:tcW w:w="340" w:type="dxa"/>
            <w:vAlign w:val="bottom"/>
            <w:gridSpan w:val="2"/>
          </w:tcPr>
          <w:p>
            <w:pPr>
              <w:jc w:val="right"/>
              <w:ind w:right="87"/>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506,451</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7,866,857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3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right="939" w:firstLine="432"/>
        <w:spacing w:after="0" w:line="277" w:lineRule="auto"/>
        <w:rPr>
          <w:sz w:val="20"/>
          <w:szCs w:val="20"/>
          <w:color w:val="auto"/>
        </w:rPr>
      </w:pPr>
      <w:r>
        <w:rPr>
          <w:rFonts w:ascii="Arial" w:cs="Arial" w:eastAsia="Arial" w:hAnsi="Arial"/>
          <w:sz w:val="18"/>
          <w:szCs w:val="18"/>
          <w:color w:val="auto"/>
        </w:rPr>
        <w:t>The following table presents our selected consolidated statements of cash flow data for the periods indicated.</w:t>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Net cash (used in) provided by operating activities</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 cash used in investing activities</w:t>
      </w:r>
    </w:p>
    <w:p>
      <w:pPr>
        <w:spacing w:after="0" w:line="50"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Net cash provided by (used in) financing activities</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Effect of exchange rate changes</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 increase (decrease) in cash</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Cash, at beginning of year</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Cash, at end of year</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14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rPr>
              <w:t>For the Years Ended</w:t>
            </w:r>
          </w:p>
        </w:tc>
        <w:tc>
          <w:tcPr>
            <w:tcW w:w="216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2"/>
              </w:rPr>
              <w:t>For the Six Months Ended</w:t>
            </w:r>
          </w:p>
        </w:tc>
      </w:tr>
      <w:tr>
        <w:trPr>
          <w:trHeight w:val="210"/>
        </w:trPr>
        <w:tc>
          <w:tcPr>
            <w:tcW w:w="2140" w:type="dxa"/>
            <w:vAlign w:val="bottom"/>
            <w:gridSpan w:val="4"/>
          </w:tcPr>
          <w:p>
            <w:pPr>
              <w:ind w:left="540"/>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Pr>
          <w:p>
            <w:pPr>
              <w:spacing w:after="0"/>
              <w:rPr>
                <w:sz w:val="18"/>
                <w:szCs w:val="18"/>
                <w:color w:val="auto"/>
              </w:rPr>
            </w:pPr>
          </w:p>
        </w:tc>
        <w:tc>
          <w:tcPr>
            <w:tcW w:w="142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90"/>
              </w:rPr>
              <w:t>June 30,</w:t>
            </w:r>
          </w:p>
        </w:tc>
      </w:tr>
      <w:tr>
        <w:trPr>
          <w:trHeight w:val="46"/>
        </w:trPr>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r>
      <w:tr>
        <w:trPr>
          <w:trHeight w:val="230"/>
        </w:trPr>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42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2022</w:t>
            </w:r>
          </w:p>
        </w:tc>
      </w:tr>
      <w:tr>
        <w:trPr>
          <w:trHeight w:val="47"/>
        </w:trPr>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bl>
    <w:p>
      <w:pPr>
        <w:spacing w:after="0" w:line="188" w:lineRule="exact"/>
        <w:rPr>
          <w:sz w:val="20"/>
          <w:szCs w:val="20"/>
          <w:color w:val="auto"/>
        </w:rPr>
      </w:pPr>
    </w:p>
    <w:p>
      <w:pPr>
        <w:ind w:left="220" w:hanging="218"/>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(609,946)  $  244,100   $ (2,380,926)  $   (27,514)</w:t>
      </w:r>
    </w:p>
    <w:p>
      <w:pPr>
        <w:spacing w:after="0" w:line="76"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(73,885)(53,313)(79,043)—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1,378,257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66,030</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5,426,739</w:t>
            </w:r>
          </w:p>
        </w:tc>
        <w:tc>
          <w:tcPr>
            <w:tcW w:w="2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(118,326)</w:t>
            </w:r>
          </w:p>
        </w:tc>
      </w:tr>
      <w:tr>
        <w:trPr>
          <w:trHeight w:val="27"/>
        </w:trPr>
        <w:tc>
          <w:tcPr>
            <w:tcW w:w="88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r>
      <w:tr>
        <w:trPr>
          <w:trHeight w:val="224"/>
        </w:trPr>
        <w:tc>
          <w:tcPr>
            <w:tcW w:w="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(22,754)</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53,572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32,401</w:t>
            </w:r>
          </w:p>
        </w:tc>
        <w:tc>
          <w:tcPr>
            <w:tcW w:w="60" w:type="dxa"/>
            <w:vAlign w:val="bottom"/>
          </w:tcPr>
          <w:p>
            <w:pPr>
              <w:spacing w:after="0"/>
              <w:rPr>
                <w:sz w:val="19"/>
                <w:szCs w:val="19"/>
                <w:color w:val="auto"/>
              </w:rPr>
            </w:pPr>
          </w:p>
        </w:tc>
      </w:tr>
      <w:tr>
        <w:trPr>
          <w:trHeight w:val="283"/>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671,672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255,956</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3,020,342</w:t>
            </w:r>
          </w:p>
        </w:tc>
        <w:tc>
          <w:tcPr>
            <w:tcW w:w="22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(113,439)</w:t>
            </w:r>
          </w:p>
        </w:tc>
      </w:tr>
      <w:tr>
        <w:trPr>
          <w:trHeight w:val="297"/>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273,593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17,637</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945,265</w:t>
            </w: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273,593</w:t>
            </w:r>
          </w:p>
        </w:tc>
        <w:tc>
          <w:tcPr>
            <w:tcW w:w="6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8"/>
              </w:rPr>
              <w:t>$  945,265</w:t>
            </w: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273,593</w:t>
            </w:r>
          </w:p>
        </w:tc>
        <w:tc>
          <w:tcPr>
            <w:tcW w:w="11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$ 3,965,607</w:t>
            </w:r>
          </w:p>
        </w:tc>
        <w:tc>
          <w:tcPr>
            <w:tcW w:w="220" w:type="dxa"/>
            <w:vAlign w:val="bottom"/>
          </w:tcPr>
          <w:p>
            <w:pPr>
              <w:spacing w:after="0"/>
              <w:rPr>
                <w:sz w:val="17"/>
                <w:szCs w:val="17"/>
                <w:color w:val="auto"/>
              </w:rPr>
            </w:pP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160,154</w:t>
            </w:r>
          </w:p>
        </w:tc>
        <w:tc>
          <w:tcPr>
            <w:tcW w:w="6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480" w:space="680"/>
            <w:col w:w="4859"/>
          </w:cols>
          <w:pgMar w:left="1440" w:top="274" w:right="1440" w:bottom="1440" w:gutter="0" w:footer="0" w:header="0"/>
          <w:type w:val="continuous"/>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 w:name="page17"/>
    <w:bookmarkEnd w:id="1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i w:val="1"/>
          <w:iCs w:val="1"/>
          <w:color w:val="auto"/>
        </w:rPr>
        <w:t>An investment in our ADSs involves significant risks. You should carefully consider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rapid growth may not be sustainable or indicative of our future growth.</w:t>
      </w:r>
    </w:p>
    <w:p>
      <w:pPr>
        <w:spacing w:after="0" w:line="158"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Our recent rapid growth may not be sustainable or indicative of our future growth. Even though the number of clients who use our solutions has grown rapidly in recent years, there can be no assurance that we will be able to attract new clients or retain existing clients. In future periods, our revenues could grow more slowly than in recent periods or decline for a number of reasons, including any reduction in demand for our solutions and services, increase in competition, limited ability to, or our decision not to, increase pricing, or our failure to capitalize on growth opportunities. We have encountered in the past, and will encounter in the future, risks and uncertainties frequently experienced by growing companies in new and rapidly changing markets.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would suffer.</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business could be harmed if we fail to manage our infrastructure to support future growth.</w:t>
      </w:r>
    </w:p>
    <w:p>
      <w:pPr>
        <w:spacing w:after="0" w:line="169"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The rapid growth we have experienced in our business places significant demands on our operational infrastructure. The scalability and flexibility of our solutions and services depend on the functionality of our technology and network infrastructure and its ability to handle increased traffic and demand for bandwidth. The growth in the number of clients and their customers using our solutions and services has increased the amount of data that we process. Any problems with the transmission of increased data could result in harm to our brand or reputation. Moreover, as our business grows, we will need to devote additional resources to improving our operational infrastructure and continuing to enhance its scalability in order to maintain the performance of our solutions and services, including client support, risk and compliance operations, and other solutions services. Any failure of or delay in these efforts could result in service interruptions, impaired system performance, and reduced client satisfaction. If sustained or repeated, these performance issues could reduce the attractiveness of our solutions and services to our clients and could result in lost client opportunities and higher attrition rates, any of which could hurt our revenue growth, client loyalty and our reputation. Even if our efforts to scale our business are successful,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74" w:lineRule="exact"/>
        <w:rPr>
          <w:sz w:val="20"/>
          <w:szCs w:val="20"/>
          <w:color w:val="auto"/>
        </w:rPr>
      </w:pPr>
    </w:p>
    <w:p>
      <w:pPr>
        <w:ind w:left="460" w:right="979"/>
        <w:spacing w:after="0" w:line="263" w:lineRule="auto"/>
        <w:rPr>
          <w:sz w:val="20"/>
          <w:szCs w:val="20"/>
          <w:color w:val="auto"/>
        </w:rPr>
      </w:pPr>
      <w:r>
        <w:rPr>
          <w:rFonts w:ascii="Arial" w:cs="Arial" w:eastAsia="Arial" w:hAnsi="Arial"/>
          <w:sz w:val="18"/>
          <w:szCs w:val="18"/>
          <w:b w:val="1"/>
          <w:bCs w:val="1"/>
          <w:i w:val="1"/>
          <w:iCs w:val="1"/>
          <w:color w:val="auto"/>
        </w:rPr>
        <w:t>Substantially all of our revenues are generated by sales to clients in our targeted verticals, and factors, including Singapore and global market and economic conditions, that adversely affect the applicable industry could also adversely affect us.</w:t>
      </w:r>
    </w:p>
    <w:p>
      <w:pPr>
        <w:spacing w:after="0" w:line="103"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Currently, substantially all of our sales are to clients in the e-commerce, food and beverage, fintech, healthcare and service, wholesale and retail industries</w:t>
      </w:r>
      <w:r>
        <w:rPr>
          <w:rFonts w:ascii="Arial" w:cs="Arial" w:eastAsia="Arial" w:hAnsi="Arial"/>
          <w:sz w:val="17"/>
          <w:szCs w:val="17"/>
          <w:i w:val="1"/>
          <w:iCs w:val="1"/>
          <w:color w:val="auto"/>
        </w:rPr>
        <w:t>.</w:t>
      </w:r>
      <w:r>
        <w:rPr>
          <w:rFonts w:ascii="Arial" w:cs="Arial" w:eastAsia="Arial" w:hAnsi="Arial"/>
          <w:sz w:val="17"/>
          <w:szCs w:val="17"/>
          <w:color w:val="auto"/>
        </w:rPr>
        <w:t xml:space="preserve"> Demand for our solutions could be affected by factors that are unique to and adversely affect our targeted verticals. For example, changes in applicable laws and regulations could significantly impact the software functionality demanded by our clients and require us to expend significant resources to ensure our solutions continue to meet their evolving needs. In addition, other industry-specific factors, such as industry consolidation or the introduction of competing technology, could lead to a significant reduction in the number of clients that use our solutions within a particular vertical or the services demanded by these clients.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Further, general worldwide economic conditions remain unstable, making it difficult for our clients and us to forecast and plan future business activities accurately. Adverse changes in global economic and political conditions could result in significant decreases in demand for our solutions, including the delay or cancellation of current or anticipated projects, and reduction in IT spending by our clients and potential clients, or could present difficulties in collecting accounts receivables from our clients due to their deteriorating financial condition. Our existing clients may be acquired by or merged into other entities that use our competitors’ solutions and services, or they may decide to terminate their relationships with us for other reasons. As a result, our ability to generate revenues from our clients could be adversely affected by specific factors that affect these industries.</w:t>
      </w:r>
    </w:p>
    <w:p>
      <w:pPr>
        <w:spacing w:after="0" w:line="196" w:lineRule="exact"/>
        <w:rPr>
          <w:sz w:val="20"/>
          <w:szCs w:val="20"/>
          <w:color w:val="auto"/>
        </w:rPr>
      </w:pPr>
    </w:p>
    <w:p>
      <w:pPr>
        <w:ind w:left="460" w:right="1019"/>
        <w:spacing w:after="0" w:line="342" w:lineRule="auto"/>
        <w:rPr>
          <w:sz w:val="20"/>
          <w:szCs w:val="20"/>
          <w:color w:val="auto"/>
        </w:rPr>
      </w:pPr>
      <w:r>
        <w:rPr>
          <w:rFonts w:ascii="Arial" w:cs="Arial" w:eastAsia="Arial" w:hAnsi="Arial"/>
          <w:sz w:val="16"/>
          <w:szCs w:val="16"/>
          <w:b w:val="1"/>
          <w:bCs w:val="1"/>
          <w:i w:val="1"/>
          <w:iCs w:val="1"/>
          <w:color w:val="auto"/>
        </w:rPr>
        <w:t>If we are not able to introduce new features or services successfully and to make enhancements to our solutions and services, our business and results of operations could be adversely affected.</w:t>
      </w:r>
    </w:p>
    <w:p>
      <w:pPr>
        <w:spacing w:after="0" w:line="56"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Our ability to attract new clients and increase revenue from existing clients depends in part on our ability to enhance and improve our solutions and to introduce new features and services. For example, we plan to introduce Tridentity, our Web 3.0-enabled e-commerce platform whereby customers and merchants can transact in a transparent and secure way, in the fourth quarter of 2023. To grow our business and remain competitive, we must continue to enhance our solutions and develop features that reflect the constantly evolving nature of technology and our clients’ needs. The success of our solutions, enhancements or developments depends on several factors: our anticipation of market changes, demands, and software features, including timely solution introduction and conclusion, sufficient client demand, cost effectiveness in our solution and service development efforts and the proliferation of new technologies that are able to deliver competitive offerings at lower prices, more efficiently, more conveniently or more securely.</w:t>
      </w:r>
    </w:p>
    <w:p>
      <w:pPr>
        <w:spacing w:after="0" w:line="101" w:lineRule="exact"/>
        <w:rPr>
          <w:sz w:val="20"/>
          <w:szCs w:val="20"/>
          <w:color w:val="auto"/>
        </w:rPr>
      </w:pPr>
    </w:p>
    <w:p>
      <w:pPr>
        <w:jc w:val="both"/>
        <w:ind w:left="460" w:right="759" w:firstLine="432"/>
        <w:spacing w:after="0" w:line="287" w:lineRule="auto"/>
        <w:rPr>
          <w:sz w:val="20"/>
          <w:szCs w:val="20"/>
          <w:color w:val="auto"/>
        </w:rPr>
      </w:pPr>
      <w:r>
        <w:rPr>
          <w:rFonts w:ascii="Arial" w:cs="Arial" w:eastAsia="Arial" w:hAnsi="Arial"/>
          <w:sz w:val="16"/>
          <w:szCs w:val="16"/>
          <w:color w:val="auto"/>
        </w:rPr>
        <w:t>In addition, because our solutions are designed to operate with a variety of systems, applications, data, and devices, we will need to continuously modify and enhance our solutions to keep pace with changes and updates in such systems. We may not be successful in developing these modifications and enhancements.</w:t>
      </w:r>
    </w:p>
    <w:p>
      <w:pPr>
        <w:spacing w:after="0" w:line="2" w:lineRule="exact"/>
        <w:rPr>
          <w:sz w:val="20"/>
          <w:szCs w:val="20"/>
          <w:color w:val="auto"/>
        </w:rPr>
      </w:pPr>
    </w:p>
    <w:p>
      <w:pPr>
        <w:ind w:left="460" w:right="479"/>
        <w:spacing w:after="0" w:line="268" w:lineRule="auto"/>
        <w:rPr>
          <w:sz w:val="20"/>
          <w:szCs w:val="20"/>
          <w:color w:val="auto"/>
        </w:rPr>
      </w:pPr>
      <w:r>
        <w:rPr>
          <w:rFonts w:ascii="Arial" w:cs="Arial" w:eastAsia="Arial" w:hAnsi="Arial"/>
          <w:sz w:val="17"/>
          <w:szCs w:val="17"/>
          <w:color w:val="auto"/>
        </w:rPr>
        <w:t>Furthermore, the addition of features to our solutions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client adoption of new features. Such uncertainty limits our ability to forecast our future results of operations and subjects us to several challenges, including our ability to plan for and model future growth. If we cannot address such uncertainties and successfully develop new features, enhance our solutions, or otherwise overcome technological challenges and competing technologies, our business and results of operations could be adversely affected.</w:t>
      </w:r>
    </w:p>
    <w:p>
      <w:pPr>
        <w:spacing w:after="0" w:line="183" w:lineRule="exact"/>
        <w:rPr>
          <w:sz w:val="20"/>
          <w:szCs w:val="20"/>
          <w:color w:val="auto"/>
        </w:rPr>
      </w:pPr>
    </w:p>
    <w:p>
      <w:pPr>
        <w:ind w:left="460" w:right="639"/>
        <w:spacing w:after="0" w:line="277" w:lineRule="auto"/>
        <w:rPr>
          <w:sz w:val="20"/>
          <w:szCs w:val="20"/>
          <w:color w:val="auto"/>
        </w:rPr>
      </w:pPr>
      <w:r>
        <w:rPr>
          <w:rFonts w:ascii="Arial" w:cs="Arial" w:eastAsia="Arial" w:hAnsi="Arial"/>
          <w:sz w:val="18"/>
          <w:szCs w:val="18"/>
          <w:b w:val="1"/>
          <w:bCs w:val="1"/>
          <w:i w:val="1"/>
          <w:iCs w:val="1"/>
          <w:color w:val="auto"/>
        </w:rPr>
        <w:t>Our solutions, services or pricing models may not accurately reflect the optimal pricing necessary to attract new clients and retain existing clients as the market matures.</w:t>
      </w:r>
    </w:p>
    <w:p>
      <w:pPr>
        <w:spacing w:after="0" w:line="89" w:lineRule="exact"/>
        <w:rPr>
          <w:sz w:val="20"/>
          <w:szCs w:val="20"/>
          <w:color w:val="auto"/>
        </w:rPr>
      </w:pPr>
    </w:p>
    <w:p>
      <w:pPr>
        <w:ind w:left="460" w:right="559" w:firstLine="432"/>
        <w:spacing w:after="0" w:line="288" w:lineRule="auto"/>
        <w:rPr>
          <w:sz w:val="20"/>
          <w:szCs w:val="20"/>
          <w:color w:val="auto"/>
        </w:rPr>
      </w:pPr>
      <w:r>
        <w:rPr>
          <w:rFonts w:ascii="Arial" w:cs="Arial" w:eastAsia="Arial" w:hAnsi="Arial"/>
          <w:sz w:val="16"/>
          <w:szCs w:val="16"/>
          <w:color w:val="auto"/>
        </w:rPr>
        <w:t>As the market for our solutions and services matures, or as competitors introduce new solutions and services that compete with ours, we may be unable to attract new clients at the same price or based on the same pricing models as we have used historically. We price our solutions and services based on an enterprise size basis with enterprise-wide access to our solutions and services or based on the number of individual users, and therefore, pricing decisions may also impact the mix of adoption among our solutions and services and negatively impact our overall revenues. Further, pricing pressures and increased competition generally could result in reduced sales, reduced margins, losses, or the failure of our solutions and services to achieve or maintain more widespread market acceptance, any of which could harm our business, results of operations, and financial condition. In the future, we may be required to reduce our prices or develop new pricing models, which could adversely affect our revenues, gross margin, profitability, financial position, and cash flow.</w:t>
      </w:r>
    </w:p>
    <w:p>
      <w:pPr>
        <w:spacing w:after="0" w:line="168" w:lineRule="exact"/>
        <w:rPr>
          <w:sz w:val="20"/>
          <w:szCs w:val="20"/>
          <w:color w:val="auto"/>
        </w:rPr>
      </w:pPr>
    </w:p>
    <w:p>
      <w:pPr>
        <w:ind w:left="460" w:right="699"/>
        <w:spacing w:after="0" w:line="286" w:lineRule="auto"/>
        <w:rPr>
          <w:sz w:val="20"/>
          <w:szCs w:val="20"/>
          <w:color w:val="auto"/>
        </w:rPr>
      </w:pPr>
      <w:r>
        <w:rPr>
          <w:rFonts w:ascii="Arial" w:cs="Arial" w:eastAsia="Arial" w:hAnsi="Arial"/>
          <w:sz w:val="17"/>
          <w:szCs w:val="17"/>
          <w:b w:val="1"/>
          <w:bCs w:val="1"/>
          <w:i w:val="1"/>
          <w:iCs w:val="1"/>
          <w:color w:val="auto"/>
        </w:rPr>
        <w:t>If we fail to adapt and respond effectively to rapidly changing technology, evolving industry standards and regulations, and changing business needs, requirements, or preferences, our solutions and services may become less competitive, and our growth rate could decline.</w:t>
      </w:r>
    </w:p>
    <w:p>
      <w:pPr>
        <w:spacing w:after="0" w:line="98"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market for our solutions is relatively new and subject to ongoing technological change, evolving industry standards, shifting laws and regulations, and changing client and customer needs, requirements, and preferences. The success of our business will depend, in part, on our ability to adapt and respond effectively to these changes on a timely basis, including launching new solutions. The success of any new solutions, or any enhancements or modifications to existing solutions, depends on several factors, including the timely completion, introduction, and</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 w:name="page19"/>
    <w:bookmarkEnd w:id="1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59"/>
        <w:spacing w:after="0" w:line="272" w:lineRule="auto"/>
        <w:rPr>
          <w:sz w:val="20"/>
          <w:szCs w:val="20"/>
          <w:color w:val="auto"/>
        </w:rPr>
      </w:pPr>
      <w:r>
        <w:rPr>
          <w:rFonts w:ascii="Arial" w:cs="Arial" w:eastAsia="Arial" w:hAnsi="Arial"/>
          <w:sz w:val="17"/>
          <w:szCs w:val="17"/>
          <w:color w:val="auto"/>
        </w:rPr>
        <w:t>market acceptance of such solutions, enhancements and modifications. If we are unable to enhance our solutions or develop new solutions that keep pace with technological and regulatory change and achieve market acceptance, or if new technologies emerge that are able to deliver competitive solutions at lower prices, more efficiently, more conveniently or more securely than our solutions, our business, operating results and financial condition would be adversely affected. Furthermore, modifications to our existing solutions or technology will increase our research and development expenses. Any of the foregoing could reduce the demand for our services, result in client dissatisfaction and adversely affect our business.</w:t>
      </w:r>
    </w:p>
    <w:p>
      <w:pPr>
        <w:spacing w:after="0" w:line="177" w:lineRule="exact"/>
        <w:rPr>
          <w:sz w:val="20"/>
          <w:szCs w:val="20"/>
          <w:color w:val="auto"/>
        </w:rPr>
      </w:pPr>
    </w:p>
    <w:p>
      <w:pPr>
        <w:ind w:left="460" w:right="659"/>
        <w:spacing w:after="0" w:line="342" w:lineRule="auto"/>
        <w:rPr>
          <w:sz w:val="20"/>
          <w:szCs w:val="20"/>
          <w:color w:val="auto"/>
        </w:rPr>
      </w:pPr>
      <w:r>
        <w:rPr>
          <w:rFonts w:ascii="Arial" w:cs="Arial" w:eastAsia="Arial" w:hAnsi="Arial"/>
          <w:sz w:val="16"/>
          <w:szCs w:val="16"/>
          <w:b w:val="1"/>
          <w:bCs w:val="1"/>
          <w:i w:val="1"/>
          <w:iCs w:val="1"/>
          <w:color w:val="auto"/>
        </w:rPr>
        <w:t>If we fail to offer high-quality client support, if we experience complaints regarding our client support or if our support is more expensive than anticipated, our business and reputation could suffer.</w:t>
      </w:r>
    </w:p>
    <w:p>
      <w:pPr>
        <w:spacing w:after="0" w:line="56"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Clients rely on our client support services to resolve issues and realize the full benefits provided by our solutions and services. High-quality support is also important to maintain and drive further adoption by our existing clients and their customers. Certain of our solutions provide client support to clients primarily over email, with some additional support provided over chat and through our solutions. If we do not help our clients and their customers quickly resolve issues and provide effective ongoing support, or if our support personnel or methods of providing support are insufficient to meet the needs of our clients and their customers, our ability to retain clients, increase adoption by our existing clients and acquire new clients could suffer, and our reputation with existing or potential clients could be harmed. In addition, client complaints or negative publicity about our client service could diminish confidence in and use of our solutions or services. Effective client service requires significant expenses, which, if not managed properly, could negatively impact our profitability. If we are not able to meet the client support needs of our clients and their customers during the hours that we currently provide support, we may need to increase our support coverage and provide additional support by other means and methods, which may reduce our profitability.</w:t>
      </w:r>
    </w:p>
    <w:p>
      <w:pPr>
        <w:spacing w:after="0" w:line="174" w:lineRule="exact"/>
        <w:rPr>
          <w:sz w:val="20"/>
          <w:szCs w:val="20"/>
          <w:color w:val="auto"/>
        </w:rPr>
      </w:pPr>
    </w:p>
    <w:p>
      <w:pPr>
        <w:ind w:left="460" w:right="899"/>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or bugs in our solutions could adversely affect our business, results of operations, financial condition, and growth prospects.</w:t>
      </w:r>
    </w:p>
    <w:p>
      <w:pPr>
        <w:spacing w:after="0" w:line="103"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Our solutions are complex, and therefore, undetected errors, failures or bugs have occurred in the past and may occur in the future. Our solutions are often used in IT environments with different operating systems, system management software, applications, devices, databases, servers, storage, middleware, custom and third-party applications and equipment and networking configurations, which has in the past caused, and may in the future cause, errors or failures in the IT environment into which our solutions are deployed. This diversity increases the likelihood of errors or failures in those IT environments. Despite testing by us, real or perceived errors, failures or bugs may not be found until our clients use our solutions. Real or perceived errors, failures or bugs in our solutions could result in negative publicity, loss of or delay in market acceptance of our solutions and harm our brand, weakening of our competitive position, claims by clients for losses sustained by them or failure to meet the stated service level commitments in our client agreements. In such an event, we may be required, or may choose, for client relations or other reasons, to expend significant additional resources in order to help correct the problem. Any errors, failures or bugs in our solutions could impair our ability to attract new clients, retain existing clients or expand their use of our solutions, which would adversely affect our business, results of operations and financial condition.</w:t>
      </w:r>
    </w:p>
    <w:p>
      <w:pPr>
        <w:spacing w:after="0" w:line="184" w:lineRule="exact"/>
        <w:rPr>
          <w:sz w:val="20"/>
          <w:szCs w:val="20"/>
          <w:color w:val="auto"/>
        </w:rPr>
      </w:pPr>
    </w:p>
    <w:p>
      <w:pPr>
        <w:jc w:val="both"/>
        <w:ind w:left="460" w:right="639"/>
        <w:spacing w:after="0" w:line="263" w:lineRule="auto"/>
        <w:rPr>
          <w:sz w:val="20"/>
          <w:szCs w:val="20"/>
          <w:color w:val="auto"/>
        </w:rPr>
      </w:pPr>
      <w:r>
        <w:rPr>
          <w:rFonts w:ascii="Arial" w:cs="Arial" w:eastAsia="Arial" w:hAnsi="Arial"/>
          <w:sz w:val="18"/>
          <w:szCs w:val="18"/>
          <w:b w:val="1"/>
          <w:bCs w:val="1"/>
          <w:i w:val="1"/>
          <w:iCs w:val="1"/>
          <w:color w:val="auto"/>
        </w:rPr>
        <w:t>We may face intense competition, which could limit our ability to maintain or expand market share within our industry, and if we do not maintain or expand our market share, our business, financial condition, and operating results will be harmed.</w:t>
      </w:r>
    </w:p>
    <w:p>
      <w:pPr>
        <w:spacing w:after="0" w:line="103"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We may face intense competition, which could limit our ability to maintain or expand market share within our industry, and if we do not maintain or expand our market share our business, financial condition, and operating results will be harmed. The market for digital solutions and Web 3.0-enabled e-commerce is highly fragmented. As costs fall and technology improves, increased market saturation may change the competitive landscape in favor of competitors with greater scale than we currently possess.</w:t>
      </w:r>
    </w:p>
    <w:p>
      <w:pPr>
        <w:spacing w:after="0" w:line="109"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Some of our competitors have greater name recognition, longer operating histories and significantly greater resources than we do. As a result, our competitors may be able to respond more quickly and effectively than we can to new or changing opportunities, technologies, standards, or client requirements. In addition, current and potential competitors have established, and may in the future establish, cooperative relationships with vendors of complementary solutions, technologies or services to increase the availability of their solutions and services to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 w:name="page20"/>
    <w:bookmarkEnd w:id="1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59"/>
        <w:spacing w:after="0" w:line="286" w:lineRule="auto"/>
        <w:rPr>
          <w:sz w:val="20"/>
          <w:szCs w:val="20"/>
          <w:color w:val="auto"/>
        </w:rPr>
      </w:pPr>
      <w:r>
        <w:rPr>
          <w:rFonts w:ascii="Arial" w:cs="Arial" w:eastAsia="Arial" w:hAnsi="Arial"/>
          <w:sz w:val="17"/>
          <w:szCs w:val="17"/>
          <w:color w:val="auto"/>
        </w:rPr>
        <w:t>marketplace. Accordingly, new competitors or alliances may emerge that have greater market share, larger client bases, more widely adopted proprietary technologies, greater marketing expertise, greater financial resources and larger sales forces than we have, which could put us at a competitive disadvantage.</w:t>
      </w:r>
    </w:p>
    <w:p>
      <w:pPr>
        <w:spacing w:after="0" w:line="98" w:lineRule="exact"/>
        <w:rPr>
          <w:sz w:val="20"/>
          <w:szCs w:val="20"/>
          <w:color w:val="auto"/>
        </w:rPr>
      </w:pPr>
    </w:p>
    <w:p>
      <w:pPr>
        <w:ind w:left="460" w:right="959" w:firstLine="432"/>
        <w:spacing w:after="0" w:line="263" w:lineRule="auto"/>
        <w:rPr>
          <w:sz w:val="20"/>
          <w:szCs w:val="20"/>
          <w:color w:val="auto"/>
        </w:rPr>
      </w:pPr>
      <w:r>
        <w:rPr>
          <w:rFonts w:ascii="Arial" w:cs="Arial" w:eastAsia="Arial" w:hAnsi="Arial"/>
          <w:sz w:val="18"/>
          <w:szCs w:val="18"/>
          <w:color w:val="auto"/>
        </w:rPr>
        <w:t>Further, in light of these advantages, even if our solutions and services are more effective than the offerings of our competitors, current or potential clients might accept our competitors’ offerings in lieu of purchasing our solutions and services.</w:t>
      </w:r>
    </w:p>
    <w:p>
      <w:pPr>
        <w:spacing w:after="0" w:line="116"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We also compete on the basis of price. We may be subject to pricing pressures as a result of, among other things, competition within the industry, consolidation of our clients, government action, and financial stress experienced by our clients. If our pricing experiences significant downward pressure or clients acquire or develop competing solutions and services, our business will be less profitable and our results of operations will be adversely affected.</w:t>
      </w:r>
    </w:p>
    <w:p>
      <w:pPr>
        <w:spacing w:after="0" w:line="107"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We cannot be certain that we will be able to retain our current clients or expand our client base in this competitive environment. If we do not retain current clients or expand our client base, or if we have to renegotiate existing contracts, our business, financial condition, and results of operations will be harmed. If one or more of our competitors or potential competitors were to merge or partner with another of our competitors, the change in the competitive landscape could also adversely affect our ability to compete effectively and could harm our business, financial condition, and results of operations.</w:t>
      </w:r>
    </w:p>
    <w:p>
      <w:pPr>
        <w:spacing w:after="0" w:line="178" w:lineRule="exact"/>
        <w:rPr>
          <w:sz w:val="20"/>
          <w:szCs w:val="20"/>
          <w:color w:val="auto"/>
        </w:rPr>
      </w:pPr>
    </w:p>
    <w:p>
      <w:pPr>
        <w:ind w:left="460" w:right="619"/>
        <w:spacing w:after="0" w:line="277" w:lineRule="auto"/>
        <w:rPr>
          <w:sz w:val="20"/>
          <w:szCs w:val="20"/>
          <w:color w:val="auto"/>
        </w:rPr>
      </w:pPr>
      <w:r>
        <w:rPr>
          <w:rFonts w:ascii="Arial" w:cs="Arial" w:eastAsia="Arial" w:hAnsi="Arial"/>
          <w:sz w:val="18"/>
          <w:szCs w:val="18"/>
          <w:b w:val="1"/>
          <w:bCs w:val="1"/>
          <w:i w:val="1"/>
          <w:iCs w:val="1"/>
          <w:color w:val="auto"/>
        </w:rPr>
        <w:t>We have incurred net losses on an annual basis since we were founded, anticipate increasing our operating expenses in the future, and may not achieve or sustain profitability.</w:t>
      </w:r>
    </w:p>
    <w:p>
      <w:pPr>
        <w:spacing w:after="0" w:line="103" w:lineRule="exact"/>
        <w:rPr>
          <w:sz w:val="20"/>
          <w:szCs w:val="20"/>
          <w:color w:val="auto"/>
        </w:rPr>
      </w:pPr>
    </w:p>
    <w:p>
      <w:pPr>
        <w:jc w:val="both"/>
        <w:ind w:left="460" w:right="519" w:firstLine="432"/>
        <w:spacing w:after="0" w:line="287" w:lineRule="auto"/>
        <w:rPr>
          <w:sz w:val="20"/>
          <w:szCs w:val="20"/>
          <w:color w:val="auto"/>
        </w:rPr>
      </w:pPr>
      <w:r>
        <w:rPr>
          <w:rFonts w:ascii="Arial" w:cs="Arial" w:eastAsia="Arial" w:hAnsi="Arial"/>
          <w:sz w:val="16"/>
          <w:szCs w:val="16"/>
          <w:color w:val="auto"/>
        </w:rPr>
        <w:t>We have incurred net loss of approximately US$1.13 million and US$1.86 million in fiscal year 2022 and the six months ended June 30, 2023, respectively. We must generate and sustain higher revenue levels in future periods to become profitable, and, even if we do, we may not be able to maintain or increase our profitability.</w:t>
      </w:r>
    </w:p>
    <w:p>
      <w:pPr>
        <w:spacing w:after="0" w:line="2" w:lineRule="exact"/>
        <w:rPr>
          <w:sz w:val="20"/>
          <w:szCs w:val="20"/>
          <w:color w:val="auto"/>
        </w:rPr>
      </w:pPr>
    </w:p>
    <w:p>
      <w:pPr>
        <w:ind w:left="460" w:right="819"/>
        <w:spacing w:after="0" w:line="260" w:lineRule="auto"/>
        <w:rPr>
          <w:sz w:val="20"/>
          <w:szCs w:val="20"/>
          <w:color w:val="auto"/>
        </w:rPr>
      </w:pPr>
      <w:r>
        <w:rPr>
          <w:rFonts w:ascii="Arial" w:cs="Arial" w:eastAsia="Arial" w:hAnsi="Arial"/>
          <w:sz w:val="18"/>
          <w:szCs w:val="18"/>
          <w:color w:val="auto"/>
        </w:rPr>
        <w:t>We expect to continue to incur losses for the foreseeable future as we expend substantial financial and other resources on, among other things:</w:t>
      </w:r>
    </w:p>
    <w:p>
      <w:pPr>
        <w:spacing w:after="0" w:line="118" w:lineRule="exact"/>
        <w:rPr>
          <w:sz w:val="20"/>
          <w:szCs w:val="20"/>
          <w:color w:val="auto"/>
        </w:rPr>
      </w:pPr>
    </w:p>
    <w:p>
      <w:pPr>
        <w:ind w:left="1320" w:hanging="434"/>
        <w:spacing w:after="0"/>
        <w:tabs>
          <w:tab w:leader="none" w:pos="1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sales and marketing, including expanding our direct sales team and online marketing programs;</w:t>
      </w:r>
    </w:p>
    <w:p>
      <w:pPr>
        <w:spacing w:after="0" w:line="155" w:lineRule="exact"/>
        <w:rPr>
          <w:rFonts w:ascii="Arial" w:cs="Arial" w:eastAsia="Arial" w:hAnsi="Arial"/>
          <w:sz w:val="17"/>
          <w:szCs w:val="17"/>
          <w:color w:val="auto"/>
        </w:rPr>
      </w:pPr>
    </w:p>
    <w:p>
      <w:pPr>
        <w:ind w:left="1320" w:right="739" w:hanging="434"/>
        <w:spacing w:after="0" w:line="277" w:lineRule="auto"/>
        <w:tabs>
          <w:tab w:leader="none" w:pos="1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investments in the development of new solutions and new features for, and enhancements of, our existing services;</w:t>
      </w:r>
    </w:p>
    <w:p>
      <w:pPr>
        <w:spacing w:after="0" w:line="102" w:lineRule="exact"/>
        <w:rPr>
          <w:rFonts w:ascii="Arial" w:cs="Arial" w:eastAsia="Arial" w:hAnsi="Arial"/>
          <w:sz w:val="18"/>
          <w:szCs w:val="18"/>
          <w:color w:val="auto"/>
        </w:rPr>
      </w:pPr>
    </w:p>
    <w:p>
      <w:pPr>
        <w:ind w:left="1320" w:right="759" w:hanging="434"/>
        <w:spacing w:after="0" w:line="277" w:lineRule="auto"/>
        <w:tabs>
          <w:tab w:leader="none" w:pos="1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our operations and infrastructure organically and through acquisitions and strategic partnerships; and</w:t>
      </w:r>
    </w:p>
    <w:p>
      <w:pPr>
        <w:spacing w:after="0" w:line="102" w:lineRule="exact"/>
        <w:rPr>
          <w:rFonts w:ascii="Arial" w:cs="Arial" w:eastAsia="Arial" w:hAnsi="Arial"/>
          <w:sz w:val="18"/>
          <w:szCs w:val="18"/>
          <w:color w:val="auto"/>
        </w:rPr>
      </w:pPr>
    </w:p>
    <w:p>
      <w:pPr>
        <w:ind w:left="1320" w:right="539" w:hanging="434"/>
        <w:spacing w:after="0" w:line="277" w:lineRule="auto"/>
        <w:tabs>
          <w:tab w:leader="none" w:pos="1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administration, including legal, risk management, accounting, and other expenses related to being a public company.</w:t>
      </w:r>
    </w:p>
    <w:p>
      <w:pPr>
        <w:spacing w:after="0" w:line="89" w:lineRule="exact"/>
        <w:rPr>
          <w:sz w:val="20"/>
          <w:szCs w:val="20"/>
          <w:color w:val="auto"/>
        </w:rPr>
      </w:pPr>
    </w:p>
    <w:p>
      <w:pPr>
        <w:ind w:left="460" w:right="599" w:firstLine="432"/>
        <w:spacing w:after="0" w:line="311" w:lineRule="auto"/>
        <w:rPr>
          <w:sz w:val="20"/>
          <w:szCs w:val="20"/>
          <w:color w:val="auto"/>
        </w:rPr>
      </w:pPr>
      <w:r>
        <w:rPr>
          <w:rFonts w:ascii="Arial" w:cs="Arial" w:eastAsia="Arial" w:hAnsi="Arial"/>
          <w:sz w:val="16"/>
          <w:szCs w:val="16"/>
          <w:color w:val="auto"/>
        </w:rPr>
        <w:t>These expenditures may not result in additional revenues or the growth of our business. Accordingly, we may not be able to generate sufficient revenues to offset our expected cost increases and achieve and sustain profitability. If we fail to achieve and sustain profitability, the market price of our ADSs could decline.</w:t>
      </w:r>
    </w:p>
    <w:p>
      <w:pPr>
        <w:spacing w:after="0" w:line="81"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Our operating expenses may increase substantially in the foreseeable future as we continue to expend financial resources to grow our business, including to build new solutions and add features and functionality to existing solutions; expand our salesforce and marketing to win new clients; expand into new verticals; pursue strategic acquisitions or strategic investments; improve our technology infrastructure, including systems architecture, scalability, availability, performance and network security; comply with laws and regulations; purchase directors’ and officers’ liability insurance for public companies; and invest in general administration, including increased legal and accounting expenses associated with being a public company. The increased costs associated with these and other investments we may make in our business may fail to generate the expected benefits. If we are unable to increase our revenue at a rate sufficient to offset the expected increase in our costs, our business, operating results, and financial condition will be harmed, and we may not be able to achieve or, if achieved, maintain profitability over the long term.</w:t>
      </w:r>
    </w:p>
    <w:p>
      <w:pPr>
        <w:spacing w:after="0" w:line="114"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Public company operations may prove to be more expensive than we currently anticipate, and we may not succeed in increasing our revenue sufficiently to offset these higher expenses. As a result, we may need to raise additional capital through equity and debt financings in order to fund our operations. If we are unable to effectively manage these risks and difficulties as we encounter them, our business, financial condition, and results of operations may suffer and your investment may be further diluted.</w:t>
      </w:r>
    </w:p>
    <w:p>
      <w:pPr>
        <w:sectPr>
          <w:pgSz w:w="11900" w:h="16838" w:orient="portrait"/>
          <w:cols w:equalWidth="0" w:num="1">
            <w:col w:w="9019"/>
          </w:cols>
          <w:pgMar w:left="1440" w:top="27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 w:name="page21"/>
    <w:bookmarkEnd w:id="2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right="479"/>
        <w:spacing w:after="0" w:line="263" w:lineRule="auto"/>
        <w:rPr>
          <w:sz w:val="20"/>
          <w:szCs w:val="20"/>
          <w:color w:val="auto"/>
        </w:rPr>
      </w:pPr>
      <w:r>
        <w:rPr>
          <w:rFonts w:ascii="Arial" w:cs="Arial" w:eastAsia="Arial" w:hAnsi="Arial"/>
          <w:sz w:val="18"/>
          <w:szCs w:val="18"/>
          <w:b w:val="1"/>
          <w:bCs w:val="1"/>
          <w:i w:val="1"/>
          <w:iCs w:val="1"/>
          <w:color w:val="auto"/>
        </w:rPr>
        <w:t>We expect fluctuations in our operating results, making it difficult to project future results, and if we fail to meet the expectations of securities analysts or investors with respect to our operating results, the market price of our ADSs could decline.</w:t>
      </w:r>
    </w:p>
    <w:p>
      <w:pPr>
        <w:spacing w:after="0" w:line="103" w:lineRule="exact"/>
        <w:rPr>
          <w:sz w:val="20"/>
          <w:szCs w:val="20"/>
          <w:color w:val="auto"/>
        </w:rPr>
      </w:pPr>
    </w:p>
    <w:p>
      <w:pPr>
        <w:ind w:left="460" w:right="579" w:firstLine="432"/>
        <w:spacing w:after="0" w:line="311" w:lineRule="auto"/>
        <w:rPr>
          <w:sz w:val="20"/>
          <w:szCs w:val="20"/>
          <w:color w:val="auto"/>
        </w:rPr>
      </w:pPr>
      <w:r>
        <w:rPr>
          <w:rFonts w:ascii="Arial" w:cs="Arial" w:eastAsia="Arial" w:hAnsi="Arial"/>
          <w:sz w:val="16"/>
          <w:szCs w:val="16"/>
          <w:color w:val="auto"/>
        </w:rPr>
        <w:t>Our rapid growth makes it difficult for us to forecast our future operating results. Our operating results have fluctuated in the past and are expected to fluctuate in the future due to a variety of factors, many of which are outside of our control. As a result, our past results may not be indicative of our future performance.</w:t>
      </w:r>
    </w:p>
    <w:p>
      <w:pPr>
        <w:spacing w:after="0" w:line="81" w:lineRule="exact"/>
        <w:rPr>
          <w:sz w:val="20"/>
          <w:szCs w:val="20"/>
          <w:color w:val="auto"/>
        </w:rPr>
      </w:pPr>
    </w:p>
    <w:p>
      <w:pPr>
        <w:ind w:left="460" w:right="799" w:firstLine="432"/>
        <w:spacing w:after="0" w:line="277" w:lineRule="auto"/>
        <w:rPr>
          <w:sz w:val="20"/>
          <w:szCs w:val="20"/>
          <w:color w:val="auto"/>
        </w:rPr>
      </w:pPr>
      <w:r>
        <w:rPr>
          <w:rFonts w:ascii="Arial" w:cs="Arial" w:eastAsia="Arial" w:hAnsi="Arial"/>
          <w:sz w:val="18"/>
          <w:szCs w:val="18"/>
          <w:color w:val="auto"/>
        </w:rPr>
        <w:t>In addition to the other risks described herein, factors that may affect our operating results include the following:</w:t>
      </w:r>
    </w:p>
    <w:p>
      <w:pPr>
        <w:spacing w:after="0" w:line="103" w:lineRule="exact"/>
        <w:rPr>
          <w:sz w:val="20"/>
          <w:szCs w:val="20"/>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demand for our digital solutions and e-commerce offerings;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new clients and retain and increase adoption by our existing clients;</w:t>
      </w:r>
    </w:p>
    <w:p>
      <w:pPr>
        <w:spacing w:after="0" w:line="157" w:lineRule="exact"/>
        <w:rPr>
          <w:rFonts w:ascii="Arial" w:cs="Arial" w:eastAsia="Arial" w:hAnsi="Arial"/>
          <w:sz w:val="18"/>
          <w:szCs w:val="18"/>
          <w:color w:val="auto"/>
        </w:rPr>
      </w:pPr>
    </w:p>
    <w:p>
      <w:pPr>
        <w:ind w:left="1320" w:right="559" w:hanging="434"/>
        <w:spacing w:after="0" w:line="308" w:lineRule="auto"/>
        <w:tabs>
          <w:tab w:leader="none" w:pos="13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client preference for cloud-based services as a result of security breaches in the industry or privacy concerns, or other security or reliability concerns regarding our solutions;</w:t>
      </w:r>
    </w:p>
    <w:p>
      <w:pPr>
        <w:spacing w:after="0" w:line="78" w:lineRule="exact"/>
        <w:rPr>
          <w:rFonts w:ascii="Arial" w:cs="Arial" w:eastAsia="Arial" w:hAnsi="Arial"/>
          <w:sz w:val="17"/>
          <w:szCs w:val="17"/>
          <w:color w:val="auto"/>
        </w:rPr>
      </w:pPr>
    </w:p>
    <w:p>
      <w:pPr>
        <w:ind w:left="1320" w:right="105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client budgets and in the timing of their budget and billing cycles and purchasing decisions;</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implementation timeline of our solutions with new clients;</w:t>
      </w:r>
    </w:p>
    <w:p>
      <w:pPr>
        <w:spacing w:after="0" w:line="157" w:lineRule="exact"/>
        <w:rPr>
          <w:rFonts w:ascii="Arial" w:cs="Arial" w:eastAsia="Arial" w:hAnsi="Arial"/>
          <w:sz w:val="18"/>
          <w:szCs w:val="18"/>
          <w:color w:val="auto"/>
        </w:rPr>
      </w:pPr>
    </w:p>
    <w:p>
      <w:pPr>
        <w:ind w:left="1320" w:right="55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and existing clients choosing our competitors’ solutions or developing their own solutions in-house;</w:t>
      </w:r>
    </w:p>
    <w:p>
      <w:pPr>
        <w:spacing w:after="0" w:line="102" w:lineRule="exact"/>
        <w:rPr>
          <w:rFonts w:ascii="Arial" w:cs="Arial" w:eastAsia="Arial" w:hAnsi="Arial"/>
          <w:sz w:val="18"/>
          <w:szCs w:val="18"/>
          <w:color w:val="auto"/>
        </w:rPr>
      </w:pPr>
    </w:p>
    <w:p>
      <w:pPr>
        <w:ind w:left="1320" w:right="67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or introduction of new solutions that are easier to use or more advanced than our current solutions;</w:t>
      </w:r>
    </w:p>
    <w:p>
      <w:pPr>
        <w:spacing w:after="0" w:line="89" w:lineRule="exact"/>
        <w:rPr>
          <w:rFonts w:ascii="Arial" w:cs="Arial" w:eastAsia="Arial" w:hAnsi="Arial"/>
          <w:sz w:val="18"/>
          <w:szCs w:val="18"/>
          <w:color w:val="auto"/>
        </w:rPr>
      </w:pPr>
    </w:p>
    <w:p>
      <w:pPr>
        <w:ind w:left="1320" w:right="63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adoption or retention of more entrenched or rival services in the markets where we compete or plan to compete;</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57" w:lineRule="exact"/>
        <w:rPr>
          <w:rFonts w:ascii="Arial" w:cs="Arial" w:eastAsia="Arial" w:hAnsi="Arial"/>
          <w:sz w:val="18"/>
          <w:szCs w:val="18"/>
          <w:color w:val="auto"/>
        </w:rPr>
      </w:pPr>
    </w:p>
    <w:p>
      <w:pPr>
        <w:ind w:left="1320" w:right="69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w:t>
      </w:r>
    </w:p>
    <w:p>
      <w:pPr>
        <w:spacing w:after="0" w:line="89" w:lineRule="exact"/>
        <w:rPr>
          <w:rFonts w:ascii="Arial" w:cs="Arial" w:eastAsia="Arial" w:hAnsi="Arial"/>
          <w:sz w:val="18"/>
          <w:szCs w:val="18"/>
          <w:color w:val="auto"/>
        </w:rPr>
      </w:pPr>
    </w:p>
    <w:p>
      <w:pPr>
        <w:ind w:left="1320" w:right="105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share-based compensation, goodwill impairments and other non-cash charges;</w:t>
      </w:r>
    </w:p>
    <w:p>
      <w:pPr>
        <w:spacing w:after="0" w:line="102" w:lineRule="exact"/>
        <w:rPr>
          <w:rFonts w:ascii="Arial" w:cs="Arial" w:eastAsia="Arial" w:hAnsi="Arial"/>
          <w:sz w:val="18"/>
          <w:szCs w:val="18"/>
          <w:color w:val="auto"/>
        </w:rPr>
      </w:pPr>
    </w:p>
    <w:p>
      <w:pPr>
        <w:ind w:left="1320" w:right="59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acquisitions and their integration;</w:t>
      </w:r>
    </w:p>
    <w:p>
      <w:pPr>
        <w:spacing w:after="0" w:line="144" w:lineRule="exact"/>
        <w:rPr>
          <w:rFonts w:ascii="Arial" w:cs="Arial" w:eastAsia="Arial" w:hAnsi="Arial"/>
          <w:sz w:val="18"/>
          <w:szCs w:val="18"/>
          <w:color w:val="auto"/>
        </w:rPr>
      </w:pPr>
    </w:p>
    <w:p>
      <w:pPr>
        <w:ind w:left="1320" w:right="93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(including inflation), as well as economic conditions specifically affecting industries in which our clients operate;</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w:t>
      </w:r>
    </w:p>
    <w:p>
      <w:pPr>
        <w:spacing w:after="0" w:line="157" w:lineRule="exact"/>
        <w:rPr>
          <w:rFonts w:ascii="Arial" w:cs="Arial" w:eastAsia="Arial" w:hAnsi="Arial"/>
          <w:sz w:val="18"/>
          <w:szCs w:val="18"/>
          <w:color w:val="auto"/>
        </w:rPr>
      </w:pPr>
    </w:p>
    <w:p>
      <w:pPr>
        <w:ind w:left="1320" w:right="939" w:hanging="434"/>
        <w:spacing w:after="0" w:line="308" w:lineRule="auto"/>
        <w:tabs>
          <w:tab w:leader="none" w:pos="13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security breaches of, technical difficulties with, or interruptions to, the delivery and use of our solutions from our technology vendors, and/or our own developed technology; and</w:t>
      </w:r>
    </w:p>
    <w:p>
      <w:pPr>
        <w:spacing w:after="0" w:line="78" w:lineRule="exact"/>
        <w:rPr>
          <w:rFonts w:ascii="Arial" w:cs="Arial" w:eastAsia="Arial" w:hAnsi="Arial"/>
          <w:sz w:val="17"/>
          <w:szCs w:val="17"/>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awareness of our brand and our reputation in our target markets.</w:t>
      </w:r>
    </w:p>
    <w:p>
      <w:pPr>
        <w:spacing w:after="0" w:line="144"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Any of these and other factors, or the cumulative effect of some of these factors, may cause our operating results to vary significantly. In addition, we expect to incur significant additional expenses due to the increased costs of operating as a public company. If the assumptions used to plan our business are incorrect, our revenue may fail to meet our expectations and we may fail to meet profitability expectations. Further, if our operating results fall below the expectations of investors and securities analysts who follow our ADSs, the market price of our ADSs could decline substantially, and we could face costly lawsuits, including securities class action lawsuits.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 w:name="page22"/>
    <w:bookmarkEnd w:id="2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right="639"/>
        <w:spacing w:after="0" w:line="381" w:lineRule="auto"/>
        <w:rPr>
          <w:sz w:val="20"/>
          <w:szCs w:val="20"/>
          <w:color w:val="auto"/>
        </w:rPr>
      </w:pPr>
      <w:r>
        <w:rPr>
          <w:rFonts w:ascii="Arial" w:cs="Arial" w:eastAsia="Arial" w:hAnsi="Arial"/>
          <w:sz w:val="15"/>
          <w:szCs w:val="15"/>
          <w:b w:val="1"/>
          <w:bCs w:val="1"/>
          <w:i w:val="1"/>
          <w:iCs w:val="1"/>
          <w:color w:val="auto"/>
        </w:rPr>
        <w:t>We have in the past, and may in the future, incur indebtedness that could adversely affect our financial flexibility and expose us to risks that could materially adversely affect our liquidity and financial condition.</w:t>
      </w:r>
    </w:p>
    <w:p>
      <w:pPr>
        <w:spacing w:after="0" w:line="19"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As of June 30, 2023, we had approximately US$0.6 million of outstanding principal amount of the term loans under our existing credit facility at interest rates which are subject to market fluctuation. These term loans mature in 2026 and 2027. Our indebtedness and related obligations could have important future consequences to us, such as:</w:t>
      </w:r>
    </w:p>
    <w:p>
      <w:pPr>
        <w:spacing w:after="0" w:line="119" w:lineRule="exact"/>
        <w:rPr>
          <w:sz w:val="20"/>
          <w:szCs w:val="20"/>
          <w:color w:val="auto"/>
        </w:rPr>
      </w:pPr>
    </w:p>
    <w:p>
      <w:pPr>
        <w:ind w:left="1320" w:right="779" w:hanging="434"/>
        <w:spacing w:after="0" w:line="308" w:lineRule="auto"/>
        <w:tabs>
          <w:tab w:leader="none" w:pos="13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limiting our ability to borrow additional amounts to fund capital expenditures, acquisitions, debt service requirements, execution of our growth strategy and other purposes;</w:t>
      </w:r>
    </w:p>
    <w:p>
      <w:pPr>
        <w:spacing w:after="0" w:line="78" w:lineRule="exact"/>
        <w:rPr>
          <w:rFonts w:ascii="Arial" w:cs="Arial" w:eastAsia="Arial" w:hAnsi="Arial"/>
          <w:sz w:val="17"/>
          <w:szCs w:val="17"/>
          <w:color w:val="auto"/>
        </w:rPr>
      </w:pPr>
    </w:p>
    <w:p>
      <w:pPr>
        <w:ind w:left="1320" w:right="799" w:hanging="434"/>
        <w:spacing w:after="0" w:line="277" w:lineRule="auto"/>
        <w:tabs>
          <w:tab w:leader="none" w:pos="1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make investments, including acquisitions, loans and advances, and to sell, transfer or otherwise dispose of assets;</w:t>
      </w:r>
    </w:p>
    <w:p>
      <w:pPr>
        <w:spacing w:after="0" w:line="89" w:lineRule="exact"/>
        <w:rPr>
          <w:rFonts w:ascii="Arial" w:cs="Arial" w:eastAsia="Arial" w:hAnsi="Arial"/>
          <w:sz w:val="18"/>
          <w:szCs w:val="18"/>
          <w:color w:val="auto"/>
        </w:rPr>
      </w:pPr>
    </w:p>
    <w:p>
      <w:pPr>
        <w:ind w:left="1320" w:right="619" w:hanging="434"/>
        <w:spacing w:after="0" w:line="259" w:lineRule="auto"/>
        <w:tabs>
          <w:tab w:leader="none" w:pos="1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119" w:lineRule="exact"/>
        <w:rPr>
          <w:rFonts w:ascii="Arial" w:cs="Arial" w:eastAsia="Arial" w:hAnsi="Arial"/>
          <w:sz w:val="18"/>
          <w:szCs w:val="18"/>
          <w:color w:val="auto"/>
        </w:rPr>
      </w:pPr>
    </w:p>
    <w:p>
      <w:pPr>
        <w:ind w:left="1320" w:hanging="434"/>
        <w:spacing w:after="0"/>
        <w:tabs>
          <w:tab w:leader="none" w:pos="1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placing us at a competitive disadvantage compared with our competitors that have less debt; and</w:t>
      </w:r>
    </w:p>
    <w:p>
      <w:pPr>
        <w:spacing w:after="0" w:line="180" w:lineRule="exact"/>
        <w:rPr>
          <w:rFonts w:ascii="Arial" w:cs="Arial" w:eastAsia="Arial" w:hAnsi="Arial"/>
          <w:sz w:val="16"/>
          <w:szCs w:val="16"/>
          <w:color w:val="auto"/>
        </w:rPr>
      </w:pPr>
    </w:p>
    <w:p>
      <w:pPr>
        <w:ind w:left="1320" w:right="739" w:hanging="434"/>
        <w:spacing w:after="0" w:line="263" w:lineRule="auto"/>
        <w:tabs>
          <w:tab w:leader="none" w:pos="1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if our future borrowings are at variable rates of interest, which could result in higher interest expense in the event of increases in interest rates.</w:t>
      </w:r>
    </w:p>
    <w:p>
      <w:pPr>
        <w:spacing w:after="0" w:line="103"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In addition, we may not be able to generate sufficient cash flow from our operations to repay our future indebtedness when it becomes due and to meet our other cash needs. If we are not able to pay our borrowings under future indebtedness as they become due, we will be required to pursue one or more alternative strategies, such as selling assets, refinancing or restructuring our indebtedness or selling additional debt or equity securities. We may not be able to refinance our future debt or sell additional debt or equity securities or our assets on favorable terms, if at all, and if we must sell our assets, it may negatively affect our business, financial condition and results of operations. In addition, we may be subject to prepayment penalties depending on when we repay our future indebtedness, which amounts could be material.</w:t>
      </w:r>
    </w:p>
    <w:p>
      <w:pPr>
        <w:spacing w:after="0" w:line="165" w:lineRule="exact"/>
        <w:rPr>
          <w:sz w:val="20"/>
          <w:szCs w:val="20"/>
          <w:color w:val="auto"/>
        </w:rPr>
      </w:pPr>
    </w:p>
    <w:p>
      <w:pPr>
        <w:ind w:left="460" w:right="499"/>
        <w:spacing w:after="0" w:line="263"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are subject to risks associated with rising interest rates, which could negatively impact our ability to maintain the current financing and obtain additional financing.</w:t>
      </w:r>
    </w:p>
    <w:p>
      <w:pPr>
        <w:spacing w:after="0" w:line="116"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We are exposed to interest rate risk while we have bank loans. Although interest rates for our loans are about fixed for the terms of the loans, the interest rates are subject to change upon renewal. Additionally, we may need to raise additional financing to support our operations, which could include equity or debt financing, in the immediate and near term. Rising interest rates would negatively impact our ability to obtain such financing on commercially reasonable terms or at all. Recently, due to the fixed interest rates in our terms of loans, our borrowing costs have not increased. However, we cannot predict the ultimate impact on our business of any prolonged or continued interest rate increases. To the extent we are required to obtain financing at higher borrowing costs to support our operations, we may be unable to offset such costs through price increases, other cost control measures, or other means. Any attempts to offset cost increases with price increases may result in reduced sales, increased customer dissatisfaction, or otherwise harm our reputation.</w:t>
      </w:r>
    </w:p>
    <w:p>
      <w:pPr>
        <w:spacing w:after="0" w:line="168" w:lineRule="exact"/>
        <w:rPr>
          <w:sz w:val="20"/>
          <w:szCs w:val="20"/>
          <w:color w:val="auto"/>
        </w:rPr>
      </w:pPr>
    </w:p>
    <w:p>
      <w:pPr>
        <w:ind w:left="460" w:right="899"/>
        <w:spacing w:after="0" w:line="277" w:lineRule="auto"/>
        <w:rPr>
          <w:sz w:val="20"/>
          <w:szCs w:val="20"/>
          <w:color w:val="auto"/>
        </w:rPr>
      </w:pPr>
      <w:r>
        <w:rPr>
          <w:rFonts w:ascii="Arial" w:cs="Arial" w:eastAsia="Arial" w:hAnsi="Arial"/>
          <w:sz w:val="18"/>
          <w:szCs w:val="18"/>
          <w:b w:val="1"/>
          <w:bCs w:val="1"/>
          <w:i w:val="1"/>
          <w:iCs w:val="1"/>
          <w:color w:val="auto"/>
        </w:rPr>
        <w:t>We might not implement our growth strategies successfully which would limit our growth and cause the market price of our ADS to decline.</w:t>
      </w:r>
    </w:p>
    <w:p>
      <w:pPr>
        <w:spacing w:after="0" w:line="103" w:lineRule="exact"/>
        <w:rPr>
          <w:sz w:val="20"/>
          <w:szCs w:val="20"/>
          <w:color w:val="auto"/>
        </w:rPr>
      </w:pPr>
    </w:p>
    <w:p>
      <w:pPr>
        <w:ind w:left="460" w:right="1199" w:firstLine="432"/>
        <w:spacing w:after="0" w:line="277" w:lineRule="auto"/>
        <w:rPr>
          <w:sz w:val="20"/>
          <w:szCs w:val="20"/>
          <w:color w:val="auto"/>
        </w:rPr>
      </w:pPr>
      <w:r>
        <w:rPr>
          <w:rFonts w:ascii="Arial" w:cs="Arial" w:eastAsia="Arial" w:hAnsi="Arial"/>
          <w:sz w:val="18"/>
          <w:szCs w:val="18"/>
          <w:color w:val="auto"/>
        </w:rPr>
        <w:t>Our future profitability will depend, in part, on our ability to implement successfully our growth strategies. We expect to invest substantial amounts to:</w:t>
      </w:r>
    </w:p>
    <w:p>
      <w:pPr>
        <w:spacing w:after="0" w:line="89" w:lineRule="exact"/>
        <w:rPr>
          <w:sz w:val="20"/>
          <w:szCs w:val="20"/>
          <w:color w:val="auto"/>
        </w:rPr>
      </w:pPr>
    </w:p>
    <w:p>
      <w:pPr>
        <w:ind w:left="1320" w:hanging="43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our Tridentity offerings;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build new solutions and add features and functionality to existing solutions;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 our salesforce and marketing to win new clients;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relationships with our existing clients;</w:t>
      </w:r>
    </w:p>
    <w:p>
      <w:pPr>
        <w:sectPr>
          <w:pgSz w:w="11900" w:h="16838" w:orient="portrait"/>
          <w:cols w:equalWidth="0" w:num="1">
            <w:col w:w="9019"/>
          </w:cols>
          <w:pgMar w:left="1440" w:top="274"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 w:name="page23"/>
    <w:bookmarkEnd w:id="2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into new verticals and markets;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pursue strategic acquisitions or strategic investments;</w:t>
      </w:r>
    </w:p>
    <w:p>
      <w:pPr>
        <w:spacing w:after="0" w:line="157" w:lineRule="exact"/>
        <w:rPr>
          <w:rFonts w:ascii="Arial" w:cs="Arial" w:eastAsia="Arial" w:hAnsi="Arial"/>
          <w:sz w:val="18"/>
          <w:szCs w:val="18"/>
          <w:color w:val="auto"/>
        </w:rPr>
      </w:pPr>
    </w:p>
    <w:p>
      <w:pPr>
        <w:ind w:left="1320" w:right="939" w:hanging="434"/>
        <w:spacing w:after="0" w:line="277" w:lineRule="auto"/>
        <w:tabs>
          <w:tab w:leader="none" w:pos="1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improve our technology infrastructure, including systems architecture, scalability, availability, performance and network security; and</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comply with regulatory requirements and risk management.</w:t>
      </w:r>
    </w:p>
    <w:p>
      <w:pPr>
        <w:spacing w:after="0" w:line="158"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Our investment in these programs will affect adversely our short-term profitability. This would impact revenues adversely and cause our business to suffer.</w:t>
      </w:r>
    </w:p>
    <w:p>
      <w:pPr>
        <w:spacing w:after="0" w:line="170"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b w:val="1"/>
          <w:bCs w:val="1"/>
          <w:i w:val="1"/>
          <w:iCs w:val="1"/>
          <w:color w:val="auto"/>
        </w:rPr>
        <w:t>If we are unsuccessful in entering new market segments or further penetrating our existing market segments, our revenue or revenue growth could be materially adversely affected.</w:t>
      </w:r>
    </w:p>
    <w:p>
      <w:pPr>
        <w:spacing w:after="0" w:line="103"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Our future results depend, in part, on our ability to successfully penetrate new markets, as well as to expand further into our existing markets. In order to grow our business, we may expand to other project-focused markets in which we may have less experience. Expanding into new markets requires both considerable investment and coordination of technical, support, sales, marketing and financial resources.</w:t>
      </w:r>
    </w:p>
    <w:p>
      <w:pPr>
        <w:spacing w:after="0" w:line="90"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Our current or future solutions and services may not appeal to potential clients in new or existing markets. If we are unable to execute upon this element of our business strategy and expand into new markets or maintain and increase our market share in our existing markets, our revenue or revenue growth may be materially adversely affected.</w:t>
      </w:r>
    </w:p>
    <w:p>
      <w:pPr>
        <w:spacing w:after="0" w:line="119"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While we continually add functionality to our existing solutions and services and add additional solutions through acquisitions to address the specific needs of both existing clients and new clients, we may be unsuccessful in developing appropriate or complete solutions, pursuing effective services and solution development and marketing strategies, or integrating acquired services and solutions with our existing portfolio.</w:t>
      </w:r>
    </w:p>
    <w:p>
      <w:pPr>
        <w:spacing w:after="0" w:line="157" w:lineRule="exact"/>
        <w:rPr>
          <w:sz w:val="20"/>
          <w:szCs w:val="20"/>
          <w:color w:val="auto"/>
        </w:rPr>
      </w:pPr>
    </w:p>
    <w:p>
      <w:pPr>
        <w:jc w:val="both"/>
        <w:ind w:left="460" w:right="859"/>
        <w:spacing w:after="0" w:line="311" w:lineRule="auto"/>
        <w:rPr>
          <w:sz w:val="20"/>
          <w:szCs w:val="20"/>
          <w:color w:val="auto"/>
        </w:rPr>
      </w:pPr>
      <w:r>
        <w:rPr>
          <w:rFonts w:ascii="Arial" w:cs="Arial" w:eastAsia="Arial" w:hAnsi="Arial"/>
          <w:sz w:val="16"/>
          <w:szCs w:val="16"/>
          <w:b w:val="1"/>
          <w:bCs w:val="1"/>
          <w:i w:val="1"/>
          <w:iCs w:val="1"/>
          <w:color w:val="auto"/>
        </w:rPr>
        <w:t>We may in the future acquire or invest in companies, which may divert our management’s attention and result in additional dilution to our shareholders. We may be unable to integrate acquired businesses and technologies successfully or achieve the expected benefits of such acquisitions.</w:t>
      </w:r>
    </w:p>
    <w:p>
      <w:pPr>
        <w:spacing w:after="0" w:line="81"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Our success will depend, in part, on our ability to grow our business in response to changing technologies, client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80" w:lineRule="exact"/>
        <w:rPr>
          <w:sz w:val="20"/>
          <w:szCs w:val="20"/>
          <w:color w:val="auto"/>
        </w:rPr>
      </w:pPr>
    </w:p>
    <w:p>
      <w:pPr>
        <w:ind w:left="1320" w:right="579" w:hanging="434"/>
        <w:spacing w:after="0" w:line="296" w:lineRule="auto"/>
        <w:tabs>
          <w:tab w:leader="none" w:pos="13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acquisition may negatively affect our results of operations because it may require us to incur charges or assume substantial debt or other liabilities, may cause adverse tax consequences or unfavorable accounting treatment, may expose us to claims and disputes by shareholders and third parties, including intellectual property claims and disputes, or may not generate sufficient financial return to offset additional costs and expenses related to the acquisition;</w:t>
      </w:r>
    </w:p>
    <w:p>
      <w:pPr>
        <w:spacing w:after="0" w:line="93" w:lineRule="exact"/>
        <w:rPr>
          <w:rFonts w:ascii="Arial" w:cs="Arial" w:eastAsia="Arial" w:hAnsi="Arial"/>
          <w:sz w:val="16"/>
          <w:szCs w:val="16"/>
          <w:color w:val="auto"/>
        </w:rPr>
      </w:pPr>
    </w:p>
    <w:p>
      <w:pPr>
        <w:jc w:val="both"/>
        <w:ind w:left="1320" w:right="599" w:hanging="434"/>
        <w:spacing w:after="0" w:line="263" w:lineRule="auto"/>
        <w:tabs>
          <w:tab w:leader="none" w:pos="1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solutions, personnel or operations of any company that we acquire, particularly if key personnel of the acquired company decide not to work for us;</w:t>
      </w:r>
    </w:p>
    <w:p>
      <w:pPr>
        <w:spacing w:after="0" w:line="116" w:lineRule="exact"/>
        <w:rPr>
          <w:rFonts w:ascii="Arial" w:cs="Arial" w:eastAsia="Arial" w:hAnsi="Arial"/>
          <w:sz w:val="18"/>
          <w:szCs w:val="18"/>
          <w:color w:val="auto"/>
        </w:rPr>
      </w:pPr>
    </w:p>
    <w:p>
      <w:pPr>
        <w:ind w:left="1320" w:hanging="43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realize anticipated synergies;</w:t>
      </w:r>
    </w:p>
    <w:p>
      <w:pPr>
        <w:spacing w:after="0" w:line="144" w:lineRule="exact"/>
        <w:rPr>
          <w:rFonts w:ascii="Arial" w:cs="Arial" w:eastAsia="Arial" w:hAnsi="Arial"/>
          <w:sz w:val="18"/>
          <w:szCs w:val="18"/>
          <w:color w:val="auto"/>
        </w:rPr>
      </w:pPr>
    </w:p>
    <w:p>
      <w:pPr>
        <w:ind w:left="1320" w:right="979" w:hanging="434"/>
        <w:spacing w:after="0" w:line="277" w:lineRule="auto"/>
        <w:tabs>
          <w:tab w:leader="none" w:pos="1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102" w:lineRule="exact"/>
        <w:rPr>
          <w:rFonts w:ascii="Arial" w:cs="Arial" w:eastAsia="Arial" w:hAnsi="Arial"/>
          <w:sz w:val="18"/>
          <w:szCs w:val="18"/>
          <w:color w:val="auto"/>
        </w:rPr>
      </w:pPr>
    </w:p>
    <w:p>
      <w:pPr>
        <w:ind w:left="1320" w:right="539" w:hanging="434"/>
        <w:spacing w:after="0" w:line="277" w:lineRule="auto"/>
        <w:tabs>
          <w:tab w:leader="none" w:pos="1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encounter challenges integrating the employees of the acquired company into our company culture;</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encounter difficulties in, or may be unable to, successfully sell any acquired business;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use of cash to pay for acquisitions would limit other potential uses for our cash;</w:t>
      </w:r>
    </w:p>
    <w:p>
      <w:pPr>
        <w:spacing w:after="0" w:line="157" w:lineRule="exact"/>
        <w:rPr>
          <w:rFonts w:ascii="Arial" w:cs="Arial" w:eastAsia="Arial" w:hAnsi="Arial"/>
          <w:sz w:val="18"/>
          <w:szCs w:val="18"/>
          <w:color w:val="auto"/>
        </w:rPr>
      </w:pPr>
    </w:p>
    <w:p>
      <w:pPr>
        <w:ind w:left="1320" w:right="739" w:hanging="434"/>
        <w:spacing w:after="0" w:line="277" w:lineRule="auto"/>
        <w:tabs>
          <w:tab w:leader="none" w:pos="1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incur debt to fund any acquisitions, such debt may subject us to material restrictions on our ability to conduct our business financial maintenance covenants; and</w:t>
      </w:r>
    </w:p>
    <w:p>
      <w:pPr>
        <w:spacing w:after="0" w:line="102" w:lineRule="exact"/>
        <w:rPr>
          <w:rFonts w:ascii="Arial" w:cs="Arial" w:eastAsia="Arial" w:hAnsi="Arial"/>
          <w:sz w:val="18"/>
          <w:szCs w:val="18"/>
          <w:color w:val="auto"/>
        </w:rPr>
      </w:pPr>
    </w:p>
    <w:p>
      <w:pPr>
        <w:ind w:left="1320" w:right="579" w:hanging="434"/>
        <w:spacing w:after="0" w:line="277" w:lineRule="auto"/>
        <w:tabs>
          <w:tab w:leader="none" w:pos="1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issue a significant amount of equity securities in connection with future acquisitions, existing shareholders may be diluted and earnings per share may decrease.</w:t>
      </w:r>
    </w:p>
    <w:p>
      <w:pPr>
        <w:spacing w:after="0" w:line="89"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The occurrence of any of these risks could have an adverse effect on our business, results of operations and financial condition.</w:t>
      </w:r>
    </w:p>
    <w:p>
      <w:pPr>
        <w:spacing w:after="0" w:line="103"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In particular, we may fail to assimilate or integrate the businesses, technologies, services, personnel or operations of the acquired companies, retain key personnel necessary to favorably execute the combined companies’ business plan, or retain existing clients or sell acquired services to new clients. Additionally, the assumptions we use to evaluate acquisition opportunities may not prove to be accurate, and intended benefits may not be realized. Our due diligence investigations may fail to identify all of the problems, liabilities or other challenges associated with an acquired business which could result in increased risk of unanticipated or unknown issues or liabilities, including with respect to competition and other regulatory matters, and our mitigation strategies for such risks that are identified may not be effective. As a result, we may not achieve some or any of the benefits, including anticipated synergies or accretion to earnings, that we expect to achieve in connection with our acquisitions, or we may not accurately anticipate the fixed and other costs associated with such acquisitions, or the business may not achieve the performance we anticipated, which may materially adversely affect our business, prospects, financial condition, results of operations, cash flows, as well as the market price of our ADSs. Further, if we fail to achieve the expected synergies from our acquisitions and alliances, particularly if business performance declines or expected growth is not realized, we may experience impairment charges with respect to goodwill, intangible or other long-lived assets. Any future impairment of our goodwill or intangible or other long-lived assets could have an adverse effect on our financial condition and results of operations.</w:t>
      </w:r>
    </w:p>
    <w:p>
      <w:pPr>
        <w:spacing w:after="0" w:line="392" w:lineRule="exact"/>
        <w:rPr>
          <w:sz w:val="20"/>
          <w:szCs w:val="20"/>
          <w:color w:val="auto"/>
        </w:rPr>
      </w:pPr>
    </w:p>
    <w:p>
      <w:pPr>
        <w:ind w:left="460" w:right="519"/>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infrastructure may adversely affect our business, results of operations and financial condition.</w:t>
      </w:r>
    </w:p>
    <w:p>
      <w:pPr>
        <w:spacing w:after="0" w:line="103"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Our continued growth depends in part on the ability of our existing clients and new clients to access our solutions at any time and within an acceptable amount of time. We have in the past, and may in the future,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Our disaster recovery planning cannot account for all eventualities. In some instances, we may not be able to identify and/or remedy the cause or causes of these performance problems within an acceptable period of time. It may become increasingly difficult to maintain and improve our performance as our solutions and client implementations become more complex. If our solutions or services are unavailable or if our clients are unable to access features of our solutions and services within a reasonable amount of time or at all, or if other performance problems occur, our business, results of operations and financial conditions may be adversely affected.</w:t>
      </w:r>
    </w:p>
    <w:p>
      <w:pPr>
        <w:spacing w:after="0" w:line="179" w:lineRule="exact"/>
        <w:rPr>
          <w:sz w:val="20"/>
          <w:szCs w:val="20"/>
          <w:color w:val="auto"/>
        </w:rPr>
      </w:pPr>
    </w:p>
    <w:p>
      <w:pPr>
        <w:ind w:left="460" w:right="1219"/>
        <w:spacing w:after="0" w:line="308" w:lineRule="auto"/>
        <w:rPr>
          <w:sz w:val="20"/>
          <w:szCs w:val="20"/>
          <w:color w:val="auto"/>
        </w:rPr>
      </w:pPr>
      <w:r>
        <w:rPr>
          <w:rFonts w:ascii="Arial" w:cs="Arial" w:eastAsia="Arial" w:hAnsi="Arial"/>
          <w:sz w:val="17"/>
          <w:szCs w:val="17"/>
          <w:b w:val="1"/>
          <w:bCs w:val="1"/>
          <w:i w:val="1"/>
          <w:iCs w:val="1"/>
          <w:color w:val="auto"/>
        </w:rPr>
        <w:t>We depend on the reliable performance of Internet infrastructure, bandwidth providers, data center providers, cloud providers, mobile infrastructure, and other third parties.</w:t>
      </w:r>
    </w:p>
    <w:p>
      <w:pPr>
        <w:spacing w:after="0" w:line="65"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Our brand, reputation, and ability to attract customers to our platform depend on the reliable performance of Internet infrastructure, bandwidth providers, data center providers, cloud providers, mobile infrastructure, and other third parties. As our range of services and the number of platform users expand, our need for additional network capacity and computing power will also grow. Operating our underlying technology systems is expensive and complex, and we could experience operational failures from time to time. If we experience interruptions or failures in these systems, whether due to system failures, computer viruses, physical or electronic break-ins, attacks on domain name servers or other third parties on which we rely, or any other reason, the security and availability of our solutions and services could be affected. Any such event could cause us to incur additional costs, result in delays in our solutions and services, cause detrimental harm to our brand and reputation, and/or create a loss in confidence of our clients who use our solutions or services or the third party service providers whom we work with, resulting in a material adverse effect on our business, prospects, financial condition and results of operations.</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4" w:name="page25"/>
    <w:bookmarkEnd w:id="2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right="579"/>
        <w:spacing w:after="0" w:line="263" w:lineRule="auto"/>
        <w:rPr>
          <w:sz w:val="20"/>
          <w:szCs w:val="20"/>
          <w:color w:val="auto"/>
        </w:rPr>
      </w:pPr>
      <w:r>
        <w:rPr>
          <w:rFonts w:ascii="Arial" w:cs="Arial" w:eastAsia="Arial" w:hAnsi="Arial"/>
          <w:sz w:val="18"/>
          <w:szCs w:val="18"/>
          <w:b w:val="1"/>
          <w:bCs w:val="1"/>
          <w:i w:val="1"/>
          <w:iCs w:val="1"/>
          <w:color w:val="auto"/>
        </w:rPr>
        <w:t>Our business generates and processes a large amount of consumer data, and the improper use, collection or disclosure of such data could subject us to significant reputational, financial, legal and operational consequences.</w:t>
      </w:r>
    </w:p>
    <w:p>
      <w:pPr>
        <w:spacing w:after="0" w:line="103"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We regularly collect, store and use client information and personal data in the course of our business and marketing activities. The collection and use of personal data is governed by the various data privacy and protections laws and regulations in the jurisdictions we operate, and we are required to comply with applicable laws, rules and regulations relating to the collection, use, storage, transfer, disclosure and security of personal data. We face risks inherent in handling and protecting a large amount of data that our business generates and processes from the significant number of transactions our platform facilitates, such as protecting the data hosted on our system against attacks on our system or fraudulent behavior or improper use by our employees. Although we employ comprehensive security measures to prevent, detect, address, and mitigate these risks (including access controls, data encryption, vulnerability assessments, and maintenance of backup and protective systems), these threats may still materialize. If any of our security measures are compromised, information of our clients or other data belonging to our clients maybe misappropriated or publicly disseminated, which may result in enforcement action being taken against us by the relevant data protection regulatory bodies, such as fines, revocation of licenses, suspension of relevant operations or other legal or administrative penalties. Furthermore, any failure or perceived failure by us or our business partners to comply with all applicable data privacy and protection laws and regulations may result in negative publicity, which may, in turn, damage our reputation, cause clients to lose trust and confidence in us, and stop using our solutions or services altogether. We may also incur significant costs to remedy such security breaches, such as repairing any system damage and compensation to clients and business partners. If any of these risks were to materialize, it could have a material adverse effect on our business and results of operations.</w:t>
      </w:r>
    </w:p>
    <w:p>
      <w:pPr>
        <w:spacing w:after="0" w:line="101"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Additionally, privacy regulations continue to evolve and, occasionally, may be inconsistent from one jurisdiction to another. Compliance with applicable privacy regulations may increase our operating costs. If we fail to comply with any of the applicable laws and regulations, depending on the type and severity of any such violation, we may be subject to, amongst others, warnings from relevant authorities, imposition of fines and/or criminal liability, being ordered to close down our business operations and/or suspension of relevant licenses and permits. As a result, our reputation may be harmed and our business, prospects, financial condition and results of operations could be materially and adversely affected.</w:t>
      </w:r>
    </w:p>
    <w:p>
      <w:pPr>
        <w:spacing w:after="0" w:line="177" w:lineRule="exact"/>
        <w:rPr>
          <w:sz w:val="20"/>
          <w:szCs w:val="20"/>
          <w:color w:val="auto"/>
        </w:rPr>
      </w:pPr>
    </w:p>
    <w:p>
      <w:pPr>
        <w:ind w:left="460" w:right="679"/>
        <w:spacing w:after="0" w:line="277" w:lineRule="auto"/>
        <w:rPr>
          <w:sz w:val="20"/>
          <w:szCs w:val="20"/>
          <w:color w:val="auto"/>
        </w:rPr>
      </w:pPr>
      <w:r>
        <w:rPr>
          <w:rFonts w:ascii="Arial" w:cs="Arial" w:eastAsia="Arial" w:hAnsi="Arial"/>
          <w:sz w:val="18"/>
          <w:szCs w:val="18"/>
          <w:b w:val="1"/>
          <w:bCs w:val="1"/>
          <w:i w:val="1"/>
          <w:iCs w:val="1"/>
          <w:color w:val="auto"/>
        </w:rPr>
        <w:t>Failure to protect our intellectual property or proprietary rights could substantially harm our business and results of operations.</w:t>
      </w:r>
    </w:p>
    <w:p>
      <w:pPr>
        <w:spacing w:after="0" w:line="103"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Our success and ability to compete depends in part on our intellectual property. As of June 30, 2023, we have one registered trademark in Singapore. See “</w:t>
      </w:r>
      <w:r>
        <w:rPr>
          <w:rFonts w:ascii="Arial" w:cs="Arial" w:eastAsia="Arial" w:hAnsi="Arial"/>
          <w:sz w:val="17"/>
          <w:szCs w:val="17"/>
          <w:i w:val="1"/>
          <w:iCs w:val="1"/>
          <w:color w:val="auto"/>
        </w:rPr>
        <w:t>Business — Intellectual Property.</w:t>
      </w:r>
      <w:r>
        <w:rPr>
          <w:rFonts w:ascii="Arial" w:cs="Arial" w:eastAsia="Arial" w:hAnsi="Arial"/>
          <w:sz w:val="17"/>
          <w:szCs w:val="17"/>
          <w:color w:val="auto"/>
        </w:rPr>
        <w:t>” Any use of trademarks by third parties which are similar or identical to ours may also result in imitation of our platform, which may adversely affect our business, prospects, financial condition and results of operation.</w:t>
      </w:r>
    </w:p>
    <w:p>
      <w:pPr>
        <w:spacing w:after="0" w:line="90"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color w:val="auto"/>
        </w:rPr>
        <w:t>We seek to protect our proprietary technology and intellectual property primarily through a combination of intellectual property laws as well as confidentiality procedures and contractual restrictions. Our employees are subject to confidentiality obligations under the terms of their respective employment contracts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However, there can be no assurance that these measures are effective, or that infringement of our intellectual property rights by other parties does not exist now or will not occur in the future. In addition, our intellectual property rights may not be adequately protected because other parties may still misappropriate, copy or reverse engineer our technology despite our internal governance processes or the existence of laws or contracts prohibiting it, and policing unauthorized use of our intellectual property may be difficult, expensive and time consuming, and we may be unable to determine the extent of any unauthorized use.</w:t>
      </w:r>
    </w:p>
    <w:p>
      <w:pPr>
        <w:spacing w:after="0" w:line="99"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To protect our intellectual property rights and maintain our competitiveness, we may file lawsuits against parties who we believe are infringing upon our intellectual property rights. Such proceedings may be costly and may divert management attention and other resources away from our business. In certain situations, we may have to bring lawsuits in various jurisdictions, in which case we are subject to additional risks as to the result of the proceedings and the amount of damages that we can recover. Any of our intellectual property rights may also be challenged by others or invalidated through administrative processes or litigations. We can provide no assurance that we will prevail in such litigations, and, even if we do prevail, we may not obtain a meaningful relief. Any inability to adequately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679"/>
        <w:spacing w:after="0" w:line="263" w:lineRule="auto"/>
        <w:rPr>
          <w:sz w:val="20"/>
          <w:szCs w:val="20"/>
          <w:color w:val="auto"/>
        </w:rPr>
      </w:pPr>
      <w:r>
        <w:rPr>
          <w:rFonts w:ascii="Arial" w:cs="Arial" w:eastAsia="Arial" w:hAnsi="Arial"/>
          <w:sz w:val="18"/>
          <w:szCs w:val="18"/>
          <w:color w:val="auto"/>
        </w:rPr>
        <w:t>protect our proprietary rights may have a material negative impact on our ability to compete, to generate revenue and to grow our business. Under such circumstances, our business, prospects, financial condition and results of operations would be materially and adversely affected.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rely on certain technology and software licensed from third parties.</w:t>
      </w:r>
    </w:p>
    <w:p>
      <w:pPr>
        <w:spacing w:after="0" w:line="158" w:lineRule="exact"/>
        <w:rPr>
          <w:sz w:val="20"/>
          <w:szCs w:val="20"/>
          <w:color w:val="auto"/>
        </w:rPr>
      </w:pPr>
    </w:p>
    <w:p>
      <w:pPr>
        <w:jc w:val="both"/>
        <w:ind w:left="460" w:right="679" w:firstLine="432"/>
        <w:spacing w:after="0" w:line="287" w:lineRule="auto"/>
        <w:rPr>
          <w:sz w:val="20"/>
          <w:szCs w:val="20"/>
          <w:color w:val="auto"/>
        </w:rPr>
      </w:pPr>
      <w:r>
        <w:rPr>
          <w:rFonts w:ascii="Arial" w:cs="Arial" w:eastAsia="Arial" w:hAnsi="Arial"/>
          <w:sz w:val="16"/>
          <w:szCs w:val="16"/>
          <w:color w:val="auto"/>
        </w:rPr>
        <w:t>As part of our business, we employ certain technology and software licensed from third parties, such as Amazon Web Services and Tencent. We typically do not enter into long-term agreements for the licensing of such software and tools, and the license agreements are typically on subscription and short-term bases.</w:t>
      </w:r>
    </w:p>
    <w:p>
      <w:pPr>
        <w:spacing w:after="0" w:line="2" w:lineRule="exact"/>
        <w:rPr>
          <w:sz w:val="20"/>
          <w:szCs w:val="20"/>
          <w:color w:val="auto"/>
        </w:rPr>
      </w:pPr>
    </w:p>
    <w:p>
      <w:pPr>
        <w:ind w:left="460" w:right="699"/>
        <w:spacing w:after="0" w:line="270" w:lineRule="auto"/>
        <w:rPr>
          <w:sz w:val="20"/>
          <w:szCs w:val="20"/>
          <w:color w:val="auto"/>
        </w:rPr>
      </w:pPr>
      <w:r>
        <w:rPr>
          <w:rFonts w:ascii="Arial" w:cs="Arial" w:eastAsia="Arial" w:hAnsi="Arial"/>
          <w:sz w:val="17"/>
          <w:szCs w:val="17"/>
          <w:color w:val="auto"/>
        </w:rPr>
        <w:t>Accordingly, there is no assurance that such third parties will continue to extend such licenses to us after the expiry of the current license period, and if such licenses are renewed, whether such renewals will be on terms favorable to us. Although we believe that there are commercially reasonable alternatives to the third-party software we currently license, this may not always be the case, or it may be difficult or costly to replace. Any failure to maintain the existing licenses or to obtain new licenses on favorable terms or at all may cause a disruption to our platform and service offerings.</w:t>
      </w:r>
    </w:p>
    <w:p>
      <w:pPr>
        <w:spacing w:after="0" w:line="111"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In addition, we may be susceptible to undetected errors or defects in the third-party software or technology, which would in turn impair the usage of our technology, disrupt our platform operations and delay or impede our service offerings to clients. This may cause merchants and clients to lose confidence in our platform and also cause damage to our reputation, which would in turn adversely affect our business, prospects, financial condition and results of operations.</w:t>
      </w:r>
    </w:p>
    <w:p>
      <w:pPr>
        <w:spacing w:after="0" w:line="188" w:lineRule="exact"/>
        <w:rPr>
          <w:sz w:val="20"/>
          <w:szCs w:val="20"/>
          <w:color w:val="auto"/>
        </w:rPr>
      </w:pPr>
    </w:p>
    <w:p>
      <w:pPr>
        <w:ind w:left="460" w:right="479"/>
        <w:spacing w:after="0" w:line="381" w:lineRule="auto"/>
        <w:rPr>
          <w:sz w:val="20"/>
          <w:szCs w:val="20"/>
          <w:color w:val="auto"/>
        </w:rPr>
      </w:pPr>
      <w:r>
        <w:rPr>
          <w:rFonts w:ascii="Arial" w:cs="Arial" w:eastAsia="Arial" w:hAnsi="Arial"/>
          <w:sz w:val="15"/>
          <w:szCs w:val="15"/>
          <w:b w:val="1"/>
          <w:bCs w:val="1"/>
          <w:i w:val="1"/>
          <w:iCs w:val="1"/>
          <w:color w:val="auto"/>
        </w:rPr>
        <w:t>Some of our services and technologies may use “open source” software, which may restrict how we use or distribute our services or require that we release the source code of certain solutions subject to those licenses.</w:t>
      </w:r>
    </w:p>
    <w:p>
      <w:pPr>
        <w:spacing w:after="0" w:line="1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Some of our solutions and services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to or derivative works of open source software continue to be licensed under open source licenses. These open source licenses typically mandate that proprietary software, when combined in specific ways with open source software, become subject to the open source license. If we combine our proprietary solutions in such ways with certain open source software, we could be required to release the source code of our proprietary solutions.</w:t>
      </w:r>
    </w:p>
    <w:p>
      <w:pPr>
        <w:spacing w:after="0" w:line="113"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take steps to ensure that our proprietary solutions are not combined with, and do not incorporate, open source software in ways that would require our proprietary solutions to be subject to many of the restrictions in an open source license. However, the manner in which these licenses may be interpreted and enforced is subject to some uncertainty. Additionally, we rely on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solutions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174" w:lineRule="exact"/>
        <w:rPr>
          <w:sz w:val="20"/>
          <w:szCs w:val="20"/>
          <w:color w:val="auto"/>
        </w:rPr>
      </w:pPr>
    </w:p>
    <w:p>
      <w:pPr>
        <w:ind w:left="460" w:right="499"/>
        <w:spacing w:after="0" w:line="259" w:lineRule="auto"/>
        <w:rPr>
          <w:sz w:val="20"/>
          <w:szCs w:val="20"/>
          <w:color w:val="auto"/>
        </w:rPr>
      </w:pPr>
      <w:r>
        <w:rPr>
          <w:rFonts w:ascii="Arial" w:cs="Arial" w:eastAsia="Arial" w:hAnsi="Arial"/>
          <w:sz w:val="18"/>
          <w:szCs w:val="18"/>
          <w:b w:val="1"/>
          <w:bCs w:val="1"/>
          <w:i w:val="1"/>
          <w:iCs w:val="1"/>
          <w:color w:val="auto"/>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spacing w:after="0" w:line="119"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We are at risk for interruptions, outages and breaches of operational systems, including business, financial, accounting, product development, data processing or production processes, owned by us or our third-party vendors or suppliers; facility security systems, owned by us or our third-party vendors or suppliers; or customer data that we process or our third-party vendors or suppliers process on our behalf. Such cyber incidents could materially disrupt operational systems; result in loss of intellectual property, trade secrets or other proprietary or competitively sensitive information; compromise certain information of customers, employees, suppliers, or others; jeopardize the</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6" w:name="page27"/>
    <w:bookmarkEnd w:id="2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spacing w:after="0" w:line="284" w:lineRule="auto"/>
        <w:rPr>
          <w:sz w:val="20"/>
          <w:szCs w:val="20"/>
          <w:color w:val="auto"/>
        </w:rPr>
      </w:pPr>
      <w:r>
        <w:rPr>
          <w:rFonts w:ascii="Arial" w:cs="Arial" w:eastAsia="Arial" w:hAnsi="Arial"/>
          <w:sz w:val="16"/>
          <w:szCs w:val="16"/>
          <w:color w:val="auto"/>
        </w:rPr>
        <w:t>security of our facilities; or affect the performance of our solutions and services.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information technology measures designed to protect us against intellectual property theft, data breaches and other cyber incidents, such measures will require updates and improvements, and we cannot guarantee that such measures will be adequate to detect, prevent or mitigate cyber incidents. The implementation, maintenance, segregation and improvement of these systems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11"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A significant cyber incident could impact production capability, harm our reputation, cause us to breach our contracts with other parties or subject us to regulatory actions or litigation, any of which could materially affect our business, prospects, financial condition and operating results.</w:t>
      </w:r>
    </w:p>
    <w:p>
      <w:pPr>
        <w:spacing w:after="0" w:line="184" w:lineRule="exact"/>
        <w:rPr>
          <w:sz w:val="20"/>
          <w:szCs w:val="20"/>
          <w:color w:val="auto"/>
        </w:rPr>
      </w:pPr>
    </w:p>
    <w:p>
      <w:pPr>
        <w:ind w:left="460" w:right="779"/>
        <w:spacing w:after="0" w:line="263" w:lineRule="auto"/>
        <w:rPr>
          <w:sz w:val="20"/>
          <w:szCs w:val="20"/>
          <w:color w:val="auto"/>
        </w:rPr>
      </w:pPr>
      <w:r>
        <w:rPr>
          <w:rFonts w:ascii="Arial" w:cs="Arial" w:eastAsia="Arial" w:hAnsi="Arial"/>
          <w:sz w:val="18"/>
          <w:szCs w:val="18"/>
          <w:b w:val="1"/>
          <w:bCs w:val="1"/>
          <w:i w:val="1"/>
          <w:iCs w:val="1"/>
          <w:color w:val="auto"/>
        </w:rPr>
        <w:t>We rely on the performance of senior management team and highly skilled personnel; if we are unable to retain or motivate key personnel or hire, retain and motivate qualified personnel, our business would be harmed.</w:t>
      </w:r>
    </w:p>
    <w:p>
      <w:pPr>
        <w:spacing w:after="0" w:line="116" w:lineRule="exact"/>
        <w:rPr>
          <w:sz w:val="20"/>
          <w:szCs w:val="20"/>
          <w:color w:val="auto"/>
        </w:rPr>
      </w:pPr>
    </w:p>
    <w:p>
      <w:pPr>
        <w:ind w:left="460" w:right="559" w:firstLine="432"/>
        <w:spacing w:after="0" w:line="287" w:lineRule="auto"/>
        <w:rPr>
          <w:sz w:val="20"/>
          <w:szCs w:val="20"/>
          <w:color w:val="auto"/>
        </w:rPr>
      </w:pPr>
      <w:r>
        <w:rPr>
          <w:rFonts w:ascii="Arial" w:cs="Arial" w:eastAsia="Arial" w:hAnsi="Arial"/>
          <w:sz w:val="16"/>
          <w:szCs w:val="16"/>
          <w:color w:val="auto"/>
        </w:rPr>
        <w:t>We believe our success has depended, and continues to depend, on the efforts and talents of our senior management team, particularly our chief executive officer, Mr. Soon Huat Lim, and our chief technology officer, Mr. Poh Kiong Tan, highly skilled team members, including our software engineers, professional consultants and sales personnel. We do not maintain key man insurance on any of our executive officers or key employees. From time to time, there may be changes in our senior management team resulting from the termination or departure of our executive officers and key employees. Many members of our senior management team could terminate their employment with us by providing a notice period of three months or making a compensation equivalent of their salaries during the required notice period in lieu of notice. The loss of any of our senior management could adversely affect our ability to build on the efforts they have undertaken and to execute our business plan, and we may not be able to find adequate replacements. We cannot ensure that we will be able to retain the services of any members of our senior management.</w:t>
      </w:r>
    </w:p>
    <w:p>
      <w:pPr>
        <w:spacing w:after="0" w:line="91"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compete with a number of technology companies to attract and retain software developers with specialized experience in designing, developing, and managing our solutions and services, including our cloud-based software, as well as for skilled developers, engineers and information technology and operations professionals who can successfully implement and deliver our solutions and services. Additionally, we believe that our future growth will depend on the development of our go-to-market strategy and the continued recruiting, retention, and training of our sales teams, including their ability to obtain new clients and to manage our existing client base. 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clients, including our ability to transition employees to new assignments on a timely basis. Many of the companies with which we compete for experienced personnel have greater resources than we have. We may incur significant costs to attract, train and retain such personnel, and we may lose new employees to our competitors or other technology companies before we realize the benefit of our investment after recruiting and training them. Also, to the extent that we hire personnel from</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79"/>
        <w:spacing w:after="0" w:line="311" w:lineRule="auto"/>
        <w:rPr>
          <w:sz w:val="20"/>
          <w:szCs w:val="20"/>
          <w:color w:val="auto"/>
        </w:rPr>
      </w:pPr>
      <w:r>
        <w:rPr>
          <w:rFonts w:ascii="Arial" w:cs="Arial" w:eastAsia="Arial" w:hAnsi="Arial"/>
          <w:sz w:val="16"/>
          <w:szCs w:val="16"/>
          <w:color w:val="auto"/>
        </w:rPr>
        <w:t>competitors, we may be subject to allegations that such personnel have been improperly solicited or have divulged proprietary or other confidential information. If we are unable to attract, integrate and retain qualified personnel, or if there are delays in hiring required personnel, our business would be adversely affected.</w:t>
      </w:r>
    </w:p>
    <w:p>
      <w:pPr>
        <w:spacing w:after="0" w:line="149" w:lineRule="exact"/>
        <w:rPr>
          <w:sz w:val="20"/>
          <w:szCs w:val="20"/>
          <w:color w:val="auto"/>
        </w:rPr>
      </w:pPr>
    </w:p>
    <w:p>
      <w:pPr>
        <w:ind w:left="460" w:right="499"/>
        <w:spacing w:after="0" w:line="263"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16"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The estimates of market opportunity and forecasts of market growth included in this prospectus may prove to be inaccurate. Market opportunity estimates and growth forecasts included in this prospectus, including those we have generated ourselves, are subject to significant uncertainty and are based on assumptions and estimates that may not prove to be accurate, including the risks described herein. While these numbers are based on what we believe to be reasonable calculations for the applicable periods of measurement, there are inherent challenges in measuring such information. Even if the market in which we compete achieves the forecasted growth, our business could fail to grow at similar rates, if at all. The variables that go into the calculation of our market opportunity are subject to change over time, and there is no guarantee that any particular number or percentage of addressable users or companies covered by our market opportunity estimates will purchase our solutions and services at all or generate any particular level of revenue for us. Any expansion in our market depends on a number of factors, including the cost, performance, and perceived value associated with our solutions and services and those of our competitors. Even if the market in which we compete meets the size estimates and growth forecasted in this prospectus, our business could fail to grow at similar rates, if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76" w:lineRule="exact"/>
        <w:rPr>
          <w:sz w:val="20"/>
          <w:szCs w:val="20"/>
          <w:color w:val="auto"/>
        </w:rPr>
      </w:pPr>
    </w:p>
    <w:p>
      <w:pPr>
        <w:ind w:left="460" w:right="639"/>
        <w:spacing w:after="0" w:line="263" w:lineRule="auto"/>
        <w:rPr>
          <w:sz w:val="20"/>
          <w:szCs w:val="20"/>
          <w:color w:val="auto"/>
        </w:rPr>
      </w:pPr>
      <w:r>
        <w:rPr>
          <w:rFonts w:ascii="Arial" w:cs="Arial" w:eastAsia="Arial" w:hAnsi="Arial"/>
          <w:sz w:val="18"/>
          <w:szCs w:val="18"/>
          <w:b w:val="1"/>
          <w:bCs w:val="1"/>
          <w:i w:val="1"/>
          <w:iCs w:val="1"/>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116"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may be subject to legal proceedings from time to time in the ordinary course of our business, which could have a material adverse effect on our business, results of operations, and financial condition. Claims arising out of actual or alleged violations of law could be asserted against us by our clients, our competitors, governmental entities in civil or criminal investigations and proceedings, or other entities. These claims could be asserted under a variety of laws, including but not limited to product liability laws, intellectual property laws, labor and employment laws, securities laws, tort laws, contract laws, property laws, and employee benefit laws.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civil, and administrative fines and penalties.</w:t>
      </w:r>
    </w:p>
    <w:p>
      <w:pPr>
        <w:spacing w:after="0" w:line="98"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The market price of our ADSs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have limited insurance coverage, which could expose us to significant costs and business disruption.</w:t>
      </w:r>
    </w:p>
    <w:p>
      <w:pPr>
        <w:spacing w:after="0" w:line="181"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We have limited liability insurance coverage for our solutions, services and business operations. A successful liability claim against us, regardless of whether due to injuries suffered by our clients could materially and adversely affect our financial condition, results of operations, and reputation. In addition, we do not have any business disruption insurance. Any business disruption event could result in substantial cost to us and diversion of our resources.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the Jurisdictions Where We Operate</w:t>
      </w:r>
    </w:p>
    <w:p>
      <w:pPr>
        <w:spacing w:after="0" w:line="229" w:lineRule="exact"/>
        <w:rPr>
          <w:sz w:val="20"/>
          <w:szCs w:val="20"/>
          <w:color w:val="auto"/>
        </w:rPr>
      </w:pPr>
    </w:p>
    <w:p>
      <w:pPr>
        <w:ind w:left="460" w:right="659"/>
        <w:spacing w:after="0" w:line="263" w:lineRule="auto"/>
        <w:rPr>
          <w:sz w:val="20"/>
          <w:szCs w:val="20"/>
          <w:color w:val="auto"/>
        </w:rPr>
      </w:pPr>
      <w:r>
        <w:rPr>
          <w:rFonts w:ascii="Arial" w:cs="Arial" w:eastAsia="Arial" w:hAnsi="Arial"/>
          <w:sz w:val="18"/>
          <w:szCs w:val="18"/>
          <w:b w:val="1"/>
          <w:bCs w:val="1"/>
          <w:i w:val="1"/>
          <w:iCs w:val="1"/>
          <w:color w:val="auto"/>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spacing w:after="0" w:line="103"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Our business, prospects, financial condition and results of operations are dependent on and may be adversely affected by political, economic, social and legal developments that are beyond our control in each of the jurisdictions that we operate in or in which we intend to expand our business and operations. Such political and economic uncertainties may include risks of war, terrorism, nationalism, expropriation or nullification of contracts, changes in interest rates, economic growth, national fiscal and monetary policies, inflation, deflation, methods of taxation and tax policy. Negative developments in the socio-political climate of these regions may also adversely affect our business, prospects, financial condition and results of operations. These developments may include, but are not limited to, changes in political leadership, nationalization, price and capital controls, sudden restrictive changes to government policies, introduction of new taxes on goods and services and introduction of new laws, as well as demonstrations, riots, coups and war. These may result in the nullification of contracts and/or prohibit us from continuing our business operations.</w:t>
      </w:r>
    </w:p>
    <w:p>
      <w:pPr>
        <w:spacing w:after="0" w:line="104"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The jurisdictions that we operate in or in which we intend to expand our business and operations may be in a state of rapid political, economic and social changes, and may also be subject to unforeseeable circumstances such as natural disasters and other uncontrollable events, which will entail risks to our business and operations if we are to expand in the region in the future. There can also be no assurance that we will be able to adapt to the local conditions, regulations and business practices and customs of the regions in which we operate in the future. Any changes implemented by the government of these regions resulting in, amongst others, currency and interest rate fluctuations, capital restrictions and changes in duties and taxes detrimental to our business could materially and adversely affect our business, prospects, financial condition and results of operations.</w:t>
      </w:r>
    </w:p>
    <w:p>
      <w:pPr>
        <w:spacing w:after="0" w:line="181" w:lineRule="exact"/>
        <w:rPr>
          <w:sz w:val="20"/>
          <w:szCs w:val="20"/>
          <w:color w:val="auto"/>
        </w:rPr>
      </w:pPr>
    </w:p>
    <w:p>
      <w:pPr>
        <w:ind w:left="460" w:right="1119"/>
        <w:spacing w:after="0" w:line="277" w:lineRule="auto"/>
        <w:rPr>
          <w:sz w:val="20"/>
          <w:szCs w:val="20"/>
          <w:color w:val="auto"/>
        </w:rPr>
      </w:pPr>
      <w:r>
        <w:rPr>
          <w:rFonts w:ascii="Arial" w:cs="Arial" w:eastAsia="Arial" w:hAnsi="Arial"/>
          <w:sz w:val="18"/>
          <w:szCs w:val="18"/>
          <w:b w:val="1"/>
          <w:bCs w:val="1"/>
          <w:i w:val="1"/>
          <w:iCs w:val="1"/>
          <w:color w:val="auto"/>
        </w:rPr>
        <w:t>We are exposed to risks in respect of acts of war, terrorist attacks, epidemics, political unrest, natural disasters, adverse weather and other uncontrollable events.</w:t>
      </w:r>
    </w:p>
    <w:p>
      <w:pPr>
        <w:spacing w:after="0" w:line="103"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Our business activities are principally carried out in Singapore, and we intend to expand our operations across new markets in Southeast Asia. Our geographic presence in Southeast Asia may make us vulnerable in the event of increased tension or hostilities in certain countries, including the countries in which our clients operate. In addition, unforeseeable circumstances and other factors such as power outages, labor disputes, severe weather conditions, epidemics and natural or other catastrophes may disrupt our operations, and terrorist attacks or other acts of violence may further materially and adversely affect the global financial markets and business and consumer confidence. Any such events may cause damage or disruption to our business, markets, clients and suppliers, any of which could materially and adversely affect our business, prospects, financial condition and results of operations.</w:t>
      </w:r>
    </w:p>
    <w:p>
      <w:pPr>
        <w:spacing w:after="0" w:line="181" w:lineRule="exact"/>
        <w:rPr>
          <w:sz w:val="20"/>
          <w:szCs w:val="20"/>
          <w:color w:val="auto"/>
        </w:rPr>
      </w:pPr>
    </w:p>
    <w:p>
      <w:pPr>
        <w:ind w:left="460" w:right="719"/>
        <w:spacing w:after="0" w:line="263" w:lineRule="auto"/>
        <w:rPr>
          <w:sz w:val="20"/>
          <w:szCs w:val="20"/>
          <w:color w:val="auto"/>
        </w:rPr>
      </w:pPr>
      <w:r>
        <w:rPr>
          <w:rFonts w:ascii="Arial" w:cs="Arial" w:eastAsia="Arial" w:hAnsi="Arial"/>
          <w:sz w:val="18"/>
          <w:szCs w:val="18"/>
          <w:b w:val="1"/>
          <w:bCs w:val="1"/>
          <w:i w:val="1"/>
          <w:iCs w:val="1"/>
          <w:color w:val="auto"/>
        </w:rPr>
        <w:t>We are subject to evolving laws, regulations, standards and policies, and any actual or perceived failure to comply could harm our reputation and brand, subject us to significant fines and liability, or otherwise adversely affect our business.</w:t>
      </w:r>
    </w:p>
    <w:p>
      <w:pPr>
        <w:spacing w:after="0" w:line="103"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The laws, regulations, standards and policies in the jurisdictions in which we operate or may in the future operate are continuously evolving. The costs of compliance, including remediation of any discovered issues and any changes to our operations regulated by new or amended laws, may be significant, and any failures to comply could result in additional expenses, delays or fines. As we expand our business into the new markets, we are in the process of reviewing the applicable laws and regulations in each jurisdiction, including required approvals, licenses and permits. Such laws, regulations, standards and policies continue to rapidly change, which increases the likelihood of a patchwork of complex or conflicting regulations, or which could increase our compliance costs or otherwise affect our business.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ADSs and This Offering</w:t>
      </w:r>
    </w:p>
    <w:p>
      <w:pPr>
        <w:spacing w:after="0" w:line="229" w:lineRule="exact"/>
        <w:rPr>
          <w:sz w:val="20"/>
          <w:szCs w:val="20"/>
          <w:color w:val="auto"/>
        </w:rPr>
      </w:pPr>
    </w:p>
    <w:p>
      <w:pPr>
        <w:ind w:left="460" w:right="559"/>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ordinary shares or our ADSs may not develop and the trading price for our ADSs may fluctuate significantly.</w:t>
      </w:r>
    </w:p>
    <w:p>
      <w:pPr>
        <w:spacing w:after="0" w:line="89" w:lineRule="exact"/>
        <w:rPr>
          <w:sz w:val="20"/>
          <w:szCs w:val="20"/>
          <w:color w:val="auto"/>
        </w:rPr>
      </w:pPr>
    </w:p>
    <w:p>
      <w:pPr>
        <w:ind w:left="460" w:right="659" w:firstLine="432"/>
        <w:spacing w:after="0" w:line="254" w:lineRule="auto"/>
        <w:rPr>
          <w:sz w:val="20"/>
          <w:szCs w:val="20"/>
          <w:color w:val="auto"/>
        </w:rPr>
      </w:pPr>
      <w:r>
        <w:rPr>
          <w:rFonts w:ascii="Arial" w:cs="Arial" w:eastAsia="Arial" w:hAnsi="Arial"/>
          <w:sz w:val="18"/>
          <w:szCs w:val="18"/>
          <w:color w:val="auto"/>
        </w:rPr>
        <w:t>We intend to list our ADSs on the Nasdaq Capital Market.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is determined by negotiation between us and the underwriters based upon several factors, and the trading price of our ADSs after this offering could decline below the initial public offering price. As a result, investors in our securities may experience a significant decrease in the value of their ADSs.</w:t>
      </w:r>
    </w:p>
    <w:p>
      <w:pPr>
        <w:spacing w:after="0" w:line="192" w:lineRule="exact"/>
        <w:rPr>
          <w:sz w:val="20"/>
          <w:szCs w:val="20"/>
          <w:color w:val="auto"/>
        </w:rPr>
      </w:pPr>
    </w:p>
    <w:p>
      <w:pPr>
        <w:ind w:left="460" w:right="739"/>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within the meaning of the Securities Act and may take advantage of certain reduced reporting requirements.</w:t>
      </w:r>
    </w:p>
    <w:p>
      <w:pPr>
        <w:spacing w:after="0" w:line="103"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spacing w:after="0" w:line="110"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The JOBS Act also provides that an emerging growth company does not need to comply with any new or revised financial accounting standards until such date that a private company is otherwise required to comply with such new or revised accounting standards. This election allows us to delay the adoption of new or revised accounting standards that have different effective dates for public and private companies until those standards apply to private companies, and as a result of this election our financial statements may not be comparable to those of companies that comply with public company effective dates, including other emerging growth companies that have not made this election.</w:t>
      </w:r>
    </w:p>
    <w:p>
      <w:pPr>
        <w:spacing w:after="0" w:line="177" w:lineRule="exact"/>
        <w:rPr>
          <w:sz w:val="20"/>
          <w:szCs w:val="20"/>
          <w:color w:val="auto"/>
        </w:rPr>
      </w:pPr>
    </w:p>
    <w:p>
      <w:pPr>
        <w:ind w:left="460" w:right="699"/>
        <w:spacing w:after="0" w:line="263" w:lineRule="auto"/>
        <w:rPr>
          <w:sz w:val="20"/>
          <w:szCs w:val="20"/>
          <w:color w:val="auto"/>
        </w:rPr>
      </w:pPr>
      <w:r>
        <w:rPr>
          <w:rFonts w:ascii="Arial" w:cs="Arial" w:eastAsia="Arial" w:hAnsi="Arial"/>
          <w:sz w:val="18"/>
          <w:szCs w:val="18"/>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spacing w:after="0" w:line="103"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color w:val="auto"/>
        </w:rPr>
        <w:t>We expect to have a dual-class share structure after the completion of this offering such that our ordinary shares will consist of Class A ordinary shares and Class B ordinary shares. In respect of matters requiring the votes of shareholders, holders of Class B ordinary shares will be entitled to one vote per share, while holders of Class A ordinary shares will be entitled to 60 votes per share based on our proposed dual-class share structure. We will sell Class B ordinary shares represented by our ADSs in this offering. Each Class A ordinary share is convertible into one Class B ordinary share at any time by the holder thereof, while Class B ordinary shares are not convertible into Class A ordinary shares under any circumstances.</w:t>
      </w:r>
    </w:p>
    <w:p>
      <w:pPr>
        <w:spacing w:after="0" w:line="99"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Upon the completion of this offering, our founder, chairman of board of directors and chief executive officer, Mr. Soon Huat Lim, will together beneficially own all of our issued Class A ordinary shares. These Class A ordinary shares will constitute approximately 9.6% of our total issued and outstanding share capital immediately after the completion of this offering and 86.4% of the aggregate voting power of our total issued and outstanding share capital due to the disparate voting powers associated with our dual-class share structure, assuming the underwriters do not exercise their over-allotment option. As a result of the dual-class share structure and the concentration of ownership, holders of our Class A ordinary shares will have considerable influence over matters such as decisions regarding mergers, consolidations and the sale of all or substantially all of our assets, election of directors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market price of our ADSs. This concentrated control will limit your ability to influence corporate matters and could discourage others from pursuing any potential merger, takeover or other change of control transactions that holders of Class B ordinary shares and ADSs may view as beneficial.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right="519"/>
        <w:spacing w:after="0" w:line="263" w:lineRule="auto"/>
        <w:rPr>
          <w:sz w:val="20"/>
          <w:szCs w:val="20"/>
          <w:color w:val="auto"/>
        </w:rPr>
      </w:pPr>
      <w:r>
        <w:rPr>
          <w:rFonts w:ascii="Arial" w:cs="Arial" w:eastAsia="Arial" w:hAnsi="Arial"/>
          <w:sz w:val="18"/>
          <w:szCs w:val="18"/>
          <w:b w:val="1"/>
          <w:bCs w:val="1"/>
          <w:i w:val="1"/>
          <w:iCs w:val="1"/>
          <w:color w:val="auto"/>
        </w:rPr>
        <w:t>Our dual-class voting structure may render the ADSs representing our Class B ordinary shares ineligible for inclusion in certain stock market indices, and thus adversely affect the trading price and liquidity of the ADSs.</w:t>
      </w:r>
    </w:p>
    <w:p>
      <w:pPr>
        <w:spacing w:after="0" w:line="103"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We cannot predict whether our dual-class share structure with different voting rights will result in a lower or more volatile market price of the ADSs, adverse publicity, or other adverse consequences. 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may prevent the inclusion of the ADSs representing our Class B ordinary shares in such indices, which could adversely affect the trading price and liquidity of the ADSs representing our Class B ordinary shares. In addition, several shareholder advisory firms have announced their opposition to the use of multiple class structure and our dual-class structure may cause shareholder advisory firms to publish negative commentary about our corporate governance, in which case the market price and liquidity of the ADSs could be adversely affected.</w:t>
      </w:r>
    </w:p>
    <w:p>
      <w:pPr>
        <w:spacing w:after="0" w:line="168" w:lineRule="exact"/>
        <w:rPr>
          <w:sz w:val="20"/>
          <w:szCs w:val="20"/>
          <w:color w:val="auto"/>
        </w:rPr>
      </w:pPr>
    </w:p>
    <w:p>
      <w:pPr>
        <w:jc w:val="both"/>
        <w:ind w:left="460" w:right="499"/>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cease to publish research or reports about our business, or if they adversely change their recommendations regarding the ADSs, the market price for the ADSs and trading volume could decline.</w:t>
      </w:r>
    </w:p>
    <w:p>
      <w:pPr>
        <w:spacing w:after="0" w:line="116" w:lineRule="exact"/>
        <w:rPr>
          <w:sz w:val="20"/>
          <w:szCs w:val="20"/>
          <w:color w:val="auto"/>
        </w:rPr>
      </w:pPr>
    </w:p>
    <w:p>
      <w:pPr>
        <w:ind w:left="460" w:right="719" w:firstLine="432"/>
        <w:spacing w:after="0" w:line="257" w:lineRule="auto"/>
        <w:rPr>
          <w:sz w:val="20"/>
          <w:szCs w:val="20"/>
          <w:color w:val="auto"/>
        </w:rPr>
      </w:pPr>
      <w:r>
        <w:rPr>
          <w:rFonts w:ascii="Arial" w:cs="Arial" w:eastAsia="Arial" w:hAnsi="Arial"/>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88" w:lineRule="exact"/>
        <w:rPr>
          <w:sz w:val="20"/>
          <w:szCs w:val="20"/>
          <w:color w:val="auto"/>
        </w:rPr>
      </w:pPr>
    </w:p>
    <w:p>
      <w:pPr>
        <w:ind w:left="460" w:right="539"/>
        <w:spacing w:after="0" w:line="277" w:lineRule="auto"/>
        <w:rPr>
          <w:sz w:val="20"/>
          <w:szCs w:val="20"/>
          <w:color w:val="auto"/>
        </w:rPr>
      </w:pPr>
      <w:r>
        <w:rPr>
          <w:rFonts w:ascii="Arial" w:cs="Arial" w:eastAsia="Arial" w:hAnsi="Arial"/>
          <w:sz w:val="18"/>
          <w:szCs w:val="18"/>
          <w:b w:val="1"/>
          <w:bCs w:val="1"/>
          <w:i w:val="1"/>
          <w:iCs w:val="1"/>
          <w:color w:val="auto"/>
        </w:rPr>
        <w:t>We currently do not expect to pay dividends in the foreseeable future after this offering and you must rely on price appreciation of our ADSs for return on your investment.</w:t>
      </w:r>
    </w:p>
    <w:p>
      <w:pPr>
        <w:spacing w:after="0" w:line="103"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106"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Our board of directors has complete discretion as to whether to declare dividends, subject to certain requirements of Cayman Islands law. In addition, our shareholders may by ordinary resolution declare a dividend, but no dividend may exceed the amount recommended by our directors. Our post-offering amended and restated articles of association provide that dividends may be declared and paid out of the profits of our company, realized or unrealized, or from any reserve set aside from profits which the directors determine is no longer needed. Dividends may also be declared and paid out of share premium account or any other fund or account which can be authorized for this purpose in accordance with the Companies Act. Under the Companies Act, no distribution or dividend may be paid out of the share premium account unless, immediately following the date on which the distribution or dividend is proposed to be paid, the company shall be able to pay its debts as they fall due in the ordinary course of business. Even if our board of directors decides to declare and pay dividends, the timing, amount and form of future dividends, if any, will depend on our future results of operations and cash flows,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174" w:lineRule="exact"/>
        <w:rPr>
          <w:sz w:val="20"/>
          <w:szCs w:val="20"/>
          <w:color w:val="auto"/>
        </w:rPr>
      </w:pPr>
    </w:p>
    <w:p>
      <w:pPr>
        <w:ind w:left="460" w:right="659"/>
        <w:spacing w:after="0" w:line="277" w:lineRule="auto"/>
        <w:rPr>
          <w:sz w:val="20"/>
          <w:szCs w:val="20"/>
          <w:color w:val="auto"/>
        </w:rPr>
      </w:pPr>
      <w:r>
        <w:rPr>
          <w:rFonts w:ascii="Arial" w:cs="Arial" w:eastAsia="Arial" w:hAnsi="Arial"/>
          <w:sz w:val="18"/>
          <w:szCs w:val="18"/>
          <w:b w:val="1"/>
          <w:bCs w:val="1"/>
          <w:i w:val="1"/>
          <w:iCs w:val="1"/>
          <w:color w:val="auto"/>
        </w:rPr>
        <w:t>Because our initial public offering price is substantially higher than our net tangible book value per share, you will experience immediate and substantial dilution.</w:t>
      </w:r>
    </w:p>
    <w:p>
      <w:pPr>
        <w:spacing w:after="0" w:line="103"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If you purchase ADSs in this offering, you will pay more for your ADSs than the amount paid by our existing shareholders for their ordinary shares on a per ADS basis. As a result, you will experience immediate and substantial dilution, representing the difference between the initial public offering price per ADS, and our net tangible book value per ADS, after giving effect to the net proceeds to us from this offering. In addition, you may experience</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1" w:name="page32"/>
    <w:bookmarkEnd w:id="3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39"/>
        <w:spacing w:after="0" w:line="263" w:lineRule="auto"/>
        <w:rPr>
          <w:sz w:val="20"/>
          <w:szCs w:val="20"/>
          <w:color w:val="auto"/>
        </w:rPr>
      </w:pPr>
      <w:r>
        <w:rPr>
          <w:rFonts w:ascii="Arial" w:cs="Arial" w:eastAsia="Arial" w:hAnsi="Arial"/>
          <w:sz w:val="18"/>
          <w:szCs w:val="18"/>
          <w:color w:val="auto"/>
        </w:rPr>
        <w:t>further dilution in connection with the issuance of ordinary shares upon the exercise or vesting, as the case may be, of our share incentive awards. See “Dilution” for a more complete description of how the value of your investment in our ADSs will be diluted upon completion of this offering.</w:t>
      </w:r>
    </w:p>
    <w:p>
      <w:pPr>
        <w:spacing w:after="0" w:line="170" w:lineRule="exact"/>
        <w:rPr>
          <w:sz w:val="20"/>
          <w:szCs w:val="20"/>
          <w:color w:val="auto"/>
        </w:rPr>
      </w:pPr>
    </w:p>
    <w:p>
      <w:pPr>
        <w:ind w:left="460" w:right="739"/>
        <w:spacing w:after="0" w:line="277" w:lineRule="auto"/>
        <w:rPr>
          <w:sz w:val="20"/>
          <w:szCs w:val="20"/>
          <w:color w:val="auto"/>
        </w:rPr>
      </w:pPr>
      <w:r>
        <w:rPr>
          <w:rFonts w:ascii="Arial" w:cs="Arial" w:eastAsia="Arial" w:hAnsi="Arial"/>
          <w:sz w:val="18"/>
          <w:szCs w:val="18"/>
          <w:b w:val="1"/>
          <w:bCs w:val="1"/>
          <w:i w:val="1"/>
          <w:iCs w:val="1"/>
          <w:color w:val="auto"/>
        </w:rPr>
        <w:t>We have not determined a specific use for a portion of the net proceeds from this offering and we may use these proceeds in ways with which you may not agree.</w:t>
      </w:r>
    </w:p>
    <w:p>
      <w:pPr>
        <w:spacing w:after="0" w:line="76" w:lineRule="exact"/>
        <w:rPr>
          <w:sz w:val="20"/>
          <w:szCs w:val="20"/>
          <w:color w:val="auto"/>
        </w:rPr>
      </w:pPr>
    </w:p>
    <w:p>
      <w:pPr>
        <w:ind w:left="460" w:right="659" w:firstLine="432"/>
        <w:spacing w:after="0" w:line="272" w:lineRule="auto"/>
        <w:rPr>
          <w:sz w:val="20"/>
          <w:szCs w:val="20"/>
          <w:color w:val="auto"/>
        </w:rPr>
      </w:pPr>
      <w:r>
        <w:rPr>
          <w:rFonts w:ascii="Arial" w:cs="Arial" w:eastAsia="Arial" w:hAnsi="Arial"/>
          <w:sz w:val="17"/>
          <w:szCs w:val="17"/>
          <w:color w:val="auto"/>
        </w:rPr>
        <w:t>We have not determined a specific use for a portion of the net proceeds of this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would improve our results of operations or increase the ADS price, nor that these net proceeds will be placed only in investments that generate income or appreciate in value.</w:t>
      </w:r>
    </w:p>
    <w:p>
      <w:pPr>
        <w:spacing w:after="0" w:line="164" w:lineRule="exact"/>
        <w:rPr>
          <w:sz w:val="20"/>
          <w:szCs w:val="20"/>
          <w:color w:val="auto"/>
        </w:rPr>
      </w:pPr>
    </w:p>
    <w:p>
      <w:pPr>
        <w:ind w:left="460" w:right="659"/>
        <w:spacing w:after="0" w:line="277" w:lineRule="auto"/>
        <w:rPr>
          <w:sz w:val="20"/>
          <w:szCs w:val="20"/>
          <w:color w:val="auto"/>
        </w:rPr>
      </w:pPr>
      <w:r>
        <w:rPr>
          <w:rFonts w:ascii="Arial" w:cs="Arial" w:eastAsia="Arial" w:hAnsi="Arial"/>
          <w:sz w:val="18"/>
          <w:szCs w:val="18"/>
          <w:b w:val="1"/>
          <w:bCs w:val="1"/>
          <w:i w:val="1"/>
          <w:iCs w:val="1"/>
          <w:color w:val="auto"/>
        </w:rPr>
        <w:t>Substantial future sales or perceived potential sales of our ADSs in the public market could cause the price of our ADSs to decline.</w:t>
      </w:r>
    </w:p>
    <w:p>
      <w:pPr>
        <w:spacing w:after="0" w:line="76" w:lineRule="exact"/>
        <w:rPr>
          <w:sz w:val="20"/>
          <w:szCs w:val="20"/>
          <w:color w:val="auto"/>
        </w:rPr>
      </w:pPr>
    </w:p>
    <w:p>
      <w:pPr>
        <w:ind w:left="460" w:right="619" w:firstLine="432"/>
        <w:spacing w:after="0" w:line="270" w:lineRule="auto"/>
        <w:rPr>
          <w:sz w:val="20"/>
          <w:szCs w:val="20"/>
          <w:color w:val="auto"/>
        </w:rPr>
      </w:pPr>
      <w:r>
        <w:rPr>
          <w:rFonts w:ascii="Arial" w:cs="Arial" w:eastAsia="Arial" w:hAnsi="Arial"/>
          <w:sz w:val="17"/>
          <w:szCs w:val="17"/>
          <w:color w:val="auto"/>
        </w:rPr>
        <w:t>Sales of our ADSs in the public market after this offering, or the perception that these sales could occur, could cause the market price of our ADSs to decline. All ADSs sold in this offering will be freely transferable without restriction or additional registration under the Securities Act. The remaining ordinary shares outstanding after this offering will be available for sale, upon the expiration of the 180-day lock-up period beginning from the date of this prospectus, subject to volume and other restrictions as applicable under Rules 144 and 701 under the Securities Act. Any or all of these shares may be released prior to the expiration of the lock-up period at the discretion of the representatives of the underwriters of this offering. To the extent shares are released before the expiration of the lock-up period and sold into the market, the market price of our ADSs could decline.</w:t>
      </w:r>
    </w:p>
    <w:p>
      <w:pPr>
        <w:spacing w:after="0" w:line="167" w:lineRule="exact"/>
        <w:rPr>
          <w:sz w:val="20"/>
          <w:szCs w:val="20"/>
          <w:color w:val="auto"/>
        </w:rPr>
      </w:pPr>
    </w:p>
    <w:p>
      <w:pPr>
        <w:ind w:left="460" w:right="579"/>
        <w:spacing w:after="0" w:line="308" w:lineRule="auto"/>
        <w:rPr>
          <w:sz w:val="20"/>
          <w:szCs w:val="20"/>
          <w:color w:val="auto"/>
        </w:rPr>
      </w:pPr>
      <w:r>
        <w:rPr>
          <w:rFonts w:ascii="Arial" w:cs="Arial" w:eastAsia="Arial" w:hAnsi="Arial"/>
          <w:sz w:val="17"/>
          <w:szCs w:val="17"/>
          <w:b w:val="1"/>
          <w:bCs w:val="1"/>
          <w:i w:val="1"/>
          <w:iCs w:val="1"/>
          <w:color w:val="auto"/>
        </w:rPr>
        <w:t>Our post-offering memorandum and articles of association contain anti-takeover provisions that could have a material adverse effect on the rights of holders of our ordinary shares and the ADSs.</w:t>
      </w:r>
    </w:p>
    <w:p>
      <w:pPr>
        <w:spacing w:after="0" w:line="52"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We will adopt an amended and restated memorandum and articles of association that will become effective immediately prior to the completion of this offering. Our post-offering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including ordinary shares represented by ADSs.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spacing w:after="0" w:line="168" w:lineRule="exact"/>
        <w:rPr>
          <w:sz w:val="20"/>
          <w:szCs w:val="20"/>
          <w:color w:val="auto"/>
        </w:rPr>
      </w:pPr>
    </w:p>
    <w:p>
      <w:pPr>
        <w:ind w:left="460" w:right="479"/>
        <w:spacing w:after="0" w:line="310" w:lineRule="auto"/>
        <w:rPr>
          <w:sz w:val="20"/>
          <w:szCs w:val="20"/>
          <w:color w:val="auto"/>
        </w:rPr>
      </w:pPr>
      <w:r>
        <w:rPr>
          <w:rFonts w:ascii="Arial" w:cs="Arial" w:eastAsia="Arial" w:hAnsi="Arial"/>
          <w:sz w:val="15"/>
          <w:szCs w:val="15"/>
          <w:b w:val="1"/>
          <w:bCs w:val="1"/>
          <w:i w:val="1"/>
          <w:iCs w:val="1"/>
          <w:color w:val="auto"/>
        </w:rPr>
        <w:t>Our post-offering memorandum and articles of association and the deposit agreement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judicial forum within the U.S. for the resolution of any complaint asserting a cause of action arising out of or relating in any way to the federal securities laws of the United States, including without limitation claims under the Exchange Act or the Securities Act, and any suit, action or proceeding arising out of or relating in any way to the ADSs or the deposit agreement, which could limit the ability of holders of our ordinary shares, the ADSs or other securities to obtain a favorable judicial forum for disputes with us, our directors and officers, the depositary, and potentially others.</w:t>
      </w:r>
    </w:p>
    <w:p>
      <w:pPr>
        <w:spacing w:after="0" w:line="60"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Our post-offering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forum within the United States for the resolution of any complaint asserting a cause of action arising</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2" w:name="page33"/>
    <w:bookmarkEnd w:id="3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ind w:left="460" w:right="499"/>
        <w:spacing w:after="0" w:line="284" w:lineRule="auto"/>
        <w:rPr>
          <w:sz w:val="20"/>
          <w:szCs w:val="20"/>
          <w:color w:val="auto"/>
        </w:rPr>
      </w:pPr>
      <w:r>
        <w:rPr>
          <w:rFonts w:ascii="Arial" w:cs="Arial" w:eastAsia="Arial" w:hAnsi="Arial"/>
          <w:sz w:val="16"/>
          <w:szCs w:val="16"/>
          <w:color w:val="auto"/>
        </w:rPr>
        <w:t>out of or relating in any way to the federal securities laws of the United States, regardless of whether such legal suit, action, or proceeding also involves parties other than our company. The deposit agreement provides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to hear and determine any suit, action or proceeding and to settle any dispute between the holders and beneficial owners of ADSs on the one hand and us or the depositary on the other hand that may arise out of or relate in any way to the deposit agreement including without limitation claims under the Exchange Act or Securities Act.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If a court were to find the federal choice of forum provision contained in our post-offering memorandum and articles of association or the deposit agreement to be inapplicable or unenforceable in an action, we may incur additional costs associated with resolving such action in other jurisdictions. If upheld, the forum selection clause in our post-offering memorandum and articles of association, as well as the forum selection provision in the deposit agreement, may limit a security-holder’s ability to bring a claim against us, our directors and officers, the depositary, and potentially others in his or her preferred judicial forum, and this limitation may discourage such lawsuits. Holders of our shares or the ADSs will not be deemed to have waived our compliance with the federal securities laws and the regulations promulgated thereunder pursuant to the exclusive forum provision in the post-offering memorandum and articles of association and deposit agreement. In any case, with respect to Securities Act claims, Holders of our shares or the ADSs cannot waive compliance with the federal securities laws and the rules and regulations thereunder.</w:t>
      </w:r>
    </w:p>
    <w:p>
      <w:pPr>
        <w:spacing w:after="0" w:line="180" w:lineRule="exact"/>
        <w:rPr>
          <w:sz w:val="20"/>
          <w:szCs w:val="20"/>
          <w:color w:val="auto"/>
        </w:rPr>
      </w:pPr>
    </w:p>
    <w:p>
      <w:pPr>
        <w:jc w:val="both"/>
        <w:ind w:left="460" w:right="659"/>
        <w:spacing w:after="0" w:line="381" w:lineRule="auto"/>
        <w:rPr>
          <w:sz w:val="20"/>
          <w:szCs w:val="20"/>
          <w:color w:val="auto"/>
        </w:rPr>
      </w:pPr>
      <w:r>
        <w:rPr>
          <w:rFonts w:ascii="Arial" w:cs="Arial" w:eastAsia="Arial" w:hAnsi="Arial"/>
          <w:sz w:val="15"/>
          <w:szCs w:val="15"/>
          <w:b w:val="1"/>
          <w:bCs w:val="1"/>
          <w:i w:val="1"/>
          <w:iCs w:val="1"/>
          <w:color w:val="auto"/>
        </w:rPr>
        <w:t>The voting rights of holders of ADSs are limited by the terms of the deposit agreement, and you may not be able to exercise your right to direct the voting of the underlying ordinary shares represented by your ADSs.</w:t>
      </w:r>
    </w:p>
    <w:p>
      <w:pPr>
        <w:spacing w:after="0" w:line="33"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Holders of ADSs do not have the same rights as our registered shareholders. As a holder of ADSs, you will not have any direct right to attend general meetings of our shareholders or to cast any votes at such meetings. You will only be able to exercise the voting rights attached to the ordinary shares underlying your ADSs indirectly by giving voting instructions to the depositary in accordance with the provisions of the deposit agreement. Where any matter is to be put to a vote at a general meeting, then upon receipt of your voting instructions, the depositary will try, as far as is practicable, to vote the underlying ordinary shares represented by your ADSs as follows:</w:t>
      </w:r>
    </w:p>
    <w:p>
      <w:pPr>
        <w:spacing w:after="0" w:line="114" w:lineRule="exact"/>
        <w:rPr>
          <w:sz w:val="20"/>
          <w:szCs w:val="20"/>
          <w:color w:val="auto"/>
        </w:rPr>
      </w:pPr>
    </w:p>
    <w:p>
      <w:pPr>
        <w:ind w:left="1320" w:right="779" w:hanging="434"/>
        <w:spacing w:after="0" w:line="311" w:lineRule="auto"/>
        <w:tabs>
          <w:tab w:leader="none" w:pos="13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the event of voting by show of hands, the depositary bank will vote (or cause the custodian to vote) all ordinary shares held on deposit at that time in accordance with the voting instructions received from a majority of holders of ADSs who provide timely voting instructions.</w:t>
      </w:r>
    </w:p>
    <w:p>
      <w:pPr>
        <w:spacing w:after="0" w:line="81" w:lineRule="exact"/>
        <w:rPr>
          <w:rFonts w:ascii="Arial" w:cs="Arial" w:eastAsia="Arial" w:hAnsi="Arial"/>
          <w:sz w:val="16"/>
          <w:szCs w:val="16"/>
          <w:color w:val="auto"/>
        </w:rPr>
      </w:pPr>
    </w:p>
    <w:p>
      <w:pPr>
        <w:ind w:left="1320" w:right="499" w:hanging="434"/>
        <w:spacing w:after="0" w:line="263" w:lineRule="auto"/>
        <w:tabs>
          <w:tab w:leader="none" w:pos="13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event of voting by poll, the depository bank will vote (or cause the custodian to vote) the ordinary shares held on deposit in accordance with the voting instructions received from the holders of ADSs.</w:t>
      </w:r>
    </w:p>
    <w:p>
      <w:pPr>
        <w:spacing w:after="0" w:line="116" w:lineRule="exact"/>
        <w:rPr>
          <w:sz w:val="20"/>
          <w:szCs w:val="20"/>
          <w:color w:val="auto"/>
        </w:rPr>
      </w:pPr>
    </w:p>
    <w:p>
      <w:pPr>
        <w:jc w:val="both"/>
        <w:ind w:left="460" w:right="579" w:firstLine="432"/>
        <w:spacing w:after="0" w:line="263" w:lineRule="auto"/>
        <w:rPr>
          <w:sz w:val="20"/>
          <w:szCs w:val="20"/>
          <w:color w:val="auto"/>
        </w:rPr>
      </w:pPr>
      <w:r>
        <w:rPr>
          <w:rFonts w:ascii="Arial" w:cs="Arial" w:eastAsia="Arial" w:hAnsi="Arial"/>
          <w:sz w:val="18"/>
          <w:szCs w:val="18"/>
          <w:color w:val="auto"/>
        </w:rPr>
        <w:t>You will not be able to directly exercise your right to vote with respect to the underlying ordinary shares unless you withdraw the shares represented by the ADSs and become the registered holder of such shares prior to the record date for the general meeting.</w:t>
      </w:r>
    </w:p>
    <w:p>
      <w:pPr>
        <w:spacing w:after="0" w:line="10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When a general meeting is convened, you may not receive sufficient advance notice of the meeting to withdraw the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post-offering memorandum and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ordinary shares represented by your ADSs and from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will arrange to deliver our voting materials to you. We cannot assure you that you will receive the voting materials in time to ensure that you can instruct the depositary to vote the underlying ordinary shares represented by your ADSs.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In addition, the depositary and its agents are not responsible for failing to carry out voting instructions or for their manner of carrying out your voting instructions. This means that you may not be able to exercise your right to direct how the underlying ordinary shares represented by your ADSs are voted and you may have no legal remedy if the underlying ordinary shares represented by your ADSs are not voted as you requested. In addition, in your capacity as an ADS holder, you will not be able to call a shareholders’ meeting.</w:t>
      </w:r>
    </w:p>
    <w:p>
      <w:pPr>
        <w:spacing w:after="0" w:line="80"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Under the deposit agreement, if voting is by poll and the depositary does not timely receive voting instructions from you, you are deemed to have instructed the depositary to give a discretionary proxy to a person designated by us to vote the Class B ordinary shares represented by the ADSs you hold;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w:t>
      </w:r>
    </w:p>
    <w:p>
      <w:pPr>
        <w:spacing w:after="0" w:line="83"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effect of this discretionary proxy is that you cannot prevent the underlying ordinary shares represented by the ADSs from being voted, except under the circumstances described above. This may make it more difficult for ADS holders to influence the management of the company. Holders of ordinary shares are not subject to this discretionary proxy.</w:t>
      </w:r>
    </w:p>
    <w:p>
      <w:pPr>
        <w:spacing w:after="0" w:line="146" w:lineRule="exact"/>
        <w:rPr>
          <w:sz w:val="20"/>
          <w:szCs w:val="20"/>
          <w:color w:val="auto"/>
        </w:rPr>
      </w:pPr>
    </w:p>
    <w:p>
      <w:pPr>
        <w:ind w:left="460" w:right="1259"/>
        <w:spacing w:after="0" w:line="277" w:lineRule="auto"/>
        <w:rPr>
          <w:sz w:val="20"/>
          <w:szCs w:val="20"/>
          <w:color w:val="auto"/>
        </w:rPr>
      </w:pPr>
      <w:r>
        <w:rPr>
          <w:rFonts w:ascii="Arial" w:cs="Arial" w:eastAsia="Arial" w:hAnsi="Arial"/>
          <w:sz w:val="18"/>
          <w:szCs w:val="18"/>
          <w:b w:val="1"/>
          <w:bCs w:val="1"/>
          <w:i w:val="1"/>
          <w:iCs w:val="1"/>
          <w:color w:val="auto"/>
        </w:rPr>
        <w:t>An ADS holder’s right to pursue claims against the depositary is limited by the terms of the deposit agreement.</w:t>
      </w:r>
    </w:p>
    <w:p>
      <w:pPr>
        <w:spacing w:after="0" w:line="89"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over a particular dispute, in the state courts in New York County, New York), and a holder of our ADSs, will have irrevocably waived any objection which such holder may have to the laying of venue of any such proceeding, and irrevocably submitted to the exclusive jurisdiction of such courts in any such action or proceeding.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spacing w:after="0" w:line="141" w:lineRule="exact"/>
        <w:rPr>
          <w:sz w:val="20"/>
          <w:szCs w:val="20"/>
          <w:color w:val="auto"/>
        </w:rPr>
      </w:pPr>
    </w:p>
    <w:p>
      <w:pPr>
        <w:ind w:left="460" w:right="619"/>
        <w:spacing w:after="0" w:line="381" w:lineRule="auto"/>
        <w:rPr>
          <w:sz w:val="20"/>
          <w:szCs w:val="20"/>
          <w:color w:val="auto"/>
        </w:rPr>
      </w:pPr>
      <w:r>
        <w:rPr>
          <w:rFonts w:ascii="Arial" w:cs="Arial" w:eastAsia="Arial" w:hAnsi="Arial"/>
          <w:sz w:val="15"/>
          <w:szCs w:val="15"/>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6" w:lineRule="exact"/>
        <w:rPr>
          <w:sz w:val="20"/>
          <w:szCs w:val="20"/>
          <w:color w:val="auto"/>
        </w:rPr>
      </w:pPr>
    </w:p>
    <w:p>
      <w:pPr>
        <w:ind w:left="460" w:right="559" w:firstLine="432"/>
        <w:spacing w:after="0" w:line="267" w:lineRule="auto"/>
        <w:rPr>
          <w:sz w:val="20"/>
          <w:szCs w:val="20"/>
          <w:color w:val="auto"/>
        </w:rPr>
      </w:pPr>
      <w:r>
        <w:rPr>
          <w:rFonts w:ascii="Arial" w:cs="Arial" w:eastAsia="Arial" w:hAnsi="Arial"/>
          <w:sz w:val="17"/>
          <w:szCs w:val="17"/>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taxes and other governmental charges, registration fees, cable (including SWIFT) or facsimile transmission costs, delivery costs or other such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31"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4" w:name="page35"/>
    <w:bookmarkEnd w:id="3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ind w:left="460" w:right="519"/>
        <w:spacing w:after="0" w:line="259" w:lineRule="auto"/>
        <w:rPr>
          <w:sz w:val="20"/>
          <w:szCs w:val="20"/>
          <w:color w:val="auto"/>
        </w:rPr>
      </w:pPr>
      <w:r>
        <w:rPr>
          <w:rFonts w:ascii="Arial" w:cs="Arial" w:eastAsia="Arial" w:hAnsi="Arial"/>
          <w:sz w:val="18"/>
          <w:szCs w:val="18"/>
          <w:color w:val="auto"/>
        </w:rPr>
        <w:t>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 may experience dilution of your holdings due to inability to participate in rights offerings.</w:t>
      </w:r>
    </w:p>
    <w:p>
      <w:pPr>
        <w:spacing w:after="0" w:line="158"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66" w:lineRule="exact"/>
        <w:rPr>
          <w:sz w:val="20"/>
          <w:szCs w:val="20"/>
          <w:color w:val="auto"/>
        </w:rPr>
      </w:pPr>
    </w:p>
    <w:p>
      <w:pPr>
        <w:ind w:left="460" w:right="1199"/>
        <w:spacing w:after="0" w:line="342" w:lineRule="auto"/>
        <w:rPr>
          <w:sz w:val="20"/>
          <w:szCs w:val="20"/>
          <w:color w:val="auto"/>
        </w:rPr>
      </w:pPr>
      <w:r>
        <w:rPr>
          <w:rFonts w:ascii="Arial" w:cs="Arial" w:eastAsia="Arial" w:hAnsi="Arial"/>
          <w:sz w:val="16"/>
          <w:szCs w:val="16"/>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43"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We are an exempted company incorporated under the laws of the Cayman Islands. Our corporate affairs are governed by our memorandum and articles of association,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06"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Under Cayman Islands law, the address of a Cayman company’s registered office in the Cayman Islands, and the name of its registered office provider, are matters of public record. A list of the names of the current directors and alternate directors (if applicable) are made available by the Registrar of Companies in the Cayman Islands for inspection by any person on payment of a fee. The register of mortgages is open to inspection by creditors and members. Shareholders of Cayman Islands exempted companies like us have no general rights under Cayman Islands law to inspect corporate records (other than the company’s memorandum and articles of association, and any special resolutions subsequently passed by the shareholders of the company). Our directors have discretion under our post-offering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00"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the section of this prospectus captioned “Description of Share Capital — Differences in Corporate Law.”</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144" w:lineRule="exact"/>
        <w:rPr>
          <w:sz w:val="20"/>
          <w:szCs w:val="20"/>
          <w:color w:val="auto"/>
        </w:rPr>
      </w:pPr>
    </w:p>
    <w:p>
      <w:pPr>
        <w:ind w:left="460" w:right="699" w:firstLine="432"/>
        <w:spacing w:after="0" w:line="259" w:lineRule="auto"/>
        <w:rPr>
          <w:sz w:val="20"/>
          <w:szCs w:val="20"/>
          <w:color w:val="auto"/>
        </w:rPr>
      </w:pPr>
      <w:r>
        <w:rPr>
          <w:rFonts w:ascii="Arial" w:cs="Arial" w:eastAsia="Arial" w:hAnsi="Arial"/>
          <w:sz w:val="18"/>
          <w:szCs w:val="18"/>
          <w:color w:val="auto"/>
        </w:rPr>
        <w:t>We are a Cayman Islands company and all of our assets are located outside of the United States. Substantially all of our current operations are conducted in Singapore. In addition, a majority of our current directors and officers are nationals and residents of countries other than the United States. Substantially all of the assets of these persons</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5" w:name="page36"/>
    <w:bookmarkEnd w:id="3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779"/>
        <w:spacing w:after="0" w:line="293" w:lineRule="auto"/>
        <w:rPr>
          <w:sz w:val="20"/>
          <w:szCs w:val="20"/>
          <w:color w:val="auto"/>
        </w:rPr>
      </w:pPr>
      <w:r>
        <w:rPr>
          <w:rFonts w:ascii="Arial" w:cs="Arial" w:eastAsia="Arial" w:hAnsi="Arial"/>
          <w:sz w:val="16"/>
          <w:szCs w:val="16"/>
          <w:color w:val="auto"/>
        </w:rPr>
        <w:t>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Singapore may render you unable to enforce a judgment against our assets or the assets of our directors and officers. For more information regarding the relevant laws of the Cayman Islands and Singapore, see “Enforceability of Civil Liabilities.”</w:t>
      </w:r>
    </w:p>
    <w:p>
      <w:pPr>
        <w:spacing w:after="0" w:line="164" w:lineRule="exact"/>
        <w:rPr>
          <w:sz w:val="20"/>
          <w:szCs w:val="20"/>
          <w:color w:val="auto"/>
        </w:rPr>
      </w:pPr>
    </w:p>
    <w:p>
      <w:pPr>
        <w:ind w:left="460" w:right="759"/>
        <w:spacing w:after="0" w:line="308" w:lineRule="auto"/>
        <w:rPr>
          <w:sz w:val="20"/>
          <w:szCs w:val="20"/>
          <w:color w:val="auto"/>
        </w:rPr>
      </w:pPr>
      <w:r>
        <w:rPr>
          <w:rFonts w:ascii="Arial" w:cs="Arial" w:eastAsia="Arial" w:hAnsi="Arial"/>
          <w:sz w:val="17"/>
          <w:szCs w:val="17"/>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79"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The deposit agreement governing the ADSs representing our ordinary shares provides that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w:t>
      </w:r>
    </w:p>
    <w:p>
      <w:pPr>
        <w:spacing w:after="0" w:line="111" w:lineRule="exact"/>
        <w:rPr>
          <w:sz w:val="20"/>
          <w:szCs w:val="20"/>
          <w:color w:val="auto"/>
        </w:rPr>
      </w:pPr>
    </w:p>
    <w:p>
      <w:pPr>
        <w:ind w:left="460" w:right="719" w:firstLine="432"/>
        <w:spacing w:after="0" w:line="284" w:lineRule="auto"/>
        <w:rPr>
          <w:sz w:val="20"/>
          <w:szCs w:val="20"/>
          <w:color w:val="auto"/>
        </w:rPr>
      </w:pPr>
      <w:r>
        <w:rPr>
          <w:rFonts w:ascii="Arial" w:cs="Arial" w:eastAsia="Arial" w:hAnsi="Arial"/>
          <w:sz w:val="16"/>
          <w:szCs w:val="16"/>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by the United States District Court for the Southern District of New York or a state court in New York County,</w:t>
      </w:r>
    </w:p>
    <w:p>
      <w:pPr>
        <w:spacing w:after="0" w:line="2"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New York.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95"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11"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spacing w:after="0" w:line="187" w:lineRule="exact"/>
        <w:rPr>
          <w:sz w:val="20"/>
          <w:szCs w:val="20"/>
          <w:color w:val="auto"/>
        </w:rPr>
      </w:pPr>
    </w:p>
    <w:p>
      <w:pPr>
        <w:ind w:left="460" w:right="519"/>
        <w:spacing w:after="0" w:line="381" w:lineRule="auto"/>
        <w:rPr>
          <w:sz w:val="20"/>
          <w:szCs w:val="20"/>
          <w:color w:val="auto"/>
        </w:rPr>
      </w:pPr>
      <w:r>
        <w:rPr>
          <w:rFonts w:ascii="Arial" w:cs="Arial" w:eastAsia="Arial" w:hAnsi="Arial"/>
          <w:sz w:val="15"/>
          <w:szCs w:val="15"/>
          <w:b w:val="1"/>
          <w:bCs w:val="1"/>
          <w:i w:val="1"/>
          <w:iCs w:val="1"/>
          <w:color w:val="auto"/>
        </w:rPr>
        <w:t>As a company incorporated in the Cayman Islands, we are permitted to adopt certain home country practices in relation to corporate governance matters that differ significantly from the Nasdaq Stock Market Rules.</w:t>
      </w:r>
    </w:p>
    <w:p>
      <w:pPr>
        <w:spacing w:after="0" w:line="33" w:lineRule="exact"/>
        <w:rPr>
          <w:sz w:val="20"/>
          <w:szCs w:val="20"/>
          <w:color w:val="auto"/>
        </w:rPr>
      </w:pPr>
    </w:p>
    <w:p>
      <w:pPr>
        <w:jc w:val="both"/>
        <w:ind w:left="460" w:right="579" w:firstLine="432"/>
        <w:spacing w:after="0" w:line="287" w:lineRule="auto"/>
        <w:rPr>
          <w:sz w:val="20"/>
          <w:szCs w:val="20"/>
          <w:color w:val="auto"/>
        </w:rPr>
      </w:pPr>
      <w:r>
        <w:rPr>
          <w:rFonts w:ascii="Arial" w:cs="Arial" w:eastAsia="Arial" w:hAnsi="Arial"/>
          <w:sz w:val="16"/>
          <w:szCs w:val="16"/>
          <w:color w:val="auto"/>
        </w:rPr>
        <w:t>As a Cayman Islands company listed on the Nasdaq Capital Market, we are subject to the Nasdaq Stock Market Rules, which requires listed companies to have, among other things, a majority of their board members to be independent and independent director oversight of executive compensation and nomination of directors.</w:t>
      </w:r>
    </w:p>
    <w:p>
      <w:pPr>
        <w:spacing w:after="0" w:line="2" w:lineRule="exact"/>
        <w:rPr>
          <w:sz w:val="20"/>
          <w:szCs w:val="20"/>
          <w:color w:val="auto"/>
        </w:rPr>
      </w:pPr>
    </w:p>
    <w:p>
      <w:pPr>
        <w:jc w:val="both"/>
        <w:ind w:left="460" w:right="519"/>
        <w:spacing w:after="0" w:line="255" w:lineRule="auto"/>
        <w:rPr>
          <w:sz w:val="20"/>
          <w:szCs w:val="20"/>
          <w:color w:val="auto"/>
        </w:rPr>
      </w:pPr>
      <w:r>
        <w:rPr>
          <w:rFonts w:ascii="Arial" w:cs="Arial" w:eastAsia="Arial" w:hAnsi="Arial"/>
          <w:sz w:val="18"/>
          <w:szCs w:val="18"/>
          <w:color w:val="auto"/>
        </w:rPr>
        <w:t>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w:t>
      </w:r>
    </w:p>
    <w:p>
      <w:pPr>
        <w:spacing w:after="0" w:line="109" w:lineRule="exact"/>
        <w:rPr>
          <w:sz w:val="20"/>
          <w:szCs w:val="20"/>
          <w:color w:val="auto"/>
        </w:rPr>
      </w:pPr>
    </w:p>
    <w:p>
      <w:pPr>
        <w:jc w:val="both"/>
        <w:ind w:left="460" w:right="519" w:firstLine="432"/>
        <w:spacing w:after="0" w:line="311" w:lineRule="auto"/>
        <w:rPr>
          <w:sz w:val="20"/>
          <w:szCs w:val="20"/>
          <w:color w:val="auto"/>
        </w:rPr>
      </w:pPr>
      <w:r>
        <w:rPr>
          <w:rFonts w:ascii="Arial" w:cs="Arial" w:eastAsia="Arial" w:hAnsi="Arial"/>
          <w:sz w:val="16"/>
          <w:szCs w:val="16"/>
          <w:color w:val="auto"/>
        </w:rPr>
        <w:t>We are permitted to elect to rely on home country practice to be exempted from the corporate governance requirements. If we choose to follow home country practice in the future, our shareholders may be afforded less protection than they would otherwise enjoy if we complied fully with the Nasdaq Stock Market Rules.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right="579"/>
        <w:spacing w:after="0" w:line="308" w:lineRule="auto"/>
        <w:rPr>
          <w:sz w:val="20"/>
          <w:szCs w:val="20"/>
          <w:color w:val="auto"/>
        </w:rPr>
      </w:pPr>
      <w:r>
        <w:rPr>
          <w:rFonts w:ascii="Arial" w:cs="Arial" w:eastAsia="Arial" w:hAnsi="Arial"/>
          <w:sz w:val="17"/>
          <w:szCs w:val="17"/>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52" w:lineRule="exact"/>
        <w:rPr>
          <w:sz w:val="20"/>
          <w:szCs w:val="20"/>
          <w:color w:val="auto"/>
        </w:rPr>
      </w:pPr>
    </w:p>
    <w:p>
      <w:pPr>
        <w:ind w:left="460" w:right="479" w:firstLine="432"/>
        <w:spacing w:after="0" w:line="342" w:lineRule="auto"/>
        <w:rPr>
          <w:sz w:val="20"/>
          <w:szCs w:val="20"/>
          <w:color w:val="auto"/>
        </w:rPr>
      </w:pPr>
      <w:r>
        <w:rPr>
          <w:rFonts w:ascii="Arial" w:cs="Arial" w:eastAsia="Arial" w:hAnsi="Arial"/>
          <w:sz w:val="16"/>
          <w:szCs w:val="16"/>
          <w:color w:val="auto"/>
        </w:rPr>
        <w:t>Because we are a foreign private issuer under the Exchange Act, we are exempt from certain provisions of the securities rules and regulations in the United States that are applicable to U.S. domestic issuers, including:</w:t>
      </w:r>
    </w:p>
    <w:p>
      <w:pPr>
        <w:spacing w:after="0" w:line="16" w:lineRule="exact"/>
        <w:rPr>
          <w:sz w:val="20"/>
          <w:szCs w:val="20"/>
          <w:color w:val="auto"/>
        </w:rPr>
      </w:pPr>
    </w:p>
    <w:p>
      <w:pPr>
        <w:ind w:left="1320" w:right="659" w:hanging="434"/>
        <w:spacing w:after="0" w:line="277" w:lineRule="auto"/>
        <w:tabs>
          <w:tab w:leader="none" w:pos="1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of quarterly reports on Form 10-Q or current reports on Form 8-K with the SEC;</w:t>
      </w:r>
    </w:p>
    <w:p>
      <w:pPr>
        <w:spacing w:after="0" w:line="62" w:lineRule="exact"/>
        <w:rPr>
          <w:rFonts w:ascii="Arial" w:cs="Arial" w:eastAsia="Arial" w:hAnsi="Arial"/>
          <w:sz w:val="18"/>
          <w:szCs w:val="18"/>
          <w:color w:val="auto"/>
        </w:rPr>
      </w:pPr>
    </w:p>
    <w:p>
      <w:pPr>
        <w:ind w:left="1320" w:right="499" w:hanging="434"/>
        <w:spacing w:after="0" w:line="277" w:lineRule="auto"/>
        <w:tabs>
          <w:tab w:leader="none" w:pos="1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62" w:lineRule="exact"/>
        <w:rPr>
          <w:rFonts w:ascii="Arial" w:cs="Arial" w:eastAsia="Arial" w:hAnsi="Arial"/>
          <w:sz w:val="18"/>
          <w:szCs w:val="18"/>
          <w:color w:val="auto"/>
        </w:rPr>
      </w:pPr>
    </w:p>
    <w:p>
      <w:pPr>
        <w:ind w:left="1320" w:right="499" w:hanging="434"/>
        <w:spacing w:after="0" w:line="342" w:lineRule="auto"/>
        <w:tabs>
          <w:tab w:leader="none" w:pos="13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sections of the Exchange Act requiring insiders to file public reports of their stock ownership and trading activities and liability for insiders who profit from trades made in a short period of time;</w:t>
      </w:r>
    </w:p>
    <w:p>
      <w:pPr>
        <w:spacing w:after="0" w:line="15" w:lineRule="exact"/>
        <w:rPr>
          <w:rFonts w:ascii="Arial" w:cs="Arial" w:eastAsia="Arial" w:hAnsi="Arial"/>
          <w:sz w:val="16"/>
          <w:szCs w:val="16"/>
          <w:color w:val="auto"/>
        </w:rPr>
      </w:pPr>
    </w:p>
    <w:p>
      <w:pPr>
        <w:ind w:left="1320" w:hanging="434"/>
        <w:spacing w:after="0"/>
        <w:tabs>
          <w:tab w:leader="none" w:pos="1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selective disclosure rules by issuers of material nonpublic information under Regulation FD; and</w:t>
      </w:r>
    </w:p>
    <w:p>
      <w:pPr>
        <w:spacing w:after="0" w:line="140" w:lineRule="exact"/>
        <w:rPr>
          <w:rFonts w:ascii="Arial" w:cs="Arial" w:eastAsia="Arial" w:hAnsi="Arial"/>
          <w:sz w:val="16"/>
          <w:szCs w:val="16"/>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audit committee independence requirements in Rule 10A-3 of the Exchange Act.</w:t>
      </w:r>
    </w:p>
    <w:p>
      <w:pPr>
        <w:spacing w:after="0" w:line="131"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will, however, be required to file an annual report on Form 20-F within four months of the end of each fiscal year. In addition, we intend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85"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In addition, a foreign private issuer whose securities are listed on the Nasdaq Capital Market, is permitted to follow certain home country corporate governance practices in lieu of the requirements of the Nasdaq Stock Market Rules. If we rely on exemptions available to foreign private issuers, our shareholders may be afforded less protection than they otherwise would under the Nasdaq Stock Market Rules to U.S. domestic issuers.</w:t>
      </w:r>
    </w:p>
    <w:p>
      <w:pPr>
        <w:spacing w:after="0" w:line="76"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b w:val="1"/>
          <w:bCs w:val="1"/>
          <w:i w:val="1"/>
          <w:iCs w:val="1"/>
          <w:color w:val="auto"/>
        </w:rPr>
        <w:t>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116"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We will be a “controlled company” as defined under the Nasdaq Stock Market Rules upon the completion of this offering. Upon the completion of this offering, Mr. Soon Huat Lim, our founder, chairman of board of directors and chief executive officer will beneficially own 62.3% of our total issued and outstanding ordinary shares, representing 94.4% of the total voting power, assuming that the underwriters do not exercise their over-allotment option, or 62.0% of our total issued and outstanding ordinary shares, representing 94.3% of the total voting power, assuming that the over-allotment option is exercised in full. For so long as we remain a controlled company under that definition, we are permitted to elect to rely, and may choose to rely, on certain exemptions from corporate governance rules, including an exemption from the rule that a majority of our board of directors must be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See the sections of this prospectus captioned “— Implications of Being a Foreign Private Issuer”, “—As a company incorporated in the Cayman Islands, we are permitted to adopt certain home country practices in relation to corporate governance matters that differ significantly from the Nasdaq Stock Market Rules.” and “—We are a foreign private issuer within the meaning of the rules under the Exchange Act, and as such we are exempt from certain provisions applicable to U.S. domestic public companies.”</w:t>
      </w:r>
    </w:p>
    <w:p>
      <w:pPr>
        <w:spacing w:after="0" w:line="174" w:lineRule="exact"/>
        <w:rPr>
          <w:sz w:val="20"/>
          <w:szCs w:val="20"/>
          <w:color w:val="auto"/>
        </w:rPr>
      </w:pPr>
    </w:p>
    <w:p>
      <w:pPr>
        <w:ind w:left="460" w:right="819"/>
        <w:spacing w:after="0" w:line="263" w:lineRule="auto"/>
        <w:rPr>
          <w:sz w:val="20"/>
          <w:szCs w:val="20"/>
          <w:color w:val="auto"/>
        </w:rPr>
      </w:pPr>
      <w:r>
        <w:rPr>
          <w:rFonts w:ascii="Arial" w:cs="Arial" w:eastAsia="Arial" w:hAnsi="Arial"/>
          <w:sz w:val="18"/>
          <w:szCs w:val="18"/>
          <w:b w:val="1"/>
          <w:bCs w:val="1"/>
          <w:i w:val="1"/>
          <w:iCs w:val="1"/>
          <w:color w:val="auto"/>
        </w:rPr>
        <w:t>There can be no assurance that we will not be classified as a passive foreign investment company for U.S. federal income tax purposes, which could result in adverse U.S. federal income tax consequences to U.S. Holders of our ADSs or ordinary shares.</w:t>
      </w:r>
    </w:p>
    <w:p>
      <w:pPr>
        <w:spacing w:after="0" w:line="116"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7" w:name="page38"/>
    <w:bookmarkEnd w:id="3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19"/>
        <w:spacing w:after="0" w:line="257" w:lineRule="auto"/>
        <w:rPr>
          <w:sz w:val="20"/>
          <w:szCs w:val="20"/>
          <w:color w:val="auto"/>
        </w:rPr>
      </w:pPr>
      <w:r>
        <w:rPr>
          <w:rFonts w:ascii="Arial" w:cs="Arial" w:eastAsia="Arial" w:hAnsi="Arial"/>
          <w:sz w:val="18"/>
          <w:szCs w:val="18"/>
          <w:color w:val="auto"/>
        </w:rPr>
        <w:t>produce or are held for the production of passive income. Passive income generally includes dividends, interest, royalties, rents, annuities, net gains from the sale or exchange of property producing such income and net foreign currency gains. For this purpose, cash and assets readily convertible into cash are categorized as passive assets and the company’s goodwill and other unbooked intangibles are generally taken into account when determining the value of its assets.</w:t>
      </w:r>
    </w:p>
    <w:p>
      <w:pPr>
        <w:spacing w:after="0" w:line="120"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Based upon our current and projected income and assets, including the proceeds from this offering, and projections as to the value of our assets immediately following this offering, we do not expect to be a PFIC for the current taxable year or the foreseeable future. However, no assurance can be given in this regard because the determination of whether we will be or become a PFIC is a factual determination made annually that will depend, in part, upon the composition of our income and assets and the value of our assets. Fluctuations in the market price of the ADSs may cause us to be or become a PFIC for the current or future taxable years because the value of our assets for purposes of the asset test, including the value of our goodwill and unbooked intangibles, may be determined by reference to the market price of the ADSs from time to time (which may be volatile). If our market capitalization is less than anticipated or subsequently declines, we may be or become a PFIC for the current taxable year or future taxable years. Furthermore,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03"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If we are classified as a PFIC for any taxable year during which a U.S. Holder (as defined in “Taxation — United States Federal Income Tax Considerations”) holds our ADSs or ordinary shares, the PFIC tax rules discussed under “Taxation — United States Federal Income Tax Considerations — Passive Foreign Investment Company Rules” will generally apply to such U.S. Holder for such taxable year and, unless the U.S. Holder makes a “mark-to-market” election, will apply in future years even if we cease to be a PFIC. See the discussion under “Taxation — United States Federal Income Tax Considerations — Passive Foreign Investment Company Rules” concerning the U.S. federal income tax considerations of an investment in our ADSs or ordinary shares if we are or become classified as a PFIC and the possibility of making such election.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 company.</w:t>
      </w:r>
    </w:p>
    <w:p>
      <w:pPr>
        <w:spacing w:after="0" w:line="144" w:lineRule="exact"/>
        <w:rPr>
          <w:sz w:val="20"/>
          <w:szCs w:val="20"/>
          <w:color w:val="auto"/>
        </w:rPr>
      </w:pPr>
    </w:p>
    <w:p>
      <w:pPr>
        <w:ind w:left="460" w:right="719" w:firstLine="432"/>
        <w:spacing w:after="0" w:line="291" w:lineRule="auto"/>
        <w:rPr>
          <w:sz w:val="20"/>
          <w:szCs w:val="20"/>
          <w:color w:val="auto"/>
        </w:rPr>
      </w:pPr>
      <w:r>
        <w:rPr>
          <w:rFonts w:ascii="Arial" w:cs="Arial" w:eastAsia="Arial" w:hAnsi="Arial"/>
          <w:sz w:val="16"/>
          <w:szCs w:val="16"/>
          <w:color w:val="auto"/>
        </w:rPr>
        <w:t>Upon the completion of this offering, we will become a public company and expect to incur significant legal, accounting and other expenses that we did not incur as a private company. The Sarbanes-Oxley</w:t>
      </w:r>
    </w:p>
    <w:p>
      <w:pPr>
        <w:ind w:left="460" w:right="479"/>
        <w:spacing w:after="0" w:line="253" w:lineRule="auto"/>
        <w:rPr>
          <w:sz w:val="20"/>
          <w:szCs w:val="20"/>
          <w:color w:val="auto"/>
        </w:rPr>
      </w:pPr>
      <w:r>
        <w:rPr>
          <w:rFonts w:ascii="Arial" w:cs="Arial" w:eastAsia="Arial" w:hAnsi="Arial"/>
          <w:sz w:val="18"/>
          <w:szCs w:val="18"/>
          <w:color w:val="auto"/>
        </w:rPr>
        <w:t>Act of 2002, as well as rules subsequently implemented by the SEC and Nasdaq Capital Market, impose various requirements on the corporate governance practices of public companies. We expect these rules and regulations to increase our legal and financial compliance costs and to make some corporate activities more time-consuming and costly.</w:t>
      </w:r>
    </w:p>
    <w:p>
      <w:pPr>
        <w:spacing w:after="0" w:line="125"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with acceptable policy limits and coverage, should we decide to purchase such insurance.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13"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In the past, shareholders of a public company often brought securities class action suits against companies following periods of instability in the market price of those companies’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 w:name="page39"/>
    <w:bookmarkEnd w:id="3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979" w:firstLine="432"/>
        <w:spacing w:after="0" w:line="311" w:lineRule="auto"/>
        <w:rPr>
          <w:sz w:val="20"/>
          <w:szCs w:val="20"/>
          <w:color w:val="auto"/>
        </w:rPr>
      </w:pPr>
      <w:r>
        <w:rPr>
          <w:rFonts w:ascii="Arial" w:cs="Arial" w:eastAsia="Arial" w:hAnsi="Arial"/>
          <w:sz w:val="16"/>
          <w:szCs w:val="16"/>
          <w:color w:val="auto"/>
        </w:rPr>
        <w:t>In addition,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spacing w:after="0" w:line="149" w:lineRule="exact"/>
        <w:rPr>
          <w:sz w:val="20"/>
          <w:szCs w:val="20"/>
          <w:color w:val="auto"/>
        </w:rPr>
      </w:pPr>
    </w:p>
    <w:p>
      <w:pPr>
        <w:ind w:left="460" w:right="479"/>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p>
    <w:p>
      <w:pPr>
        <w:spacing w:after="0" w:line="119"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are subject to the reporting requirements of the Exchange Act of 1934, or Exchange Act, the Sarbanes-Oxley Act of and the rules and regulations of the Nasdaq Capital Market. Our independent registered public accounting firm has not conducted an audit of our internal control over financial reporting, as we are not required to provide a report of management’s assessment on our internal control over financial reporting due to a transition period established by the rules of the SEC for newly public companies. However, in the course of auditing our consolidated financial statements for the financial statements included elsewhere in this prospectus, we identified two material weaknesses in our internal control over financial reporting.</w:t>
      </w:r>
    </w:p>
    <w:p>
      <w:pPr>
        <w:spacing w:after="0" w:line="99" w:lineRule="exact"/>
        <w:rPr>
          <w:sz w:val="20"/>
          <w:szCs w:val="20"/>
          <w:color w:val="auto"/>
        </w:rPr>
      </w:pPr>
    </w:p>
    <w:p>
      <w:pPr>
        <w:ind w:left="460" w:right="639" w:firstLine="432"/>
        <w:spacing w:after="0" w:line="271" w:lineRule="auto"/>
        <w:rPr>
          <w:sz w:val="20"/>
          <w:szCs w:val="20"/>
          <w:color w:val="auto"/>
        </w:rPr>
      </w:pPr>
      <w:r>
        <w:rPr>
          <w:rFonts w:ascii="Arial" w:cs="Arial" w:eastAsia="Arial" w:hAnsi="Arial"/>
          <w:sz w:val="17"/>
          <w:szCs w:val="17"/>
          <w:color w:val="auto"/>
        </w:rPr>
        <w:t>As defined in standards established by the Public Company Accounting Oversight Board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 to i) lack of sufficient and competent accounting staff and resources with appropriate knowledge of U.S. GAAP and SEC reporting and compliance requirements; and ii) lack of robust and formal period-end financial reporting policies and procedures in place to address complex U.S. GAAP technical accounting and the SEC reporting requirements.</w:t>
      </w:r>
    </w:p>
    <w:p>
      <w:pPr>
        <w:spacing w:after="0" w:line="97" w:lineRule="exact"/>
        <w:rPr>
          <w:sz w:val="20"/>
          <w:szCs w:val="20"/>
          <w:color w:val="auto"/>
        </w:rPr>
      </w:pPr>
    </w:p>
    <w:p>
      <w:pPr>
        <w:ind w:left="460" w:right="539" w:firstLine="432"/>
        <w:spacing w:after="0" w:line="342" w:lineRule="auto"/>
        <w:rPr>
          <w:sz w:val="20"/>
          <w:szCs w:val="20"/>
          <w:color w:val="auto"/>
        </w:rPr>
      </w:pPr>
      <w:r>
        <w:rPr>
          <w:rFonts w:ascii="Arial" w:cs="Arial" w:eastAsia="Arial" w:hAnsi="Arial"/>
          <w:sz w:val="16"/>
          <w:szCs w:val="16"/>
          <w:color w:val="auto"/>
        </w:rPr>
        <w:t>In response to the material weaknesses identified prior to this offering, we are in the process of implementing a number of measures to address the material weaknesses identified, including but not limited to:</w:t>
      </w:r>
    </w:p>
    <w:p>
      <w:pPr>
        <w:spacing w:after="0" w:line="56" w:lineRule="exact"/>
        <w:rPr>
          <w:sz w:val="20"/>
          <w:szCs w:val="20"/>
          <w:color w:val="auto"/>
        </w:rPr>
      </w:pPr>
    </w:p>
    <w:p>
      <w:pPr>
        <w:ind w:left="1320" w:right="1059" w:hanging="434"/>
        <w:spacing w:after="0" w:line="277" w:lineRule="auto"/>
        <w:tabs>
          <w:tab w:leader="none" w:pos="1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and implement a comprehensive set of processes and internal controls to timely and appropriately;</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 transactions that may be subject to complex U.S. GAAP accounting treatment;</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analyze the transactions in accordance with the relevant U.S. GAAP;</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the accounting technical analysis;</w:t>
      </w:r>
    </w:p>
    <w:p>
      <w:pPr>
        <w:spacing w:after="0" w:line="157" w:lineRule="exact"/>
        <w:rPr>
          <w:rFonts w:ascii="Arial" w:cs="Arial" w:eastAsia="Arial" w:hAnsi="Arial"/>
          <w:sz w:val="18"/>
          <w:szCs w:val="18"/>
          <w:color w:val="auto"/>
        </w:rPr>
      </w:pPr>
    </w:p>
    <w:p>
      <w:pPr>
        <w:ind w:left="1320" w:right="739" w:hanging="434"/>
        <w:spacing w:after="0" w:line="279" w:lineRule="auto"/>
        <w:tabs>
          <w:tab w:leader="none" w:pos="13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hire additional accounting staff members with U.S. GAAP and SEC reporting experiences to implement the abovementioned financial reporting procedures and internal controls to ensure the consolidated financial statements and related disclosures under U.S. GAAP and SEC reporting requirements are prepared appropriately on a timely basis; and</w:t>
      </w:r>
    </w:p>
    <w:p>
      <w:pPr>
        <w:spacing w:after="0" w:line="90" w:lineRule="exact"/>
        <w:rPr>
          <w:rFonts w:ascii="Arial" w:cs="Arial" w:eastAsia="Arial" w:hAnsi="Arial"/>
          <w:sz w:val="17"/>
          <w:szCs w:val="17"/>
          <w:color w:val="auto"/>
        </w:rPr>
      </w:pPr>
    </w:p>
    <w:p>
      <w:pPr>
        <w:ind w:left="1320" w:right="539" w:hanging="434"/>
        <w:spacing w:after="0" w:line="263" w:lineRule="auto"/>
        <w:tabs>
          <w:tab w:leader="none" w:pos="1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an ongoing training program to provide sufficient and appropriate trainings for accounting and financial reporting personnel, including trainings related to U.S. GAAP and SEC reporting requirements.</w:t>
      </w:r>
    </w:p>
    <w:p>
      <w:pPr>
        <w:spacing w:after="0" w:line="116"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believe the measures described above should remediate the material weaknesses identified and strengthen our internal control over financial reporting. The remediation initiatives outlined above are estimated to take place over the next 12 to 18 months, and we can offer no assurance that these initiatives will ultimately have the intended effects. We do not believe that the remediation of these material weaknesses will result in significant incremental cost. However, we cannot assure you that we will not identify additional material weaknesses or significant deficiencies in the future. Another significant financial reporting failure or material weakness in internal control over financial reporting could result in substantial cost to remediate and could cause a loss of investor confidence and decline in the market price of our ADSs. In addition, if we are unable to meet the requirements of Section 404 of the Sarbanes-Oxley Act, our ADSs may not be able to remain listed on the Nasdaq Capital Market.</w:t>
      </w:r>
    </w:p>
    <w:p>
      <w:pPr>
        <w:spacing w:after="0" w:line="118"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Section 404 of the Sarbanes-Oxley Act of 2002 requires that we include a report of management on our internal control over financial reporting in our annual report on Form 20-F beginning with our annual report beginning with our second annual report on Form 20-F. In addition, once we cease to be an “emerging growth company” as such term is defined under the JOBS Act, our independent registered public accounting firm must</w:t>
      </w:r>
    </w:p>
    <w:p>
      <w:pPr>
        <w:sectPr>
          <w:pgSz w:w="11900" w:h="16838" w:orient="portrait"/>
          <w:cols w:equalWidth="0" w:num="1">
            <w:col w:w="9019"/>
          </w:cols>
          <w:pgMar w:left="1440" w:top="274" w:right="1440"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9" w:name="page40"/>
    <w:bookmarkEnd w:id="3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39"/>
        <w:spacing w:after="0" w:line="270" w:lineRule="auto"/>
        <w:rPr>
          <w:sz w:val="20"/>
          <w:szCs w:val="20"/>
          <w:color w:val="auto"/>
        </w:rPr>
      </w:pPr>
      <w:r>
        <w:rPr>
          <w:rFonts w:ascii="Arial" w:cs="Arial" w:eastAsia="Arial" w:hAnsi="Arial"/>
          <w:sz w:val="17"/>
          <w:szCs w:val="17"/>
          <w:color w:val="auto"/>
        </w:rPr>
        <w:t>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1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During the course of documenting and testing our internal control procedures, in order to satisfy the requirements of Section 404 of the Sarbanes- 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86" w:lineRule="exact"/>
        <w:rPr>
          <w:sz w:val="20"/>
          <w:szCs w:val="20"/>
          <w:color w:val="auto"/>
        </w:rPr>
      </w:pPr>
    </w:p>
    <w:p>
      <w:pPr>
        <w:ind w:left="460" w:right="959"/>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03" w:lineRule="exact"/>
        <w:rPr>
          <w:sz w:val="20"/>
          <w:szCs w:val="20"/>
          <w:color w:val="auto"/>
        </w:rPr>
      </w:pPr>
    </w:p>
    <w:p>
      <w:pPr>
        <w:ind w:left="460" w:right="639" w:firstLine="432"/>
        <w:spacing w:after="0" w:line="288" w:lineRule="auto"/>
        <w:rPr>
          <w:sz w:val="20"/>
          <w:szCs w:val="20"/>
          <w:color w:val="auto"/>
        </w:rPr>
      </w:pPr>
      <w:r>
        <w:rPr>
          <w:rFonts w:ascii="Arial" w:cs="Arial" w:eastAsia="Arial" w:hAnsi="Arial"/>
          <w:sz w:val="16"/>
          <w:szCs w:val="16"/>
          <w:color w:val="auto"/>
        </w:rPr>
        <w:t>U.S. GAAP is subject to interpretation by the Financial Accounting Standards Board,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consolidated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168" w:lineRule="exact"/>
        <w:rPr>
          <w:sz w:val="20"/>
          <w:szCs w:val="20"/>
          <w:color w:val="auto"/>
        </w:rPr>
      </w:pPr>
    </w:p>
    <w:p>
      <w:pPr>
        <w:ind w:left="460" w:right="579"/>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89"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our consolidated financial statements, and the reported amounts of expenses during the reporting periods. We base our estimates on historical experience, known trends and other market-specific or other relevant factors that we believe to be reasonable under the circumstances. The results of these estimates form the basis for making judgments about the carrying values of assets, liabilities, and equity, and the amount of revenue and expenses. Significant estimates and judgments involve: the allowance for receivable, the recoverability of long-lived assets and accounting for deferred income taxes and valuation allowance for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ADSs.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price of our ADSs could be subject to rapid and substantial volatility.</w:t>
      </w:r>
    </w:p>
    <w:p>
      <w:pPr>
        <w:spacing w:after="0" w:line="158" w:lineRule="exact"/>
        <w:rPr>
          <w:sz w:val="20"/>
          <w:szCs w:val="20"/>
          <w:color w:val="auto"/>
        </w:rPr>
      </w:pPr>
    </w:p>
    <w:p>
      <w:pPr>
        <w:ind w:left="460" w:right="659" w:firstLine="432"/>
        <w:spacing w:after="0" w:line="257" w:lineRule="auto"/>
        <w:rPr>
          <w:sz w:val="20"/>
          <w:szCs w:val="20"/>
          <w:color w:val="auto"/>
        </w:rPr>
      </w:pPr>
      <w:r>
        <w:rPr>
          <w:rFonts w:ascii="Arial" w:cs="Arial" w:eastAsia="Arial" w:hAnsi="Arial"/>
          <w:sz w:val="18"/>
          <w:szCs w:val="18"/>
          <w:color w:val="auto"/>
        </w:rPr>
        <w:t>There have been instances of extreme stock price run-ups followed by rapid price declines and strong stock price volatility with recent initial public offerings, especially among those with relatively smaller public floats. As a relatively small-capitalization company with a relatively small public float, we may experience greater stock price volatility, extreme price run-ups, lower trading volume, and less liquidity than large-capitalization companies. In</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0" w:name="page41"/>
    <w:bookmarkEnd w:id="4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719"/>
        <w:spacing w:after="0" w:line="259" w:lineRule="auto"/>
        <w:rPr>
          <w:sz w:val="20"/>
          <w:szCs w:val="20"/>
          <w:color w:val="auto"/>
        </w:rPr>
      </w:pPr>
      <w:r>
        <w:rPr>
          <w:rFonts w:ascii="Arial" w:cs="Arial" w:eastAsia="Arial" w:hAnsi="Arial"/>
          <w:sz w:val="18"/>
          <w:szCs w:val="18"/>
          <w:color w:val="auto"/>
        </w:rPr>
        <w:t>particular, our ADSs may be subject to rapid and substantial price volatility, low volumes of trades, and large spreads in bid and ask prices. Such volatility, including any stock run-ups, may be unrelated to our actual or expected operating performance and financial condition or prospects, making it difficult for prospective investors to assess the rapidly changing value of our ADSs.</w:t>
      </w:r>
    </w:p>
    <w:p>
      <w:pPr>
        <w:spacing w:after="0" w:line="119"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In addition, if the trading volumes of our ADSs are low, persons buying or selling in relatively small quantities may easily influence the price of our ADSs. This low volume of trades could also cause the price of our ADSs to fluctuate greatly, with large percentage changes in price occurring in any trading day session. Holders of our ADSs may also not be able to readily liquidate their investment or may be forced to sell at depressed prices due to low volume trading. Broad market fluctuations and general economic and political conditions may also adversely affect the market price of our ADSs. As a result of this volatility, investors may experience losses on their investment in our ADSs. A decline in the market price of our ADSs also could adversely affect our ability to issue additional ADSs or other of our securities and our ability to obtain additional financing in the future. There can be no assurance that an active market in our ADSs will develop or be sustained. If an active market does not develop, holders of our ADSs may be unable to readily sell the shares they hold or may not be able to sell their shares at all.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 w:name="page42"/>
    <w:bookmarkEnd w:id="4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148" w:lineRule="exact"/>
        <w:rPr>
          <w:sz w:val="20"/>
          <w:szCs w:val="20"/>
          <w:color w:val="auto"/>
        </w:rPr>
      </w:pPr>
    </w:p>
    <w:p>
      <w:pPr>
        <w:ind w:left="460" w:right="639" w:firstLine="432"/>
        <w:spacing w:after="0" w:line="301" w:lineRule="auto"/>
        <w:rPr>
          <w:sz w:val="20"/>
          <w:szCs w:val="20"/>
          <w:color w:val="auto"/>
        </w:rPr>
      </w:pPr>
      <w:r>
        <w:rPr>
          <w:rFonts w:ascii="Arial" w:cs="Arial" w:eastAsia="Arial" w:hAnsi="Arial"/>
          <w:sz w:val="16"/>
          <w:szCs w:val="16"/>
          <w:color w:val="auto"/>
        </w:rPr>
        <w:t>This prospectus contains forward-looking statements that involve risks and uncertainties.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90"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25" w:lineRule="exact"/>
        <w:rPr>
          <w:sz w:val="20"/>
          <w:szCs w:val="20"/>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57" w:lineRule="exact"/>
        <w:rPr>
          <w:rFonts w:ascii="Arial" w:cs="Arial" w:eastAsia="Arial" w:hAnsi="Arial"/>
          <w:sz w:val="18"/>
          <w:szCs w:val="18"/>
          <w:color w:val="auto"/>
        </w:rPr>
      </w:pPr>
    </w:p>
    <w:p>
      <w:pPr>
        <w:ind w:left="1320" w:right="1019" w:hanging="434"/>
        <w:spacing w:after="0" w:line="277" w:lineRule="auto"/>
        <w:tabs>
          <w:tab w:leader="none" w:pos="13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outlook of the digital solutions and e-commerce market in Singapore, Southeast Asia and globally;</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expected changes in our revenue, costs or expenditures;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proposed use of proceeds;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 policies and regulations relating to our industry; and</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business conditions in Singapore, Southeast Asia and globally.</w:t>
      </w:r>
    </w:p>
    <w:p>
      <w:pPr>
        <w:spacing w:after="0" w:line="158" w:lineRule="exact"/>
        <w:rPr>
          <w:sz w:val="20"/>
          <w:szCs w:val="20"/>
          <w:color w:val="auto"/>
        </w:rPr>
      </w:pPr>
    </w:p>
    <w:p>
      <w:pPr>
        <w:ind w:left="460" w:right="579" w:firstLine="432"/>
        <w:spacing w:after="0" w:line="290" w:lineRule="auto"/>
        <w:rPr>
          <w:sz w:val="20"/>
          <w:szCs w:val="20"/>
          <w:color w:val="auto"/>
        </w:rPr>
      </w:pPr>
      <w:r>
        <w:rPr>
          <w:rFonts w:ascii="Arial" w:cs="Arial" w:eastAsia="Arial" w:hAnsi="Arial"/>
          <w:sz w:val="16"/>
          <w:szCs w:val="16"/>
          <w:color w:val="auto"/>
        </w:rPr>
        <w:t>You should read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98"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This prospectus contains certain data and information that we obtained from industry publications and reports generated by third-party providers of market intelligence. We have not independently verified the accuracy or completeness of the data and information contained in these publications and reports. Statistical data in these publications also include projections based on a number of assumptions. Failure of these markets to grow at the projected rate may have a material and adverse effect on our business and the market price of the ADSs. If any one or more of the assumptions underlying the market data are later found to be incorrect, actual results may differ from the projections based on these assumptions.</w:t>
      </w:r>
    </w:p>
    <w:p>
      <w:pPr>
        <w:spacing w:after="0" w:line="96" w:lineRule="exact"/>
        <w:rPr>
          <w:sz w:val="20"/>
          <w:szCs w:val="20"/>
          <w:color w:val="auto"/>
        </w:rPr>
      </w:pPr>
    </w:p>
    <w:p>
      <w:pPr>
        <w:jc w:val="both"/>
        <w:ind w:left="460" w:right="739" w:firstLine="432"/>
        <w:spacing w:after="0" w:line="263" w:lineRule="auto"/>
        <w:rPr>
          <w:sz w:val="20"/>
          <w:szCs w:val="20"/>
          <w:color w:val="auto"/>
        </w:rPr>
      </w:pPr>
      <w:r>
        <w:rPr>
          <w:rFonts w:ascii="Arial" w:cs="Arial" w:eastAsia="Arial" w:hAnsi="Arial"/>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We estimate that the aggregate net proceeds to us from this offering of approximately US$14.47 million, after deducting underwriting discounts and estimated expenses payable by us in connection with this offering, and assuming an initial offering price of US$9.00 per ADS, being the midpoint of the estimated range of the initial public offering price shown on the cover page of this prospectus. Assuming the number of ADSs offered by us as set forth on the cover page of this prospectus remains the same, and after deduction of underwriting discounts and estimated expenses payable by us in connection with this offering, a US$1.00 increase (decrease) in the assumed initial public offering price of US$9.00 per ADS would increase (decrease) the net proceeds of this offering by approximately US$1.88 million.</w:t>
      </w:r>
    </w:p>
    <w:p>
      <w:pPr>
        <w:spacing w:after="0" w:line="111"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primary purposes of this offering are to increase our capitalization and financial flexibility, create a public market for our shares, and retain talented employees by providing them with equity incentives and enable access to the public equity markets for us and our shareholders. We plan to use the net proceeds of this offering for the following purposes:</w:t>
      </w:r>
    </w:p>
    <w:p>
      <w:pPr>
        <w:spacing w:after="0" w:line="119" w:lineRule="exact"/>
        <w:rPr>
          <w:sz w:val="20"/>
          <w:szCs w:val="20"/>
          <w:color w:val="auto"/>
        </w:rPr>
      </w:pPr>
    </w:p>
    <w:p>
      <w:pPr>
        <w:ind w:left="1320" w:right="759" w:hanging="434"/>
        <w:spacing w:after="0" w:line="342" w:lineRule="auto"/>
        <w:tabs>
          <w:tab w:leader="none" w:pos="13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approximately 35% of the net proceeds for research and development, including development of infrastructure for our Web 3.0 e-commerce platform and further investment in our solutions;</w:t>
      </w:r>
    </w:p>
    <w:p>
      <w:pPr>
        <w:spacing w:after="0" w:line="42" w:lineRule="exact"/>
        <w:rPr>
          <w:rFonts w:ascii="Arial" w:cs="Arial" w:eastAsia="Arial" w:hAnsi="Arial"/>
          <w:sz w:val="16"/>
          <w:szCs w:val="16"/>
          <w:color w:val="auto"/>
        </w:rPr>
      </w:pPr>
    </w:p>
    <w:p>
      <w:pPr>
        <w:ind w:left="1320" w:hanging="434"/>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approximately 25% of the net proceeds for investment in the Singapore market; and</w:t>
      </w:r>
    </w:p>
    <w:p>
      <w:pPr>
        <w:spacing w:after="0" w:line="157" w:lineRule="exact"/>
        <w:rPr>
          <w:rFonts w:ascii="Arial" w:cs="Arial" w:eastAsia="Arial" w:hAnsi="Arial"/>
          <w:sz w:val="18"/>
          <w:szCs w:val="18"/>
          <w:color w:val="auto"/>
        </w:rPr>
      </w:pPr>
    </w:p>
    <w:p>
      <w:pPr>
        <w:jc w:val="both"/>
        <w:ind w:left="1320" w:right="499" w:hanging="434"/>
        <w:spacing w:after="0" w:line="286" w:lineRule="auto"/>
        <w:tabs>
          <w:tab w:leader="none" w:pos="13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approximately 40% of the net proceeds for general corporate purposes, which may include potential strategic investments and acquisitions in Southeast Asia and globally, although our management has not yet determined the types of businesses that we will target at this time.</w:t>
      </w:r>
    </w:p>
    <w:p>
      <w:pPr>
        <w:spacing w:after="0" w:line="98"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The foregoing represents our current intentions based upon our present plans and business conditions to use and allocate the net proceeds of this offering. Our management, however, will have discretion in the application of net proceeds to us from this offering, and investors will be relying on the judgment of our management regarding the use of these net proceeds. If an unforeseen event occurs or business conditions change, we may use the proceeds of this offering differently than as described in this prospectus. See “Risk Factors — Risks Relating to Our ADSs and This Offering — We have not determined a specific use for a portion of the net proceeds from this offering and we may use these proceeds in ways with which you may not agree.”</w:t>
      </w:r>
    </w:p>
    <w:p>
      <w:pPr>
        <w:spacing w:after="0" w:line="111"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forward-looking statements made in this prospectus relate only to events or information as of the date on which these statements are made in this prospectus. We undertake no obligation to update or revise any forward-looking statements, whether as a result of new information, future events or otherwise, after the date of this prospectus.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We have never declared or paid cash dividends on our ordinary shares. We do not have any present plan to pay any cash dividends on our ordinary shares in the foreseeable future after this offering. We currently intend to retain most, if not all, of our available funds and any future earnings to operate and grow our business.</w:t>
      </w:r>
    </w:p>
    <w:p>
      <w:pPr>
        <w:spacing w:after="0" w:line="81"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We are a holding company incorporated in the Cayman Islands. We may rely on dividends from our Singapore subsidiary for our cash requirements, including any payment of dividends to our shareholders. There are no foreign exchange restrictions under Singapore law which would affect the payment or remittance of dividends by our Singapore subsidiary to us.</w:t>
      </w:r>
    </w:p>
    <w:p>
      <w:pPr>
        <w:spacing w:after="0" w:line="119"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Our board of directors has complete discretion on whether to distribute dividends, subject to applicable laws. In addition, our shareholders may by ordinary resolution declare a dividend, but no dividend may exceed the amount recommended by our board of directors. Under the Cayman Islands law, a Cayman Islands company may pay a dividend either out of profit or share premium account, provided that in no circumstances may a dividend be paid if the dividend payment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00"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If we pay any dividends on our ordinary shares, we will pay those dividends that are payable in respect of the ordinary shares underlying our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CAPITALIZATION</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our capitalization as of June 30, 2023:</w:t>
      </w:r>
    </w:p>
    <w:p>
      <w:pPr>
        <w:spacing w:after="0" w:line="104" w:lineRule="exact"/>
        <w:rPr>
          <w:sz w:val="20"/>
          <w:szCs w:val="20"/>
          <w:color w:val="auto"/>
        </w:rPr>
      </w:pPr>
    </w:p>
    <w:p>
      <w:pPr>
        <w:ind w:left="1320" w:hanging="434"/>
        <w:spacing w:after="0"/>
        <w:tabs>
          <w:tab w:leader="none" w:pos="1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03" w:lineRule="exact"/>
        <w:rPr>
          <w:rFonts w:ascii="Arial" w:cs="Arial" w:eastAsia="Arial" w:hAnsi="Arial"/>
          <w:sz w:val="18"/>
          <w:szCs w:val="18"/>
          <w:color w:val="auto"/>
        </w:rPr>
      </w:pPr>
    </w:p>
    <w:p>
      <w:pPr>
        <w:ind w:left="1320" w:right="559" w:hanging="434"/>
        <w:spacing w:after="0" w:line="257" w:lineRule="auto"/>
        <w:tabs>
          <w:tab w:leader="none" w:pos="1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 actual as adjusted basis to reflect the issuance and sale of 89,795,000 Class B ordinary shares on July 4, 2023 for the consideration of US$7,499,990 (received in cash and recorded as subscription fees advance from shareholders as of June 30, 2023) and the issuance and sale of 1,964,286 Class B ordinary shares to certain individual and institutional investors on October 3, 2023 for the consideration of US$1,100,000.</w:t>
      </w:r>
    </w:p>
    <w:p>
      <w:pPr>
        <w:spacing w:after="0" w:line="52" w:lineRule="exact"/>
        <w:rPr>
          <w:rFonts w:ascii="Arial" w:cs="Arial" w:eastAsia="Arial" w:hAnsi="Arial"/>
          <w:sz w:val="18"/>
          <w:szCs w:val="18"/>
          <w:color w:val="auto"/>
        </w:rPr>
      </w:pPr>
    </w:p>
    <w:p>
      <w:pPr>
        <w:ind w:left="1320" w:right="479" w:hanging="434"/>
        <w:spacing w:after="0" w:line="255" w:lineRule="auto"/>
        <w:tabs>
          <w:tab w:leader="none" w:pos="1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 pro forma as adjusted basis to reflect the issuance and sale of 18,750,000 Class B ordinary shares in the form of ADSs by us in this offering (without full exercise of the underwriter’s over-allotment option), at an assumed initial public offering price of US$9.00 per ADS, the midpoint of the estimated range of the initial public offering price shown on the front cover this prospectus, after deducting the underwriting discounts and commissions and estimated offering expenses payable by us.</w:t>
      </w:r>
    </w:p>
    <w:p>
      <w:pPr>
        <w:spacing w:after="0" w:line="71"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The adjustments reflected below are subject to change and are based upon available information and certain assumptions that we believe are reasonable. Total shareholders’ equity and total capitalization following the completion of this offering are subject to adjustment based on the actual initial public offering price and other terms of this offering determined at pricing. 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6"/>
          </w:tcPr>
          <w:p>
            <w:pPr>
              <w:ind w:left="480"/>
              <w:spacing w:after="0"/>
              <w:rPr>
                <w:sz w:val="20"/>
                <w:szCs w:val="20"/>
                <w:color w:val="auto"/>
              </w:rPr>
            </w:pPr>
            <w:r>
              <w:rPr>
                <w:rFonts w:ascii="Arial" w:cs="Arial" w:eastAsia="Arial" w:hAnsi="Arial"/>
                <w:sz w:val="16"/>
                <w:szCs w:val="16"/>
                <w:b w:val="1"/>
                <w:bCs w:val="1"/>
                <w:color w:val="auto"/>
              </w:rPr>
              <w:t>As of June 30, 2023</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8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40"/>
              <w:spacing w:after="0" w:line="182" w:lineRule="exact"/>
              <w:rPr>
                <w:sz w:val="20"/>
                <w:szCs w:val="20"/>
                <w:color w:val="auto"/>
              </w:rPr>
            </w:pPr>
            <w:r>
              <w:rPr>
                <w:rFonts w:ascii="Arial" w:cs="Arial" w:eastAsia="Arial" w:hAnsi="Arial"/>
                <w:sz w:val="16"/>
                <w:szCs w:val="16"/>
                <w:b w:val="1"/>
                <w:bCs w:val="1"/>
                <w:color w:val="auto"/>
                <w:w w:val="94"/>
              </w:rPr>
              <w:t>Pro Forma</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As Adjusted</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1"/>
              </w:rPr>
              <w:t>Full Exercise of</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Actual</w:t>
            </w:r>
          </w:p>
        </w:tc>
        <w:tc>
          <w:tcPr>
            <w:tcW w:w="10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Pro Forma</w:t>
            </w:r>
          </w:p>
        </w:tc>
        <w:tc>
          <w:tcPr>
            <w:tcW w:w="12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3"/>
              </w:rPr>
              <w:t>Over-Allotment</w:t>
            </w:r>
          </w:p>
        </w:tc>
        <w:tc>
          <w:tcPr>
            <w:tcW w:w="0" w:type="dxa"/>
            <w:vAlign w:val="bottom"/>
          </w:tcPr>
          <w:p>
            <w:pPr>
              <w:spacing w:after="0"/>
              <w:rPr>
                <w:sz w:val="1"/>
                <w:szCs w:val="1"/>
                <w:color w:val="auto"/>
              </w:rPr>
            </w:pPr>
          </w:p>
        </w:tc>
      </w:tr>
      <w:tr>
        <w:trPr>
          <w:trHeight w:val="253"/>
        </w:trPr>
        <w:tc>
          <w:tcPr>
            <w:tcW w:w="3800" w:type="dxa"/>
            <w:vAlign w:val="bottom"/>
          </w:tcPr>
          <w:p>
            <w:pPr>
              <w:spacing w:after="0"/>
              <w:rPr>
                <w:sz w:val="21"/>
                <w:szCs w:val="21"/>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Actual</w:t>
            </w:r>
          </w:p>
        </w:tc>
        <w:tc>
          <w:tcPr>
            <w:tcW w:w="100" w:type="dxa"/>
            <w:vAlign w:val="bottom"/>
          </w:tcPr>
          <w:p>
            <w:pPr>
              <w:spacing w:after="0"/>
              <w:rPr>
                <w:sz w:val="21"/>
                <w:szCs w:val="21"/>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As Adjusted</w:t>
            </w:r>
            <w:r>
              <w:rPr>
                <w:rFonts w:ascii="Arial" w:cs="Arial" w:eastAsia="Arial" w:hAnsi="Arial"/>
                <w:sz w:val="18"/>
                <w:szCs w:val="18"/>
                <w:b w:val="1"/>
                <w:bCs w:val="1"/>
                <w:color w:val="auto"/>
                <w:w w:val="88"/>
                <w:vertAlign w:val="superscript"/>
              </w:rPr>
              <w:t>(1)</w:t>
            </w:r>
          </w:p>
        </w:tc>
        <w:tc>
          <w:tcPr>
            <w:tcW w:w="100" w:type="dxa"/>
            <w:vAlign w:val="bottom"/>
          </w:tcPr>
          <w:p>
            <w:pPr>
              <w:spacing w:after="0"/>
              <w:rPr>
                <w:sz w:val="21"/>
                <w:szCs w:val="21"/>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6"/>
              </w:rPr>
              <w:t>As Adjusted</w:t>
            </w:r>
            <w:r>
              <w:rPr>
                <w:rFonts w:ascii="Arial" w:cs="Arial" w:eastAsia="Arial" w:hAnsi="Arial"/>
                <w:sz w:val="18"/>
                <w:szCs w:val="18"/>
                <w:b w:val="1"/>
                <w:bCs w:val="1"/>
                <w:color w:val="auto"/>
                <w:w w:val="86"/>
                <w:vertAlign w:val="superscript"/>
              </w:rPr>
              <w:t>(2)</w:t>
            </w:r>
          </w:p>
        </w:tc>
        <w:tc>
          <w:tcPr>
            <w:tcW w:w="80" w:type="dxa"/>
            <w:vAlign w:val="bottom"/>
          </w:tcPr>
          <w:p>
            <w:pPr>
              <w:spacing w:after="0"/>
              <w:rPr>
                <w:sz w:val="21"/>
                <w:szCs w:val="21"/>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Option</w:t>
            </w:r>
            <w:r>
              <w:rPr>
                <w:rFonts w:ascii="Arial" w:cs="Arial" w:eastAsia="Arial" w:hAnsi="Arial"/>
                <w:sz w:val="18"/>
                <w:szCs w:val="18"/>
                <w:b w:val="1"/>
                <w:bCs w:val="1"/>
                <w:color w:val="auto"/>
                <w:w w:val="90"/>
                <w:vertAlign w:val="superscript"/>
              </w:rPr>
              <w:t>(3)</w:t>
            </w:r>
          </w:p>
        </w:tc>
        <w:tc>
          <w:tcPr>
            <w:tcW w:w="0" w:type="dxa"/>
            <w:vAlign w:val="bottom"/>
          </w:tcPr>
          <w:p>
            <w:pPr>
              <w:spacing w:after="0"/>
              <w:rPr>
                <w:sz w:val="1"/>
                <w:szCs w:val="1"/>
                <w:color w:val="auto"/>
              </w:rPr>
            </w:pPr>
          </w:p>
        </w:tc>
      </w:tr>
      <w:tr>
        <w:trPr>
          <w:trHeight w:val="221"/>
        </w:trPr>
        <w:tc>
          <w:tcPr>
            <w:tcW w:w="3800" w:type="dxa"/>
            <w:vAlign w:val="bottom"/>
          </w:tcPr>
          <w:p>
            <w:pPr>
              <w:spacing w:after="0"/>
              <w:rPr>
                <w:sz w:val="19"/>
                <w:szCs w:val="19"/>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color w:val="auto"/>
                <w:w w:val="96"/>
              </w:rPr>
              <w:t>US$</w:t>
            </w:r>
          </w:p>
        </w:tc>
        <w:tc>
          <w:tcPr>
            <w:tcW w:w="1060" w:type="dxa"/>
            <w:vAlign w:val="bottom"/>
            <w:gridSpan w:val="3"/>
          </w:tcPr>
          <w:p>
            <w:pPr>
              <w:jc w:val="center"/>
              <w:ind w:right="100"/>
              <w:spacing w:after="0"/>
              <w:rPr>
                <w:sz w:val="20"/>
                <w:szCs w:val="20"/>
                <w:color w:val="auto"/>
              </w:rPr>
            </w:pPr>
            <w:r>
              <w:rPr>
                <w:rFonts w:ascii="Arial" w:cs="Arial" w:eastAsia="Arial" w:hAnsi="Arial"/>
                <w:sz w:val="16"/>
                <w:szCs w:val="16"/>
                <w:color w:val="auto"/>
                <w:w w:val="89"/>
              </w:rPr>
              <w:t>US$</w:t>
            </w:r>
          </w:p>
        </w:tc>
        <w:tc>
          <w:tcPr>
            <w:tcW w:w="1040" w:type="dxa"/>
            <w:vAlign w:val="bottom"/>
            <w:gridSpan w:val="3"/>
          </w:tcPr>
          <w:p>
            <w:pPr>
              <w:jc w:val="center"/>
              <w:ind w:right="100"/>
              <w:spacing w:after="0"/>
              <w:rPr>
                <w:sz w:val="20"/>
                <w:szCs w:val="20"/>
                <w:color w:val="auto"/>
              </w:rPr>
            </w:pPr>
            <w:r>
              <w:rPr>
                <w:rFonts w:ascii="Arial" w:cs="Arial" w:eastAsia="Arial" w:hAnsi="Arial"/>
                <w:sz w:val="16"/>
                <w:szCs w:val="16"/>
                <w:color w:val="auto"/>
                <w:w w:val="96"/>
              </w:rPr>
              <w:t>US$</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89"/>
              </w:rPr>
              <w:t>US$</w:t>
            </w:r>
          </w:p>
        </w:tc>
        <w:tc>
          <w:tcPr>
            <w:tcW w:w="0" w:type="dxa"/>
            <w:vAlign w:val="bottom"/>
          </w:tcPr>
          <w:p>
            <w:pPr>
              <w:spacing w:after="0"/>
              <w:rPr>
                <w:sz w:val="1"/>
                <w:szCs w:val="1"/>
                <w:color w:val="auto"/>
              </w:rPr>
            </w:pPr>
          </w:p>
        </w:tc>
      </w:tr>
      <w:tr>
        <w:trPr>
          <w:trHeight w:val="47"/>
        </w:trPr>
        <w:tc>
          <w:tcPr>
            <w:tcW w:w="3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Amounts due to related party</w:t>
            </w: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40,197</w:t>
            </w:r>
          </w:p>
        </w:tc>
        <w:tc>
          <w:tcPr>
            <w:tcW w:w="1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40,197</w:t>
            </w:r>
          </w:p>
        </w:tc>
        <w:tc>
          <w:tcPr>
            <w:tcW w:w="1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40,197</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40,197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fees advance from shareholders</w:t>
            </w: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4"/>
              </w:rPr>
              <w:t>7,590,421</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loans</w:t>
            </w: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561,998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561,998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561,998</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561,998</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Ordinary Shares (par value US$0.00001 per</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share; 1,000,000,000 Class A ordinary shares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authorized, 50,000,000 and 50,000,000 Class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A ordinary shares issued and outstanding as of</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June 30, 2023 and December 31, 2022,</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respectively; 4,000,000,000 Class B ordinary</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authorized, 360,205,000 and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360,205,000 Class B ordinary shares issued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outstanding as of June 30, 2023 and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December 31, 2022, respectively.)</w:t>
            </w: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4,102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5,208</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32,240</w:t>
            </w:r>
          </w:p>
        </w:tc>
        <w:tc>
          <w:tcPr>
            <w:tcW w:w="1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8,631,312</w:t>
            </w:r>
          </w:p>
        </w:tc>
        <w:tc>
          <w:tcPr>
            <w:tcW w:w="1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23,096,408</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25,450,443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(3,259,598)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(3,259,598)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(3,259,598)</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(3,259,598)</w:t>
            </w:r>
          </w:p>
        </w:tc>
        <w:tc>
          <w:tcPr>
            <w:tcW w:w="0" w:type="dxa"/>
            <w:vAlign w:val="bottom"/>
          </w:tcPr>
          <w:p>
            <w:pPr>
              <w:spacing w:after="0"/>
              <w:rPr>
                <w:sz w:val="1"/>
                <w:szCs w:val="1"/>
                <w:color w:val="auto"/>
              </w:rPr>
            </w:pPr>
          </w:p>
        </w:tc>
      </w:tr>
      <w:tr>
        <w:trPr>
          <w:trHeight w:val="256"/>
        </w:trPr>
        <w:tc>
          <w:tcPr>
            <w:tcW w:w="3800" w:type="dxa"/>
            <w:vAlign w:val="bottom"/>
          </w:tcPr>
          <w:p>
            <w:pPr>
              <w:ind w:left="180"/>
              <w:spacing w:after="0"/>
              <w:rPr>
                <w:sz w:val="20"/>
                <w:szCs w:val="20"/>
                <w:color w:val="auto"/>
              </w:rPr>
            </w:pPr>
            <w:r>
              <w:rPr>
                <w:rFonts w:ascii="Arial" w:cs="Arial" w:eastAsia="Arial" w:hAnsi="Arial"/>
                <w:sz w:val="18"/>
                <w:szCs w:val="18"/>
                <w:color w:val="auto"/>
                <w:w w:val="92"/>
              </w:rPr>
              <w:t>Accumulated other comprehensive (loss)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87,496</w:t>
            </w: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87,496</w:t>
            </w:r>
          </w:p>
        </w:tc>
        <w:tc>
          <w:tcPr>
            <w:tcW w:w="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87,496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(3,226,191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5,464,230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8"/>
              </w:rPr>
              <w:t>19,929,514</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22,283,577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800" w:type="dxa"/>
            <w:vAlign w:val="bottom"/>
            <w:vMerge w:val="continue"/>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w w:val="94"/>
              </w:rPr>
              <w:t>7,866,857</w:t>
            </w:r>
          </w:p>
        </w:tc>
        <w:tc>
          <w:tcPr>
            <w:tcW w:w="1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8,966,857</w:t>
            </w:r>
          </w:p>
        </w:tc>
        <w:tc>
          <w:tcPr>
            <w:tcW w:w="1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23,432,141</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25,786,204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739" w:hanging="426"/>
        <w:spacing w:after="0" w:line="265" w:lineRule="auto"/>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Reflects the issuance of 89,795,000 shares of Class B Ordinary Shares on July 4, 2023 for the consideration of US$7,499,990 (received in cash and recorded as subscription fees advance from shareholders as of June 30, 2023) and the issuance of 1,964,286 shares of Class B Ordinary Shares on October 3, 2023 for the consideration of US$1,100,000.</w:t>
      </w:r>
    </w:p>
    <w:p>
      <w:pPr>
        <w:spacing w:after="0" w:line="1" w:lineRule="exact"/>
        <w:rPr>
          <w:rFonts w:ascii="Arial" w:cs="Arial" w:eastAsia="Arial" w:hAnsi="Arial"/>
          <w:sz w:val="16"/>
          <w:szCs w:val="16"/>
          <w:color w:val="auto"/>
        </w:rPr>
      </w:pPr>
    </w:p>
    <w:p>
      <w:pPr>
        <w:ind w:left="880" w:right="519" w:hanging="426"/>
        <w:spacing w:after="0" w:line="281" w:lineRule="auto"/>
        <w:tabs>
          <w:tab w:leader="none" w:pos="8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Reflects the issuance and sale of 18,750,000 Class B ordinary shares in the form of ADSs by us in this offering (without full exercise of the underwriter’s over-allotment option), at an assumed initial public offering price of US$9.00 per ADS, the midpoint of the estimated range of the initial public offering price shown on the front cover this prospectus,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pacing w:after="0" w:line="3" w:lineRule="exact"/>
        <w:rPr>
          <w:rFonts w:ascii="Arial" w:cs="Arial" w:eastAsia="Arial" w:hAnsi="Arial"/>
          <w:sz w:val="15"/>
          <w:szCs w:val="15"/>
          <w:color w:val="auto"/>
        </w:rPr>
      </w:pPr>
    </w:p>
    <w:p>
      <w:pPr>
        <w:ind w:left="880" w:right="599" w:hanging="426"/>
        <w:spacing w:after="0" w:line="323" w:lineRule="auto"/>
        <w:tabs>
          <w:tab w:leader="none" w:pos="8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 the event that the underwriters’ over-allotment option is exercised in full, total ordinary shares to be issued would be 21,562,500 shares and we estimate that the net proceeds will be approximately US$16,819,347.</w:t>
      </w:r>
    </w:p>
    <w:p>
      <w:pPr>
        <w:sectPr>
          <w:pgSz w:w="11900" w:h="16838" w:orient="portrait"/>
          <w:cols w:equalWidth="0" w:num="1">
            <w:col w:w="9019"/>
          </w:cols>
          <w:pgMar w:left="1440" w:top="274" w:right="1440" w:bottom="304"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304" w:gutter="0" w:footer="0" w:header="0"/>
          <w:type w:val="continuous"/>
        </w:sectPr>
      </w:pPr>
    </w:p>
    <w:bookmarkStart w:id="45" w:name="page46"/>
    <w:bookmarkEnd w:id="4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90"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Our net tangible book value as of June 30, 2023 was approximately US$5.46 million, or US$0.01 per ordinary share as of that date and US$0.11 per ADS. Net tangible book value represents the amount of our total consolidated tangible assets, less the amount of our total consolidated liabilities. Dilution is determined by subtracting net tangible book value per ordinary share, after giving effect to the additional proceeds we will receive from this offering, from the assumed initial public offering price of US$9.00 per ordinary share, which is the midpoint of the estimated initial public offering price range set forth on the front cover of this prospectus adjusted to reflect the ADS-to-ordinary share ratio, and after deducting underwriting discounts and commissions and estimated offering expenses payable by us.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Without taking into account any other changes in net tangible book value after June 30, 2023, other than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give effect to our sale of the ADSs offered in this offering at the assumed initial public offering price of</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US$9.00 per ADS, which is the midpoint of the estimated initial public offering price range shown on the front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cover of this prospectus, after deduction of the underwriting discounts and commissions and estimated offering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expenses payable by us, our as adjusted net tangible book value as of June 30, 2023 would have been US$19.49</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million, or US$0.04 per ordinary share and US$0.37 per ADS. This represents an immediate increase in net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tangible book value of US$0.03 per ordinary share and US$0.27 per ADS to the existing shareholders and an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immediate dilution in net tangible book value of US$0.86 per ordinary share and US$8.63 per ADS to investors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purchasing ADSs in this offering. The following table illustrates such dilution:</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1180" w:type="dxa"/>
            <w:vAlign w:val="bottom"/>
            <w:gridSpan w:val="3"/>
          </w:tcPr>
          <w:p>
            <w:pPr>
              <w:ind w:left="100"/>
              <w:spacing w:after="0"/>
              <w:rPr>
                <w:sz w:val="20"/>
                <w:szCs w:val="20"/>
                <w:color w:val="auto"/>
              </w:rPr>
            </w:pPr>
            <w:r>
              <w:rPr>
                <w:rFonts w:ascii="Arial" w:cs="Arial" w:eastAsia="Arial" w:hAnsi="Arial"/>
                <w:sz w:val="16"/>
                <w:szCs w:val="16"/>
                <w:b w:val="1"/>
                <w:bCs w:val="1"/>
                <w:color w:val="auto"/>
              </w:rPr>
              <w:t>Per ordinary</w:t>
            </w: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0"/>
        </w:trPr>
        <w:tc>
          <w:tcPr>
            <w:tcW w:w="5740" w:type="dxa"/>
            <w:vAlign w:val="bottom"/>
          </w:tcPr>
          <w:p>
            <w:pPr>
              <w:spacing w:after="0"/>
              <w:rPr>
                <w:sz w:val="18"/>
                <w:szCs w:val="18"/>
                <w:color w:val="auto"/>
              </w:rPr>
            </w:pPr>
          </w:p>
        </w:tc>
        <w:tc>
          <w:tcPr>
            <w:tcW w:w="760" w:type="dxa"/>
            <w:vAlign w:val="bottom"/>
          </w:tcPr>
          <w:p>
            <w:pPr>
              <w:ind w:left="360"/>
              <w:spacing w:after="0"/>
              <w:rPr>
                <w:sz w:val="20"/>
                <w:szCs w:val="20"/>
                <w:color w:val="auto"/>
              </w:rPr>
            </w:pPr>
            <w:r>
              <w:rPr>
                <w:rFonts w:ascii="Arial" w:cs="Arial" w:eastAsia="Arial" w:hAnsi="Arial"/>
                <w:sz w:val="16"/>
                <w:szCs w:val="16"/>
                <w:b w:val="1"/>
                <w:bCs w:val="1"/>
                <w:color w:val="auto"/>
                <w:w w:val="88"/>
              </w:rPr>
              <w:t>share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6"/>
                <w:szCs w:val="16"/>
                <w:b w:val="1"/>
                <w:bCs w:val="1"/>
                <w:color w:val="auto"/>
              </w:rPr>
              <w:t>Per ADS</w:t>
            </w:r>
          </w:p>
        </w:tc>
      </w:tr>
      <w:tr>
        <w:trPr>
          <w:trHeight w:val="47"/>
        </w:trPr>
        <w:tc>
          <w:tcPr>
            <w:tcW w:w="574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r>
      <w:tr>
        <w:trPr>
          <w:trHeight w:val="243"/>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w:t>
            </w: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Net tangible book value as of June 30, 2023</w:t>
            </w:r>
          </w:p>
        </w:tc>
        <w:tc>
          <w:tcPr>
            <w:tcW w:w="760" w:type="dxa"/>
            <w:vAlign w:val="bottom"/>
          </w:tcPr>
          <w:p>
            <w:pPr>
              <w:ind w:left="40"/>
              <w:spacing w:after="0"/>
              <w:rPr>
                <w:sz w:val="20"/>
                <w:szCs w:val="20"/>
                <w:color w:val="auto"/>
              </w:rPr>
            </w:pPr>
            <w:r>
              <w:rPr>
                <w:rFonts w:ascii="Arial" w:cs="Arial" w:eastAsia="Arial" w:hAnsi="Arial"/>
                <w:sz w:val="18"/>
                <w:szCs w:val="18"/>
                <w:color w:val="auto"/>
              </w:rPr>
              <w:t>US$</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0.01</w:t>
            </w:r>
          </w:p>
        </w:tc>
        <w:tc>
          <w:tcPr>
            <w:tcW w:w="660" w:type="dxa"/>
            <w:vAlign w:val="bottom"/>
          </w:tcPr>
          <w:p>
            <w:pPr>
              <w:ind w:left="140"/>
              <w:spacing w:after="0"/>
              <w:rPr>
                <w:sz w:val="20"/>
                <w:szCs w:val="20"/>
                <w:color w:val="auto"/>
              </w:rPr>
            </w:pPr>
            <w:r>
              <w:rPr>
                <w:rFonts w:ascii="Arial" w:cs="Arial" w:eastAsia="Arial" w:hAnsi="Arial"/>
                <w:sz w:val="18"/>
                <w:szCs w:val="18"/>
                <w:color w:val="auto"/>
              </w:rPr>
              <w:t>US$</w:t>
            </w:r>
          </w:p>
        </w:tc>
        <w:tc>
          <w:tcPr>
            <w:tcW w:w="52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40"/>
        </w:trPr>
        <w:tc>
          <w:tcPr>
            <w:tcW w:w="5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63"/>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adjusted net tangible book value after giving effect to this offering</w:t>
            </w: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0.04</w:t>
            </w:r>
          </w:p>
        </w:tc>
        <w:tc>
          <w:tcPr>
            <w:tcW w:w="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r>
      <w:tr>
        <w:trPr>
          <w:trHeight w:val="202"/>
        </w:trPr>
        <w:tc>
          <w:tcPr>
            <w:tcW w:w="5740" w:type="dxa"/>
            <w:vAlign w:val="bottom"/>
          </w:tcPr>
          <w:p>
            <w:pPr>
              <w:spacing w:after="0" w:line="201" w:lineRule="exact"/>
              <w:rPr>
                <w:sz w:val="20"/>
                <w:szCs w:val="20"/>
                <w:color w:val="auto"/>
              </w:rPr>
            </w:pPr>
            <w:r>
              <w:rPr>
                <w:rFonts w:ascii="Arial" w:cs="Arial" w:eastAsia="Arial" w:hAnsi="Arial"/>
                <w:sz w:val="18"/>
                <w:szCs w:val="18"/>
                <w:color w:val="auto"/>
              </w:rPr>
              <w:t>Amount of dilution in net tangible book value to new investors in this</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offering</w:t>
            </w:r>
          </w:p>
        </w:tc>
        <w:tc>
          <w:tcPr>
            <w:tcW w:w="760" w:type="dxa"/>
            <w:vAlign w:val="bottom"/>
          </w:tcPr>
          <w:p>
            <w:pPr>
              <w:ind w:left="40"/>
              <w:spacing w:after="0"/>
              <w:rPr>
                <w:sz w:val="20"/>
                <w:szCs w:val="20"/>
                <w:color w:val="auto"/>
              </w:rPr>
            </w:pPr>
            <w:r>
              <w:rPr>
                <w:rFonts w:ascii="Arial" w:cs="Arial" w:eastAsia="Arial" w:hAnsi="Arial"/>
                <w:sz w:val="18"/>
                <w:szCs w:val="18"/>
                <w:color w:val="auto"/>
              </w:rPr>
              <w:t>US$</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0.86</w:t>
            </w:r>
          </w:p>
        </w:tc>
        <w:tc>
          <w:tcPr>
            <w:tcW w:w="660" w:type="dxa"/>
            <w:vAlign w:val="bottom"/>
          </w:tcPr>
          <w:p>
            <w:pPr>
              <w:ind w:left="140"/>
              <w:spacing w:after="0"/>
              <w:rPr>
                <w:sz w:val="20"/>
                <w:szCs w:val="20"/>
                <w:color w:val="auto"/>
              </w:rPr>
            </w:pPr>
            <w:r>
              <w:rPr>
                <w:rFonts w:ascii="Arial" w:cs="Arial" w:eastAsia="Arial" w:hAnsi="Arial"/>
                <w:sz w:val="18"/>
                <w:szCs w:val="18"/>
                <w:color w:val="auto"/>
              </w:rPr>
              <w:t>US$</w:t>
            </w:r>
          </w:p>
        </w:tc>
        <w:tc>
          <w:tcPr>
            <w:tcW w:w="520" w:type="dxa"/>
            <w:vAlign w:val="bottom"/>
          </w:tcPr>
          <w:p>
            <w:pPr>
              <w:jc w:val="right"/>
              <w:spacing w:after="0"/>
              <w:rPr>
                <w:sz w:val="20"/>
                <w:szCs w:val="20"/>
                <w:color w:val="auto"/>
              </w:rPr>
            </w:pPr>
            <w:r>
              <w:rPr>
                <w:rFonts w:ascii="Arial" w:cs="Arial" w:eastAsia="Arial" w:hAnsi="Arial"/>
                <w:sz w:val="18"/>
                <w:szCs w:val="18"/>
                <w:color w:val="auto"/>
              </w:rPr>
              <w:t>8.63</w:t>
            </w:r>
          </w:p>
        </w:tc>
      </w:tr>
    </w:tbl>
    <w:p>
      <w:pPr>
        <w:spacing w:after="0" w:line="202"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A US$1.00 increase (decrease) in the assumed initial public offering price of US$9.00 per ADS would increase (decrease) our as adjusted net tangible book value after giving effect to this offering by US$1.88 million, the as adjusted net tangible book value per ordinary share and per ADS after giving effect to this offering by US$0.004 per ordinary share and US$0.04 per ADS, and the dilution in as adjusted net tangible book value per ordinary share and per ADS to new investors in this offering by US$0.86 per ordinary share and US$8.59 per ADS, assuming no change to the number of ADSs offered by us as set forth on the front cover of this prospectus, and after deducting underwriting discounts and commissions and estimated offering expenses payable by us.</w:t>
      </w:r>
    </w:p>
    <w:p>
      <w:pPr>
        <w:spacing w:after="0" w:line="124" w:lineRule="exact"/>
        <w:rPr>
          <w:sz w:val="20"/>
          <w:szCs w:val="20"/>
          <w:color w:val="auto"/>
        </w:rPr>
      </w:pPr>
    </w:p>
    <w:p>
      <w:pPr>
        <w:ind w:left="460" w:right="559" w:firstLine="432"/>
        <w:spacing w:after="0" w:line="293" w:lineRule="auto"/>
        <w:rPr>
          <w:sz w:val="20"/>
          <w:szCs w:val="20"/>
          <w:color w:val="auto"/>
        </w:rPr>
      </w:pPr>
      <w:r>
        <w:rPr>
          <w:rFonts w:ascii="Arial" w:cs="Arial" w:eastAsia="Arial" w:hAnsi="Arial"/>
          <w:sz w:val="16"/>
          <w:szCs w:val="16"/>
          <w:color w:val="auto"/>
        </w:rPr>
        <w:t>The following table summarizes, on an as adjusted basis as of June 30, 2023, the differences between existing shareholders and the new investors with respect to the number of ordinary shares (in the form of ADSs or ordinary shares) purchased from us, the total consideration paid and the average price per ordinary share and per ADS paid before deducting the underwriting discounts and commissions and estimated offering expenses payable by us. The total number of ordinary shares does not include ordinary shares underlying the ADSs issuable upon the exercise of the option to purchase additional ADSs granted to the underwriters.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Average</w:t>
            </w: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94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91"/>
              </w:rPr>
              <w:t>Ordinary Shares Purchased</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4"/>
            <w:vMerge w:val="restart"/>
          </w:tcPr>
          <w:p>
            <w:pPr>
              <w:jc w:val="right"/>
              <w:ind w:right="310"/>
              <w:spacing w:after="0"/>
              <w:rPr>
                <w:sz w:val="20"/>
                <w:szCs w:val="20"/>
                <w:color w:val="auto"/>
              </w:rPr>
            </w:pPr>
            <w:r>
              <w:rPr>
                <w:rFonts w:ascii="Arial" w:cs="Arial" w:eastAsia="Arial" w:hAnsi="Arial"/>
                <w:sz w:val="16"/>
                <w:szCs w:val="16"/>
                <w:b w:val="1"/>
                <w:bCs w:val="1"/>
                <w:color w:val="auto"/>
                <w:w w:val="93"/>
              </w:rPr>
              <w:t>Total Consideration</w:t>
            </w:r>
          </w:p>
        </w:tc>
        <w:tc>
          <w:tcPr>
            <w:tcW w:w="80" w:type="dxa"/>
            <w:vAlign w:val="bottom"/>
          </w:tcPr>
          <w:p>
            <w:pPr>
              <w:spacing w:after="0"/>
              <w:rPr>
                <w:sz w:val="17"/>
                <w:szCs w:val="17"/>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Price Per</w:t>
            </w:r>
          </w:p>
        </w:tc>
        <w:tc>
          <w:tcPr>
            <w:tcW w:w="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16"/>
        </w:trPr>
        <w:tc>
          <w:tcPr>
            <w:tcW w:w="2000" w:type="dxa"/>
            <w:vAlign w:val="bottom"/>
          </w:tcPr>
          <w:p>
            <w:pPr>
              <w:spacing w:after="0"/>
              <w:rPr>
                <w:sz w:val="10"/>
                <w:szCs w:val="10"/>
                <w:color w:val="auto"/>
              </w:rPr>
            </w:pPr>
          </w:p>
        </w:tc>
        <w:tc>
          <w:tcPr>
            <w:tcW w:w="194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restart"/>
          </w:tcPr>
          <w:p>
            <w:pPr>
              <w:jc w:val="center"/>
              <w:ind w:right="120"/>
              <w:spacing w:after="0" w:line="142" w:lineRule="exact"/>
              <w:rPr>
                <w:sz w:val="20"/>
                <w:szCs w:val="20"/>
                <w:color w:val="auto"/>
              </w:rPr>
            </w:pPr>
            <w:r>
              <w:rPr>
                <w:rFonts w:ascii="Arial" w:cs="Arial" w:eastAsia="Arial" w:hAnsi="Arial"/>
                <w:sz w:val="16"/>
                <w:szCs w:val="16"/>
                <w:b w:val="1"/>
                <w:bCs w:val="1"/>
                <w:color w:val="auto"/>
                <w:w w:val="98"/>
              </w:rPr>
              <w:t>Ordinary</w:t>
            </w:r>
          </w:p>
        </w:tc>
        <w:tc>
          <w:tcPr>
            <w:tcW w:w="92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2"/>
              </w:rPr>
              <w:t>Price Per</w:t>
            </w:r>
          </w:p>
        </w:tc>
        <w:tc>
          <w:tcPr>
            <w:tcW w:w="0" w:type="dxa"/>
            <w:vAlign w:val="bottom"/>
          </w:tcPr>
          <w:p>
            <w:pPr>
              <w:spacing w:after="0"/>
              <w:rPr>
                <w:sz w:val="1"/>
                <w:szCs w:val="1"/>
                <w:color w:val="auto"/>
              </w:rPr>
            </w:pPr>
          </w:p>
        </w:tc>
      </w:tr>
      <w:tr>
        <w:trPr>
          <w:trHeight w:val="47"/>
        </w:trPr>
        <w:tc>
          <w:tcPr>
            <w:tcW w:w="20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1040" w:type="dxa"/>
            <w:vAlign w:val="bottom"/>
            <w:gridSpan w:val="2"/>
          </w:tcPr>
          <w:p>
            <w:pPr>
              <w:ind w:left="200"/>
              <w:spacing w:after="0"/>
              <w:rPr>
                <w:sz w:val="20"/>
                <w:szCs w:val="20"/>
                <w:color w:val="auto"/>
              </w:rPr>
            </w:pPr>
            <w:r>
              <w:rPr>
                <w:rFonts w:ascii="Arial" w:cs="Arial" w:eastAsia="Arial" w:hAnsi="Arial"/>
                <w:sz w:val="16"/>
                <w:szCs w:val="16"/>
                <w:b w:val="1"/>
                <w:bCs w:val="1"/>
                <w:color w:val="auto"/>
              </w:rPr>
              <w:t>Number</w:t>
            </w:r>
          </w:p>
        </w:tc>
        <w:tc>
          <w:tcPr>
            <w:tcW w:w="90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Percent</w:t>
            </w:r>
          </w:p>
        </w:tc>
        <w:tc>
          <w:tcPr>
            <w:tcW w:w="100" w:type="dxa"/>
            <w:vAlign w:val="bottom"/>
          </w:tcPr>
          <w:p>
            <w:pPr>
              <w:spacing w:after="0"/>
              <w:rPr>
                <w:sz w:val="20"/>
                <w:szCs w:val="20"/>
                <w:color w:val="auto"/>
              </w:rPr>
            </w:pPr>
          </w:p>
        </w:tc>
        <w:tc>
          <w:tcPr>
            <w:tcW w:w="1280" w:type="dxa"/>
            <w:vAlign w:val="bottom"/>
            <w:gridSpan w:val="3"/>
          </w:tcPr>
          <w:p>
            <w:pPr>
              <w:ind w:left="300"/>
              <w:spacing w:after="0"/>
              <w:rPr>
                <w:sz w:val="20"/>
                <w:szCs w:val="20"/>
                <w:color w:val="auto"/>
              </w:rPr>
            </w:pPr>
            <w:r>
              <w:rPr>
                <w:rFonts w:ascii="Arial" w:cs="Arial" w:eastAsia="Arial" w:hAnsi="Arial"/>
                <w:sz w:val="16"/>
                <w:szCs w:val="16"/>
                <w:b w:val="1"/>
                <w:bCs w:val="1"/>
                <w:color w:val="auto"/>
              </w:rPr>
              <w:t>Amount</w:t>
            </w:r>
          </w:p>
        </w:tc>
        <w:tc>
          <w:tcPr>
            <w:tcW w:w="88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Percent</w:t>
            </w:r>
          </w:p>
        </w:tc>
        <w:tc>
          <w:tcPr>
            <w:tcW w:w="80" w:type="dxa"/>
            <w:vAlign w:val="bottom"/>
          </w:tcPr>
          <w:p>
            <w:pPr>
              <w:spacing w:after="0"/>
              <w:rPr>
                <w:sz w:val="20"/>
                <w:szCs w:val="20"/>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Share</w:t>
            </w:r>
          </w:p>
        </w:tc>
        <w:tc>
          <w:tcPr>
            <w:tcW w:w="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ADS</w:t>
            </w:r>
          </w:p>
        </w:tc>
        <w:tc>
          <w:tcPr>
            <w:tcW w:w="0" w:type="dxa"/>
            <w:vAlign w:val="bottom"/>
          </w:tcPr>
          <w:p>
            <w:pPr>
              <w:spacing w:after="0"/>
              <w:rPr>
                <w:sz w:val="1"/>
                <w:szCs w:val="1"/>
                <w:color w:val="auto"/>
              </w:rPr>
            </w:pPr>
          </w:p>
        </w:tc>
      </w:tr>
      <w:tr>
        <w:trPr>
          <w:trHeight w:val="46"/>
        </w:trPr>
        <w:tc>
          <w:tcPr>
            <w:tcW w:w="20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501,964,286</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US$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8,603,742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US$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New investors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18,750,000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US$</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16,875,000</w:t>
            </w:r>
          </w:p>
        </w:tc>
        <w:tc>
          <w:tcPr>
            <w:tcW w:w="100" w:type="dxa"/>
            <w:vAlign w:val="bottom"/>
          </w:tcPr>
          <w:p>
            <w:pPr>
              <w:spacing w:after="0"/>
              <w:rPr>
                <w:sz w:val="22"/>
                <w:szCs w:val="22"/>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66.2% US$</w:t>
            </w:r>
          </w:p>
        </w:tc>
        <w:tc>
          <w:tcPr>
            <w:tcW w:w="40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2"/>
                <w:szCs w:val="22"/>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2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520,714,286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US$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25,478,742</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as adjusted information discussed above is illustrative only. Our net tangible book value following the completion of this offering is subject to adjustment based on the actual initial public offering price of the ADSs and other terms of this offering determined at pricing.</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6" w:name="page47"/>
    <w:bookmarkEnd w:id="4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Cayman Islands</w:t>
      </w:r>
    </w:p>
    <w:p>
      <w:pPr>
        <w:spacing w:after="0" w:line="14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116" w:lineRule="exact"/>
        <w:rPr>
          <w:sz w:val="20"/>
          <w:szCs w:val="20"/>
          <w:color w:val="auto"/>
        </w:rPr>
      </w:pPr>
    </w:p>
    <w:p>
      <w:pPr>
        <w:ind w:left="1320" w:hanging="434"/>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144"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However, certain disadvantages accompany incorporation in the Cayman Islands. These disadvantages include but are not limited to:</w:t>
      </w:r>
    </w:p>
    <w:p>
      <w:pPr>
        <w:spacing w:after="0" w:line="103" w:lineRule="exact"/>
        <w:rPr>
          <w:sz w:val="20"/>
          <w:szCs w:val="20"/>
          <w:color w:val="auto"/>
        </w:rPr>
      </w:pPr>
    </w:p>
    <w:p>
      <w:pPr>
        <w:ind w:left="1320" w:right="679" w:hanging="434"/>
        <w:spacing w:after="0" w:line="263" w:lineRule="auto"/>
        <w:tabs>
          <w:tab w:leader="none" w:pos="13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116" w:lineRule="exact"/>
        <w:rPr>
          <w:rFonts w:ascii="Arial" w:cs="Arial" w:eastAsia="Arial" w:hAnsi="Arial"/>
          <w:sz w:val="18"/>
          <w:szCs w:val="18"/>
          <w:color w:val="auto"/>
        </w:rPr>
      </w:pPr>
    </w:p>
    <w:p>
      <w:pPr>
        <w:ind w:left="1320" w:right="1339" w:hanging="434"/>
        <w:spacing w:after="0" w:line="277" w:lineRule="auto"/>
        <w:tabs>
          <w:tab w:leader="none" w:pos="13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89"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Our memorandum and articles of association do not contain provisions requiring that disputes, including those arising under the securities laws of the United States, between us, our officers, directors and shareholders, be arbitrated.</w:t>
      </w:r>
    </w:p>
    <w:p>
      <w:pPr>
        <w:spacing w:after="0" w:line="116" w:lineRule="exact"/>
        <w:rPr>
          <w:sz w:val="20"/>
          <w:szCs w:val="20"/>
          <w:color w:val="auto"/>
        </w:rPr>
      </w:pPr>
    </w:p>
    <w:p>
      <w:pPr>
        <w:ind w:left="460" w:right="659" w:firstLine="432"/>
        <w:spacing w:after="0" w:line="272" w:lineRule="auto"/>
        <w:rPr>
          <w:sz w:val="20"/>
          <w:szCs w:val="20"/>
          <w:color w:val="auto"/>
        </w:rPr>
      </w:pPr>
      <w:r>
        <w:rPr>
          <w:rFonts w:ascii="Arial" w:cs="Arial" w:eastAsia="Arial" w:hAnsi="Arial"/>
          <w:sz w:val="17"/>
          <w:szCs w:val="17"/>
          <w:color w:val="auto"/>
        </w:rPr>
        <w:t>Our operations are mainly conducted in Singapore, and substantially all of our assets are located in Singapore.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10" w:lineRule="exact"/>
        <w:rPr>
          <w:sz w:val="20"/>
          <w:szCs w:val="20"/>
          <w:color w:val="auto"/>
        </w:rPr>
      </w:pPr>
    </w:p>
    <w:p>
      <w:pPr>
        <w:jc w:val="both"/>
        <w:ind w:left="460" w:right="479" w:firstLine="432"/>
        <w:spacing w:after="0" w:line="250" w:lineRule="auto"/>
        <w:rPr>
          <w:sz w:val="20"/>
          <w:szCs w:val="20"/>
          <w:color w:val="auto"/>
        </w:rPr>
      </w:pPr>
      <w:r>
        <w:rPr>
          <w:rFonts w:ascii="Arial" w:cs="Arial" w:eastAsia="Arial" w:hAnsi="Arial"/>
          <w:sz w:val="18"/>
          <w:szCs w:val="18"/>
          <w:color w:val="auto"/>
        </w:rPr>
        <w:t>We have appointed Cogency Global Inc., located at 122 East 42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Street, 18</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 New York, NY 10168, as our agent upon whom process may be served in any action brought against us under the securities laws of the United States.</w:t>
      </w:r>
    </w:p>
    <w:p>
      <w:pPr>
        <w:spacing w:after="0" w:line="112"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We have been informed by Maples and Calder (Hong Kong) LLP, our counsel as to Cayman Islands law, that 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We have also been advised by Maples and Calder (Hong Kong) LLP that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given by a foreign court of competent jurisdiction, (ii) imposes on the judgment debtor a liability to pay a liquidated sum for which the judgment has been given, (iii) is final, (iv) is not in respect of taxes, a fine or a penalty, and (v) was not obtained by fraud, and is not of a kind the enforcement of which is contrary to natural justice or the public policy of the Cayman Islands (awards of punitive or multiple damages may well be held to be contrary to public policy).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639" w:firstLine="432"/>
        <w:spacing w:after="0" w:line="311" w:lineRule="auto"/>
        <w:rPr>
          <w:sz w:val="20"/>
          <w:szCs w:val="20"/>
          <w:color w:val="auto"/>
        </w:rPr>
      </w:pPr>
      <w:r>
        <w:rPr>
          <w:rFonts w:ascii="Arial" w:cs="Arial" w:eastAsia="Arial" w:hAnsi="Arial"/>
          <w:sz w:val="16"/>
          <w:szCs w:val="16"/>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w:t>
      </w:r>
    </w:p>
    <w:p>
      <w:pPr>
        <w:spacing w:after="0" w:line="81"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Because the courts of the Cayman Islands have yet to rule on whether such judgments are penal or punitive in nature, it is uncertain whether such civil liability judgments from U.S. courts would be enforceable in the Cayman Islands.</w:t>
      </w:r>
    </w:p>
    <w:p>
      <w:pPr>
        <w:spacing w:after="0" w:line="116" w:lineRule="exact"/>
        <w:rPr>
          <w:sz w:val="20"/>
          <w:szCs w:val="20"/>
          <w:color w:val="auto"/>
        </w:rPr>
      </w:pPr>
    </w:p>
    <w:p>
      <w:pPr>
        <w:jc w:val="both"/>
        <w:ind w:left="460" w:right="639" w:firstLine="432"/>
        <w:spacing w:after="0" w:line="277" w:lineRule="auto"/>
        <w:rPr>
          <w:sz w:val="20"/>
          <w:szCs w:val="20"/>
          <w:color w:val="auto"/>
        </w:rPr>
      </w:pPr>
      <w:r>
        <w:rPr>
          <w:rFonts w:ascii="Arial" w:cs="Arial" w:eastAsia="Arial" w:hAnsi="Arial"/>
          <w:sz w:val="18"/>
          <w:szCs w:val="18"/>
          <w:color w:val="auto"/>
        </w:rPr>
        <w:t>A Cayman Islands court may stay enforcement proceedings if concurrent proceedings are being brought elsewhere.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Singapore</w:t>
      </w:r>
    </w:p>
    <w:p>
      <w:pPr>
        <w:spacing w:after="0" w:line="148"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There is no treaty between the U.S. and Singapore providing for the reciprocal recognition and enforcement of judgments in civil and commercial matters and a final judgment for the payment of money rendered by any federal or state court in the U.S. based on civil liability, whether or not predicated solely upon the federal securities laws, would, therefore, not be automatically enforceable in Singapore. There is uncertainty as to whether the courts of Singapore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Singapore against us or our directors or officers predicated upon the securities laws of the United States or any state in the United States.</w:t>
      </w:r>
    </w:p>
    <w:p>
      <w:pPr>
        <w:spacing w:after="0" w:line="129" w:lineRule="exact"/>
        <w:rPr>
          <w:sz w:val="20"/>
          <w:szCs w:val="20"/>
          <w:color w:val="auto"/>
        </w:rPr>
      </w:pPr>
    </w:p>
    <w:p>
      <w:pPr>
        <w:ind w:left="460" w:right="599" w:firstLine="432"/>
        <w:spacing w:after="0" w:line="311" w:lineRule="auto"/>
        <w:rPr>
          <w:sz w:val="20"/>
          <w:szCs w:val="20"/>
          <w:color w:val="auto"/>
        </w:rPr>
      </w:pPr>
      <w:r>
        <w:rPr>
          <w:rFonts w:ascii="Arial" w:cs="Arial" w:eastAsia="Arial" w:hAnsi="Arial"/>
          <w:sz w:val="16"/>
          <w:szCs w:val="16"/>
          <w:color w:val="auto"/>
        </w:rPr>
        <w:t>In making a determination as to enforceability of a judgment of the courts of the United States, the Singapore courts would have regard to whether the judgment was final and conclusive and on the merits of the case, given by a court of law of competent jurisdiction, and was expressed to be for a fixed sum of money.</w:t>
      </w:r>
    </w:p>
    <w:p>
      <w:pPr>
        <w:spacing w:after="0" w:line="81"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In general, a foreign judgment that is final and conclusive as between the parties, given by a competent court of law having jurisdiction over the parties subject to such judgment, and for a fixed and ascertainable sum of money, may be enforceable as a debt in the Singapore courts under common law unless procured by fraud, or the proceedings in which such judgment was obtained were not conducted in accordance with principles of natural justice, or the enforcement thereof would be contrary to the public policy of Singapore, or if the judgment would conflict with earlier judgment(s) from Singapore or earlier foreign judgment(s) recognized in Singapore, or if the judgment would amount to the direct or indirect enforcement of foreign penal, revenue or other public laws.</w:t>
      </w:r>
    </w:p>
    <w:p>
      <w:pPr>
        <w:spacing w:after="0" w:line="111"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Civil liability provisions of the federal and state securities law of the United States permit the award of punitive damages against us, our directors and officers. Singapore courts would not recognize or enforce foreign judgments against us, our directors and officers to the extent that doing so would amount to the direct or indirect enforcement of foreign penal, revenue or other public laws. It is uncertain as to whether a judgment of the courts of the United States under civil liability provisions of the federal securities law of the United States would be regarded by the Singapore courts as being a judgement given pursuant to foreign penal, revenue or other public laws. Such a determination has yet to be conclusively made by a Singapore court in a reported decision.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HISTORY AND STRUCTURE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History</w:t>
      </w:r>
    </w:p>
    <w:p>
      <w:pPr>
        <w:spacing w:after="0" w:line="148"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We commenced our operations in 2014 through QZT, a company incorporated under the laws of Singapore. Our primary business was to offer services and solutions to operate, optimize and transform business processes. In May 2022, we incorporated Trident Singapore to expand our business in Web 3.0 e-commerce.</w:t>
      </w:r>
    </w:p>
    <w:p>
      <w:pPr>
        <w:spacing w:after="0" w:line="81"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In June and July 2023, to facilitate our financing and listing opportunities outside Singapore, we established Trident Digital Tech Holdings Ltd, or Trident Cayman, our holding company incorporated under the laws of the Cayman Islands. Shortly following its incorporation, Trident Cayman acquired 100% interest in QZT and then QZT acquired 100% interest in Trident Singapore as part of our reorganization. Upon the completion of the reorganization, QZT became a wholly-owned subsidiary of Trident Cayman and Trident Singapore became a wholly-owned subsidiary of QZT.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Structure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diagram below illustrates our corporate structure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100330</wp:posOffset>
            </wp:positionV>
            <wp:extent cx="3034665" cy="1791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34665"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48"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The following summary consolidated statements of operations data and summary consolidated cash flow data for the years ended December 31, 2021 and 2022 and summary consolidated balance sheet data as of December 31, 2021 and 2022 have been derived from our audited consolidated financial statements included elsewhere in this prospectus. The following summary consolidated statements of operations data and summary consolidated statements of cash flows data for the six months ended June 30, 2023 and 2022 and summary consolidated balance sheet data as of June 30, 2023 have been derived from our unaudited interim condensed consolidated financial statements included elsewhere in this prospectus.</w:t>
      </w:r>
    </w:p>
    <w:p>
      <w:pPr>
        <w:spacing w:after="0" w:line="99"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25"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The following table presents our summary consolidated statements of operations data for the periods indicated.</w:t>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revenue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revenue</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Selling expenses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General and administrative expenses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Research and development expenses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operating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other income, net</w:t>
      </w:r>
    </w:p>
    <w:p>
      <w:pPr>
        <w:spacing w:after="0" w:line="54" w:lineRule="exact"/>
        <w:rPr>
          <w:sz w:val="20"/>
          <w:szCs w:val="20"/>
          <w:color w:val="auto"/>
        </w:rPr>
      </w:pPr>
    </w:p>
    <w:p>
      <w:pPr>
        <w:ind w:left="640" w:right="440" w:hanging="179"/>
        <w:spacing w:after="0" w:line="277" w:lineRule="auto"/>
        <w:rPr>
          <w:sz w:val="20"/>
          <w:szCs w:val="20"/>
          <w:color w:val="auto"/>
        </w:rPr>
      </w:pPr>
      <w:r>
        <w:rPr>
          <w:rFonts w:ascii="Arial" w:cs="Arial" w:eastAsia="Arial" w:hAnsi="Arial"/>
          <w:sz w:val="18"/>
          <w:szCs w:val="18"/>
          <w:color w:val="auto"/>
        </w:rPr>
        <w:t>(Loss)/Income before income tax expense</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Income tax expenses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(loss)/income</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comprehensive loss:</w:t>
      </w:r>
    </w:p>
    <w:p>
      <w:pPr>
        <w:spacing w:after="0" w:line="54" w:lineRule="exact"/>
        <w:rPr>
          <w:sz w:val="20"/>
          <w:szCs w:val="20"/>
          <w:color w:val="auto"/>
        </w:rPr>
      </w:pPr>
    </w:p>
    <w:p>
      <w:pPr>
        <w:ind w:left="820" w:right="600" w:hanging="179"/>
        <w:spacing w:after="0" w:line="277" w:lineRule="auto"/>
        <w:rPr>
          <w:sz w:val="20"/>
          <w:szCs w:val="20"/>
          <w:color w:val="auto"/>
        </w:rPr>
      </w:pPr>
      <w:r>
        <w:rPr>
          <w:rFonts w:ascii="Arial" w:cs="Arial" w:eastAsia="Arial" w:hAnsi="Arial"/>
          <w:sz w:val="18"/>
          <w:szCs w:val="18"/>
          <w:color w:val="auto"/>
        </w:rPr>
        <w:t>Foreign currency translation adjustment</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Total comprehensive (loss)/income</w:t>
      </w:r>
    </w:p>
    <w:p>
      <w:pPr>
        <w:spacing w:after="0" w:line="77" w:lineRule="exact"/>
        <w:rPr>
          <w:sz w:val="20"/>
          <w:szCs w:val="20"/>
          <w:color w:val="auto"/>
        </w:rPr>
      </w:pPr>
    </w:p>
    <w:p>
      <w:pPr>
        <w:ind w:left="640" w:right="60" w:hanging="179"/>
        <w:spacing w:after="0" w:line="308" w:lineRule="auto"/>
        <w:rPr>
          <w:sz w:val="20"/>
          <w:szCs w:val="20"/>
          <w:color w:val="auto"/>
        </w:rPr>
      </w:pPr>
      <w:r>
        <w:rPr>
          <w:rFonts w:ascii="Arial" w:cs="Arial" w:eastAsia="Arial" w:hAnsi="Arial"/>
          <w:sz w:val="16"/>
          <w:szCs w:val="16"/>
          <w:color w:val="auto"/>
        </w:rPr>
        <w:t>Weighted average number of Ordinary Shares – basic and diluted</w:t>
      </w:r>
    </w:p>
    <w:p>
      <w:pPr>
        <w:ind w:left="640" w:hanging="179"/>
        <w:spacing w:after="0" w:line="277" w:lineRule="auto"/>
        <w:rPr>
          <w:sz w:val="20"/>
          <w:szCs w:val="20"/>
          <w:color w:val="auto"/>
        </w:rPr>
      </w:pPr>
      <w:r>
        <w:rPr>
          <w:rFonts w:ascii="Arial" w:cs="Arial" w:eastAsia="Arial" w:hAnsi="Arial"/>
          <w:sz w:val="18"/>
          <w:szCs w:val="18"/>
          <w:color w:val="auto"/>
        </w:rPr>
        <w:t>Basic and diluted earnings per ordinary share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6"/>
          </w:tcPr>
          <w:p>
            <w:pPr>
              <w:jc w:val="right"/>
              <w:ind w:right="441"/>
              <w:spacing w:after="0"/>
              <w:rPr>
                <w:sz w:val="20"/>
                <w:szCs w:val="20"/>
                <w:color w:val="auto"/>
              </w:rPr>
            </w:pPr>
            <w:r>
              <w:rPr>
                <w:rFonts w:ascii="Arial" w:cs="Arial" w:eastAsia="Arial" w:hAnsi="Arial"/>
                <w:sz w:val="16"/>
                <w:szCs w:val="16"/>
                <w:b w:val="1"/>
                <w:bCs w:val="1"/>
                <w:color w:val="auto"/>
              </w:rPr>
              <w:t>For the Years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gridSpan w:val="7"/>
          </w:tcPr>
          <w:p>
            <w:pPr>
              <w:jc w:val="right"/>
              <w:ind w:right="360"/>
              <w:spacing w:after="0"/>
              <w:rPr>
                <w:sz w:val="20"/>
                <w:szCs w:val="20"/>
                <w:color w:val="auto"/>
              </w:rPr>
            </w:pPr>
            <w:r>
              <w:rPr>
                <w:rFonts w:ascii="Arial" w:cs="Arial" w:eastAsia="Arial" w:hAnsi="Arial"/>
                <w:sz w:val="16"/>
                <w:szCs w:val="16"/>
                <w:b w:val="1"/>
                <w:bCs w:val="1"/>
                <w:color w:val="auto"/>
              </w:rPr>
              <w:t>For the Six Months Ended</w:t>
            </w: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6"/>
          </w:tcPr>
          <w:p>
            <w:pPr>
              <w:jc w:val="right"/>
              <w:ind w:right="661"/>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7"/>
          </w:tcPr>
          <w:p>
            <w:pPr>
              <w:jc w:val="right"/>
              <w:ind w:right="960"/>
              <w:spacing w:after="0"/>
              <w:rPr>
                <w:sz w:val="20"/>
                <w:szCs w:val="20"/>
                <w:color w:val="auto"/>
              </w:rPr>
            </w:pPr>
            <w:r>
              <w:rPr>
                <w:rFonts w:ascii="Arial" w:cs="Arial" w:eastAsia="Arial" w:hAnsi="Arial"/>
                <w:sz w:val="16"/>
                <w:szCs w:val="16"/>
                <w:b w:val="1"/>
                <w:bCs w:val="1"/>
                <w:color w:val="auto"/>
              </w:rPr>
              <w:t>June 30,</w:t>
            </w:r>
          </w:p>
        </w:tc>
      </w:tr>
      <w:tr>
        <w:trPr>
          <w:trHeight w:val="46"/>
        </w:trPr>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21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12"/>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7"/>
        </w:trPr>
        <w:tc>
          <w:tcPr>
            <w:tcW w:w="12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20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22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22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24"/>
        </w:trPr>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gridSpan w:val="2"/>
          </w:tcPr>
          <w:p>
            <w:pPr>
              <w:jc w:val="right"/>
              <w:ind w:right="61"/>
              <w:spacing w:after="0"/>
              <w:rPr>
                <w:sz w:val="20"/>
                <w:szCs w:val="20"/>
                <w:color w:val="auto"/>
              </w:rPr>
            </w:pPr>
            <w:r>
              <w:rPr>
                <w:rFonts w:ascii="Arial" w:cs="Arial" w:eastAsia="Arial" w:hAnsi="Arial"/>
                <w:sz w:val="18"/>
                <w:szCs w:val="18"/>
                <w:color w:val="auto"/>
              </w:rPr>
              <w:t>1,262,899</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tcPr>
          <w:p>
            <w:pPr>
              <w:jc w:val="right"/>
              <w:ind w:right="61"/>
              <w:spacing w:after="0"/>
              <w:rPr>
                <w:sz w:val="20"/>
                <w:szCs w:val="20"/>
                <w:color w:val="auto"/>
              </w:rPr>
            </w:pPr>
            <w:r>
              <w:rPr>
                <w:rFonts w:ascii="Arial" w:cs="Arial" w:eastAsia="Arial" w:hAnsi="Arial"/>
                <w:sz w:val="18"/>
                <w:szCs w:val="18"/>
                <w:color w:val="auto"/>
              </w:rPr>
              <w:t>657,092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tcPr>
          <w:p>
            <w:pPr>
              <w:jc w:val="right"/>
              <w:ind w:right="61"/>
              <w:spacing w:after="0"/>
              <w:rPr>
                <w:sz w:val="20"/>
                <w:szCs w:val="20"/>
                <w:color w:val="auto"/>
              </w:rPr>
            </w:pPr>
            <w:r>
              <w:rPr>
                <w:rFonts w:ascii="Arial" w:cs="Arial" w:eastAsia="Arial" w:hAnsi="Arial"/>
                <w:sz w:val="18"/>
                <w:szCs w:val="18"/>
                <w:color w:val="auto"/>
              </w:rPr>
              <w:t>481,165</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475,123</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r>
      <w:tr>
        <w:trPr>
          <w:trHeight w:val="29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(1,000,689)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(456,645)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(389,569)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(378,896)</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262,210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200,447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91,596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96,227</w:t>
            </w: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r>
      <w:tr>
        <w:trPr>
          <w:trHeight w:val="52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(241,344)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(123,533)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(253,343)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(71,530)</w:t>
            </w:r>
          </w:p>
        </w:tc>
      </w:tr>
      <w:tr>
        <w:trPr>
          <w:trHeight w:val="28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(989,774)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(174,377)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(1,551,710)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(170,817)</w:t>
            </w:r>
          </w:p>
        </w:tc>
      </w:tr>
      <w:tr>
        <w:trPr>
          <w:trHeight w:val="29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(287,578)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(192,855)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(80,883)</w:t>
            </w: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(1,518,696</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(297,910</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(1,997,908</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(323,230</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74"/>
              </w:rPr>
              <w:t>)</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131,790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155,475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44,900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70,300</w:t>
            </w: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r>
      <w:tr>
        <w:trPr>
          <w:trHeight w:val="4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(1,124,696)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58,012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(1,861,412)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(156,703)</w:t>
            </w:r>
          </w:p>
        </w:tc>
      </w:tr>
      <w:tr>
        <w:trPr>
          <w:trHeight w:val="29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(4,793)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(28,045)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(1,129,489</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29,967</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(1,861,412</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(156,703</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1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(37,482)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34,853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(1,166,971</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29,661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(1,826,559</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(153,220</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74"/>
              </w:rPr>
              <w:t>)</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4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410,205,000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410,205,000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410,205,000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410,205,000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73"/>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(0.00)</w:t>
            </w:r>
          </w:p>
        </w:tc>
      </w:tr>
      <w:tr>
        <w:trPr>
          <w:trHeight w:val="43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-1946275</wp:posOffset>
            </wp:positionH>
            <wp:positionV relativeFrom="paragraph">
              <wp:posOffset>-3813810</wp:posOffset>
            </wp:positionV>
            <wp:extent cx="514350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-3453765</wp:posOffset>
            </wp:positionV>
            <wp:extent cx="514350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-3085465</wp:posOffset>
            </wp:positionV>
            <wp:extent cx="5143500"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-2725420</wp:posOffset>
            </wp:positionV>
            <wp:extent cx="514350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-2365375</wp:posOffset>
            </wp:positionV>
            <wp:extent cx="514350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-1885315</wp:posOffset>
            </wp:positionV>
            <wp:extent cx="514350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-1525270</wp:posOffset>
            </wp:positionV>
            <wp:extent cx="5143500"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196850"/>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-1028065</wp:posOffset>
            </wp:positionV>
            <wp:extent cx="514350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-548005</wp:posOffset>
            </wp:positionV>
            <wp:extent cx="5143500" cy="3003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30035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0</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2">
            <w:col w:w="3280" w:space="240"/>
            <w:col w:w="5499"/>
          </w:cols>
          <w:pgMar w:left="1440" w:top="274" w:right="1440" w:bottom="1440" w:gutter="0" w:footer="0" w:header="0"/>
          <w:type w:val="continuous"/>
        </w:sectPr>
      </w:pPr>
    </w:p>
    <w:bookmarkStart w:id="50" w:name="page51"/>
    <w:bookmarkEnd w:id="5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presents our summary consolidated balance sheet data as of the dates indicated.</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6"/>
          </w:tcPr>
          <w:p>
            <w:pPr>
              <w:jc w:val="right"/>
              <w:ind w:right="620"/>
              <w:spacing w:after="0"/>
              <w:rPr>
                <w:sz w:val="20"/>
                <w:szCs w:val="20"/>
                <w:color w:val="auto"/>
              </w:rPr>
            </w:pPr>
            <w:r>
              <w:rPr>
                <w:rFonts w:ascii="Arial" w:cs="Arial" w:eastAsia="Arial" w:hAnsi="Arial"/>
                <w:sz w:val="16"/>
                <w:szCs w:val="16"/>
                <w:b w:val="1"/>
                <w:bCs w:val="1"/>
                <w:color w:val="auto"/>
              </w:rPr>
              <w:t>As of December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0"/>
              </w:rPr>
              <w:t>As of June 30,</w:t>
            </w: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945,265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3,965,607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47,547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118,779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74,554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cost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268,509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540,496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Amounts due from related parties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995,563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437,299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141,851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29,870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166,436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1,403,172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422,242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6,179,955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36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3,003,972</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506,451</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7,866,857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2,639,900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424,656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left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9,524,598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36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4,328,759</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471,332</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11,093,048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(1,324,787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left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(3,226,191</w:t>
            </w:r>
          </w:p>
        </w:tc>
        <w:tc>
          <w:tcPr>
            <w:tcW w:w="1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vMerge w:val="continue"/>
          </w:tcPr>
          <w:p>
            <w:pPr>
              <w:spacing w:after="0"/>
              <w:rPr>
                <w:sz w:val="18"/>
                <w:szCs w:val="18"/>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61"/>
              <w:spacing w:after="0" w:line="196" w:lineRule="exact"/>
              <w:rPr>
                <w:sz w:val="20"/>
                <w:szCs w:val="20"/>
                <w:color w:val="auto"/>
              </w:rPr>
            </w:pPr>
            <w:r>
              <w:rPr>
                <w:rFonts w:ascii="Arial" w:cs="Arial" w:eastAsia="Arial" w:hAnsi="Arial"/>
                <w:sz w:val="18"/>
                <w:szCs w:val="18"/>
                <w:b w:val="1"/>
                <w:bCs w:val="1"/>
                <w:color w:val="auto"/>
              </w:rPr>
              <w:t>3,003,972</w:t>
            </w:r>
          </w:p>
        </w:tc>
        <w:tc>
          <w:tcPr>
            <w:tcW w:w="340" w:type="dxa"/>
            <w:vAlign w:val="bottom"/>
            <w:gridSpan w:val="2"/>
          </w:tcPr>
          <w:p>
            <w:pPr>
              <w:jc w:val="right"/>
              <w:ind w:right="87"/>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506,451</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7,866,857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4692015</wp:posOffset>
            </wp:positionH>
            <wp:positionV relativeFrom="paragraph">
              <wp:posOffset>-1139825</wp:posOffset>
            </wp:positionV>
            <wp:extent cx="285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-1148080</wp:posOffset>
            </wp:positionV>
            <wp:extent cx="285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-67945</wp:posOffset>
            </wp:positionV>
            <wp:extent cx="285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1"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The following table presents our selected consolidated statements of cash flow data for the periods indicated.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7"/>
          </w:tcPr>
          <w:p>
            <w:pPr>
              <w:jc w:val="center"/>
              <w:ind w:right="220"/>
              <w:spacing w:after="0"/>
              <w:rPr>
                <w:sz w:val="20"/>
                <w:szCs w:val="20"/>
                <w:color w:val="auto"/>
              </w:rPr>
            </w:pPr>
            <w:r>
              <w:rPr>
                <w:rFonts w:ascii="Arial" w:cs="Arial" w:eastAsia="Arial" w:hAnsi="Arial"/>
                <w:sz w:val="16"/>
                <w:szCs w:val="16"/>
                <w:b w:val="1"/>
                <w:bCs w:val="1"/>
                <w:color w:val="auto"/>
                <w:w w:val="92"/>
              </w:rPr>
              <w:t>For the Years Ended</w:t>
            </w:r>
          </w:p>
        </w:tc>
        <w:tc>
          <w:tcPr>
            <w:tcW w:w="120" w:type="dxa"/>
            <w:vAlign w:val="bottom"/>
          </w:tcPr>
          <w:p>
            <w:pPr>
              <w:spacing w:after="0"/>
              <w:rPr>
                <w:sz w:val="17"/>
                <w:szCs w:val="17"/>
                <w:color w:val="auto"/>
              </w:rPr>
            </w:pPr>
          </w:p>
        </w:tc>
        <w:tc>
          <w:tcPr>
            <w:tcW w:w="2020" w:type="dxa"/>
            <w:vAlign w:val="bottom"/>
            <w:gridSpan w:val="6"/>
          </w:tcPr>
          <w:p>
            <w:pPr>
              <w:jc w:val="right"/>
              <w:ind w:right="101"/>
              <w:spacing w:after="0"/>
              <w:rPr>
                <w:sz w:val="20"/>
                <w:szCs w:val="20"/>
                <w:color w:val="auto"/>
              </w:rPr>
            </w:pPr>
            <w:r>
              <w:rPr>
                <w:rFonts w:ascii="Arial" w:cs="Arial" w:eastAsia="Arial" w:hAnsi="Arial"/>
                <w:sz w:val="16"/>
                <w:szCs w:val="16"/>
                <w:b w:val="1"/>
                <w:bCs w:val="1"/>
                <w:color w:val="auto"/>
                <w:w w:val="92"/>
              </w:rPr>
              <w:t>For the Six Months Ended</w:t>
            </w:r>
          </w:p>
        </w:tc>
      </w:tr>
      <w:tr>
        <w:trPr>
          <w:trHeight w:val="210"/>
        </w:trPr>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7"/>
          </w:tcPr>
          <w:p>
            <w:pPr>
              <w:jc w:val="center"/>
              <w:ind w:right="180"/>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38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1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9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5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ind w:right="11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r>
      <w:tr>
        <w:trPr>
          <w:trHeight w:val="46"/>
        </w:trPr>
        <w:tc>
          <w:tcPr>
            <w:tcW w:w="38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64"/>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Net cash (used in) provided by operating activities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(609,946)</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244,100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1"/>
              </w:rPr>
              <w:t>(2,380,926)</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(27,514)</w:t>
            </w: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(73,885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(53,313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(79,043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cash provided by (used in) financing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4"/>
              </w:rPr>
              <w:t>1,378,257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66,030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7"/>
              </w:rPr>
              <w:t>5,426,739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(118,326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32,401</w:t>
            </w:r>
          </w:p>
        </w:tc>
        <w:tc>
          <w:tcPr>
            <w:tcW w:w="140" w:type="dxa"/>
            <w:vAlign w:val="bottom"/>
          </w:tcPr>
          <w:p>
            <w:pPr>
              <w:spacing w:after="0"/>
              <w:rPr>
                <w:sz w:val="19"/>
                <w:szCs w:val="19"/>
                <w:color w:val="auto"/>
              </w:rPr>
            </w:pPr>
          </w:p>
        </w:tc>
      </w:tr>
      <w:tr>
        <w:trPr>
          <w:trHeight w:val="40"/>
        </w:trPr>
        <w:tc>
          <w:tcPr>
            <w:tcW w:w="3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671,672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255,956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7"/>
              </w:rPr>
              <w:t>3,020,342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8"/>
              </w:rPr>
              <w:t>(113,439)</w:t>
            </w:r>
          </w:p>
        </w:tc>
      </w:tr>
      <w:tr>
        <w:trPr>
          <w:trHeight w:val="257"/>
        </w:trPr>
        <w:tc>
          <w:tcPr>
            <w:tcW w:w="386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80" w:type="dxa"/>
            <w:vAlign w:val="bottom"/>
          </w:tcPr>
          <w:p>
            <w:pPr>
              <w:spacing w:after="0"/>
              <w:rPr>
                <w:sz w:val="22"/>
                <w:szCs w:val="22"/>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273,593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17,637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945,265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273,593</w:t>
            </w:r>
          </w:p>
        </w:tc>
      </w:tr>
      <w:tr>
        <w:trPr>
          <w:trHeight w:val="27"/>
        </w:trPr>
        <w:tc>
          <w:tcPr>
            <w:tcW w:w="38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945,265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273,593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7"/>
              </w:rPr>
              <w:t>3,965,607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5"/>
              </w:rPr>
              <w:t>160,154</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392"/>
        </w:trPr>
        <w:tc>
          <w:tcPr>
            <w:tcW w:w="3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w w:val="89"/>
              </w:rPr>
              <w:t>45</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51" w:name="page52"/>
    <w:bookmarkEnd w:id="5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30"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the consolidated financial statements and the notes to those statements included elsewhere in this prospectus. The discussion in this prospectus contains forward-looking statements that involve risks and uncertainties, such as statements of our plans, objectives, expectations and intentions. The cautionary statements made in this prospectus should be read as applying to all related forward-looking statements wherever they appear in this prospectus. Our actual results could differ materially from those discussed here. Factors that could cause or contribute to these differences include those discussed in “Risk Factors,” as well as those discussed elsewhere. See “Risk Factors” and “Special Note Regarding Forward-Looking Statements.”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Overview</w:t>
      </w:r>
    </w:p>
    <w:p>
      <w:pPr>
        <w:spacing w:after="0" w:line="148" w:lineRule="exact"/>
        <w:rPr>
          <w:sz w:val="20"/>
          <w:szCs w:val="20"/>
          <w:color w:val="auto"/>
        </w:rPr>
      </w:pPr>
    </w:p>
    <w:p>
      <w:pPr>
        <w:jc w:val="both"/>
        <w:ind w:left="460" w:right="659" w:firstLine="432"/>
        <w:spacing w:after="0" w:line="311" w:lineRule="auto"/>
        <w:rPr>
          <w:sz w:val="20"/>
          <w:szCs w:val="20"/>
          <w:color w:val="auto"/>
        </w:rPr>
      </w:pPr>
      <w:r>
        <w:rPr>
          <w:rFonts w:ascii="Arial" w:cs="Arial" w:eastAsia="Arial" w:hAnsi="Arial"/>
          <w:sz w:val="16"/>
          <w:szCs w:val="16"/>
          <w:color w:val="auto"/>
        </w:rPr>
        <w:t>We are a leading digital transformation enabler in the SME segment of the e-commerce enablement and digital optimizing services market in Singapore. We have been a navigator for our clients as they ideate, plan and execute on their journey to a digital future through our solutions and services, comprising:</w:t>
      </w:r>
    </w:p>
    <w:p>
      <w:pPr>
        <w:spacing w:after="0" w:line="81" w:lineRule="exact"/>
        <w:rPr>
          <w:sz w:val="20"/>
          <w:szCs w:val="20"/>
          <w:color w:val="auto"/>
        </w:rPr>
      </w:pPr>
    </w:p>
    <w:p>
      <w:pPr>
        <w:ind w:left="1320" w:right="479" w:hanging="434"/>
        <w:spacing w:after="0" w:line="257" w:lineRule="auto"/>
        <w:tabs>
          <w:tab w:leader="none" w:pos="1315"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Business consulting: </w:t>
      </w:r>
      <w:r>
        <w:rPr>
          <w:rFonts w:ascii="Arial" w:cs="Arial" w:eastAsia="Arial" w:hAnsi="Arial"/>
          <w:sz w:val="18"/>
          <w:szCs w:val="18"/>
          <w:color w:val="auto"/>
        </w:rPr>
        <w:t>We support clients to define and deliver technology-enabled transformations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20" w:lineRule="exact"/>
        <w:rPr>
          <w:rFonts w:ascii="Arial" w:cs="Arial" w:eastAsia="Arial" w:hAnsi="Arial"/>
          <w:sz w:val="18"/>
          <w:szCs w:val="18"/>
          <w:color w:val="auto"/>
        </w:rPr>
      </w:pPr>
    </w:p>
    <w:p>
      <w:pPr>
        <w:ind w:left="1320" w:right="479" w:hanging="434"/>
        <w:spacing w:after="0" w:line="259" w:lineRule="auto"/>
        <w:tabs>
          <w:tab w:leader="none" w:pos="1315"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 customization: </w:t>
      </w:r>
      <w:r>
        <w:rPr>
          <w:rFonts w:ascii="Arial" w:cs="Arial" w:eastAsia="Arial" w:hAnsi="Arial"/>
          <w:sz w:val="18"/>
          <w:szCs w:val="18"/>
          <w:color w:val="auto"/>
        </w:rPr>
        <w:t>We offer solutions and services to plan, design, operate, optimize and transform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106"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We provide customized offerings that address the specific needs of clients in our strategic vertical markets. As of June 30, 2023, we served over 200 clients across our core verticals such as food and beverage, wholesale and retail.</w:t>
      </w:r>
    </w:p>
    <w:p>
      <w:pPr>
        <w:spacing w:after="0" w:line="116"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plan to launch a Web 3.0 e-commerce platform whereby customers and merchants can transact in a transparent and secure way, or Tridentity, in the fourth quarter of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98"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Key Factors Affecting Our Results of Operations</w:t>
      </w:r>
    </w:p>
    <w:p>
      <w:pPr>
        <w:spacing w:after="0" w:line="158" w:lineRule="exact"/>
        <w:rPr>
          <w:sz w:val="20"/>
          <w:szCs w:val="20"/>
          <w:color w:val="auto"/>
        </w:rPr>
      </w:pPr>
    </w:p>
    <w:p>
      <w:pPr>
        <w:ind w:left="460" w:right="699" w:firstLine="432"/>
        <w:spacing w:after="0" w:line="263" w:lineRule="auto"/>
        <w:rPr>
          <w:sz w:val="20"/>
          <w:szCs w:val="20"/>
          <w:color w:val="auto"/>
        </w:rPr>
      </w:pPr>
      <w:r>
        <w:rPr>
          <w:rFonts w:ascii="Arial" w:cs="Arial" w:eastAsia="Arial" w:hAnsi="Arial"/>
          <w:sz w:val="18"/>
          <w:szCs w:val="18"/>
          <w:color w:val="auto"/>
        </w:rPr>
        <w:t>We believe the growth and future success of our business depends on many factors. While these factors present significant opportunities for our business, they also pose important challenges we must successfully address in order to sustain our growth.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2" w:name="page53"/>
    <w:bookmarkEnd w:id="5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Expanding our solutions and services</w:t>
      </w:r>
    </w:p>
    <w:p>
      <w:pPr>
        <w:spacing w:after="0" w:line="158"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We plan to launch Tridentity in the fourth quarter of 2023. We may expend significant resources in the development of offerings through Tridentity. Our ability to successfully develop and monetize new services and features may depend on a number of factors, including the availability of capital to invest in innovation, the effectiveness of our marketing efforts, competition, pricing, and our clients’ satisfaction and spending.</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Acquiring new clients</w:t>
      </w:r>
    </w:p>
    <w:p>
      <w:pPr>
        <w:spacing w:after="0" w:line="131"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Sustaining continued revenue growth relies on the adoption of our solutions by new clients. We will continue to invest in our solutions and introduce new services and features to drive adoption and increase penetration in our core verticals such as food and beverage, wholesale and retail. We plan to continue winning new clients by investing in our salesforce, improving the awareness of our brands and solutions, and building new partnerships and integrations.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Expanding into new verticals and new markets</w:t>
      </w:r>
    </w:p>
    <w:p>
      <w:pPr>
        <w:spacing w:after="0" w:line="131"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intend to expand into new verticals and sub-verticals with a particular focus on those with low digital adoption and growing usage of software solutions. We believe there is a significant need for our solutions and services on a global basis and, accordingly, opportunity for us to grow our business through further international expansion. We think these verticals and markets provide an attractive opportunity to introduce our solutions and services and drive adoption.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Continued investment in innovation and growth</w:t>
      </w:r>
    </w:p>
    <w:p>
      <w:pPr>
        <w:spacing w:after="0" w:line="144"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We have made substantial investments in research and development and sales and marketing to achieve a leadership position in our market and grow our revenues and client base. We intend to continue to invest in research and development to build new capabilities and maintain the core technology underpinning our solutions and services. In addition, we expect to increase investment in sales and marketing to broaden our reach with new clients and abroad and deepen our penetration with existing clients. We are in the process of increasing our general and administrative spending to support our growing operations and prepare for operating as a public company. With our revenue growth objectives, we expect to continue to make such investments for the foreseeable future.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31" w:lineRule="exact"/>
        <w:rPr>
          <w:sz w:val="20"/>
          <w:szCs w:val="20"/>
          <w:color w:val="auto"/>
        </w:rPr>
      </w:pPr>
    </w:p>
    <w:p>
      <w:pPr>
        <w:ind w:left="460" w:right="1099" w:firstLine="432"/>
        <w:spacing w:after="0" w:line="277" w:lineRule="auto"/>
        <w:rPr>
          <w:sz w:val="20"/>
          <w:szCs w:val="20"/>
          <w:color w:val="auto"/>
        </w:rPr>
      </w:pPr>
      <w:r>
        <w:rPr>
          <w:rFonts w:ascii="Arial" w:cs="Arial" w:eastAsia="Arial" w:hAnsi="Arial"/>
          <w:sz w:val="18"/>
          <w:szCs w:val="18"/>
          <w:color w:val="auto"/>
        </w:rPr>
        <w:t>We derive revenues principally from providing business consulting services and IT customization services.</w:t>
      </w:r>
    </w:p>
    <w:p>
      <w:pPr>
        <w:spacing w:after="0" w:line="76"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i w:val="1"/>
          <w:iCs w:val="1"/>
          <w:color w:val="auto"/>
        </w:rPr>
        <w:t xml:space="preserve">Business consulting. </w:t>
      </w:r>
      <w:r>
        <w:rPr>
          <w:rFonts w:ascii="Arial" w:cs="Arial" w:eastAsia="Arial" w:hAnsi="Arial"/>
          <w:sz w:val="18"/>
          <w:szCs w:val="18"/>
          <w:color w:val="auto"/>
        </w:rPr>
        <w:t>We provide a wide range of business consulting services to customers of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from business strategy advisory, design of business workflows and processes, brand and reputation, to digital marketing in achieving organization objectives such as enhancing cost efficiency, productivity and customer experience.</w:t>
      </w:r>
    </w:p>
    <w:p>
      <w:pPr>
        <w:spacing w:after="0" w:line="106" w:lineRule="exact"/>
        <w:rPr>
          <w:sz w:val="20"/>
          <w:szCs w:val="20"/>
          <w:color w:val="auto"/>
        </w:rPr>
      </w:pPr>
    </w:p>
    <w:p>
      <w:pPr>
        <w:ind w:left="460" w:right="719" w:firstLine="432"/>
        <w:spacing w:after="0" w:line="259" w:lineRule="auto"/>
        <w:rPr>
          <w:sz w:val="20"/>
          <w:szCs w:val="20"/>
          <w:color w:val="auto"/>
        </w:rPr>
      </w:pPr>
      <w:r>
        <w:rPr>
          <w:rFonts w:ascii="Arial" w:cs="Arial" w:eastAsia="Arial" w:hAnsi="Arial"/>
          <w:sz w:val="18"/>
          <w:szCs w:val="18"/>
          <w:i w:val="1"/>
          <w:iCs w:val="1"/>
          <w:color w:val="auto"/>
        </w:rPr>
        <w:t xml:space="preserve">IT customization. </w:t>
      </w:r>
      <w:r>
        <w:rPr>
          <w:rFonts w:ascii="Arial" w:cs="Arial" w:eastAsia="Arial" w:hAnsi="Arial"/>
          <w:sz w:val="18"/>
          <w:szCs w:val="18"/>
          <w:color w:val="auto"/>
        </w:rPr>
        <w:t>We offer IT customization services, including tailor-made IT solutions or packaged</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solutions to meet clients’ objectives. Our services cover end-to-end solutions, including IT consultancy, design of the system architecture, planning and design of the solution, implementation, quality assurance, as well as maintenance support services.</w:t>
      </w:r>
    </w:p>
    <w:p>
      <w:pPr>
        <w:spacing w:after="0" w:line="92"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IT customization mainly consists of (i) IT consulting and customization services, including development of customized software solutions, implementation and training, server hosting, and one-year maintenance service; and (ii) management software solutions for clients via an annual subscription-based model, which subscription generally includes support services.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31"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Cost of revenues represents costs and expenses incurred in order to generate revenue. Our cost of revenues primarily consists of (i) fees paid to service suppliers, such as outsourcing service cost, (ii) direct labor costs, (iii) commission costs, which is incremental costs to obtain new sales contract, and (iv) miscellaneous costs.</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3" w:name="page54"/>
    <w:bookmarkEnd w:id="5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ind w:left="460" w:right="819" w:firstLine="432"/>
        <w:spacing w:after="0" w:line="293" w:lineRule="auto"/>
        <w:rPr>
          <w:sz w:val="20"/>
          <w:szCs w:val="20"/>
          <w:color w:val="auto"/>
        </w:rPr>
      </w:pPr>
      <w:r>
        <w:rPr>
          <w:rFonts w:ascii="Arial" w:cs="Arial" w:eastAsia="Arial" w:hAnsi="Arial"/>
          <w:sz w:val="16"/>
          <w:szCs w:val="16"/>
          <w:color w:val="auto"/>
        </w:rPr>
        <w:t>Operating expenses include general and administrative expenses, selling expenses and research and development expenses. General and administrative expenses mainly consist of (i) salary and social welfare expenses to the management team, (ii) rental cost for offices, and (iii) depreciation expenses. Our selling expenses mainly consist of (i) salary and social welfare expenses to the marketing team, and (ii) advertising costs and market promotion expenses. Our research and development expenses mainly consist of system development expenses for Tridentity, our Web 3.0 e-commerce platform.</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58" w:lineRule="exact"/>
        <w:rPr>
          <w:sz w:val="20"/>
          <w:szCs w:val="20"/>
          <w:color w:val="auto"/>
        </w:rPr>
      </w:pPr>
    </w:p>
    <w:p>
      <w:pPr>
        <w:ind w:left="460" w:right="999" w:firstLine="432"/>
        <w:spacing w:after="0" w:line="277" w:lineRule="auto"/>
        <w:rPr>
          <w:sz w:val="20"/>
          <w:szCs w:val="20"/>
          <w:color w:val="auto"/>
        </w:rPr>
      </w:pPr>
      <w:r>
        <w:rPr>
          <w:rFonts w:ascii="Arial" w:cs="Arial" w:eastAsia="Arial" w:hAnsi="Arial"/>
          <w:sz w:val="18"/>
          <w:szCs w:val="18"/>
          <w:color w:val="auto"/>
        </w:rPr>
        <w:t>Other income, net mainly consists of (i) government subsidies, (ii) non-refundable service fee from terminated consulting projects, (iii) referral commission, and (iv) interest expenses.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Six months ended June 30, 2023 Compared to Six months ended June 30, 2022</w:t>
      </w:r>
    </w:p>
    <w:p>
      <w:pPr>
        <w:spacing w:after="0" w:line="158" w:lineRule="exact"/>
        <w:rPr>
          <w:sz w:val="20"/>
          <w:szCs w:val="20"/>
          <w:color w:val="auto"/>
        </w:rPr>
      </w:pPr>
    </w:p>
    <w:p>
      <w:pPr>
        <w:ind w:left="460" w:right="799" w:firstLine="432"/>
        <w:spacing w:after="0" w:line="277" w:lineRule="auto"/>
        <w:rPr>
          <w:sz w:val="20"/>
          <w:szCs w:val="20"/>
          <w:color w:val="auto"/>
        </w:rPr>
      </w:pPr>
      <w:r>
        <w:rPr>
          <w:rFonts w:ascii="Arial" w:cs="Arial" w:eastAsia="Arial" w:hAnsi="Arial"/>
          <w:sz w:val="18"/>
          <w:szCs w:val="18"/>
          <w:color w:val="auto"/>
        </w:rPr>
        <w:t>The following table sets forth a summary of our consolidated statements of income for the six months ended June 30, 2023 and 2022, respectively.</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6"/>
          </w:tcPr>
          <w:p>
            <w:pPr>
              <w:jc w:val="center"/>
              <w:ind w:right="61"/>
              <w:spacing w:after="0"/>
              <w:rPr>
                <w:sz w:val="20"/>
                <w:szCs w:val="20"/>
                <w:color w:val="auto"/>
              </w:rPr>
            </w:pPr>
            <w:r>
              <w:rPr>
                <w:rFonts w:ascii="Arial" w:cs="Arial" w:eastAsia="Arial" w:hAnsi="Arial"/>
                <w:sz w:val="16"/>
                <w:szCs w:val="16"/>
                <w:b w:val="1"/>
                <w:bCs w:val="1"/>
                <w:color w:val="auto"/>
                <w:w w:val="89"/>
              </w:rPr>
              <w:t>For the six months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center"/>
              <w:ind w:left="592"/>
              <w:spacing w:after="0"/>
              <w:rPr>
                <w:sz w:val="20"/>
                <w:szCs w:val="20"/>
                <w:color w:val="auto"/>
              </w:rPr>
            </w:pPr>
            <w:r>
              <w:rPr>
                <w:rFonts w:ascii="Arial" w:cs="Arial" w:eastAsia="Arial" w:hAnsi="Arial"/>
                <w:sz w:val="16"/>
                <w:szCs w:val="16"/>
                <w:b w:val="1"/>
                <w:bCs w:val="1"/>
                <w:color w:val="auto"/>
                <w:w w:val="90"/>
              </w:rPr>
              <w:t>June 30,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90"/>
              </w:rPr>
              <w:t>Change in</w:t>
            </w:r>
          </w:p>
        </w:tc>
        <w:tc>
          <w:tcPr>
            <w:tcW w:w="110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amount</w:t>
            </w:r>
          </w:p>
        </w:tc>
        <w:tc>
          <w:tcPr>
            <w:tcW w:w="132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of change</w:t>
            </w:r>
          </w:p>
        </w:tc>
        <w:tc>
          <w:tcPr>
            <w:tcW w:w="0" w:type="dxa"/>
            <w:vAlign w:val="bottom"/>
          </w:tcPr>
          <w:p>
            <w:pPr>
              <w:spacing w:after="0"/>
              <w:rPr>
                <w:sz w:val="1"/>
                <w:szCs w:val="1"/>
                <w:color w:val="auto"/>
              </w:rPr>
            </w:pPr>
          </w:p>
        </w:tc>
      </w:tr>
      <w:tr>
        <w:trPr>
          <w:trHeight w:val="46"/>
        </w:trPr>
        <w:tc>
          <w:tcPr>
            <w:tcW w:w="28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481,165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475,123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6,042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57"/>
        </w:trPr>
        <w:tc>
          <w:tcPr>
            <w:tcW w:w="2860" w:type="dxa"/>
            <w:vAlign w:val="bottom"/>
          </w:tcPr>
          <w:p>
            <w:pPr>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(389,569)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5"/>
              </w:rPr>
              <w:t>(378,896)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(10,673)</w:t>
            </w:r>
          </w:p>
        </w:tc>
        <w:tc>
          <w:tcPr>
            <w:tcW w:w="10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91,596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96,227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0"/>
                <w:szCs w:val="20"/>
                <w:color w:val="auto"/>
              </w:rPr>
            </w:pPr>
            <w:r>
              <w:rPr>
                <w:rFonts w:ascii="Arial" w:cs="Arial" w:eastAsia="Arial" w:hAnsi="Arial"/>
                <w:sz w:val="18"/>
                <w:szCs w:val="18"/>
                <w:color w:val="auto"/>
              </w:rPr>
              <w:t>Selling expenses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(253,343)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(71,530)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(181,813)</w:t>
            </w:r>
          </w:p>
        </w:tc>
        <w:tc>
          <w:tcPr>
            <w:tcW w:w="100" w:type="dxa"/>
            <w:vAlign w:val="bottom"/>
          </w:tcPr>
          <w:p>
            <w:pPr>
              <w:spacing w:after="0"/>
              <w:rPr>
                <w:sz w:val="21"/>
                <w:szCs w:val="21"/>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254.18%</w:t>
            </w:r>
          </w:p>
        </w:tc>
        <w:tc>
          <w:tcPr>
            <w:tcW w:w="0" w:type="dxa"/>
            <w:vAlign w:val="bottom"/>
          </w:tcPr>
          <w:p>
            <w:pPr>
              <w:spacing w:after="0"/>
              <w:rPr>
                <w:sz w:val="1"/>
                <w:szCs w:val="1"/>
                <w:color w:val="auto"/>
              </w:rPr>
            </w:pPr>
          </w:p>
        </w:tc>
      </w:tr>
      <w:tr>
        <w:trPr>
          <w:trHeight w:val="40"/>
        </w:trPr>
        <w:tc>
          <w:tcPr>
            <w:tcW w:w="2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General and administrative expenses</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(1,551,710)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(170,817)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(1,380,893)</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808.40%</w:t>
            </w:r>
          </w:p>
        </w:tc>
        <w:tc>
          <w:tcPr>
            <w:tcW w:w="0" w:type="dxa"/>
            <w:vAlign w:val="bottom"/>
          </w:tcPr>
          <w:p>
            <w:pPr>
              <w:spacing w:after="0"/>
              <w:rPr>
                <w:sz w:val="1"/>
                <w:szCs w:val="1"/>
                <w:color w:val="auto"/>
              </w:rPr>
            </w:pPr>
          </w:p>
        </w:tc>
      </w:tr>
      <w:tr>
        <w:trPr>
          <w:trHeight w:val="257"/>
        </w:trPr>
        <w:tc>
          <w:tcPr>
            <w:tcW w:w="2860" w:type="dxa"/>
            <w:vAlign w:val="bottom"/>
          </w:tcPr>
          <w:p>
            <w:pPr>
              <w:spacing w:after="0"/>
              <w:rPr>
                <w:sz w:val="20"/>
                <w:szCs w:val="20"/>
                <w:color w:val="auto"/>
              </w:rPr>
            </w:pPr>
            <w:r>
              <w:rPr>
                <w:rFonts w:ascii="Arial" w:cs="Arial" w:eastAsia="Arial" w:hAnsi="Arial"/>
                <w:sz w:val="18"/>
                <w:szCs w:val="18"/>
                <w:color w:val="auto"/>
                <w:w w:val="93"/>
              </w:rPr>
              <w:t>Research and development expenses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(192,855)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(80,883)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(111,972)</w:t>
            </w:r>
          </w:p>
        </w:tc>
        <w:tc>
          <w:tcPr>
            <w:tcW w:w="10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138.44%</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(1,997,908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(323,230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(1,674,678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518.11</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(1,906,312)</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(227,003)</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(1,679,309)</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739.77%</w:t>
            </w:r>
          </w:p>
        </w:tc>
        <w:tc>
          <w:tcPr>
            <w:tcW w:w="0" w:type="dxa"/>
            <w:vAlign w:val="bottom"/>
          </w:tcPr>
          <w:p>
            <w:pPr>
              <w:spacing w:after="0"/>
              <w:rPr>
                <w:sz w:val="1"/>
                <w:szCs w:val="1"/>
                <w:color w:val="auto"/>
              </w:rPr>
            </w:pPr>
          </w:p>
        </w:tc>
      </w:tr>
      <w:tr>
        <w:trPr>
          <w:trHeight w:val="40"/>
        </w:trPr>
        <w:tc>
          <w:tcPr>
            <w:tcW w:w="2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44,900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70,300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(25,400)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(36.13)%</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b w:val="1"/>
                <w:bCs w:val="1"/>
                <w:color w:val="auto"/>
              </w:rPr>
              <w:t>Loss before income tax expense</w:t>
            </w: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(1,861,412)</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(156,703)</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(1,704,709)</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1,087.86%</w:t>
            </w:r>
          </w:p>
        </w:tc>
        <w:tc>
          <w:tcPr>
            <w:tcW w:w="0" w:type="dxa"/>
            <w:vAlign w:val="bottom"/>
          </w:tcPr>
          <w:p>
            <w:pPr>
              <w:spacing w:after="0"/>
              <w:rPr>
                <w:sz w:val="1"/>
                <w:szCs w:val="1"/>
                <w:color w:val="auto"/>
              </w:rPr>
            </w:pPr>
          </w:p>
        </w:tc>
      </w:tr>
      <w:tr>
        <w:trPr>
          <w:trHeight w:val="40"/>
        </w:trPr>
        <w:tc>
          <w:tcPr>
            <w:tcW w:w="2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8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(1,861,412</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(156,703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(1,704,709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1,087.86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The breakdown of revenues by revenue streams for the six months ended June 30, 2023 and 2022 is summarized below:</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246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89"/>
              </w:rPr>
              <w:t>For the six months ended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0"/>
        </w:trPr>
        <w:tc>
          <w:tcPr>
            <w:tcW w:w="3080" w:type="dxa"/>
            <w:vAlign w:val="bottom"/>
          </w:tcPr>
          <w:p>
            <w:pPr>
              <w:spacing w:after="0"/>
              <w:rPr>
                <w:sz w:val="18"/>
                <w:szCs w:val="18"/>
                <w:color w:val="auto"/>
              </w:rPr>
            </w:pPr>
          </w:p>
        </w:tc>
        <w:tc>
          <w:tcPr>
            <w:tcW w:w="1560" w:type="dxa"/>
            <w:vAlign w:val="bottom"/>
            <w:gridSpan w:val="3"/>
          </w:tcPr>
          <w:p>
            <w:pPr>
              <w:jc w:val="center"/>
              <w:ind w:left="734"/>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4"/>
          </w:tcPr>
          <w:p>
            <w:pPr>
              <w:ind w:left="940"/>
              <w:spacing w:after="0"/>
              <w:rPr>
                <w:sz w:val="20"/>
                <w:szCs w:val="20"/>
                <w:color w:val="auto"/>
              </w:rPr>
            </w:pPr>
            <w:r>
              <w:rPr>
                <w:rFonts w:ascii="Arial" w:cs="Arial" w:eastAsia="Arial" w:hAnsi="Arial"/>
                <w:sz w:val="16"/>
                <w:szCs w:val="16"/>
                <w:b w:val="1"/>
                <w:bCs w:val="1"/>
                <w:color w:val="auto"/>
                <w:w w:val="92"/>
              </w:rPr>
              <w:t>Variances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7"/>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Borders>
              <w:bottom w:val="single" w:sz="8" w:color="auto"/>
            </w:tcBorders>
            <w:gridSpan w:val="4"/>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30"/>
        </w:trPr>
        <w:tc>
          <w:tcPr>
            <w:tcW w:w="3080" w:type="dxa"/>
            <w:vAlign w:val="bottom"/>
          </w:tcPr>
          <w:p>
            <w:pPr>
              <w:spacing w:after="0"/>
              <w:rPr>
                <w:sz w:val="20"/>
                <w:szCs w:val="20"/>
                <w:color w:val="auto"/>
              </w:rPr>
            </w:pPr>
          </w:p>
        </w:tc>
        <w:tc>
          <w:tcPr>
            <w:tcW w:w="1140" w:type="dxa"/>
            <w:vAlign w:val="bottom"/>
          </w:tcPr>
          <w:p>
            <w:pPr>
              <w:ind w:left="42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66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w w:val="95"/>
              </w:rPr>
              <w:t>Amount</w:t>
            </w:r>
          </w:p>
        </w:tc>
        <w:tc>
          <w:tcPr>
            <w:tcW w:w="680" w:type="dxa"/>
            <w:vAlign w:val="bottom"/>
          </w:tcPr>
          <w:p>
            <w:pPr>
              <w:jc w:val="right"/>
              <w:ind w:right="27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r>
      <w:tr>
        <w:trPr>
          <w:trHeight w:val="46"/>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30"/>
        </w:trPr>
        <w:tc>
          <w:tcPr>
            <w:tcW w:w="3080" w:type="dxa"/>
            <w:vAlign w:val="bottom"/>
          </w:tcPr>
          <w:p>
            <w:pPr>
              <w:spacing w:after="0"/>
              <w:rPr>
                <w:sz w:val="20"/>
                <w:szCs w:val="20"/>
                <w:color w:val="auto"/>
              </w:rPr>
            </w:pPr>
          </w:p>
        </w:tc>
        <w:tc>
          <w:tcPr>
            <w:tcW w:w="1560" w:type="dxa"/>
            <w:vAlign w:val="bottom"/>
            <w:gridSpan w:val="3"/>
          </w:tcPr>
          <w:p>
            <w:pPr>
              <w:ind w:left="420"/>
              <w:spacing w:after="0"/>
              <w:rPr>
                <w:sz w:val="20"/>
                <w:szCs w:val="20"/>
                <w:color w:val="auto"/>
              </w:rPr>
            </w:pPr>
            <w:r>
              <w:rPr>
                <w:rFonts w:ascii="Arial" w:cs="Arial" w:eastAsia="Arial" w:hAnsi="Arial"/>
                <w:sz w:val="16"/>
                <w:szCs w:val="16"/>
                <w:b w:val="1"/>
                <w:bCs w:val="1"/>
                <w:color w:val="auto"/>
              </w:rPr>
              <w:t>USD</w:t>
            </w:r>
          </w:p>
        </w:tc>
        <w:tc>
          <w:tcPr>
            <w:tcW w:w="9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USD</w:t>
            </w:r>
          </w:p>
        </w:tc>
        <w:tc>
          <w:tcPr>
            <w:tcW w:w="166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rPr>
              <w:t>USD</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7"/>
        </w:trPr>
        <w:tc>
          <w:tcPr>
            <w:tcW w:w="3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Business consultin</w:t>
            </w:r>
            <w:r>
              <w:rPr>
                <w:rFonts w:ascii="Arial" w:cs="Arial" w:eastAsia="Arial" w:hAnsi="Arial"/>
                <w:sz w:val="18"/>
                <w:szCs w:val="18"/>
                <w:color w:val="auto"/>
              </w:rPr>
              <w:t>g</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113,764</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192,513</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(78,749)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(40.91)</w:t>
            </w:r>
            <w:r>
              <w:rPr>
                <w:rFonts w:ascii="Arial" w:cs="Arial" w:eastAsia="Arial" w:hAnsi="Arial"/>
                <w:sz w:val="18"/>
                <w:szCs w:val="18"/>
                <w:color w:val="auto"/>
              </w:rPr>
              <w:t>%</w:t>
            </w:r>
          </w:p>
        </w:tc>
      </w:tr>
      <w:tr>
        <w:trPr>
          <w:trHeight w:val="243"/>
        </w:trPr>
        <w:tc>
          <w:tcPr>
            <w:tcW w:w="3080" w:type="dxa"/>
            <w:vAlign w:val="bottom"/>
          </w:tcPr>
          <w:p>
            <w:pPr>
              <w:spacing w:after="0"/>
              <w:rPr>
                <w:sz w:val="20"/>
                <w:szCs w:val="20"/>
                <w:color w:val="auto"/>
              </w:rPr>
            </w:pPr>
            <w:r>
              <w:rPr>
                <w:rFonts w:ascii="Arial" w:cs="Arial" w:eastAsia="Arial" w:hAnsi="Arial"/>
                <w:sz w:val="18"/>
                <w:szCs w:val="18"/>
                <w:b w:val="1"/>
                <w:bCs w:val="1"/>
                <w:color w:val="auto"/>
              </w:rPr>
              <w:t>IT customization</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367,401</w:t>
            </w: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282,610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84,791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30.00%</w:t>
            </w:r>
          </w:p>
        </w:tc>
      </w:tr>
      <w:tr>
        <w:trPr>
          <w:trHeight w:val="41"/>
        </w:trPr>
        <w:tc>
          <w:tcPr>
            <w:tcW w:w="3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IT consulting</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130,289</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272,874</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(142,585)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(52.25)%</w:t>
            </w:r>
          </w:p>
        </w:tc>
      </w:tr>
      <w:tr>
        <w:trPr>
          <w:trHeight w:val="256"/>
        </w:trPr>
        <w:tc>
          <w:tcPr>
            <w:tcW w:w="3080" w:type="dxa"/>
            <w:vAlign w:val="bottom"/>
          </w:tcPr>
          <w:p>
            <w:pPr>
              <w:spacing w:after="0"/>
              <w:rPr>
                <w:sz w:val="20"/>
                <w:szCs w:val="20"/>
                <w:color w:val="auto"/>
              </w:rPr>
            </w:pPr>
            <w:r>
              <w:rPr>
                <w:rFonts w:ascii="Arial" w:cs="Arial" w:eastAsia="Arial" w:hAnsi="Arial"/>
                <w:sz w:val="18"/>
                <w:szCs w:val="18"/>
                <w:color w:val="auto"/>
              </w:rPr>
              <w:t>Management software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237,112</w:t>
            </w:r>
          </w:p>
        </w:tc>
        <w:tc>
          <w:tcPr>
            <w:tcW w:w="3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9,736</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227,376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2"/>
              </w:rPr>
              <w:t>2,335.41%</w:t>
            </w:r>
          </w:p>
        </w:tc>
      </w:tr>
      <w:tr>
        <w:trPr>
          <w:trHeight w:val="27"/>
        </w:trPr>
        <w:tc>
          <w:tcPr>
            <w:tcW w:w="30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481,165</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475,123</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6,042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Our revenues slightly increased by 1.27%, from US$475,123 for the six months ended June 30, 2022 to US$481,165 for the six months ended June 30, 2023. The increase was primarily due to the rapid development of our management software launched in second quarter of 2022, partially offset by the decrease of revenue from business consulting and IT consulting.</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4" w:name="page55"/>
    <w:bookmarkEnd w:id="5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i w:val="1"/>
          <w:iCs w:val="1"/>
          <w:color w:val="auto"/>
        </w:rPr>
        <w:t xml:space="preserve">Business consulting. </w:t>
      </w:r>
      <w:r>
        <w:rPr>
          <w:rFonts w:ascii="Arial" w:cs="Arial" w:eastAsia="Arial" w:hAnsi="Arial"/>
          <w:sz w:val="17"/>
          <w:szCs w:val="17"/>
          <w:color w:val="auto"/>
        </w:rPr>
        <w:t>Net revenues from business consulting services decreased from US$192,513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2022 to US$113,764 for the six months ended June 30, 2023, primarily attributed to (i) reduction of business consulting projects were completed, delivered and accepted by customers for the six months ended June 30, 2023; and partially offset by (ii) the appreciation of SGD against USD in our reporting currency translation from 1.3651 for the six months ended June 30, 2022 to 1.3361 for the six months ended June 30, 2023. The average contract price of completed projects were US$37,921 and US$32,086 for the six months ended June 30, 2023 and 2022, respectively.</w:t>
      </w:r>
    </w:p>
    <w:p>
      <w:pPr>
        <w:spacing w:after="0" w:line="110"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i w:val="1"/>
          <w:iCs w:val="1"/>
          <w:color w:val="auto"/>
        </w:rPr>
        <w:t xml:space="preserve">IT customization. </w:t>
      </w:r>
      <w:r>
        <w:rPr>
          <w:rFonts w:ascii="Arial" w:cs="Arial" w:eastAsia="Arial" w:hAnsi="Arial"/>
          <w:sz w:val="18"/>
          <w:szCs w:val="18"/>
          <w:color w:val="auto"/>
        </w:rPr>
        <w:t>Net revenues from IT customization increased from US$282,610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2022 to US$367,401 for the six months ended June 30, 2023, primarily due to (i) our newly engaged business line in providing management software solutions in second quarter of 2022, the business has thrived and generated greater revenue for the six months ended June 30, 2023; (ii) the appreciation of SGD against USD in our reporting currency translation; (iii) the increased of average contract price of US$37,857 from US$27,287 for the six months ended June 30, 2022 to US$65,145; and partially offset by (iv) reduction of IT customization projects were completed, delivered and accepted by customers for the six months ended June 30, 2023.</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58"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The breakdown of cost of revenues for the six months ended June 30, 2023 and 2022 is summarized below:</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246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89"/>
              </w:rPr>
              <w:t>For the six months ended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560" w:type="dxa"/>
            <w:vAlign w:val="bottom"/>
            <w:gridSpan w:val="3"/>
          </w:tcPr>
          <w:p>
            <w:pPr>
              <w:jc w:val="center"/>
              <w:ind w:left="735"/>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4"/>
          </w:tcPr>
          <w:p>
            <w:pPr>
              <w:ind w:left="940"/>
              <w:spacing w:after="0"/>
              <w:rPr>
                <w:sz w:val="20"/>
                <w:szCs w:val="20"/>
                <w:color w:val="auto"/>
              </w:rPr>
            </w:pPr>
            <w:r>
              <w:rPr>
                <w:rFonts w:ascii="Arial" w:cs="Arial" w:eastAsia="Arial" w:hAnsi="Arial"/>
                <w:sz w:val="16"/>
                <w:szCs w:val="16"/>
                <w:b w:val="1"/>
                <w:bCs w:val="1"/>
                <w:color w:val="auto"/>
              </w:rPr>
              <w:t>Variances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Borders>
              <w:bottom w:val="single" w:sz="8" w:color="auto"/>
            </w:tcBorders>
            <w:gridSpan w:val="4"/>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080" w:type="dxa"/>
            <w:vAlign w:val="bottom"/>
          </w:tcPr>
          <w:p>
            <w:pPr>
              <w:spacing w:after="0"/>
              <w:rPr>
                <w:sz w:val="20"/>
                <w:szCs w:val="20"/>
                <w:color w:val="auto"/>
              </w:rPr>
            </w:pPr>
          </w:p>
        </w:tc>
        <w:tc>
          <w:tcPr>
            <w:tcW w:w="1140" w:type="dxa"/>
            <w:vAlign w:val="bottom"/>
          </w:tcPr>
          <w:p>
            <w:pPr>
              <w:ind w:left="42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720" w:type="dxa"/>
            <w:vAlign w:val="bottom"/>
            <w:gridSpan w:val="4"/>
          </w:tcPr>
          <w:p>
            <w:pPr>
              <w:jc w:val="center"/>
              <w:ind w:right="580"/>
              <w:spacing w:after="0"/>
              <w:rPr>
                <w:sz w:val="20"/>
                <w:szCs w:val="20"/>
                <w:color w:val="auto"/>
              </w:rPr>
            </w:pPr>
            <w:r>
              <w:rPr>
                <w:rFonts w:ascii="Arial" w:cs="Arial" w:eastAsia="Arial" w:hAnsi="Arial"/>
                <w:sz w:val="16"/>
                <w:szCs w:val="16"/>
                <w:b w:val="1"/>
                <w:bCs w:val="1"/>
                <w:color w:val="auto"/>
                <w:w w:val="95"/>
              </w:rPr>
              <w:t>Amount</w:t>
            </w:r>
          </w:p>
        </w:tc>
        <w:tc>
          <w:tcPr>
            <w:tcW w:w="620" w:type="dxa"/>
            <w:vAlign w:val="bottom"/>
          </w:tcPr>
          <w:p>
            <w:pPr>
              <w:jc w:val="right"/>
              <w:ind w:right="272"/>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080" w:type="dxa"/>
            <w:vAlign w:val="bottom"/>
          </w:tcPr>
          <w:p>
            <w:pPr>
              <w:spacing w:after="0"/>
              <w:rPr>
                <w:sz w:val="20"/>
                <w:szCs w:val="20"/>
                <w:color w:val="auto"/>
              </w:rPr>
            </w:pPr>
          </w:p>
        </w:tc>
        <w:tc>
          <w:tcPr>
            <w:tcW w:w="1560" w:type="dxa"/>
            <w:vAlign w:val="bottom"/>
            <w:gridSpan w:val="3"/>
          </w:tcPr>
          <w:p>
            <w:pPr>
              <w:ind w:left="420"/>
              <w:spacing w:after="0"/>
              <w:rPr>
                <w:sz w:val="20"/>
                <w:szCs w:val="20"/>
                <w:color w:val="auto"/>
              </w:rPr>
            </w:pPr>
            <w:r>
              <w:rPr>
                <w:rFonts w:ascii="Arial" w:cs="Arial" w:eastAsia="Arial" w:hAnsi="Arial"/>
                <w:sz w:val="16"/>
                <w:szCs w:val="16"/>
                <w:b w:val="1"/>
                <w:bCs w:val="1"/>
                <w:color w:val="auto"/>
              </w:rPr>
              <w:t>USD</w:t>
            </w:r>
          </w:p>
        </w:tc>
        <w:tc>
          <w:tcPr>
            <w:tcW w:w="9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USD</w:t>
            </w:r>
          </w:p>
        </w:tc>
        <w:tc>
          <w:tcPr>
            <w:tcW w:w="1720" w:type="dxa"/>
            <w:vAlign w:val="bottom"/>
            <w:gridSpan w:val="4"/>
          </w:tcPr>
          <w:p>
            <w:pPr>
              <w:jc w:val="center"/>
              <w:ind w:right="580"/>
              <w:spacing w:after="0"/>
              <w:rPr>
                <w:sz w:val="20"/>
                <w:szCs w:val="20"/>
                <w:color w:val="auto"/>
              </w:rPr>
            </w:pPr>
            <w:r>
              <w:rPr>
                <w:rFonts w:ascii="Arial" w:cs="Arial" w:eastAsia="Arial" w:hAnsi="Arial"/>
                <w:sz w:val="16"/>
                <w:szCs w:val="16"/>
                <w:b w:val="1"/>
                <w:bCs w:val="1"/>
                <w:color w:val="auto"/>
              </w:rPr>
              <w:t>USD</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fees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246,572</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235,583</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10,989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Direct labor costs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122,142</w:t>
            </w: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116,761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40"/>
        </w:trPr>
        <w:tc>
          <w:tcPr>
            <w:tcW w:w="3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cost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20,855</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26,552</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(5,697)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Total cost of revenues</w:t>
            </w: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244"/>
        </w:trPr>
        <w:tc>
          <w:tcPr>
            <w:tcW w:w="3080" w:type="dxa"/>
            <w:vAlign w:val="bottom"/>
            <w:vMerge w:val="continue"/>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389,569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378,896</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10,673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2.82</w:t>
            </w:r>
          </w:p>
        </w:tc>
        <w:tc>
          <w:tcPr>
            <w:tcW w:w="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Our cost of revenues slightly increased by 2.82%, from US$378,896 for the six months ended June 30, 2022 to US$389,569 for the six months ended June 30, 2023.</w:t>
      </w:r>
    </w:p>
    <w:p>
      <w:pPr>
        <w:spacing w:after="0" w:line="103" w:lineRule="exact"/>
        <w:rPr>
          <w:sz w:val="20"/>
          <w:szCs w:val="20"/>
          <w:color w:val="auto"/>
        </w:rPr>
      </w:pPr>
    </w:p>
    <w:p>
      <w:pPr>
        <w:jc w:val="center"/>
        <w:ind w:right="179"/>
        <w:spacing w:after="0"/>
        <w:tabs>
          <w:tab w:leader="none" w:pos="160" w:val="left"/>
        </w:tabs>
        <w:rPr>
          <w:sz w:val="20"/>
          <w:szCs w:val="20"/>
          <w:color w:val="auto"/>
        </w:rPr>
      </w:pPr>
      <w:r>
        <w:rPr>
          <w:rFonts w:ascii="Arial" w:cs="Arial" w:eastAsia="Arial" w:hAnsi="Arial"/>
          <w:sz w:val="18"/>
          <w:szCs w:val="18"/>
          <w:i w:val="1"/>
          <w:iCs w:val="1"/>
          <w:color w:val="auto"/>
        </w:rPr>
        <w:t>Service fees.</w:t>
      </w:r>
      <w:r>
        <w:rPr>
          <w:sz w:val="20"/>
          <w:szCs w:val="20"/>
          <w:color w:val="auto"/>
        </w:rPr>
        <w:tab/>
      </w:r>
      <w:r>
        <w:rPr>
          <w:rFonts w:ascii="Arial" w:cs="Arial" w:eastAsia="Arial" w:hAnsi="Arial"/>
          <w:sz w:val="16"/>
          <w:szCs w:val="16"/>
          <w:color w:val="auto"/>
        </w:rPr>
        <w:t>Service fees increased from US$235,583 for the six months ended June 30, 2022 to</w:t>
      </w:r>
    </w:p>
    <w:p>
      <w:pPr>
        <w:spacing w:after="0" w:line="23" w:lineRule="exact"/>
        <w:rPr>
          <w:sz w:val="20"/>
          <w:szCs w:val="20"/>
          <w:color w:val="auto"/>
        </w:rPr>
      </w:pPr>
    </w:p>
    <w:p>
      <w:pPr>
        <w:ind w:left="460" w:right="639"/>
        <w:spacing w:after="0" w:line="253" w:lineRule="auto"/>
        <w:rPr>
          <w:sz w:val="20"/>
          <w:szCs w:val="20"/>
          <w:color w:val="auto"/>
        </w:rPr>
      </w:pPr>
      <w:r>
        <w:rPr>
          <w:rFonts w:ascii="Arial" w:cs="Arial" w:eastAsia="Arial" w:hAnsi="Arial"/>
          <w:sz w:val="18"/>
          <w:szCs w:val="18"/>
          <w:color w:val="auto"/>
        </w:rPr>
        <w:t>US$246,572 for the six months ended June 30, 2023, primarily due to the increase of incremental commission costs related to management software, partially offset by the decrease of service fees paid to suppliers or outsourcers related to business consulting and IT consulting, which in line with the completion status and revenue recognized.</w:t>
      </w:r>
    </w:p>
    <w:p>
      <w:pPr>
        <w:spacing w:after="0" w:line="125"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i w:val="1"/>
          <w:iCs w:val="1"/>
          <w:color w:val="auto"/>
        </w:rPr>
        <w:t xml:space="preserve">Direct labor costs. </w:t>
      </w:r>
      <w:r>
        <w:rPr>
          <w:rFonts w:ascii="Arial" w:cs="Arial" w:eastAsia="Arial" w:hAnsi="Arial"/>
          <w:sz w:val="18"/>
          <w:szCs w:val="18"/>
          <w:color w:val="auto"/>
        </w:rPr>
        <w:t>Direct labor costs increased from US$116,761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to US$122,142 for the six months ended June 30, 2023, primarily related to increases in base salaries and bonuses to our staff since second half of 2022.</w:t>
      </w:r>
    </w:p>
    <w:p>
      <w:pPr>
        <w:spacing w:after="0" w:line="103"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18"/>
          <w:szCs w:val="18"/>
          <w:i w:val="1"/>
          <w:iCs w:val="1"/>
          <w:color w:val="auto"/>
        </w:rPr>
        <w:t>Miscellaneous costs.</w:t>
      </w:r>
      <w:r>
        <w:rPr>
          <w:sz w:val="20"/>
          <w:szCs w:val="20"/>
          <w:color w:val="auto"/>
        </w:rPr>
        <w:tab/>
      </w:r>
      <w:r>
        <w:rPr>
          <w:rFonts w:ascii="Arial" w:cs="Arial" w:eastAsia="Arial" w:hAnsi="Arial"/>
          <w:sz w:val="16"/>
          <w:szCs w:val="16"/>
          <w:color w:val="auto"/>
        </w:rPr>
        <w:t>Miscellaneous cost decreased from US$26,552 for the six months ended June 30,</w:t>
      </w:r>
    </w:p>
    <w:p>
      <w:pPr>
        <w:spacing w:after="0" w:line="23" w:lineRule="exact"/>
        <w:rPr>
          <w:sz w:val="20"/>
          <w:szCs w:val="20"/>
          <w:color w:val="auto"/>
        </w:rPr>
      </w:pPr>
    </w:p>
    <w:p>
      <w:pPr>
        <w:jc w:val="both"/>
        <w:ind w:left="460" w:right="739"/>
        <w:spacing w:after="0" w:line="255" w:lineRule="auto"/>
        <w:rPr>
          <w:sz w:val="20"/>
          <w:szCs w:val="20"/>
          <w:color w:val="auto"/>
        </w:rPr>
      </w:pPr>
      <w:r>
        <w:rPr>
          <w:rFonts w:ascii="Arial" w:cs="Arial" w:eastAsia="Arial" w:hAnsi="Arial"/>
          <w:sz w:val="18"/>
          <w:szCs w:val="18"/>
          <w:color w:val="auto"/>
        </w:rPr>
        <w:t>2022 to US$20,855 for the six months ended June 30, 2023, primarily due to the decrease of our outsourcing contractor fee for general project’s support, which is in line with the decrease of our revenues from business consulting and IT consulting.</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Our operating expenses increased by 518.11%, from US$323,230 for the six months ended June 30, 2022 to US$1,997,908 for the six months ended June 30, 2023. In anticipation of becoming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5" w:name="page56"/>
    <w:bookmarkEnd w:id="5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Selling expenses</w:t>
      </w:r>
    </w:p>
    <w:p>
      <w:pPr>
        <w:spacing w:after="0" w:line="14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selling and marketing expenses increased from US$71,530 for the six months ended June 30, 2022 to US$253,343 for the six months ended June 30, 2023, primarily as a result of the business development persons hired in the new subsidiary since second half of 2022 for the exploration of business opportunities and preparation to initiate our Web 3.0 e-commerce platform.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ind w:left="460" w:right="659" w:firstLine="432"/>
        <w:spacing w:after="0" w:line="269" w:lineRule="auto"/>
        <w:rPr>
          <w:sz w:val="20"/>
          <w:szCs w:val="20"/>
          <w:color w:val="auto"/>
        </w:rPr>
      </w:pPr>
      <w:r>
        <w:rPr>
          <w:rFonts w:ascii="Arial" w:cs="Arial" w:eastAsia="Arial" w:hAnsi="Arial"/>
          <w:sz w:val="17"/>
          <w:szCs w:val="17"/>
          <w:color w:val="auto"/>
        </w:rPr>
        <w:t>Our general and administrative expenses increased from US$170,817 for the six months ended June 30, 2022 to US$1,551,710 for the six months ended June 30, 2023. The increase was primarily due to (i) the increase in staff costs from US$77,498 for the six months ended June 30, 2022 to US$561,731 for the six months ended June 30, 2023, as a result of an increase in the number of employees hired to meet our business needs; (ii) the increase in professional service fees from US$8,418 for the six months ended June 30, 2022 to US$483,256 for the six months ended June 30, 2023 related to IPO professional services and the initiation of the Web 3.0 e-commerce platform; (iii) the increase of rent expenses from US$17,874 for the six months ended June 30, 2022 to US$200,292 for the six months ended June 30, 2023, as a result of an increase office spaces rent to meet our expansion of new business; and (iv) the increase of other overhead expenses, as a result of our expansion of business.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jc w:val="both"/>
        <w:ind w:left="460" w:right="759" w:firstLine="432"/>
        <w:spacing w:after="0" w:line="263" w:lineRule="auto"/>
        <w:rPr>
          <w:sz w:val="20"/>
          <w:szCs w:val="20"/>
          <w:color w:val="auto"/>
        </w:rPr>
      </w:pPr>
      <w:r>
        <w:rPr>
          <w:rFonts w:ascii="Arial" w:cs="Arial" w:eastAsia="Arial" w:hAnsi="Arial"/>
          <w:sz w:val="18"/>
          <w:szCs w:val="18"/>
          <w:color w:val="auto"/>
        </w:rPr>
        <w:t>Our research and development expenses increased from US$80,883 for the six months ended June 30, 2022 to US$192,855 for the six months ended June 30, 2023, primarily as a result of the increased of system development expenses for the Web 3.0 e-commerce platform.</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Other income, net mainly consists of (i) government subsidies, (ii) referral commission, and (iii) interest expenses.</w:t>
      </w:r>
    </w:p>
    <w:p>
      <w:pPr>
        <w:spacing w:after="0" w:line="103" w:lineRule="exact"/>
        <w:rPr>
          <w:sz w:val="20"/>
          <w:szCs w:val="20"/>
          <w:color w:val="auto"/>
        </w:rPr>
      </w:pPr>
    </w:p>
    <w:p>
      <w:pPr>
        <w:ind w:left="460" w:right="679" w:firstLine="432"/>
        <w:spacing w:after="0" w:line="342" w:lineRule="auto"/>
        <w:rPr>
          <w:sz w:val="20"/>
          <w:szCs w:val="20"/>
          <w:color w:val="auto"/>
        </w:rPr>
      </w:pPr>
      <w:r>
        <w:rPr>
          <w:rFonts w:ascii="Arial" w:cs="Arial" w:eastAsia="Arial" w:hAnsi="Arial"/>
          <w:sz w:val="16"/>
          <w:szCs w:val="16"/>
          <w:color w:val="auto"/>
        </w:rPr>
        <w:t>Our other income decreased from US$70,300 for the six months ended June 30, 2022 to US$44,900 for the six months ended June 30, 2023, primarily due to the decrease of government subsidies.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w:t>
      </w:r>
    </w:p>
    <w:p>
      <w:pPr>
        <w:spacing w:after="0" w:line="15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As a result of the foregoing, we incurred net loss of US$1,861,412 and US$156,703 for the six months ended June 30, 2023 and 2022. The increased of net loss was primarily due to our early-stage input on initiating Web 3.0 e-commerce platform, which led to a significant increase of our operating expenses for the six months ended June 30, 2023.</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6" w:name="page57"/>
    <w:bookmarkEnd w:id="5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Year Ended December 31, 2022 Compared to Year Ended December 31, 2021</w:t>
      </w:r>
    </w:p>
    <w:p>
      <w:pPr>
        <w:spacing w:after="0" w:line="144"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The following table sets forth a summary of our consolidated statements of income for the years ended December 31, 2022 and 2021, respectively.</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16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0"/>
              </w:rPr>
              <w:t>For the years ended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216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Change in</w:t>
            </w:r>
          </w:p>
        </w:tc>
        <w:tc>
          <w:tcPr>
            <w:tcW w:w="88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7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20" w:type="dxa"/>
            <w:vAlign w:val="bottom"/>
          </w:tcPr>
          <w:p>
            <w:pPr>
              <w:spacing w:after="0"/>
              <w:rPr>
                <w:sz w:val="20"/>
                <w:szCs w:val="20"/>
                <w:color w:val="auto"/>
              </w:rPr>
            </w:pPr>
          </w:p>
        </w:tc>
        <w:tc>
          <w:tcPr>
            <w:tcW w:w="920" w:type="dxa"/>
            <w:vAlign w:val="bottom"/>
          </w:tcPr>
          <w:p>
            <w:pPr>
              <w:jc w:val="right"/>
              <w:ind w:right="15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amount</w:t>
            </w:r>
          </w:p>
        </w:tc>
        <w:tc>
          <w:tcPr>
            <w:tcW w:w="10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of change</w:t>
            </w:r>
          </w:p>
        </w:tc>
        <w:tc>
          <w:tcPr>
            <w:tcW w:w="0" w:type="dxa"/>
            <w:vAlign w:val="bottom"/>
          </w:tcPr>
          <w:p>
            <w:pPr>
              <w:spacing w:after="0"/>
              <w:rPr>
                <w:sz w:val="1"/>
                <w:szCs w:val="1"/>
                <w:color w:val="auto"/>
              </w:rPr>
            </w:pPr>
          </w:p>
        </w:tc>
      </w:tr>
      <w:tr>
        <w:trPr>
          <w:trHeight w:val="46"/>
        </w:trPr>
        <w:tc>
          <w:tcPr>
            <w:tcW w:w="37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4"/>
              </w:rPr>
              <w:t>$ 1,262,899</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7"/>
              </w:rPr>
              <w:t>$ 657,092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9"/>
              </w:rPr>
              <w:t>$   605,807</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92.20%</w:t>
            </w:r>
          </w:p>
        </w:tc>
        <w:tc>
          <w:tcPr>
            <w:tcW w:w="0" w:type="dxa"/>
            <w:vAlign w:val="bottom"/>
          </w:tcPr>
          <w:p>
            <w:pPr>
              <w:spacing w:after="0"/>
              <w:rPr>
                <w:sz w:val="1"/>
                <w:szCs w:val="1"/>
                <w:color w:val="auto"/>
              </w:rPr>
            </w:pPr>
          </w:p>
        </w:tc>
      </w:tr>
      <w:tr>
        <w:trPr>
          <w:trHeight w:val="257"/>
        </w:trPr>
        <w:tc>
          <w:tcPr>
            <w:tcW w:w="3720" w:type="dxa"/>
            <w:vAlign w:val="bottom"/>
          </w:tcPr>
          <w:p>
            <w:pPr>
              <w:spacing w:after="0"/>
              <w:rPr>
                <w:sz w:val="20"/>
                <w:szCs w:val="20"/>
                <w:color w:val="auto"/>
              </w:rPr>
            </w:pPr>
            <w:r>
              <w:rPr>
                <w:rFonts w:ascii="Arial" w:cs="Arial" w:eastAsia="Arial" w:hAnsi="Arial"/>
                <w:sz w:val="18"/>
                <w:szCs w:val="18"/>
                <w:color w:val="auto"/>
              </w:rPr>
              <w:t>Cost of revenues</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(1,000,689)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(456,645)</w:t>
            </w:r>
          </w:p>
        </w:tc>
        <w:tc>
          <w:tcPr>
            <w:tcW w:w="10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(544,044)</w:t>
            </w:r>
          </w:p>
        </w:tc>
        <w:tc>
          <w:tcPr>
            <w:tcW w:w="80" w:type="dxa"/>
            <w:vAlign w:val="bottom"/>
          </w:tcPr>
          <w:p>
            <w:pPr>
              <w:spacing w:after="0"/>
              <w:rPr>
                <w:sz w:val="22"/>
                <w:szCs w:val="22"/>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119.14%</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262,210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200,447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61,763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30.81%</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Selling expenses</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(241,344)</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(123,533)</w:t>
            </w:r>
          </w:p>
        </w:tc>
        <w:tc>
          <w:tcPr>
            <w:tcW w:w="10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(117,811)</w:t>
            </w:r>
          </w:p>
        </w:tc>
        <w:tc>
          <w:tcPr>
            <w:tcW w:w="8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40"/>
        </w:trPr>
        <w:tc>
          <w:tcPr>
            <w:tcW w:w="3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(989,774)</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(174,377)</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(815,397)</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467.61%</w:t>
            </w:r>
          </w:p>
        </w:tc>
        <w:tc>
          <w:tcPr>
            <w:tcW w:w="0" w:type="dxa"/>
            <w:vAlign w:val="bottom"/>
          </w:tcPr>
          <w:p>
            <w:pPr>
              <w:spacing w:after="0"/>
              <w:rPr>
                <w:sz w:val="1"/>
                <w:szCs w:val="1"/>
                <w:color w:val="auto"/>
              </w:rPr>
            </w:pPr>
          </w:p>
        </w:tc>
      </w:tr>
      <w:tr>
        <w:trPr>
          <w:trHeight w:val="257"/>
        </w:trPr>
        <w:tc>
          <w:tcPr>
            <w:tcW w:w="37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(287,578)</w:t>
            </w:r>
          </w:p>
        </w:tc>
        <w:tc>
          <w:tcPr>
            <w:tcW w:w="8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(287,578)</w:t>
            </w:r>
          </w:p>
        </w:tc>
        <w:tc>
          <w:tcPr>
            <w:tcW w:w="80" w:type="dxa"/>
            <w:vAlign w:val="bottom"/>
          </w:tcPr>
          <w:p>
            <w:pPr>
              <w:spacing w:after="0"/>
              <w:rPr>
                <w:sz w:val="22"/>
                <w:szCs w:val="22"/>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(1,518,696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(297,910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(1,220,786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409.78</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Loss from operations</w:t>
            </w: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20" w:type="dxa"/>
            <w:vAlign w:val="bottom"/>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(1,256,486)</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(97,463)</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(1,159,023)</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1189.19%</w:t>
            </w:r>
          </w:p>
        </w:tc>
        <w:tc>
          <w:tcPr>
            <w:tcW w:w="0" w:type="dxa"/>
            <w:vAlign w:val="bottom"/>
          </w:tcPr>
          <w:p>
            <w:pPr>
              <w:spacing w:after="0"/>
              <w:rPr>
                <w:sz w:val="1"/>
                <w:szCs w:val="1"/>
                <w:color w:val="auto"/>
              </w:rPr>
            </w:pPr>
          </w:p>
        </w:tc>
      </w:tr>
      <w:tr>
        <w:trPr>
          <w:trHeight w:val="40"/>
        </w:trPr>
        <w:tc>
          <w:tcPr>
            <w:tcW w:w="3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131,790</w:t>
            </w:r>
          </w:p>
        </w:tc>
        <w:tc>
          <w:tcPr>
            <w:tcW w:w="1000" w:type="dxa"/>
            <w:vAlign w:val="bottom"/>
            <w:tcBorders>
              <w:bottom w:val="single" w:sz="8" w:color="CCEEFF"/>
            </w:tcBorders>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155,475</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(23,685)</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24"/>
        </w:trPr>
        <w:tc>
          <w:tcPr>
            <w:tcW w:w="3720" w:type="dxa"/>
            <w:vAlign w:val="bottom"/>
          </w:tcPr>
          <w:p>
            <w:pPr>
              <w:spacing w:after="0"/>
              <w:rPr>
                <w:sz w:val="20"/>
                <w:szCs w:val="20"/>
                <w:color w:val="auto"/>
              </w:rPr>
            </w:pPr>
            <w:r>
              <w:rPr>
                <w:rFonts w:ascii="Arial" w:cs="Arial" w:eastAsia="Arial" w:hAnsi="Arial"/>
                <w:sz w:val="18"/>
                <w:szCs w:val="18"/>
                <w:b w:val="1"/>
                <w:bCs w:val="1"/>
                <w:color w:val="auto"/>
              </w:rPr>
              <w:t>(Loss)/profit before income tax expense</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(1,124,696)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(1,182,708)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-2038.73%</w:t>
            </w: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(4,793)</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(28,045)</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23,252</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-82.91%</w:t>
            </w:r>
          </w:p>
        </w:tc>
        <w:tc>
          <w:tcPr>
            <w:tcW w:w="0" w:type="dxa"/>
            <w:vAlign w:val="bottom"/>
          </w:tcPr>
          <w:p>
            <w:pPr>
              <w:spacing w:after="0"/>
              <w:rPr>
                <w:sz w:val="1"/>
                <w:szCs w:val="1"/>
                <w:color w:val="auto"/>
              </w:rPr>
            </w:pPr>
          </w:p>
        </w:tc>
      </w:tr>
      <w:tr>
        <w:trPr>
          <w:trHeight w:val="244"/>
        </w:trPr>
        <w:tc>
          <w:tcPr>
            <w:tcW w:w="3720" w:type="dxa"/>
            <w:vAlign w:val="bottom"/>
          </w:tcPr>
          <w:p>
            <w:pPr>
              <w:spacing w:after="0"/>
              <w:rPr>
                <w:sz w:val="20"/>
                <w:szCs w:val="20"/>
                <w:color w:val="auto"/>
              </w:rPr>
            </w:pPr>
            <w:r>
              <w:rPr>
                <w:rFonts w:ascii="Arial" w:cs="Arial" w:eastAsia="Arial" w:hAnsi="Arial"/>
                <w:sz w:val="18"/>
                <w:szCs w:val="18"/>
                <w:b w:val="1"/>
                <w:bCs w:val="1"/>
                <w:color w:val="auto"/>
              </w:rPr>
              <w:t>Net (loss)/profit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(1,129,489</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29,967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(1,159,456</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-3869.11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The breakdown of revenues by revenue streams for the years ended December 31, 2022 and 2021 is summarized below:</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206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rPr>
              <w:t>For the Years Ended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0"/>
        </w:trPr>
        <w:tc>
          <w:tcPr>
            <w:tcW w:w="3920" w:type="dxa"/>
            <w:vAlign w:val="bottom"/>
          </w:tcPr>
          <w:p>
            <w:pPr>
              <w:spacing w:after="0"/>
              <w:rPr>
                <w:sz w:val="18"/>
                <w:szCs w:val="18"/>
                <w:color w:val="auto"/>
              </w:rPr>
            </w:pPr>
          </w:p>
        </w:tc>
        <w:tc>
          <w:tcPr>
            <w:tcW w:w="206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December 31,</w:t>
            </w:r>
          </w:p>
        </w:tc>
        <w:tc>
          <w:tcPr>
            <w:tcW w:w="1400" w:type="dxa"/>
            <w:vAlign w:val="bottom"/>
            <w:gridSpan w:val="3"/>
          </w:tcPr>
          <w:p>
            <w:pPr>
              <w:ind w:left="720"/>
              <w:spacing w:after="0"/>
              <w:rPr>
                <w:sz w:val="20"/>
                <w:szCs w:val="20"/>
                <w:color w:val="auto"/>
              </w:rPr>
            </w:pPr>
            <w:r>
              <w:rPr>
                <w:rFonts w:ascii="Arial" w:cs="Arial" w:eastAsia="Arial" w:hAnsi="Arial"/>
                <w:sz w:val="16"/>
                <w:szCs w:val="16"/>
                <w:b w:val="1"/>
                <w:bCs w:val="1"/>
                <w:color w:val="auto"/>
                <w:w w:val="87"/>
              </w:rPr>
              <w:t>Variances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7"/>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3920" w:type="dxa"/>
            <w:vAlign w:val="bottom"/>
          </w:tcPr>
          <w:p>
            <w:pPr>
              <w:spacing w:after="0"/>
              <w:rPr>
                <w:sz w:val="20"/>
                <w:szCs w:val="20"/>
                <w:color w:val="auto"/>
              </w:rPr>
            </w:pPr>
          </w:p>
        </w:tc>
        <w:tc>
          <w:tcPr>
            <w:tcW w:w="940" w:type="dxa"/>
            <w:vAlign w:val="bottom"/>
          </w:tcPr>
          <w:p>
            <w:pPr>
              <w:ind w:left="300"/>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940" w:type="dxa"/>
            <w:vAlign w:val="bottom"/>
          </w:tcPr>
          <w:p>
            <w:pPr>
              <w:jc w:val="right"/>
              <w:ind w:right="21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2"/>
              </w:rPr>
              <w:t>Amount</w:t>
            </w:r>
          </w:p>
        </w:tc>
        <w:tc>
          <w:tcPr>
            <w:tcW w:w="520" w:type="dxa"/>
            <w:vAlign w:val="bottom"/>
          </w:tcPr>
          <w:p>
            <w:pPr>
              <w:jc w:val="right"/>
              <w:ind w:right="19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r>
      <w:tr>
        <w:trPr>
          <w:trHeight w:val="47"/>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3920" w:type="dxa"/>
            <w:vAlign w:val="bottom"/>
          </w:tcPr>
          <w:p>
            <w:pPr>
              <w:spacing w:after="0"/>
              <w:rPr>
                <w:sz w:val="20"/>
                <w:szCs w:val="20"/>
                <w:color w:val="auto"/>
              </w:rPr>
            </w:pPr>
          </w:p>
        </w:tc>
        <w:tc>
          <w:tcPr>
            <w:tcW w:w="1020" w:type="dxa"/>
            <w:vAlign w:val="bottom"/>
            <w:gridSpan w:val="2"/>
          </w:tcPr>
          <w:p>
            <w:pPr>
              <w:ind w:left="300"/>
              <w:spacing w:after="0"/>
              <w:rPr>
                <w:sz w:val="20"/>
                <w:szCs w:val="20"/>
                <w:color w:val="auto"/>
              </w:rPr>
            </w:pPr>
            <w:r>
              <w:rPr>
                <w:rFonts w:ascii="Arial" w:cs="Arial" w:eastAsia="Arial" w:hAnsi="Arial"/>
                <w:sz w:val="16"/>
                <w:szCs w:val="16"/>
                <w:b w:val="1"/>
                <w:bCs w:val="1"/>
                <w:color w:val="auto"/>
              </w:rPr>
              <w:t>USD</w:t>
            </w:r>
          </w:p>
        </w:tc>
        <w:tc>
          <w:tcPr>
            <w:tcW w:w="10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USD</w:t>
            </w: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4"/>
              </w:rPr>
              <w:t>USD</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6"/>
        </w:trPr>
        <w:tc>
          <w:tcPr>
            <w:tcW w:w="3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64"/>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Business consulting</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629,434</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260,455</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368,979</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141.67%</w:t>
            </w:r>
          </w:p>
        </w:tc>
      </w:tr>
      <w:tr>
        <w:trPr>
          <w:trHeight w:val="243"/>
        </w:trPr>
        <w:tc>
          <w:tcPr>
            <w:tcW w:w="3920" w:type="dxa"/>
            <w:vAlign w:val="bottom"/>
          </w:tcPr>
          <w:p>
            <w:pPr>
              <w:spacing w:after="0"/>
              <w:rPr>
                <w:sz w:val="20"/>
                <w:szCs w:val="20"/>
                <w:color w:val="auto"/>
              </w:rPr>
            </w:pPr>
            <w:r>
              <w:rPr>
                <w:rFonts w:ascii="Arial" w:cs="Arial" w:eastAsia="Arial" w:hAnsi="Arial"/>
                <w:sz w:val="18"/>
                <w:szCs w:val="18"/>
                <w:b w:val="1"/>
                <w:bCs w:val="1"/>
                <w:color w:val="auto"/>
              </w:rPr>
              <w:t>IT customization</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633,465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396,637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236,828</w:t>
            </w: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59.71%</w:t>
            </w:r>
          </w:p>
        </w:tc>
      </w:tr>
      <w:tr>
        <w:trPr>
          <w:trHeight w:val="40"/>
        </w:trPr>
        <w:tc>
          <w:tcPr>
            <w:tcW w:w="39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3"/>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IT consulting</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522,013</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396,637</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125,376</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31.61%</w:t>
            </w:r>
          </w:p>
        </w:tc>
      </w:tr>
      <w:tr>
        <w:trPr>
          <w:trHeight w:val="257"/>
        </w:trPr>
        <w:tc>
          <w:tcPr>
            <w:tcW w:w="3920" w:type="dxa"/>
            <w:vAlign w:val="bottom"/>
          </w:tcPr>
          <w:p>
            <w:pPr>
              <w:spacing w:after="0"/>
              <w:rPr>
                <w:sz w:val="20"/>
                <w:szCs w:val="20"/>
                <w:color w:val="auto"/>
              </w:rPr>
            </w:pPr>
            <w:r>
              <w:rPr>
                <w:rFonts w:ascii="Arial" w:cs="Arial" w:eastAsia="Arial" w:hAnsi="Arial"/>
                <w:sz w:val="18"/>
                <w:szCs w:val="18"/>
                <w:color w:val="auto"/>
              </w:rPr>
              <w:t>Management software</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111,452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111,452</w:t>
            </w:r>
          </w:p>
        </w:tc>
        <w:tc>
          <w:tcPr>
            <w:tcW w:w="380" w:type="dxa"/>
            <w:vAlign w:val="bottom"/>
          </w:tcPr>
          <w:p>
            <w:pPr>
              <w:spacing w:after="0"/>
              <w:rPr>
                <w:sz w:val="22"/>
                <w:szCs w:val="22"/>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N/A</w:t>
            </w:r>
          </w:p>
        </w:tc>
      </w:tr>
      <w:tr>
        <w:trPr>
          <w:trHeight w:val="27"/>
        </w:trPr>
        <w:tc>
          <w:tcPr>
            <w:tcW w:w="39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1,262,899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657,092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605,807</w:t>
            </w: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460" w:right="599" w:firstLine="432"/>
        <w:spacing w:after="0" w:line="301" w:lineRule="auto"/>
        <w:rPr>
          <w:sz w:val="20"/>
          <w:szCs w:val="20"/>
          <w:color w:val="auto"/>
        </w:rPr>
      </w:pPr>
      <w:r>
        <w:rPr>
          <w:rFonts w:ascii="Arial" w:cs="Arial" w:eastAsia="Arial" w:hAnsi="Arial"/>
          <w:sz w:val="16"/>
          <w:szCs w:val="16"/>
          <w:color w:val="auto"/>
        </w:rPr>
        <w:t>Our revenues significantly increased from US$657,092 in 2021 to US$1,262,899 in 2022, representing a year-on-year increase of 92.20%. The increase was primarily due to our success in helping our clients to optimize and grow their business, resulting in positive feedback and our brand and services developing and expanding in the market and industry, which has brought us more clients and projects in 2022.</w:t>
      </w:r>
    </w:p>
    <w:p>
      <w:pPr>
        <w:spacing w:after="0" w:line="90"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i w:val="1"/>
          <w:iCs w:val="1"/>
          <w:color w:val="auto"/>
        </w:rPr>
        <w:t xml:space="preserve">Business consulting. </w:t>
      </w:r>
      <w:r>
        <w:rPr>
          <w:rFonts w:ascii="Arial" w:cs="Arial" w:eastAsia="Arial" w:hAnsi="Arial"/>
          <w:sz w:val="17"/>
          <w:szCs w:val="17"/>
          <w:color w:val="auto"/>
        </w:rPr>
        <w:t>Net revenues from business consulting services increased from US$260,455 in</w:t>
      </w:r>
      <w:r>
        <w:rPr>
          <w:rFonts w:ascii="Arial" w:cs="Arial" w:eastAsia="Arial" w:hAnsi="Arial"/>
          <w:sz w:val="17"/>
          <w:szCs w:val="17"/>
          <w:i w:val="1"/>
          <w:iCs w:val="1"/>
          <w:color w:val="auto"/>
        </w:rPr>
        <w:t xml:space="preserve"> </w:t>
      </w:r>
      <w:r>
        <w:rPr>
          <w:rFonts w:ascii="Arial" w:cs="Arial" w:eastAsia="Arial" w:hAnsi="Arial"/>
          <w:sz w:val="17"/>
          <w:szCs w:val="17"/>
          <w:color w:val="auto"/>
        </w:rPr>
        <w:t>2021 to US$629,434 in 2022, primarily attributed to (i) more business consulting projects were completed, delivered and accepted by customers in 2022; and (ii) we offered more comprehensive brand consulting services to assist our customers in building international brands in 2022, those contract prices are higher compared to the essential branding services for the local market in 2021. The average contract price of completed projects increased from US$37,208 in 2021 to US$44,960 in 2022.</w:t>
      </w:r>
    </w:p>
    <w:p>
      <w:pPr>
        <w:spacing w:after="0" w:line="110"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i w:val="1"/>
          <w:iCs w:val="1"/>
          <w:color w:val="auto"/>
        </w:rPr>
        <w:t xml:space="preserve">IT customization. </w:t>
      </w:r>
      <w:r>
        <w:rPr>
          <w:rFonts w:ascii="Arial" w:cs="Arial" w:eastAsia="Arial" w:hAnsi="Arial"/>
          <w:sz w:val="18"/>
          <w:szCs w:val="18"/>
          <w:color w:val="auto"/>
        </w:rPr>
        <w:t>Net revenues from IT customization increased from US$396,637 in 2021 to</w:t>
      </w:r>
      <w:r>
        <w:rPr>
          <w:rFonts w:ascii="Arial" w:cs="Arial" w:eastAsia="Arial" w:hAnsi="Arial"/>
          <w:sz w:val="18"/>
          <w:szCs w:val="18"/>
          <w:i w:val="1"/>
          <w:iCs w:val="1"/>
          <w:color w:val="auto"/>
        </w:rPr>
        <w:t xml:space="preserve"> </w:t>
      </w:r>
      <w:r>
        <w:rPr>
          <w:rFonts w:ascii="Arial" w:cs="Arial" w:eastAsia="Arial" w:hAnsi="Arial"/>
          <w:sz w:val="18"/>
          <w:szCs w:val="18"/>
          <w:color w:val="auto"/>
        </w:rPr>
        <w:t>US$633,465 in 2022, primarily due to (i) more IT customization projects were completed, delivered and accepted by customers in 2022; (ii) increase on average contract price of completed IT consulting projects from US$49,580 in 2021 to US$57,588 in 2022; and (iii) our newly engaged business line in providing management software solutions and the revenue was recognized in 2022.</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7" w:name="page58"/>
    <w:bookmarkEnd w:id="5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44"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The breakdown of cost of revenues for the years ended December 31, 2022 and 2021 is summarized below:</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206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rPr>
              <w:t>For the Years Ended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0"/>
        </w:trPr>
        <w:tc>
          <w:tcPr>
            <w:tcW w:w="3920" w:type="dxa"/>
            <w:vAlign w:val="bottom"/>
          </w:tcPr>
          <w:p>
            <w:pPr>
              <w:spacing w:after="0"/>
              <w:rPr>
                <w:sz w:val="18"/>
                <w:szCs w:val="18"/>
                <w:color w:val="auto"/>
              </w:rPr>
            </w:pPr>
          </w:p>
        </w:tc>
        <w:tc>
          <w:tcPr>
            <w:tcW w:w="206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December 31,</w:t>
            </w:r>
          </w:p>
        </w:tc>
        <w:tc>
          <w:tcPr>
            <w:tcW w:w="1400" w:type="dxa"/>
            <w:vAlign w:val="bottom"/>
            <w:gridSpan w:val="3"/>
          </w:tcPr>
          <w:p>
            <w:pPr>
              <w:ind w:left="720"/>
              <w:spacing w:after="0"/>
              <w:rPr>
                <w:sz w:val="20"/>
                <w:szCs w:val="20"/>
                <w:color w:val="auto"/>
              </w:rPr>
            </w:pPr>
            <w:r>
              <w:rPr>
                <w:rFonts w:ascii="Arial" w:cs="Arial" w:eastAsia="Arial" w:hAnsi="Arial"/>
                <w:sz w:val="16"/>
                <w:szCs w:val="16"/>
                <w:b w:val="1"/>
                <w:bCs w:val="1"/>
                <w:color w:val="auto"/>
                <w:w w:val="87"/>
              </w:rPr>
              <w:t>Variances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6"/>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1"/>
        </w:trPr>
        <w:tc>
          <w:tcPr>
            <w:tcW w:w="3920" w:type="dxa"/>
            <w:vAlign w:val="bottom"/>
          </w:tcPr>
          <w:p>
            <w:pPr>
              <w:spacing w:after="0"/>
              <w:rPr>
                <w:sz w:val="20"/>
                <w:szCs w:val="20"/>
                <w:color w:val="auto"/>
              </w:rPr>
            </w:pPr>
          </w:p>
        </w:tc>
        <w:tc>
          <w:tcPr>
            <w:tcW w:w="940" w:type="dxa"/>
            <w:vAlign w:val="bottom"/>
          </w:tcPr>
          <w:p>
            <w:pPr>
              <w:ind w:left="300"/>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940" w:type="dxa"/>
            <w:vAlign w:val="bottom"/>
          </w:tcPr>
          <w:p>
            <w:pPr>
              <w:jc w:val="right"/>
              <w:ind w:right="21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2"/>
              </w:rPr>
              <w:t>Amount</w:t>
            </w:r>
          </w:p>
        </w:tc>
        <w:tc>
          <w:tcPr>
            <w:tcW w:w="520" w:type="dxa"/>
            <w:vAlign w:val="bottom"/>
          </w:tcPr>
          <w:p>
            <w:pPr>
              <w:jc w:val="right"/>
              <w:ind w:right="19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r>
      <w:tr>
        <w:trPr>
          <w:trHeight w:val="47"/>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1"/>
        </w:trPr>
        <w:tc>
          <w:tcPr>
            <w:tcW w:w="3920" w:type="dxa"/>
            <w:vAlign w:val="bottom"/>
          </w:tcPr>
          <w:p>
            <w:pPr>
              <w:spacing w:after="0"/>
              <w:rPr>
                <w:sz w:val="20"/>
                <w:szCs w:val="20"/>
                <w:color w:val="auto"/>
              </w:rPr>
            </w:pPr>
          </w:p>
        </w:tc>
        <w:tc>
          <w:tcPr>
            <w:tcW w:w="1020" w:type="dxa"/>
            <w:vAlign w:val="bottom"/>
            <w:gridSpan w:val="2"/>
          </w:tcPr>
          <w:p>
            <w:pPr>
              <w:ind w:left="300"/>
              <w:spacing w:after="0"/>
              <w:rPr>
                <w:sz w:val="20"/>
                <w:szCs w:val="20"/>
                <w:color w:val="auto"/>
              </w:rPr>
            </w:pPr>
            <w:r>
              <w:rPr>
                <w:rFonts w:ascii="Arial" w:cs="Arial" w:eastAsia="Arial" w:hAnsi="Arial"/>
                <w:sz w:val="16"/>
                <w:szCs w:val="16"/>
                <w:b w:val="1"/>
                <w:bCs w:val="1"/>
                <w:color w:val="auto"/>
              </w:rPr>
              <w:t>USD</w:t>
            </w:r>
          </w:p>
        </w:tc>
        <w:tc>
          <w:tcPr>
            <w:tcW w:w="10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USD</w:t>
            </w: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4"/>
              </w:rPr>
              <w:t>USD</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6"/>
        </w:trPr>
        <w:tc>
          <w:tcPr>
            <w:tcW w:w="3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63"/>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fees</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710,793</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232,290</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478,503</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205.99%</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Direct labor costs</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239,296</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199,749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39,547</w:t>
            </w: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19.80%</w:t>
            </w:r>
          </w:p>
        </w:tc>
      </w:tr>
      <w:tr>
        <w:trPr>
          <w:trHeight w:val="40"/>
        </w:trPr>
        <w:tc>
          <w:tcPr>
            <w:tcW w:w="39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3"/>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Commission cost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10,082</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5,693</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4,389</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77.09%</w:t>
            </w:r>
          </w:p>
        </w:tc>
      </w:tr>
      <w:tr>
        <w:trPr>
          <w:trHeight w:val="257"/>
        </w:trPr>
        <w:tc>
          <w:tcPr>
            <w:tcW w:w="3920" w:type="dxa"/>
            <w:vAlign w:val="bottom"/>
          </w:tcPr>
          <w:p>
            <w:pPr>
              <w:spacing w:after="0"/>
              <w:rPr>
                <w:sz w:val="20"/>
                <w:szCs w:val="20"/>
                <w:color w:val="auto"/>
              </w:rPr>
            </w:pPr>
            <w:r>
              <w:rPr>
                <w:rFonts w:ascii="Arial" w:cs="Arial" w:eastAsia="Arial" w:hAnsi="Arial"/>
                <w:sz w:val="18"/>
                <w:szCs w:val="18"/>
                <w:color w:val="auto"/>
              </w:rPr>
              <w:t>Miscellaneous cost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40,518</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18,913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21,605</w:t>
            </w:r>
          </w:p>
        </w:tc>
        <w:tc>
          <w:tcPr>
            <w:tcW w:w="3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114.23%</w:t>
            </w:r>
          </w:p>
        </w:tc>
      </w:tr>
      <w:tr>
        <w:trPr>
          <w:trHeight w:val="27"/>
        </w:trPr>
        <w:tc>
          <w:tcPr>
            <w:tcW w:w="39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1,000,689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456,645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544,044</w:t>
            </w: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119.14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Our cost of revenues increased from US$456,645 in 2021 to US$1,000,689 in 2022, representing a year-on-year increase of 119.14%.</w:t>
      </w:r>
    </w:p>
    <w:p>
      <w:pPr>
        <w:spacing w:after="0" w:line="103"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i w:val="1"/>
          <w:iCs w:val="1"/>
          <w:color w:val="auto"/>
        </w:rPr>
        <w:t xml:space="preserve">Service fees. </w:t>
      </w:r>
      <w:r>
        <w:rPr>
          <w:rFonts w:ascii="Arial" w:cs="Arial" w:eastAsia="Arial" w:hAnsi="Arial"/>
          <w:sz w:val="18"/>
          <w:szCs w:val="18"/>
          <w:color w:val="auto"/>
        </w:rPr>
        <w:t>Service fees increased from US$232,290 in 2021 to US$710,793 in 2022,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of service fees paid to suppliers or outsourcers, as a result of the fulfillment of increased project demands in 2022.</w:t>
      </w:r>
    </w:p>
    <w:p>
      <w:pPr>
        <w:spacing w:after="0" w:line="103"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i w:val="1"/>
          <w:iCs w:val="1"/>
          <w:color w:val="auto"/>
        </w:rPr>
        <w:t xml:space="preserve">Direct labor costs. </w:t>
      </w:r>
      <w:r>
        <w:rPr>
          <w:rFonts w:ascii="Arial" w:cs="Arial" w:eastAsia="Arial" w:hAnsi="Arial"/>
          <w:sz w:val="18"/>
          <w:szCs w:val="18"/>
          <w:color w:val="auto"/>
        </w:rPr>
        <w:t>Direct labor costs increased from US$199,749 in 2021 to US$239,296 in 2022,</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related to increases in base salaries and bonuses to our staff in 2022.</w:t>
      </w:r>
    </w:p>
    <w:p>
      <w:pPr>
        <w:spacing w:after="0" w:line="103" w:lineRule="exact"/>
        <w:rPr>
          <w:sz w:val="20"/>
          <w:szCs w:val="20"/>
          <w:color w:val="auto"/>
        </w:rPr>
      </w:pPr>
    </w:p>
    <w:p>
      <w:pPr>
        <w:ind w:left="460" w:right="819" w:firstLine="432"/>
        <w:spacing w:after="0" w:line="286" w:lineRule="auto"/>
        <w:rPr>
          <w:sz w:val="20"/>
          <w:szCs w:val="20"/>
          <w:color w:val="auto"/>
        </w:rPr>
      </w:pPr>
      <w:r>
        <w:rPr>
          <w:rFonts w:ascii="Arial" w:cs="Arial" w:eastAsia="Arial" w:hAnsi="Arial"/>
          <w:sz w:val="17"/>
          <w:szCs w:val="17"/>
          <w:i w:val="1"/>
          <w:iCs w:val="1"/>
          <w:color w:val="auto"/>
        </w:rPr>
        <w:t xml:space="preserve">Commission costs. </w:t>
      </w:r>
      <w:r>
        <w:rPr>
          <w:rFonts w:ascii="Arial" w:cs="Arial" w:eastAsia="Arial" w:hAnsi="Arial"/>
          <w:sz w:val="17"/>
          <w:szCs w:val="17"/>
          <w:color w:val="auto"/>
        </w:rPr>
        <w:t>Commission costs increased from US$5,693 in 2021 to US$10,082 in 2022,</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attributed to the incremental commission costs needed to obtain new sales contracts related to our newly engaged business line in providing management software solutions in 2022.</w:t>
      </w:r>
    </w:p>
    <w:p>
      <w:pPr>
        <w:spacing w:after="0" w:line="98" w:lineRule="exact"/>
        <w:rPr>
          <w:sz w:val="20"/>
          <w:szCs w:val="20"/>
          <w:color w:val="auto"/>
        </w:rPr>
      </w:pPr>
    </w:p>
    <w:p>
      <w:pPr>
        <w:jc w:val="both"/>
        <w:ind w:left="460" w:right="819" w:firstLine="432"/>
        <w:spacing w:after="0" w:line="263" w:lineRule="auto"/>
        <w:rPr>
          <w:sz w:val="20"/>
          <w:szCs w:val="20"/>
          <w:color w:val="auto"/>
        </w:rPr>
      </w:pPr>
      <w:r>
        <w:rPr>
          <w:rFonts w:ascii="Arial" w:cs="Arial" w:eastAsia="Arial" w:hAnsi="Arial"/>
          <w:sz w:val="18"/>
          <w:szCs w:val="18"/>
          <w:i w:val="1"/>
          <w:iCs w:val="1"/>
          <w:color w:val="auto"/>
        </w:rPr>
        <w:t xml:space="preserve">Miscellaneous costs. </w:t>
      </w:r>
      <w:r>
        <w:rPr>
          <w:rFonts w:ascii="Arial" w:cs="Arial" w:eastAsia="Arial" w:hAnsi="Arial"/>
          <w:sz w:val="18"/>
          <w:szCs w:val="18"/>
          <w:color w:val="auto"/>
        </w:rPr>
        <w:t>Miscellaneous cost increased from US$18,913 in 2021 to US$40,518 in 2022,</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increase of our outsourcing contractor fee for general project’s support, which is in line with the increase of our revenues in 2022.</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Our operating expenses increased from US$297,910 in 2021 to US$1,518,696 in 2022, representing a year-on-year increase of 409.78%. In anticipation of becoming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Selling expenses</w:t>
      </w:r>
    </w:p>
    <w:p>
      <w:pPr>
        <w:spacing w:after="0" w:line="15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7"/>
          <w:szCs w:val="17"/>
          <w:color w:val="auto"/>
        </w:rPr>
        <w:t>Our selling and marketing expenses increased from US$123,533 in 2021 to US$241,344 in 2022, primarily as a result of the business development persons hired in the new subsidiary in 2022 for the exploration of business opportunities and preparation to initiate our Web 3.0 e-commerce platform.</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Our general and administrative expenses increased from US$174,377 in 2021 to US$989,774 in 2022. The increase was primarily due to (i) the increase in staff costs from US$87,472 in 2021 to US$501,943 in 2022 as a result of an increase in the number of employees hired to meet our business needs, especially for our newly established subsidiary, (ii) the increase in professional service fees from US$6,139 in 2021 to US$134,523 in 2022 related to the initiation of the Web 3.0 e-commerce platform, and (iii) the increase of other overhead expenses, as a result of our expansion of business.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ind w:left="460" w:right="479" w:firstLine="432"/>
        <w:spacing w:after="0" w:line="308" w:lineRule="auto"/>
        <w:rPr>
          <w:sz w:val="20"/>
          <w:szCs w:val="20"/>
          <w:color w:val="auto"/>
        </w:rPr>
      </w:pPr>
      <w:r>
        <w:rPr>
          <w:rFonts w:ascii="Arial" w:cs="Arial" w:eastAsia="Arial" w:hAnsi="Arial"/>
          <w:sz w:val="17"/>
          <w:szCs w:val="17"/>
          <w:color w:val="auto"/>
        </w:rPr>
        <w:t>Our research and development expenses increased from nil in 2021 to US$287,578 in 2022, primarily as a result of the system development expenses for the Web 3.0 e-commerce platform in 2022.</w:t>
      </w:r>
    </w:p>
    <w:p>
      <w:pPr>
        <w:sectPr>
          <w:pgSz w:w="11900" w:h="16838" w:orient="portrait"/>
          <w:cols w:equalWidth="0" w:num="1">
            <w:col w:w="9019"/>
          </w:cols>
          <w:pgMar w:left="1440" w:top="274" w:right="1440"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8" w:name="page59"/>
    <w:bookmarkEnd w:id="5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Other income, net mainly consists of (i) government subsidies, (ii) non-refundable service fees from terminated consulting projects, (iii) referral commission, and (iv) interest expenses.</w:t>
      </w:r>
    </w:p>
    <w:p>
      <w:pPr>
        <w:spacing w:after="0" w:line="103"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Our other income decreased from US$155,475 in 2021 to US$131,790 in 2022, primarily due to the decrease of referral commissions received for client referrals.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(loss)/income</w:t>
      </w:r>
    </w:p>
    <w:p>
      <w:pPr>
        <w:spacing w:after="0" w:line="158" w:lineRule="exact"/>
        <w:rPr>
          <w:sz w:val="20"/>
          <w:szCs w:val="20"/>
          <w:color w:val="auto"/>
        </w:rPr>
      </w:pPr>
    </w:p>
    <w:p>
      <w:pPr>
        <w:jc w:val="both"/>
        <w:ind w:left="460" w:right="619" w:firstLine="432"/>
        <w:spacing w:after="0" w:line="286" w:lineRule="auto"/>
        <w:rPr>
          <w:sz w:val="20"/>
          <w:szCs w:val="20"/>
          <w:color w:val="auto"/>
        </w:rPr>
      </w:pPr>
      <w:r>
        <w:rPr>
          <w:rFonts w:ascii="Arial" w:cs="Arial" w:eastAsia="Arial" w:hAnsi="Arial"/>
          <w:sz w:val="17"/>
          <w:szCs w:val="17"/>
          <w:color w:val="auto"/>
        </w:rPr>
        <w:t>As a result of the foregoing, we incurred a net loss of US$1,129,489 in 2022, and recorded a net income of US$29,967 in 2021. The net loss in 2022 was primarily due to our early-stage input on initiating Web 3.0 e-commerce platform, which led to a significant increase of our operating expenses in 2022.</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Cayman Islands</w:t>
      </w:r>
    </w:p>
    <w:p>
      <w:pPr>
        <w:spacing w:after="0" w:line="144"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58"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Our subsidiaries incorporated in Singapore are subject to the prevailing Singapore Corporate Tax of 17%. With effect from the year of assessment 2020, other than certain new start-up companies, 75% of up to the first S$10,000, and 50% of up to the next S$190,000 of a company’s chargeable income (otherwise subject to normal taxation) is exempt from corporate tax. The remaining chargeable income that exceeds S$200,000 will be fully taxable at the prevailing corporate tax rate.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Our primary sources of liquidity have been cash flows from our operating activities, capital contributions from shareholders and loans from banks. As of June 30, 2023 and December 31, 2022, we had cash of US$3,965,607 and US$945,265, and total working capital deficit of US$3,270,695 and US$1,236,728, respectively.</w:t>
      </w:r>
    </w:p>
    <w:p>
      <w:pPr>
        <w:spacing w:after="0" w:line="106"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We believe that our current cash and expected cash provided by this offering will be sufficient to meet our current and anticipated working capital requirements and capital expenditures for at least the next 12 months. We may, however, need additional cash resources in the future if we experience changes in business conditions or other developments. We may also need additional cash resources in the future if we identify and wish to pursue opportunities for investment, acquisition, capital expenditure or similar actions.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of Cash Flows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89"/>
              </w:rPr>
              <w:t>For the years ended</w:t>
            </w:r>
          </w:p>
        </w:tc>
        <w:tc>
          <w:tcPr>
            <w:tcW w:w="120" w:type="dxa"/>
            <w:vAlign w:val="bottom"/>
          </w:tcPr>
          <w:p>
            <w:pPr>
              <w:spacing w:after="0"/>
              <w:rPr>
                <w:sz w:val="17"/>
                <w:szCs w:val="17"/>
                <w:color w:val="auto"/>
              </w:rPr>
            </w:pPr>
          </w:p>
        </w:tc>
        <w:tc>
          <w:tcPr>
            <w:tcW w:w="2020" w:type="dxa"/>
            <w:vAlign w:val="bottom"/>
            <w:gridSpan w:val="6"/>
          </w:tcPr>
          <w:p>
            <w:pPr>
              <w:jc w:val="right"/>
              <w:ind w:right="220"/>
              <w:spacing w:after="0"/>
              <w:rPr>
                <w:sz w:val="20"/>
                <w:szCs w:val="20"/>
                <w:color w:val="auto"/>
              </w:rPr>
            </w:pPr>
            <w:r>
              <w:rPr>
                <w:rFonts w:ascii="Arial" w:cs="Arial" w:eastAsia="Arial" w:hAnsi="Arial"/>
                <w:sz w:val="16"/>
                <w:szCs w:val="16"/>
                <w:b w:val="1"/>
                <w:bCs w:val="1"/>
                <w:color w:val="auto"/>
                <w:w w:val="91"/>
              </w:rPr>
              <w:t>For the six months ended</w:t>
            </w:r>
          </w:p>
        </w:tc>
      </w:tr>
      <w:tr>
        <w:trPr>
          <w:trHeight w:val="210"/>
        </w:trPr>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8"/>
                <w:szCs w:val="18"/>
                <w:color w:val="auto"/>
              </w:rPr>
            </w:pPr>
          </w:p>
        </w:tc>
        <w:tc>
          <w:tcPr>
            <w:tcW w:w="2020" w:type="dxa"/>
            <w:vAlign w:val="bottom"/>
            <w:gridSpan w:val="6"/>
          </w:tcPr>
          <w:p>
            <w:pPr>
              <w:jc w:val="right"/>
              <w:ind w:right="780"/>
              <w:spacing w:after="0"/>
              <w:rPr>
                <w:sz w:val="20"/>
                <w:szCs w:val="20"/>
                <w:color w:val="auto"/>
              </w:rPr>
            </w:pPr>
            <w:r>
              <w:rPr>
                <w:rFonts w:ascii="Arial" w:cs="Arial" w:eastAsia="Arial" w:hAnsi="Arial"/>
                <w:sz w:val="16"/>
                <w:szCs w:val="16"/>
                <w:b w:val="1"/>
                <w:bCs w:val="1"/>
                <w:color w:val="auto"/>
              </w:rPr>
              <w:t>June 30,</w:t>
            </w:r>
          </w:p>
        </w:tc>
      </w:tr>
      <w:tr>
        <w:trPr>
          <w:trHeight w:val="47"/>
        </w:trPr>
        <w:tc>
          <w:tcPr>
            <w:tcW w:w="3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3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84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5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9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20"/>
                <w:szCs w:val="20"/>
                <w:color w:val="auto"/>
              </w:rPr>
            </w:pPr>
          </w:p>
        </w:tc>
      </w:tr>
      <w:tr>
        <w:trPr>
          <w:trHeight w:val="47"/>
        </w:trPr>
        <w:tc>
          <w:tcPr>
            <w:tcW w:w="37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Net cash (used in)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(609,946)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$ 244,100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(2,380,926)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(27,514)</w:t>
            </w:r>
          </w:p>
        </w:tc>
      </w:tr>
      <w:tr>
        <w:trPr>
          <w:trHeight w:val="243"/>
        </w:trPr>
        <w:tc>
          <w:tcPr>
            <w:tcW w:w="37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(73,885)</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(53,313)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(79,043)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0"/>
        </w:trPr>
        <w:tc>
          <w:tcPr>
            <w:tcW w:w="3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Net cash provided by (used in)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1,378,257</w:t>
            </w: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66,030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5,426,739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(118,326)</w:t>
            </w:r>
          </w:p>
        </w:tc>
      </w:tr>
      <w:tr>
        <w:trPr>
          <w:trHeight w:val="256"/>
        </w:trPr>
        <w:tc>
          <w:tcPr>
            <w:tcW w:w="376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(22,754)</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53,572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32,401</w:t>
            </w:r>
          </w:p>
        </w:tc>
      </w:tr>
      <w:tr>
        <w:trPr>
          <w:trHeight w:val="27"/>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671,672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$ 255,956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3,020,342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(113,439)</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6"/>
        </w:trPr>
        <w:tc>
          <w:tcPr>
            <w:tcW w:w="376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273,593</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17,637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945,265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273,593</w:t>
            </w:r>
          </w:p>
        </w:tc>
      </w:tr>
      <w:tr>
        <w:trPr>
          <w:trHeight w:val="27"/>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945,265</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$ 273,593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3,965,607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160,154</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-239395</wp:posOffset>
            </wp:positionV>
            <wp:extent cx="285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-247650</wp:posOffset>
            </wp:positionV>
            <wp:extent cx="285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9" w:name="page60"/>
    <w:bookmarkEnd w:id="5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Net cash used in operating activities for the six months ended June 30, 2023 was US$2,380,926, primarily attributable to (i) our net loss of US$1,861,412, as adjusted by the reconciliation of net loss to net cash used in operating activities, which primarily comprised depreciation of right-of-use assets of US$163,534 and depreciation and amortization of US$18,837; and (ii) changes in operating assets and liabilities, which was primarily the result of (a) an increase in deferred offering costs of US$437,299, (b) an increase in contract cost assets of US$271,987, (c) a decrease in operating lease liabilities of US$137,438, and (d) a decrease in accrued expenses and other current liabilities of US$73,036, partially offset by an increase in deferred revenue of US$356,621.</w:t>
      </w:r>
    </w:p>
    <w:p>
      <w:pPr>
        <w:spacing w:after="0" w:line="111" w:lineRule="exact"/>
        <w:rPr>
          <w:sz w:val="20"/>
          <w:szCs w:val="20"/>
          <w:color w:val="auto"/>
        </w:rPr>
      </w:pPr>
    </w:p>
    <w:p>
      <w:pPr>
        <w:ind w:left="460" w:right="719" w:firstLine="432"/>
        <w:spacing w:after="0" w:line="254" w:lineRule="auto"/>
        <w:rPr>
          <w:sz w:val="20"/>
          <w:szCs w:val="20"/>
          <w:color w:val="auto"/>
        </w:rPr>
      </w:pPr>
      <w:r>
        <w:rPr>
          <w:rFonts w:ascii="Arial" w:cs="Arial" w:eastAsia="Arial" w:hAnsi="Arial"/>
          <w:sz w:val="18"/>
          <w:szCs w:val="18"/>
          <w:color w:val="auto"/>
        </w:rPr>
        <w:t>Net cash used in operating activities for the six months ended June 30, 2022 was US$27,514, primarily attributable to (i) our net loss of US$156,703, as adjusted by the reconciliation of net loss to net cash used in operating activities, which primarily comprised depreciation of right-of-use asset of US$11,916 and depreciation and amortization of US$5,663; and (ii) changes in operating assets and liabilities, which was primarily the result of an increase in contract cost assets of US$120,607, partially offset by (a) an increase in accrued expenses and other current liabilities of US$124,342, and (b) an increase in accounts payable of US$104,876.</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Net cash used in operating activities in 2022 was US$609,946, primarily attributable to (i) our net loss of</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US$1,129,489, as adjusted by the reconciliation of net loss to net cash used in operating activities, which</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primarily comprised depreciation of right-of-use assets of US$101,099 and depreciation and amortization of</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US$16,867, and (ii) changes in operating assets and liabilities, which was primarily the result of (a) an increase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prepaid expenses and other current assets of US$111,981, (b) an increase in contract cost assets of</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US$268,509, and (c) a decrease in operating lease liabilities of US$127,196, partially offset by (a) an increase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deferred revenue of US$461,128; (b) an increase in accrued expenses and other current liabilities of</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US$249,052; and (c) an increase in accounts payable of US$166,358.</w:t>
      </w:r>
    </w:p>
    <w:p>
      <w:pPr>
        <w:spacing w:after="0" w:line="130"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6"/>
          <w:szCs w:val="16"/>
          <w:color w:val="auto"/>
        </w:rPr>
        <w:t>Net cash provided by operating activities in 2021 was US$244,100, primarily attributable to (i) our net income of US$29,967, as adjusted by the reconciliation of net income to net cash provided by operating activities, which primarily comprised depreciation of right-of-use asset of US$5,996 and depreciation and amortization of US$5,363, and (ii) changes in operating assets and liabilities, which was primarily the result of</w:t>
      </w:r>
    </w:p>
    <w:p>
      <w:pPr>
        <w:spacing w:after="0" w:line="1" w:lineRule="exact"/>
        <w:rPr>
          <w:sz w:val="20"/>
          <w:szCs w:val="20"/>
          <w:color w:val="auto"/>
        </w:rPr>
      </w:pPr>
    </w:p>
    <w:p>
      <w:pPr>
        <w:jc w:val="both"/>
        <w:ind w:left="460" w:right="1019" w:hanging="6"/>
        <w:spacing w:after="0" w:line="255"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deferred revenue of US$192,935; (b) an increase in accrued expenses and other current liabilities of US$54,678, and (c) an increase in accounts payable of US$51,491, partially offset by (a) an increase in accounts receivable, net of US$118,779.</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58" w:lineRule="exact"/>
        <w:rPr>
          <w:sz w:val="20"/>
          <w:szCs w:val="20"/>
          <w:color w:val="auto"/>
        </w:rPr>
      </w:pPr>
    </w:p>
    <w:p>
      <w:pPr>
        <w:ind w:left="460" w:right="639" w:firstLine="432"/>
        <w:spacing w:after="0" w:line="308" w:lineRule="auto"/>
        <w:rPr>
          <w:sz w:val="20"/>
          <w:szCs w:val="20"/>
          <w:color w:val="auto"/>
        </w:rPr>
      </w:pPr>
      <w:r>
        <w:rPr>
          <w:rFonts w:ascii="Arial" w:cs="Arial" w:eastAsia="Arial" w:hAnsi="Arial"/>
          <w:sz w:val="17"/>
          <w:szCs w:val="17"/>
          <w:color w:val="auto"/>
        </w:rPr>
        <w:t>Net cash used in investing activities for the six months ended June 30, 2023 was US$79,043, which was primarily attributable to purchase of property and equipment in the amount of US$79,043.</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used in investing activities for the six months ended June 30, 2022 was nil.</w:t>
      </w:r>
    </w:p>
    <w:p>
      <w:pPr>
        <w:spacing w:after="0" w:line="144" w:lineRule="exact"/>
        <w:rPr>
          <w:sz w:val="20"/>
          <w:szCs w:val="20"/>
          <w:color w:val="auto"/>
        </w:rPr>
      </w:pPr>
    </w:p>
    <w:p>
      <w:pPr>
        <w:ind w:left="460" w:right="479" w:firstLine="432"/>
        <w:spacing w:after="0" w:line="308" w:lineRule="auto"/>
        <w:rPr>
          <w:sz w:val="20"/>
          <w:szCs w:val="20"/>
          <w:color w:val="auto"/>
        </w:rPr>
      </w:pPr>
      <w:r>
        <w:rPr>
          <w:rFonts w:ascii="Arial" w:cs="Arial" w:eastAsia="Arial" w:hAnsi="Arial"/>
          <w:sz w:val="17"/>
          <w:szCs w:val="17"/>
          <w:color w:val="auto"/>
        </w:rPr>
        <w:t>Net cash used in investing activities in 2022 was US$73,885, which was primarily attributable to purchase of property and equipment in the amount of US$73,885 for our newly established subsidiary.</w:t>
      </w:r>
    </w:p>
    <w:p>
      <w:pPr>
        <w:spacing w:after="0" w:line="79"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Net cash used in investing activities in 2021 was US$53,313, which was primarily attributable to purchase of property and equipment in the amount of US$53,313 for business expansion.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5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Net cash provided by financing activities for the six months ended June 30, 2023 was US$5,426,739, which primarily comprised (i) subscription fees advance from shareholders of US$7,065,861; and (ii) loans from related parties of US$355,716, partially offset by (i) loans to related parties of US$1,007,634; (ii) repayment of loans from related parties of US$845,200; (iii) repayments of long-term bank loans of US$67,159; and (iv) dividend distribution of $74,845.</w:t>
      </w:r>
    </w:p>
    <w:p>
      <w:pPr>
        <w:spacing w:after="0" w:line="107" w:lineRule="exact"/>
        <w:rPr>
          <w:sz w:val="20"/>
          <w:szCs w:val="20"/>
          <w:color w:val="auto"/>
        </w:rPr>
      </w:pPr>
    </w:p>
    <w:p>
      <w:pPr>
        <w:jc w:val="both"/>
        <w:ind w:left="460" w:right="859" w:firstLine="432"/>
        <w:spacing w:after="0" w:line="286" w:lineRule="auto"/>
        <w:rPr>
          <w:sz w:val="20"/>
          <w:szCs w:val="20"/>
          <w:color w:val="auto"/>
        </w:rPr>
      </w:pPr>
      <w:r>
        <w:rPr>
          <w:rFonts w:ascii="Arial" w:cs="Arial" w:eastAsia="Arial" w:hAnsi="Arial"/>
          <w:sz w:val="17"/>
          <w:szCs w:val="17"/>
          <w:color w:val="auto"/>
        </w:rPr>
        <w:t>Net cash used in financing activities for the six months ended June 30, 2022 was US$118,326, which primarily comprised (i) loans from related parties of US$1,465, partially offset by dividend distribution of US$106,219; and (ii) repayment of long-term bank loans of US$13,572.</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0" w:name="page61"/>
    <w:bookmarkEnd w:id="6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firstLine="432"/>
        <w:spacing w:after="0" w:line="274" w:lineRule="auto"/>
        <w:rPr>
          <w:sz w:val="20"/>
          <w:szCs w:val="20"/>
          <w:color w:val="auto"/>
        </w:rPr>
      </w:pPr>
      <w:r>
        <w:rPr>
          <w:rFonts w:ascii="Arial" w:cs="Arial" w:eastAsia="Arial" w:hAnsi="Arial"/>
          <w:sz w:val="17"/>
          <w:szCs w:val="17"/>
          <w:color w:val="auto"/>
        </w:rPr>
        <w:t>Net cash provided by financing activities in 2022 was US$1,378,257, which primarily comprised (i) loans from related parties of US$748,533, (ii) proceeds from long-term bank loans of US$652,789, and</w:t>
      </w:r>
    </w:p>
    <w:p>
      <w:pPr>
        <w:ind w:left="460" w:right="799" w:hanging="6"/>
        <w:spacing w:after="0" w:line="290" w:lineRule="auto"/>
        <w:tabs>
          <w:tab w:leader="none" w:pos="775"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subscription fees advance from a shareholder of US$ 524,560, partially offset by (i) repayment of loans from related parties of US$239,357, and (iii) dividend distribution of US$229,201.</w:t>
      </w:r>
    </w:p>
    <w:p>
      <w:pPr>
        <w:spacing w:after="0" w:line="94" w:lineRule="exact"/>
        <w:rPr>
          <w:sz w:val="20"/>
          <w:szCs w:val="20"/>
          <w:color w:val="auto"/>
        </w:rPr>
      </w:pPr>
    </w:p>
    <w:p>
      <w:pPr>
        <w:ind w:left="460" w:right="459" w:firstLine="432"/>
        <w:spacing w:after="0" w:line="311" w:lineRule="auto"/>
        <w:rPr>
          <w:sz w:val="20"/>
          <w:szCs w:val="20"/>
          <w:color w:val="auto"/>
        </w:rPr>
      </w:pPr>
      <w:r>
        <w:rPr>
          <w:rFonts w:ascii="Arial" w:cs="Arial" w:eastAsia="Arial" w:hAnsi="Arial"/>
          <w:sz w:val="16"/>
          <w:szCs w:val="16"/>
          <w:color w:val="auto"/>
        </w:rPr>
        <w:t>Net cash provided by financing activities in 2021 was US$66,030, which primarily comprised (i) proceeds from long-term bank loans of US$48,370 and (ii) loans from related parties of US$44,650, partially offset by repayment of loans from related parties of US$22,325 and (ii) repayment of long-term bank loans of US$4,665.</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Capital Expenditures</w:t>
      </w:r>
    </w:p>
    <w:p>
      <w:pPr>
        <w:spacing w:after="0" w:line="162"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Our capital expenditures are primarily incurred for purposes of purchasing office and electric equipment and investments in office renovation. Our capital expenditures were US$79,043, US$73,885 and US$53,313 for the six months ended June 30, 2023, for the year ended December 31, 2022 and 2021, respectively. We intend to fund our future capital expenditures with our existing cash balance and proceeds from this offering. We will continue to make well-planned capital expenditures to meet the expected growth of our business.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The total future minimum lease payments under the non-cancellable operating lease with respect to the office and the warehouse as of June 30, 2023 are payable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31"/>
              <w:spacing w:after="0"/>
              <w:rPr>
                <w:sz w:val="20"/>
                <w:szCs w:val="20"/>
                <w:color w:val="auto"/>
              </w:rPr>
            </w:pPr>
            <w:r>
              <w:rPr>
                <w:rFonts w:ascii="Arial" w:cs="Arial" w:eastAsia="Arial" w:hAnsi="Arial"/>
                <w:sz w:val="16"/>
                <w:szCs w:val="16"/>
                <w:b w:val="1"/>
                <w:bCs w:val="1"/>
                <w:color w:val="auto"/>
              </w:rPr>
              <w:t>Lease</w:t>
            </w:r>
          </w:p>
        </w:tc>
      </w:tr>
      <w:tr>
        <w:trPr>
          <w:trHeight w:val="210"/>
        </w:trPr>
        <w:tc>
          <w:tcPr>
            <w:tcW w:w="70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Commitment</w:t>
            </w:r>
          </w:p>
        </w:tc>
      </w:tr>
      <w:tr>
        <w:trPr>
          <w:trHeight w:val="46"/>
        </w:trPr>
        <w:tc>
          <w:tcPr>
            <w:tcW w:w="70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215,285</w:t>
            </w:r>
          </w:p>
        </w:tc>
      </w:tr>
      <w:tr>
        <w:trPr>
          <w:trHeight w:val="243"/>
        </w:trPr>
        <w:tc>
          <w:tcPr>
            <w:tcW w:w="706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445,552</w:t>
            </w:r>
          </w:p>
        </w:tc>
      </w:tr>
      <w:tr>
        <w:trPr>
          <w:trHeight w:val="40"/>
        </w:trPr>
        <w:tc>
          <w:tcPr>
            <w:tcW w:w="7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4"/>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427,228</w:t>
            </w:r>
          </w:p>
        </w:tc>
      </w:tr>
      <w:tr>
        <w:trPr>
          <w:trHeight w:val="243"/>
        </w:trPr>
        <w:tc>
          <w:tcPr>
            <w:tcW w:w="7060" w:type="dxa"/>
            <w:vAlign w:val="bottom"/>
          </w:tcPr>
          <w:p>
            <w:pPr>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364,534</w:t>
            </w:r>
          </w:p>
        </w:tc>
      </w:tr>
      <w:tr>
        <w:trPr>
          <w:trHeight w:val="40"/>
        </w:trPr>
        <w:tc>
          <w:tcPr>
            <w:tcW w:w="7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8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2027</w:t>
            </w: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225,793</w:t>
            </w:r>
          </w:p>
        </w:tc>
      </w:tr>
      <w:tr>
        <w:trPr>
          <w:trHeight w:val="243"/>
        </w:trPr>
        <w:tc>
          <w:tcPr>
            <w:tcW w:w="70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1,678,392</w:t>
            </w:r>
          </w:p>
        </w:tc>
      </w:tr>
      <w:tr>
        <w:trPr>
          <w:trHeight w:val="20"/>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60" w:right="779" w:firstLine="432"/>
        <w:spacing w:after="0" w:line="301" w:lineRule="auto"/>
        <w:rPr>
          <w:sz w:val="20"/>
          <w:szCs w:val="20"/>
          <w:color w:val="auto"/>
        </w:rPr>
      </w:pPr>
      <w:r>
        <w:rPr>
          <w:rFonts w:ascii="Arial" w:cs="Arial" w:eastAsia="Arial" w:hAnsi="Arial"/>
          <w:sz w:val="16"/>
          <w:szCs w:val="16"/>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Commitments and Contingencies</w:t>
      </w:r>
    </w:p>
    <w:p>
      <w:pPr>
        <w:spacing w:after="0" w:line="162" w:lineRule="exact"/>
        <w:rPr>
          <w:sz w:val="20"/>
          <w:szCs w:val="20"/>
          <w:color w:val="auto"/>
        </w:rPr>
      </w:pPr>
    </w:p>
    <w:p>
      <w:pPr>
        <w:jc w:val="both"/>
        <w:ind w:left="460" w:right="639" w:firstLine="432"/>
        <w:spacing w:after="0" w:line="259" w:lineRule="auto"/>
        <w:rPr>
          <w:sz w:val="20"/>
          <w:szCs w:val="20"/>
          <w:color w:val="auto"/>
        </w:rPr>
      </w:pPr>
      <w:r>
        <w:rPr>
          <w:rFonts w:ascii="Arial" w:cs="Arial" w:eastAsia="Arial" w:hAnsi="Arial"/>
          <w:sz w:val="18"/>
          <w:szCs w:val="18"/>
          <w:color w:val="auto"/>
        </w:rPr>
        <w:t>From time to time, we may be subject to certain legal proceedings, claims and disputes that arise in the ordinary course of business. Although the outcomes of these legal proceedings cannot be predicted, we do not believe these actions, in the aggregate, will have a material adverse impact on our financial position, results of operations or liquidity.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Seasonality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nature of our business does not appear to be affected by seasonal variations.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Management Estimates</w:t>
      </w:r>
    </w:p>
    <w:p>
      <w:pPr>
        <w:spacing w:after="0" w:line="148"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We prepare our consolidated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1" w:name="page62"/>
    <w:bookmarkEnd w:id="6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59"/>
        <w:spacing w:after="0" w:line="263" w:lineRule="auto"/>
        <w:rPr>
          <w:sz w:val="20"/>
          <w:szCs w:val="20"/>
          <w:color w:val="auto"/>
        </w:rPr>
      </w:pPr>
      <w:r>
        <w:rPr>
          <w:rFonts w:ascii="Arial" w:cs="Arial" w:eastAsia="Arial" w:hAnsi="Arial"/>
          <w:sz w:val="18"/>
          <w:szCs w:val="18"/>
          <w:color w:val="auto"/>
        </w:rPr>
        <w:t>assumptions on our own historical data and other assumptions that we believe are reasonable after taking account of our circumstances and expectations for the future based on available information. We evaluate these estimates and assumptions on an ongoing basis.</w:t>
      </w:r>
    </w:p>
    <w:p>
      <w:pPr>
        <w:spacing w:after="0" w:line="116"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20"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The critical accounting policies, judgments and estimates that we believe to have the most significant impact on our consolidated financial statements are described below, which should be read in conjunction with our consolidated financial statements and accompanying notes and other disclosures included in this prospectus. When reviewing our financial statements, you should consider.</w:t>
      </w:r>
    </w:p>
    <w:p>
      <w:pPr>
        <w:spacing w:after="0" w:line="90" w:lineRule="exact"/>
        <w:rPr>
          <w:sz w:val="20"/>
          <w:szCs w:val="20"/>
          <w:color w:val="auto"/>
        </w:rPr>
      </w:pPr>
    </w:p>
    <w:p>
      <w:pPr>
        <w:ind w:left="1280" w:hanging="394"/>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selection of critical accounting policies;</w:t>
      </w:r>
    </w:p>
    <w:p>
      <w:pPr>
        <w:spacing w:after="0" w:line="157" w:lineRule="exact"/>
        <w:rPr>
          <w:rFonts w:ascii="Arial" w:cs="Arial" w:eastAsia="Arial" w:hAnsi="Arial"/>
          <w:sz w:val="18"/>
          <w:szCs w:val="18"/>
          <w:color w:val="auto"/>
        </w:rPr>
      </w:pPr>
    </w:p>
    <w:p>
      <w:pPr>
        <w:ind w:left="1280" w:hanging="394"/>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judgments and other uncertainties affecting the application of such policies;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sensitivity of reported results to changes in conditions and assumptions;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critical accounting policies and practices include the following: (i) accounts receivable, net;</w:t>
      </w:r>
    </w:p>
    <w:p>
      <w:pPr>
        <w:spacing w:after="0" w:line="23" w:lineRule="exact"/>
        <w:rPr>
          <w:sz w:val="20"/>
          <w:szCs w:val="20"/>
          <w:color w:val="auto"/>
        </w:rPr>
      </w:pPr>
    </w:p>
    <w:p>
      <w:pPr>
        <w:jc w:val="both"/>
        <w:ind w:left="460" w:right="519" w:hanging="6"/>
        <w:spacing w:after="0" w:line="302" w:lineRule="auto"/>
        <w:tabs>
          <w:tab w:leader="none" w:pos="725"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revenue recognition; and (iii) income taxes. See Note 2 — Summary of Significant Accounting Policies to our consolidated financial statements for the disclosure of these accounting policies. We believe the following accounting estimates involve the most significant judgments used in the preparation of our financial statements.</w:t>
      </w:r>
    </w:p>
    <w:p>
      <w:pPr>
        <w:spacing w:after="0" w:line="88" w:lineRule="exact"/>
        <w:rPr>
          <w:sz w:val="20"/>
          <w:szCs w:val="20"/>
          <w:color w:val="auto"/>
        </w:rPr>
      </w:pPr>
    </w:p>
    <w:p>
      <w:pPr>
        <w:ind w:left="460" w:right="999" w:firstLine="432"/>
        <w:spacing w:after="0" w:line="291" w:lineRule="auto"/>
        <w:rPr>
          <w:sz w:val="20"/>
          <w:szCs w:val="20"/>
          <w:color w:val="auto"/>
        </w:rPr>
      </w:pPr>
      <w:r>
        <w:rPr>
          <w:rFonts w:ascii="Arial" w:cs="Arial" w:eastAsia="Arial" w:hAnsi="Arial"/>
          <w:sz w:val="16"/>
          <w:szCs w:val="16"/>
          <w:color w:val="auto"/>
        </w:rPr>
        <w:t>We consider an accounting estimate to be critical if: (i) the accounting estimate requires us to make assumptions about matters that were highly uncertain at the time the accounting estimate was made, and</w:t>
      </w:r>
    </w:p>
    <w:p>
      <w:pPr>
        <w:ind w:left="460" w:right="499" w:hanging="6"/>
        <w:spacing w:after="0" w:line="273" w:lineRule="auto"/>
        <w:tabs>
          <w:tab w:leader="none" w:pos="72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the estimate that are reasonably likely to occur from period to period or use of different estimates that we reasonably could have used in the current period, would have a material impact on our financial condition or results of operations. We consider our critical accounting estimates include (i) allowance for doubtful accounts for accounts receivable and (ii) valuation allowance of deferred tax assets.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Allowance for doubtful accounts for accounts receivable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Accounts receivable is stated at the original amount less an allowance for doubtful receivable.</w:t>
      </w:r>
    </w:p>
    <w:p>
      <w:pPr>
        <w:spacing w:after="0" w:line="144"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Accounts receivable are recognized in the period when the Group has provided services to its customers and when its right to consideration is unconditional. In January 1, 2023, the Group adopted ASU 2016-13, “Financial Instruments — Credit Losses (Topic 326): Measurement on Credit Losses on Financial Instruments”, including certain subsequent amendments, transitional guidance and other interpretive guidance within ASU 2018-19, ASU 2019-04, ASU 2019-05, ASU 2019-11, ASU 2020-02 and ASU 2020-03 (collectively, including ASU 2016-13, “ASC 326”). ASC 326 introduces an approach based on expected losses to estimate the allowance for doubtful accounts, which replaces the previous incurred loss impairment model. The Group’s estimation of allowance for doubtful accounts considers factors such as historical credit loss experience, age of receivable balances, current market conditions, reasonable and supportable forecasts of future economic conditions, as well as an assessment of receivables due from specific identifiable counterparties to determine whether these receivables are considered at risk or uncollectible.</w:t>
      </w:r>
    </w:p>
    <w:p>
      <w:pPr>
        <w:spacing w:after="0" w:line="104"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Group reviews the accounts receivable on a periodic basis and makes general and specific allowances when there is doubt as to the collectability of individual balances. The Group considers factors in assessing the collectability of its receivables, such as the age of the amounts due, the customer’s payment history, credit-worthiness and other specific circumstances related to the accounts. An allowance for doubtful accounts is recorded in the period in which a loss is determined to be probable. Accounts receivable balances are written off after all collection efforts have been exhausted.</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There was no provision of allowance for doubtful accounts as of June 30, 2023, December 31, 2022 and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of deferred tax assets</w:t>
      </w:r>
    </w:p>
    <w:p>
      <w:pPr>
        <w:spacing w:after="0" w:line="144" w:lineRule="exact"/>
        <w:rPr>
          <w:sz w:val="20"/>
          <w:szCs w:val="20"/>
          <w:color w:val="auto"/>
        </w:rPr>
      </w:pPr>
    </w:p>
    <w:p>
      <w:pPr>
        <w:ind w:left="460" w:right="779" w:firstLine="432"/>
        <w:spacing w:after="0" w:line="286" w:lineRule="auto"/>
        <w:rPr>
          <w:sz w:val="20"/>
          <w:szCs w:val="20"/>
          <w:color w:val="auto"/>
        </w:rPr>
      </w:pPr>
      <w:r>
        <w:rPr>
          <w:rFonts w:ascii="Arial" w:cs="Arial" w:eastAsia="Arial" w:hAnsi="Arial"/>
          <w:sz w:val="17"/>
          <w:szCs w:val="17"/>
          <w:color w:val="auto"/>
        </w:rPr>
        <w:t>We account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98"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25"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June 30, 2023, December 31, 2022 and 2021. Thus, management decided to record all of the valuation allowance. Valuation allowance amounted to US$630,695, US$238,081 and US$30,974 as of June 30, 2023, December 31, 2022 and 2021, respectively. While we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Standards</w:t>
      </w:r>
    </w:p>
    <w:p>
      <w:pPr>
        <w:spacing w:after="0" w:line="14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are an “emerging growth company” (“EGC”) as defined in the JOBS Act. An EGC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EGC does not need to comply with any new or revised accounting standards issued subsequent to the enactment of the JOBS Act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pacing w:after="0" w:line="114"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We do not discuss recent standards that are not anticipated to have an impact on or are unrelated to its consolidated financial condition, results of operations, cash flows or disclosures.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162" w:lineRule="exact"/>
        <w:rPr>
          <w:sz w:val="20"/>
          <w:szCs w:val="20"/>
          <w:color w:val="auto"/>
        </w:rPr>
      </w:pPr>
    </w:p>
    <w:p>
      <w:pPr>
        <w:ind w:left="460" w:right="859" w:firstLine="432"/>
        <w:spacing w:after="0" w:line="301" w:lineRule="auto"/>
        <w:rPr>
          <w:sz w:val="20"/>
          <w:szCs w:val="20"/>
          <w:color w:val="auto"/>
        </w:rPr>
      </w:pPr>
      <w:r>
        <w:rPr>
          <w:rFonts w:ascii="Arial" w:cs="Arial" w:eastAsia="Arial" w:hAnsi="Arial"/>
          <w:sz w:val="16"/>
          <w:szCs w:val="16"/>
          <w:color w:val="auto"/>
        </w:rPr>
        <w:t>We are also exposed to liquidity risk which is risk that we are unable to provide sufficient capital resources and liquidity to meet our commitments and business needs. Liquidity risk is controlled by the application of financial position analysis and monitoring procedures. When necessary, we will turn to other financial institutions and the shareholders to obtain short-term funding to meet the liquidity shortage.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Inflation risk</w:t>
      </w:r>
    </w:p>
    <w:p>
      <w:pPr>
        <w:spacing w:after="0" w:line="144"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Inflationary factors, such as increases in personnel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do not increase with such increased costs.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3" w:name="page64"/>
    <w:bookmarkEnd w:id="6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risk</w:t>
      </w:r>
    </w:p>
    <w:p>
      <w:pPr>
        <w:spacing w:after="0" w:line="144" w:lineRule="exact"/>
        <w:rPr>
          <w:sz w:val="20"/>
          <w:szCs w:val="20"/>
          <w:color w:val="auto"/>
        </w:rPr>
      </w:pPr>
    </w:p>
    <w:p>
      <w:pPr>
        <w:ind w:left="460" w:right="739" w:firstLine="432"/>
        <w:spacing w:after="0" w:line="308" w:lineRule="auto"/>
        <w:rPr>
          <w:sz w:val="20"/>
          <w:szCs w:val="20"/>
          <w:color w:val="auto"/>
        </w:rPr>
      </w:pPr>
      <w:r>
        <w:rPr>
          <w:rFonts w:ascii="Arial" w:cs="Arial" w:eastAsia="Arial" w:hAnsi="Arial"/>
          <w:sz w:val="17"/>
          <w:szCs w:val="17"/>
          <w:color w:val="auto"/>
        </w:rPr>
        <w:t>We are exposed to interest rate risk while we have bank loans. Although interest rates for our loans are about fixed for the terms of the loans, the interest rates are subject to change upon renewal.</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currency translation and transaction</w:t>
      </w:r>
    </w:p>
    <w:p>
      <w:pPr>
        <w:spacing w:after="0" w:line="158"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Two of our operating entities’ functional currency are SGD. As a result, we are exposed to foreign exchange risk as our results of operations may be affected by fluctuations in the exchange rate among SGD and USD. If the SGD depreciates against the USD, the value of our SGD revenues, earnings, and assets as expressed in our USD financial statements will decline. We have not entered into any hedging transactions in an effort to reduce our exposure to foreign exchange risk. Currently, these risks are not material to our financial condition or results of operations. As we expand internationally, our exposure to foreign currency translation and transaction risks may become more significant.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4" w:name="page65"/>
    <w:bookmarkEnd w:id="6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w:t>
      </w:r>
    </w:p>
    <w:p>
      <w:pPr>
        <w:spacing w:after="0" w:line="148"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invest in our ADSs. The information presented in this section has been derived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 of Digital Solutions in Singapore</w:t>
      </w:r>
    </w:p>
    <w:p>
      <w:pPr>
        <w:spacing w:after="0" w:line="162"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Digital solutions involve the design, supply, integration, operation and maintenance of technology-related tools for the deployment of digital activities. According to the Frost &amp; Sullivan Report, in Singapore, digital solutions have different service coverages, namely (i) e-commerce enablement and digital optimizing;</w:t>
      </w:r>
    </w:p>
    <w:p>
      <w:pPr>
        <w:spacing w:after="0" w:line="2" w:lineRule="exact"/>
        <w:rPr>
          <w:sz w:val="20"/>
          <w:szCs w:val="20"/>
          <w:color w:val="auto"/>
        </w:rPr>
      </w:pPr>
    </w:p>
    <w:p>
      <w:pPr>
        <w:ind w:left="460" w:right="639" w:hanging="6"/>
        <w:spacing w:after="0" w:line="260" w:lineRule="auto"/>
        <w:tabs>
          <w:tab w:leader="none" w:pos="7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branding, design and marketing consulting services; (iii) application development and user experience and user interface interfacing; and (iv) IT consulting solution.</w:t>
      </w:r>
    </w:p>
    <w:p>
      <w:pPr>
        <w:spacing w:after="0" w:line="118"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Companies engaging in the e-commerce enablement and digital optimizing offer e-commerce platforms, integrated channels, content and order management systems, payment processing, fulfillment integration, digital marketing solutions and services to help businesses build and optimize their digital commerce operations.</w:t>
      </w:r>
    </w:p>
    <w:p>
      <w:pPr>
        <w:spacing w:after="0" w:line="68"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Branding, design and marketing consulting services encompass the provision of design, analysis, strategic planning, implementation and marketing services for companies to build, develop and optimize a brand proposition, reputation and positioning in order to promote and sell their services or products.</w:t>
      </w:r>
    </w:p>
    <w:p>
      <w:pPr>
        <w:spacing w:after="0" w:line="98"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Web applications are interactive programs that run on a web server, while mobile applications are software programs that are designed to run on specific hardware, such as tablets and smartphones. Web and mobile application development is the process of creating, revamping and developing user experience and user interfacing design on designated platform, as well as conducting user acceptance testing which serve as convenient ways to for merchants and users to conduct transactions and access information.</w:t>
      </w:r>
    </w:p>
    <w:p>
      <w:pPr>
        <w:spacing w:after="0" w:line="94"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IT consulting solutions are solutions that revamp and integrate different information technology systems and operational systems within an organization to work more efficiently. This integration can be achieved through various methods such as data sharing, system linking, and process automation. It involves designing, developing, and implementing custom software solutions that can integrate with existing systems or platforms. IT and operational systems solutions help businesses digitize, automate and streamline their core operations and business processes.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Key Drivers of Digital Solutions in Singapore</w:t>
      </w:r>
    </w:p>
    <w:p>
      <w:pPr>
        <w:spacing w:after="0" w:line="144" w:lineRule="exact"/>
        <w:rPr>
          <w:sz w:val="20"/>
          <w:szCs w:val="20"/>
          <w:color w:val="auto"/>
        </w:rPr>
      </w:pPr>
    </w:p>
    <w:p>
      <w:pPr>
        <w:ind w:left="1320" w:right="499" w:hanging="434"/>
        <w:spacing w:after="0" w:line="287" w:lineRule="auto"/>
        <w:tabs>
          <w:tab w:leader="none" w:pos="1315"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Demand for operational efficiency. </w:t>
      </w:r>
      <w:r>
        <w:rPr>
          <w:rFonts w:ascii="Arial" w:cs="Arial" w:eastAsia="Arial" w:hAnsi="Arial"/>
          <w:sz w:val="16"/>
          <w:szCs w:val="16"/>
          <w:color w:val="auto"/>
        </w:rPr>
        <w:t>Particularly for market entrants of e-commerce platforms of</w:t>
      </w:r>
      <w:r>
        <w:rPr>
          <w:rFonts w:ascii="Arial" w:cs="Arial" w:eastAsia="Arial" w:hAnsi="Arial"/>
          <w:sz w:val="16"/>
          <w:szCs w:val="16"/>
          <w:i w:val="1"/>
          <w:iCs w:val="1"/>
          <w:color w:val="auto"/>
        </w:rPr>
        <w:t xml:space="preserve"> </w:t>
      </w:r>
      <w:r>
        <w:rPr>
          <w:rFonts w:ascii="Arial" w:cs="Arial" w:eastAsia="Arial" w:hAnsi="Arial"/>
          <w:sz w:val="16"/>
          <w:szCs w:val="16"/>
          <w:color w:val="auto"/>
        </w:rPr>
        <w:t>traditional brick-and-mortar stores, managing e-commerce operations involves coordinating many complex processes, involving the maintenance of online store, handling orders and payments, managing inventory across channels, shipping and fulfillment, providing customer service, as well as customer and operational data analysis etc. Performing all these functions efficiently and at scale requires sophisticated tools and systems to streamline workflows, minimize costs, and maximize productivity. e-commerce enablement and digital optimizing solution providers aim to remedy that by supplying companies with platforms to unify systems, simplify workflows and focus on strategic growth rather than troubleshooting inefficiencies or technical issues. By handling the complex infrastructure, integrations and optimization needs of digital business, solution providers allow companies to redirect resources toward engaging customers and expanding market opportunities.</w:t>
      </w:r>
    </w:p>
    <w:p>
      <w:pPr>
        <w:spacing w:after="0" w:line="104" w:lineRule="exact"/>
        <w:rPr>
          <w:rFonts w:ascii="Arial" w:cs="Arial" w:eastAsia="Arial" w:hAnsi="Arial"/>
          <w:sz w:val="16"/>
          <w:szCs w:val="16"/>
          <w:color w:val="auto"/>
        </w:rPr>
      </w:pPr>
    </w:p>
    <w:p>
      <w:pPr>
        <w:ind w:left="1320" w:right="499" w:hanging="434"/>
        <w:spacing w:after="0" w:line="254" w:lineRule="auto"/>
        <w:tabs>
          <w:tab w:leader="none" w:pos="1315"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Robust demand for omnichannel customer experience. </w:t>
      </w:r>
      <w:r>
        <w:rPr>
          <w:rFonts w:ascii="Arial" w:cs="Arial" w:eastAsia="Arial" w:hAnsi="Arial"/>
          <w:sz w:val="18"/>
          <w:szCs w:val="18"/>
          <w:color w:val="auto"/>
        </w:rPr>
        <w:t>With thriving numbers of Internet users in</w:t>
      </w:r>
      <w:r>
        <w:rPr>
          <w:rFonts w:ascii="Arial" w:cs="Arial" w:eastAsia="Arial" w:hAnsi="Arial"/>
          <w:sz w:val="18"/>
          <w:szCs w:val="18"/>
          <w:i w:val="1"/>
          <w:iCs w:val="1"/>
          <w:color w:val="auto"/>
        </w:rPr>
        <w:t xml:space="preserve"> </w:t>
      </w:r>
      <w:r>
        <w:rPr>
          <w:rFonts w:ascii="Arial" w:cs="Arial" w:eastAsia="Arial" w:hAnsi="Arial"/>
          <w:sz w:val="18"/>
          <w:szCs w:val="18"/>
          <w:color w:val="auto"/>
        </w:rPr>
        <w:t>Southeast Asia, increasing from 355.5 million in 2017 to 516.5 million in 2022, representing a CAGR of approximately 7.8%, coupled with the burgeoning market size of e-commerce in Southeast Asia, surging from US$14.0 billion to US$113.6 billion during 2017 to 2022, representing a CAGR of approximately 52.0%, the demand for omnichannel customer experience is developing profoundly. Modern customers expect a seamless shopping experience across all channels — online, mobile, social and in-store.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499"/>
        <w:spacing w:after="0" w:line="289" w:lineRule="auto"/>
        <w:rPr>
          <w:sz w:val="20"/>
          <w:szCs w:val="20"/>
          <w:color w:val="auto"/>
        </w:rPr>
      </w:pPr>
      <w:r>
        <w:rPr>
          <w:rFonts w:ascii="Arial" w:cs="Arial" w:eastAsia="Arial" w:hAnsi="Arial"/>
          <w:sz w:val="16"/>
          <w:szCs w:val="16"/>
          <w:color w:val="auto"/>
        </w:rPr>
        <w:t>With a view to meeting these omnichannel expectations, the retail industry in Southeast Asia has been evolving towards an omnichannel model, with numerous physical stores including e-commerce and mobile commerce into their businesses. E-commerce enablement and digital optimizing providers aim to enable omnichannel commerce with features such as native mobile web experiences, integration with major e-marketplaces such as Shopee and Lazada, integration with digital tools, payment gateways to support online and offline payments, and integrations with existing order and warehouse management systems for a unified order fulfillment workflow. As omnichannel strategy is key to customer retention and growth nowadays, the demand for e-commerce enablement and digital optimizing is heavily underpinned.</w:t>
      </w:r>
    </w:p>
    <w:p>
      <w:pPr>
        <w:spacing w:after="0" w:line="99" w:lineRule="exact"/>
        <w:rPr>
          <w:sz w:val="20"/>
          <w:szCs w:val="20"/>
          <w:color w:val="auto"/>
        </w:rPr>
      </w:pPr>
    </w:p>
    <w:p>
      <w:pPr>
        <w:ind w:left="1320" w:right="679" w:hanging="434"/>
        <w:spacing w:after="0" w:line="288" w:lineRule="auto"/>
        <w:tabs>
          <w:tab w:leader="none" w:pos="1315"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Government effort in promoting digital economy and society. </w:t>
      </w:r>
      <w:r>
        <w:rPr>
          <w:rFonts w:ascii="Arial" w:cs="Arial" w:eastAsia="Arial" w:hAnsi="Arial"/>
          <w:sz w:val="16"/>
          <w:szCs w:val="16"/>
          <w:color w:val="auto"/>
        </w:rPr>
        <w:t>Singapore government has</w:t>
      </w:r>
      <w:r>
        <w:rPr>
          <w:rFonts w:ascii="Arial" w:cs="Arial" w:eastAsia="Arial" w:hAnsi="Arial"/>
          <w:sz w:val="16"/>
          <w:szCs w:val="16"/>
          <w:i w:val="1"/>
          <w:iCs w:val="1"/>
          <w:color w:val="auto"/>
        </w:rPr>
        <w:t xml:space="preserve"> </w:t>
      </w:r>
      <w:r>
        <w:rPr>
          <w:rFonts w:ascii="Arial" w:cs="Arial" w:eastAsia="Arial" w:hAnsi="Arial"/>
          <w:sz w:val="16"/>
          <w:szCs w:val="16"/>
          <w:color w:val="auto"/>
        </w:rPr>
        <w:t>promulgated the “Smart Nation initiative” to accelerate the process of integrating technology into the economy and aim to make Singapore a fully technology-driven country. For instance, most transactions and interactions between citizens and the government today can be done online, and integrated apps that reduce the time taken to fulfil inter-agency requests have been growing in number. With effort such as the implementation of fifth-generation mobile network (5G) starting from 2020, entailing greater speed and higher reliability of data transmission, lower latency and greater number of connected devices, information transmission and transparency has been continuously elevated. With the government support, the demand to delegate third party digital solutions providers would be continuously propelled.</w:t>
      </w:r>
    </w:p>
    <w:p>
      <w:pPr>
        <w:spacing w:after="0" w:line="100" w:lineRule="exact"/>
        <w:rPr>
          <w:rFonts w:ascii="Arial" w:cs="Arial" w:eastAsia="Arial" w:hAnsi="Arial"/>
          <w:sz w:val="16"/>
          <w:szCs w:val="16"/>
          <w:color w:val="auto"/>
        </w:rPr>
      </w:pPr>
    </w:p>
    <w:p>
      <w:pPr>
        <w:ind w:left="1320" w:right="479" w:hanging="434"/>
        <w:spacing w:after="0" w:line="288" w:lineRule="auto"/>
        <w:tabs>
          <w:tab w:leader="none" w:pos="1315"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Significant impetus from SMEs. </w:t>
      </w:r>
      <w:r>
        <w:rPr>
          <w:rFonts w:ascii="Arial" w:cs="Arial" w:eastAsia="Arial" w:hAnsi="Arial"/>
          <w:sz w:val="16"/>
          <w:szCs w:val="16"/>
          <w:color w:val="auto"/>
        </w:rPr>
        <w:t>Government support for SME digitalization and skills upgrading</w:t>
      </w:r>
      <w:r>
        <w:rPr>
          <w:rFonts w:ascii="Arial" w:cs="Arial" w:eastAsia="Arial" w:hAnsi="Arial"/>
          <w:sz w:val="16"/>
          <w:szCs w:val="16"/>
          <w:i w:val="1"/>
          <w:iCs w:val="1"/>
          <w:color w:val="auto"/>
        </w:rPr>
        <w:t xml:space="preserve"> </w:t>
      </w:r>
      <w:r>
        <w:rPr>
          <w:rFonts w:ascii="Arial" w:cs="Arial" w:eastAsia="Arial" w:hAnsi="Arial"/>
          <w:sz w:val="16"/>
          <w:szCs w:val="16"/>
          <w:color w:val="auto"/>
        </w:rPr>
        <w:t>is fueling demand for digital solutions. In Singapore, there were more than 200,000 SMEs in 2022 and they make up 99% of enterprises, contributing nearly half of the national GDP. Accordingly, enabling SME’s digital transformation is key to sustainable economic growth. Government agencies such as IMDA, Enterprise Singapore and e-commerce marketplaces provide strong funding and incentives for SMEs to build e-commerce channels, digitize operations and upgrade IT skills. For instance, the IMDA’s SMEs Go Digital program offers advice and grants to help SMEs adopt technology in areas like e-commerce, digital marketing and business process re-engineering. Digital solutions providers will benefit from the SME segment’s demand at scale and government backing for the technology investment required to serve SME segment needs.</w:t>
      </w:r>
    </w:p>
    <w:p>
      <w:pPr>
        <w:spacing w:after="0" w:line="87" w:lineRule="exact"/>
        <w:rPr>
          <w:rFonts w:ascii="Arial" w:cs="Arial" w:eastAsia="Arial" w:hAnsi="Arial"/>
          <w:sz w:val="16"/>
          <w:szCs w:val="16"/>
          <w:color w:val="auto"/>
        </w:rPr>
      </w:pPr>
    </w:p>
    <w:p>
      <w:pPr>
        <w:ind w:left="1320" w:right="479" w:hanging="434"/>
        <w:spacing w:after="0" w:line="286" w:lineRule="auto"/>
        <w:tabs>
          <w:tab w:leader="none" w:pos="1315"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Rise of Web 3.0 propelling e-commerce enablement</w:t>
      </w:r>
      <w:r>
        <w:rPr>
          <w:rFonts w:ascii="Arial" w:cs="Arial" w:eastAsia="Arial" w:hAnsi="Arial"/>
          <w:sz w:val="16"/>
          <w:szCs w:val="16"/>
          <w:color w:val="auto"/>
        </w:rPr>
        <w:t>. Web 3.0 primarily focuses on leveraging</w:t>
      </w:r>
      <w:r>
        <w:rPr>
          <w:rFonts w:ascii="Arial" w:cs="Arial" w:eastAsia="Arial" w:hAnsi="Arial"/>
          <w:sz w:val="16"/>
          <w:szCs w:val="16"/>
          <w:i w:val="1"/>
          <w:iCs w:val="1"/>
          <w:color w:val="auto"/>
        </w:rPr>
        <w:t xml:space="preserve"> </w:t>
      </w:r>
      <w:r>
        <w:rPr>
          <w:rFonts w:ascii="Arial" w:cs="Arial" w:eastAsia="Arial" w:hAnsi="Arial"/>
          <w:sz w:val="16"/>
          <w:szCs w:val="16"/>
          <w:color w:val="auto"/>
        </w:rPr>
        <w:t>artificial intelligence, blockchain, virtual reality, augmented reality and other emerging technologies to enable smart, customized and secure digital experiences. The rise of Web 3.0, marked by greater decentralization and use of artificial intelligence, creates new opportunities for e-commerce enablement and digital optimization solution providers.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 By enabling features such as access to artificial intelligence-enhanced personalization, augmented reality-powered virtual showrooms and secure payments and supply chain management, the expertise of e-commerce enablement and digital optimization providers in emerging tech deployment for e-commerce and digital channels positions them to help companies navigate Web 3.0 opportunities and complexities.</w:t>
      </w:r>
    </w:p>
    <w:p>
      <w:pPr>
        <w:spacing w:after="0" w:line="103" w:lineRule="exact"/>
        <w:rPr>
          <w:rFonts w:ascii="Arial" w:cs="Arial" w:eastAsia="Arial" w:hAnsi="Arial"/>
          <w:sz w:val="16"/>
          <w:szCs w:val="16"/>
          <w:color w:val="auto"/>
        </w:rPr>
      </w:pPr>
    </w:p>
    <w:p>
      <w:pPr>
        <w:ind w:left="1320" w:right="559" w:hanging="434"/>
        <w:spacing w:after="0" w:line="269" w:lineRule="auto"/>
        <w:tabs>
          <w:tab w:leader="none" w:pos="1315" w:val="left"/>
        </w:tabs>
        <w:numPr>
          <w:ilvl w:val="0"/>
          <w:numId w:val="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Demand for advancement in IT infrastructure and analytical tools. </w:t>
      </w:r>
      <w:r>
        <w:rPr>
          <w:rFonts w:ascii="Arial" w:cs="Arial" w:eastAsia="Arial" w:hAnsi="Arial"/>
          <w:sz w:val="17"/>
          <w:szCs w:val="17"/>
          <w:color w:val="auto"/>
        </w:rPr>
        <w:t>Advancements in IT are</w:t>
      </w:r>
      <w:r>
        <w:rPr>
          <w:rFonts w:ascii="Arial" w:cs="Arial" w:eastAsia="Arial" w:hAnsi="Arial"/>
          <w:sz w:val="17"/>
          <w:szCs w:val="17"/>
          <w:i w:val="1"/>
          <w:iCs w:val="1"/>
          <w:color w:val="auto"/>
        </w:rPr>
        <w:t xml:space="preserve"> </w:t>
      </w:r>
      <w:r>
        <w:rPr>
          <w:rFonts w:ascii="Arial" w:cs="Arial" w:eastAsia="Arial" w:hAnsi="Arial"/>
          <w:sz w:val="17"/>
          <w:szCs w:val="17"/>
          <w:color w:val="auto"/>
        </w:rPr>
        <w:t>disrupting every industry and transforming how businesses operate. To keep up, companies in Singapore are investing heavily in upgrading and transforming their IT infrastructure, and adoption of modern information technology. In particular, increasing impetus for companies to automate processes, digitize operations and offer digital customer experiences necessitates the demand for scalable, robust and agile IT infrastructure to support their technology needs and power their growth. Additionally, these companies are moving to the cloud to gain flexibility, scalability and cost benefits which is driving demand for incorporating cloud infrastructure by engaging solution providers. Besides, these companies are looking to leverage data analytical tools such as data mining, Internet of Things (IoT), cloud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320" w:right="839"/>
        <w:spacing w:after="0" w:line="311" w:lineRule="auto"/>
        <w:rPr>
          <w:sz w:val="20"/>
          <w:szCs w:val="20"/>
          <w:color w:val="auto"/>
        </w:rPr>
      </w:pPr>
      <w:r>
        <w:rPr>
          <w:rFonts w:ascii="Arial" w:cs="Arial" w:eastAsia="Arial" w:hAnsi="Arial"/>
          <w:sz w:val="16"/>
          <w:szCs w:val="16"/>
          <w:color w:val="auto"/>
        </w:rPr>
        <w:t>computing, and artificial intelligence algorithms to gain insights, improve decision making and optimize operations which puts the spotlight on digital solutions providers with competent data management infrastructure, high performance computing and artificial intelligence capabilities.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Competitive Landscape of Digital Solutions in Singapore</w:t>
      </w:r>
    </w:p>
    <w:p>
      <w:pPr>
        <w:spacing w:after="0" w:line="158"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digital solutions industry in Singapore is highly fragmented due to the industry’s diverse client base, high degree of industry segmentation, and different service coverages, according to the Frost &amp; Sullivan Report. The majority of digital solutions providers operate on the market by providing all-in-one solutions or partial solutions. Major players include e-commerce platform providers such as Shopify, Lazada, Shopee, integrated e-commerce enablers such as our Company, as well as well-known companies with the advantages of social media platforms, such as Google, Facebook, and LinkedIn.</w:t>
      </w:r>
    </w:p>
    <w:p>
      <w:pPr>
        <w:spacing w:after="0" w:line="110"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digital solutions market in Singapore is highly competitive and diverse, and numerous niche players and startups are entering the market with cutting-edge technologies such as virtual reality, augmented reality, artificial intelligence, and blockchain. However, established companies typically have a larger market share and higher profit margins due to their mature business models and higher levels of technology, whereas small players in digital solutions face fierce market competition and limited business opportunities due to service homogenization and lower profit margins. Moreover, as an increasing number of multinational corporations relocate their headquarters to Singapore, a significant international financial center, the demand for localization is likely to create more market space for local digital solution providers.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Competitive Landscape of Digital Solutions in SMEs Go Digital Program in Singapore</w:t>
      </w:r>
    </w:p>
    <w:p>
      <w:pPr>
        <w:spacing w:after="0" w:line="144"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According to the Singapore Department of Statistics, 99% of Singapore’s businesses in 2021 were SMEs. To assist Singapore’s SMEs in enhancing their productivity and competitiveness, Singapore government has launched the SMEs Go Digital program as part of its “Smart Nation Initiative” to provide SMEs with a variety of digital solutions and services, such as e-commerce platforms, digital marketing tools, and data analytics software.</w:t>
      </w:r>
    </w:p>
    <w:p>
      <w:pPr>
        <w:spacing w:after="0" w:line="120"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The program is led by IMDA. Only those digital solutions providers that have been approved by IMDA can participate in the program and provide services to SMEs. Our Company is one of the pre-approved digital solution vendors.</w:t>
      </w:r>
    </w:p>
    <w:p>
      <w:pPr>
        <w:spacing w:after="0" w:line="116" w:lineRule="exact"/>
        <w:rPr>
          <w:sz w:val="20"/>
          <w:szCs w:val="20"/>
          <w:color w:val="auto"/>
        </w:rPr>
      </w:pPr>
    </w:p>
    <w:p>
      <w:pPr>
        <w:jc w:val="both"/>
        <w:ind w:left="460" w:right="1059" w:firstLine="432"/>
        <w:spacing w:after="0" w:line="286" w:lineRule="auto"/>
        <w:rPr>
          <w:sz w:val="20"/>
          <w:szCs w:val="20"/>
          <w:color w:val="auto"/>
        </w:rPr>
      </w:pPr>
      <w:r>
        <w:rPr>
          <w:rFonts w:ascii="Arial" w:cs="Arial" w:eastAsia="Arial" w:hAnsi="Arial"/>
          <w:sz w:val="17"/>
          <w:szCs w:val="17"/>
          <w:color w:val="auto"/>
        </w:rPr>
        <w:t>The program also offers financial assistance to eligible SMEs in order to reduce costs. In addition, consulting and training services, such as seminars and one-on-one consultations with digital experts, are provided to assist SMEs in developing digital capabilities and strategies.</w:t>
      </w:r>
    </w:p>
    <w:p>
      <w:pPr>
        <w:spacing w:after="0" w:line="84"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7"/>
          <w:szCs w:val="17"/>
          <w:color w:val="auto"/>
        </w:rPr>
        <w:t>Among the Singapore-based companies who have participated in the SMEs Go Digital program led by the IMDA, the top five players have contributed to 17.2% of the entire market in terms of revenue in 2022. Our Company ranked fourth with a market share of 1.5%, according to the Frost &amp; Sullivan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71120</wp:posOffset>
            </wp:positionV>
            <wp:extent cx="4989195" cy="18002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8919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 Frost &amp; Sullivan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 of Web 3.0 E-Commerce</w:t>
      </w:r>
    </w:p>
    <w:p>
      <w:pPr>
        <w:spacing w:after="0" w:line="148"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Web 3.0 is the next generation of the World Wide Web which aims to establish an Internet that is smarter, more secure, and decentralized.</w:t>
      </w:r>
    </w:p>
    <w:p>
      <w:pPr>
        <w:spacing w:after="0" w:line="103"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color w:val="auto"/>
        </w:rPr>
        <w:t>Application of the blockchain technology, smart contracts, decentralized applications, and decentralized autonomous organizations at various stages of, and in diversified contexts in, Web 3.0 enables the construction of a decentralized web eventually which is not controlled by a central authority. Meanwhile, Web 3.0 aims to accommodate the use of metadata and other structured data to create a smarter Web that can comprehend and process information in a more meaningful manner, thereby providing users with more advanced search capabilities and personalized experiences.</w:t>
      </w:r>
    </w:p>
    <w:p>
      <w:pPr>
        <w:spacing w:after="0" w:line="110" w:lineRule="exact"/>
        <w:rPr>
          <w:sz w:val="20"/>
          <w:szCs w:val="20"/>
          <w:color w:val="auto"/>
        </w:rPr>
      </w:pPr>
    </w:p>
    <w:p>
      <w:pPr>
        <w:ind w:left="460" w:right="639" w:firstLine="432"/>
        <w:spacing w:after="0" w:line="311" w:lineRule="auto"/>
        <w:rPr>
          <w:sz w:val="20"/>
          <w:szCs w:val="20"/>
          <w:color w:val="auto"/>
        </w:rPr>
      </w:pPr>
      <w:r>
        <w:rPr>
          <w:rFonts w:ascii="Arial" w:cs="Arial" w:eastAsia="Arial" w:hAnsi="Arial"/>
          <w:sz w:val="16"/>
          <w:szCs w:val="16"/>
          <w:color w:val="auto"/>
        </w:rPr>
        <w:t>Web 3.0 signifies a significant transition towards a decentralized and user-centric Internet. According to the Frost &amp; Sullivan Report, Web 3.0 users are forecasted to reach 1 billion by 2031. Increasing numbers of Internet consumers are migrating to this more open, transparent, and secure environment.</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Introduction of Web 3.0 E-Commerce</w:t>
      </w:r>
    </w:p>
    <w:p>
      <w:pPr>
        <w:spacing w:after="0" w:line="144" w:lineRule="exact"/>
        <w:rPr>
          <w:sz w:val="20"/>
          <w:szCs w:val="20"/>
          <w:color w:val="auto"/>
        </w:rPr>
      </w:pPr>
    </w:p>
    <w:p>
      <w:pPr>
        <w:ind w:left="460" w:right="1359" w:firstLine="432"/>
        <w:spacing w:after="0" w:line="342" w:lineRule="auto"/>
        <w:rPr>
          <w:sz w:val="20"/>
          <w:szCs w:val="20"/>
          <w:color w:val="auto"/>
        </w:rPr>
      </w:pPr>
      <w:r>
        <w:rPr>
          <w:rFonts w:ascii="Arial" w:cs="Arial" w:eastAsia="Arial" w:hAnsi="Arial"/>
          <w:sz w:val="16"/>
          <w:szCs w:val="16"/>
          <w:color w:val="auto"/>
        </w:rPr>
        <w:t>Web 3.0 will enable a decentralized commerce model where merchants list their products on a decentralized marketplace and customers can access them directly without any intermediaries.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44450</wp:posOffset>
            </wp:positionV>
            <wp:extent cx="4989195" cy="2434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8919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 Frost &amp; Sullivan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Key Drivers of Web 3.0 E-Commerce in Southeast Asia</w:t>
      </w:r>
    </w:p>
    <w:p>
      <w:pPr>
        <w:spacing w:after="0" w:line="158" w:lineRule="exact"/>
        <w:rPr>
          <w:sz w:val="20"/>
          <w:szCs w:val="20"/>
          <w:color w:val="auto"/>
        </w:rPr>
      </w:pPr>
    </w:p>
    <w:p>
      <w:pPr>
        <w:ind w:left="1320" w:right="479" w:hanging="434"/>
        <w:spacing w:after="0" w:line="268" w:lineRule="auto"/>
        <w:tabs>
          <w:tab w:leader="none" w:pos="1315"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Improved security, transparency and trust. </w:t>
      </w:r>
      <w:r>
        <w:rPr>
          <w:rFonts w:ascii="Arial" w:cs="Arial" w:eastAsia="Arial" w:hAnsi="Arial"/>
          <w:sz w:val="17"/>
          <w:szCs w:val="17"/>
          <w:color w:val="auto"/>
        </w:rPr>
        <w:t>The key technological advances in Web 3.0,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among others, blockchain, decentralization and smart contracts have the potential to significantly improve the security of payments and reduce risks for e-commerce businesses. Improved transparency and trust afforded by Web 3.0 platforms are critical in Southeast Asian e-commerce due to issues like fraud, lack of visibility into supply chains, and payment security concerns that limit industry growth. The use of blockchain in Web 3.0, for example, offers an immutable record of transactions and data that gives consumers visibility into the entire history of orders, payments, product information, trustworthy record of supply chain data and product provenance and smart contract execution. This transparency, combined with the reduced ability to alter records or commit fraud on the network, helps build the trust necessary for e-commerce to flourish by verifying transactions, ensuring fulfillment of obligations, and giving visibility into supply chain details. The transparency and traceability features of Web 3.0 address the core issues undermining trust in Southeast Asian e-commerce today, and thus provide a compelling value proposition for the adoption of Web 3.0 e-commerce in the Southeast Asia region.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499" w:hanging="434"/>
        <w:spacing w:after="0" w:line="269" w:lineRule="auto"/>
        <w:tabs>
          <w:tab w:leader="none" w:pos="1315" w:val="left"/>
        </w:tabs>
        <w:numPr>
          <w:ilvl w:val="0"/>
          <w:numId w:val="4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Enhanced personalized digital experience. </w:t>
      </w:r>
      <w:r>
        <w:rPr>
          <w:rFonts w:ascii="Arial" w:cs="Arial" w:eastAsia="Arial" w:hAnsi="Arial"/>
          <w:sz w:val="17"/>
          <w:szCs w:val="17"/>
          <w:color w:val="auto"/>
        </w:rPr>
        <w:t>Consumers nowadays expect personalized digital</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experiences and are more likely to shop with brands that provide personally relevant offers and recommendations. As an advancement of Web2.0, application of artificial intelligence in Web 3.0 can tailor content, services, products and interactions to individual interests based on behaviors and preferences. With a highly connected mobile population, consumers are generating huge amounts of data through daily digital activities. Web 3.0 allows for processing this data to gain customer insights using artificial intelligence, machine learning and predictive algorithms. Brands can then customize experiences based on understanding each customer’s journey, profiles, preferences and pain points. Web 3.0 excels in such aspect over Web 2.0 and bring about immense opportunities in analyzing and catering to consumers’ preference.</w:t>
      </w:r>
    </w:p>
    <w:p>
      <w:pPr>
        <w:spacing w:after="0" w:line="117" w:lineRule="exact"/>
        <w:rPr>
          <w:rFonts w:ascii="Arial" w:cs="Arial" w:eastAsia="Arial" w:hAnsi="Arial"/>
          <w:sz w:val="17"/>
          <w:szCs w:val="17"/>
          <w:i w:val="1"/>
          <w:iCs w:val="1"/>
          <w:color w:val="auto"/>
        </w:rPr>
      </w:pPr>
    </w:p>
    <w:p>
      <w:pPr>
        <w:ind w:left="1320" w:right="479" w:hanging="434"/>
        <w:spacing w:after="0" w:line="255" w:lineRule="auto"/>
        <w:tabs>
          <w:tab w:leader="none" w:pos="131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Variety of user experience. </w:t>
      </w:r>
      <w:r>
        <w:rPr>
          <w:rFonts w:ascii="Arial" w:cs="Arial" w:eastAsia="Arial" w:hAnsi="Arial"/>
          <w:sz w:val="18"/>
          <w:szCs w:val="18"/>
          <w:color w:val="auto"/>
        </w:rPr>
        <w:t>Web 3.0 features advanced technology such as virtual/augmented</w:t>
      </w:r>
      <w:r>
        <w:rPr>
          <w:rFonts w:ascii="Arial" w:cs="Arial" w:eastAsia="Arial" w:hAnsi="Arial"/>
          <w:sz w:val="18"/>
          <w:szCs w:val="18"/>
          <w:i w:val="1"/>
          <w:iCs w:val="1"/>
          <w:color w:val="auto"/>
        </w:rPr>
        <w:t xml:space="preserve"> </w:t>
      </w:r>
      <w:r>
        <w:rPr>
          <w:rFonts w:ascii="Arial" w:cs="Arial" w:eastAsia="Arial" w:hAnsi="Arial"/>
          <w:sz w:val="18"/>
          <w:szCs w:val="18"/>
          <w:color w:val="auto"/>
        </w:rPr>
        <w:t>reality and IoT connectivity. Web 3.0 also leverages edge computing, mesh networks, and integrated devices to create an infrastructure that is fast, reliable, and available anywhere. This allows Web 3.0 services to run anywhere, anytime, offering virtual reality shopping, livestream shopping, and seamless checkout using facial recognition, which in turn attract more customers to e-commerce platforms.</w:t>
      </w:r>
    </w:p>
    <w:p>
      <w:pPr>
        <w:spacing w:after="0" w:line="124" w:lineRule="exact"/>
        <w:rPr>
          <w:rFonts w:ascii="Arial" w:cs="Arial" w:eastAsia="Arial" w:hAnsi="Arial"/>
          <w:sz w:val="18"/>
          <w:szCs w:val="18"/>
          <w:color w:val="auto"/>
        </w:rPr>
      </w:pPr>
    </w:p>
    <w:p>
      <w:pPr>
        <w:ind w:left="1320" w:right="519" w:hanging="434"/>
        <w:spacing w:after="0" w:line="272" w:lineRule="auto"/>
        <w:tabs>
          <w:tab w:leader="none" w:pos="1315"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A growing consumer base that embraces technology. </w:t>
      </w:r>
      <w:r>
        <w:rPr>
          <w:rFonts w:ascii="Arial" w:cs="Arial" w:eastAsia="Arial" w:hAnsi="Arial"/>
          <w:sz w:val="17"/>
          <w:szCs w:val="17"/>
          <w:color w:val="auto"/>
        </w:rPr>
        <w:t>With a high Internet penetration rate, a large</w:t>
      </w:r>
      <w:r>
        <w:rPr>
          <w:rFonts w:ascii="Arial" w:cs="Arial" w:eastAsia="Arial" w:hAnsi="Arial"/>
          <w:sz w:val="17"/>
          <w:szCs w:val="17"/>
          <w:i w:val="1"/>
          <w:iCs w:val="1"/>
          <w:color w:val="auto"/>
        </w:rPr>
        <w:t xml:space="preserve"> </w:t>
      </w:r>
      <w:r>
        <w:rPr>
          <w:rFonts w:ascii="Arial" w:cs="Arial" w:eastAsia="Arial" w:hAnsi="Arial"/>
          <w:sz w:val="17"/>
          <w:szCs w:val="17"/>
          <w:color w:val="auto"/>
        </w:rPr>
        <w:t>proportion of the population in Southeast Asia has access to the Internet and can engage with Web 3.0 e-commerce platforms. In addition, surging smartphone penetration, and adoption rate of digital payments have been thriving in Southeast Asia, which create a large market receptive to the value propositions of Web 3.0 e-commerce applications and platforms. This fast-paced technology adoption creates a large market of consumers and businesses ready for innovative e-commerce solutions that Web 3.0 can provide.</w:t>
      </w:r>
    </w:p>
    <w:p>
      <w:pPr>
        <w:spacing w:after="0" w:line="96" w:lineRule="exact"/>
        <w:rPr>
          <w:rFonts w:ascii="Arial" w:cs="Arial" w:eastAsia="Arial" w:hAnsi="Arial"/>
          <w:sz w:val="17"/>
          <w:szCs w:val="17"/>
          <w:color w:val="auto"/>
        </w:rPr>
      </w:pPr>
    </w:p>
    <w:p>
      <w:pPr>
        <w:ind w:left="1320" w:right="579" w:hanging="434"/>
        <w:spacing w:after="0" w:line="271" w:lineRule="auto"/>
        <w:tabs>
          <w:tab w:leader="none" w:pos="1315"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Government endeavor. </w:t>
      </w:r>
      <w:r>
        <w:rPr>
          <w:rFonts w:ascii="Arial" w:cs="Arial" w:eastAsia="Arial" w:hAnsi="Arial"/>
          <w:sz w:val="17"/>
          <w:szCs w:val="17"/>
          <w:color w:val="auto"/>
        </w:rPr>
        <w:t>Governments in Southeast Asia have generally taken a progressive stance</w:t>
      </w:r>
      <w:r>
        <w:rPr>
          <w:rFonts w:ascii="Arial" w:cs="Arial" w:eastAsia="Arial" w:hAnsi="Arial"/>
          <w:sz w:val="17"/>
          <w:szCs w:val="17"/>
          <w:i w:val="1"/>
          <w:iCs w:val="1"/>
          <w:color w:val="auto"/>
        </w:rPr>
        <w:t xml:space="preserve"> </w:t>
      </w:r>
      <w:r>
        <w:rPr>
          <w:rFonts w:ascii="Arial" w:cs="Arial" w:eastAsia="Arial" w:hAnsi="Arial"/>
          <w:sz w:val="17"/>
          <w:szCs w:val="17"/>
          <w:color w:val="auto"/>
        </w:rPr>
        <w:t>toward blockchain technology, creating an enabling regulatory environment that encourages innovation and adoption for e-commerce applications. For instance, Thailand has established a regulatory sandbox for fintech startups focused on Web 3.0-enabled e-commerce. Singapore and Malaysia have also expressed support for blockchain innovation and are developing frameworks to govern the technology responsibly. This generally innovation-friendly regulatory environment has helped spur blockchain projects aimed at improving transparency, efficiency and traceability for e-commerce businesses.</w:t>
      </w:r>
    </w:p>
    <w:p>
      <w:pPr>
        <w:spacing w:after="0" w:line="110" w:lineRule="exact"/>
        <w:rPr>
          <w:rFonts w:ascii="Arial" w:cs="Arial" w:eastAsia="Arial" w:hAnsi="Arial"/>
          <w:sz w:val="17"/>
          <w:szCs w:val="17"/>
          <w:color w:val="auto"/>
        </w:rPr>
      </w:pPr>
    </w:p>
    <w:p>
      <w:pPr>
        <w:ind w:left="1320" w:right="519" w:hanging="434"/>
        <w:spacing w:after="0" w:line="290" w:lineRule="auto"/>
        <w:tabs>
          <w:tab w:leader="none" w:pos="1315"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Cross-border trade. </w:t>
      </w:r>
      <w:r>
        <w:rPr>
          <w:rFonts w:ascii="Arial" w:cs="Arial" w:eastAsia="Arial" w:hAnsi="Arial"/>
          <w:sz w:val="16"/>
          <w:szCs w:val="16"/>
          <w:color w:val="auto"/>
        </w:rPr>
        <w:t>In 2021, the Southeast Asia countries signed the ASEAN Agreement on</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 Commerce, which has fostered the emergence of a cohesive, aligned, and inclusive environment that helps facilitate cross-border e-commerce transactions for goods and services. The competitive advantage of Web 3.0 e-commerce such as transparency and traceability of transactions across borders and end-to-end visibility can help overcome challenges like weak trade infrastructure, trade barriers and lack of trust that currently limit intra-regional trade within Southeast Asia. Therefore, Web 3.0 e-commerce has the potential to significantly increase cross-border business-to-business and business-to-consumer transactions within Southeast Asia.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 Opportunities of Web 3.0 E-Commerce in Southeast Asia and Globally</w:t>
      </w:r>
    </w:p>
    <w:p>
      <w:pPr>
        <w:spacing w:after="0" w:line="158" w:lineRule="exact"/>
        <w:rPr>
          <w:sz w:val="20"/>
          <w:szCs w:val="20"/>
          <w:color w:val="auto"/>
        </w:rPr>
      </w:pPr>
    </w:p>
    <w:p>
      <w:pPr>
        <w:jc w:val="both"/>
        <w:ind w:left="460" w:right="639" w:firstLine="432"/>
        <w:spacing w:after="0" w:line="257" w:lineRule="auto"/>
        <w:rPr>
          <w:sz w:val="20"/>
          <w:szCs w:val="20"/>
          <w:color w:val="auto"/>
        </w:rPr>
      </w:pPr>
      <w:r>
        <w:rPr>
          <w:rFonts w:ascii="Arial" w:cs="Arial" w:eastAsia="Arial" w:hAnsi="Arial"/>
          <w:sz w:val="18"/>
          <w:szCs w:val="18"/>
          <w:color w:val="auto"/>
        </w:rPr>
        <w:t>Web 3.0 e-commerce platforms offer a more advanced and immersive shopping experience compared to Web 2.0 e-commerce platforms. Web 3.0 e-commerce is still in its early stages of development and adoption, presenting tremendous growth opportunities as, among other things, the number of Internet users continues to grow, the e-commerce industry evolves, and the adoption of various technology applications (such as artificial intelligence) in Web 3.0 increases.</w:t>
      </w:r>
    </w:p>
    <w:p>
      <w:pPr>
        <w:spacing w:after="0" w:line="107" w:lineRule="exact"/>
        <w:rPr>
          <w:sz w:val="20"/>
          <w:szCs w:val="20"/>
          <w:color w:val="auto"/>
        </w:rPr>
      </w:pPr>
    </w:p>
    <w:p>
      <w:pPr>
        <w:ind w:left="1320" w:right="579" w:hanging="434"/>
        <w:spacing w:after="0" w:line="275" w:lineRule="auto"/>
        <w:tabs>
          <w:tab w:leader="none" w:pos="1315" w:val="left"/>
        </w:tabs>
        <w:numPr>
          <w:ilvl w:val="0"/>
          <w:numId w:val="4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Nominal GDP in Southeast Asia. </w:t>
      </w:r>
      <w:r>
        <w:rPr>
          <w:rFonts w:ascii="Arial" w:cs="Arial" w:eastAsia="Arial" w:hAnsi="Arial"/>
          <w:sz w:val="17"/>
          <w:szCs w:val="17"/>
          <w:color w:val="auto"/>
        </w:rPr>
        <w:t>According to The International Monetary Fund, the nominal</w:t>
      </w:r>
      <w:r>
        <w:rPr>
          <w:rFonts w:ascii="Arial" w:cs="Arial" w:eastAsia="Arial" w:hAnsi="Arial"/>
          <w:sz w:val="17"/>
          <w:szCs w:val="17"/>
          <w:i w:val="1"/>
          <w:iCs w:val="1"/>
          <w:color w:val="auto"/>
        </w:rPr>
        <w:t xml:space="preserve"> </w:t>
      </w:r>
      <w:r>
        <w:rPr>
          <w:rFonts w:ascii="Arial" w:cs="Arial" w:eastAsia="Arial" w:hAnsi="Arial"/>
          <w:sz w:val="17"/>
          <w:szCs w:val="17"/>
          <w:color w:val="auto"/>
        </w:rPr>
        <w:t>GDP in Southeast Asia has increased from US$2,842.2 billion to US$3,644.7 billion from 2017 to 2022, representing a CAGR of 5.1%. The expected nominal GDP between 2023 and 2027 is approximately 7.4%, reaching to approximately US$5,232.3 billion by 2027. It is expected that the economy will recover in the next years with the alleviation of the COVID-19 pandemic.</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559" w:hanging="434"/>
        <w:spacing w:after="0" w:line="272" w:lineRule="auto"/>
        <w:tabs>
          <w:tab w:leader="none" w:pos="1315" w:val="left"/>
        </w:tabs>
        <w:numPr>
          <w:ilvl w:val="0"/>
          <w:numId w:val="4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Number of Internet users in Southeast Asia. </w:t>
      </w:r>
      <w:r>
        <w:rPr>
          <w:rFonts w:ascii="Arial" w:cs="Arial" w:eastAsia="Arial" w:hAnsi="Arial"/>
          <w:sz w:val="17"/>
          <w:szCs w:val="17"/>
          <w:color w:val="auto"/>
        </w:rPr>
        <w:t>In 2022, the number of Internet users in Southeast</w:t>
      </w:r>
      <w:r>
        <w:rPr>
          <w:rFonts w:ascii="Arial" w:cs="Arial" w:eastAsia="Arial" w:hAnsi="Arial"/>
          <w:sz w:val="17"/>
          <w:szCs w:val="17"/>
          <w:i w:val="1"/>
          <w:iCs w:val="1"/>
          <w:color w:val="auto"/>
        </w:rPr>
        <w:t xml:space="preserve"> </w:t>
      </w:r>
      <w:r>
        <w:rPr>
          <w:rFonts w:ascii="Arial" w:cs="Arial" w:eastAsia="Arial" w:hAnsi="Arial"/>
          <w:sz w:val="17"/>
          <w:szCs w:val="17"/>
          <w:color w:val="auto"/>
        </w:rPr>
        <w:t>Asia was 516.5 million, representing more than 70% of the region’s population, making Southeast Asia one of the world’s fastest-growing regions in terms of Internet adoption. Due to the increasing affordability and availability of smartphones, rising number of middle class, and increasing investment in improving Internet infrastructure, the Internet adoption in Southeast Asia is on the rise. The number of Internet users in Southeast Asia is forecasted to continuously increase between 2023 and 2027 reaching 591.7 million in 2027.</w:t>
      </w:r>
    </w:p>
    <w:p>
      <w:pPr>
        <w:spacing w:after="0" w:line="109" w:lineRule="exact"/>
        <w:rPr>
          <w:rFonts w:ascii="Arial" w:cs="Arial" w:eastAsia="Arial" w:hAnsi="Arial"/>
          <w:sz w:val="17"/>
          <w:szCs w:val="17"/>
          <w:i w:val="1"/>
          <w:iCs w:val="1"/>
          <w:color w:val="auto"/>
        </w:rPr>
      </w:pPr>
    </w:p>
    <w:p>
      <w:pPr>
        <w:ind w:left="1320" w:right="459" w:hanging="434"/>
        <w:spacing w:after="0" w:line="287" w:lineRule="auto"/>
        <w:tabs>
          <w:tab w:leader="none" w:pos="1315"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Market size of e-commerce in Southeast Asia. </w:t>
      </w:r>
      <w:r>
        <w:rPr>
          <w:rFonts w:ascii="Arial" w:cs="Arial" w:eastAsia="Arial" w:hAnsi="Arial"/>
          <w:sz w:val="16"/>
          <w:szCs w:val="16"/>
          <w:color w:val="auto"/>
        </w:rPr>
        <w:t>The e-commerce industry in the region has grown</w:t>
      </w:r>
      <w:r>
        <w:rPr>
          <w:rFonts w:ascii="Arial" w:cs="Arial" w:eastAsia="Arial" w:hAnsi="Arial"/>
          <w:sz w:val="16"/>
          <w:szCs w:val="16"/>
          <w:i w:val="1"/>
          <w:iCs w:val="1"/>
          <w:color w:val="auto"/>
        </w:rPr>
        <w:t xml:space="preserve"> </w:t>
      </w:r>
      <w:r>
        <w:rPr>
          <w:rFonts w:ascii="Arial" w:cs="Arial" w:eastAsia="Arial" w:hAnsi="Arial"/>
          <w:sz w:val="16"/>
          <w:szCs w:val="16"/>
          <w:color w:val="auto"/>
        </w:rPr>
        <w:t>rapidly due to several factors, including economic development, increased Internet penetration, and the COVID-19 pandemic. The pandemic led to the implementation of pandemic prevention and control policies such as social distancing and quarantine measures, which prompted citizens to switch from traditional brick-and-mortar purchases to e-commerce platforms. This trend has resulted in the market size of the e-commerce industry in Southeast Asia growing from US$14.0 billion to US$113.6 billion between 2017 and 2022, representing a CAGR of 52.0%. The success of leading e-commerce platforms in Indonesia, Singapore, Malaysia, Vietnam and Thailand has been a driving force behind the industry’s continuous growth. It is expected that the e-commerce industry in Southeast Asia will continue to grow, with the market size expected to reach approximately US$276.7 billion in 2027, representing a CAGR of 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75565</wp:posOffset>
            </wp:positionV>
            <wp:extent cx="4594860" cy="17741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59486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 Frost &amp; Sullivan</w:t>
      </w:r>
    </w:p>
    <w:p>
      <w:pPr>
        <w:spacing w:after="0" w:line="158" w:lineRule="exact"/>
        <w:rPr>
          <w:sz w:val="20"/>
          <w:szCs w:val="20"/>
          <w:color w:val="auto"/>
        </w:rPr>
      </w:pPr>
    </w:p>
    <w:p>
      <w:pPr>
        <w:ind w:left="460" w:right="799" w:firstLine="432"/>
        <w:spacing w:after="0" w:line="277" w:lineRule="auto"/>
        <w:rPr>
          <w:sz w:val="20"/>
          <w:szCs w:val="20"/>
          <w:color w:val="auto"/>
        </w:rPr>
      </w:pPr>
      <w:r>
        <w:rPr>
          <w:rFonts w:ascii="Arial" w:cs="Arial" w:eastAsia="Arial" w:hAnsi="Arial"/>
          <w:sz w:val="18"/>
          <w:szCs w:val="18"/>
          <w:color w:val="auto"/>
        </w:rPr>
        <w:t>The market size of Web 3.0-enabled e-commerce in Southeast Asia is expected to grow at a CAGR of 100.3% from 2023 to 2027, reaching US$47.0 billion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74295</wp:posOffset>
            </wp:positionV>
            <wp:extent cx="4011930" cy="21342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01193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 Frost &amp; Sullivan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499" w:hanging="434"/>
        <w:spacing w:after="0" w:line="288" w:lineRule="auto"/>
        <w:tabs>
          <w:tab w:leader="none" w:pos="1315"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size of global e-commerce. </w:t>
      </w:r>
      <w:r>
        <w:rPr>
          <w:rFonts w:ascii="Arial" w:cs="Arial" w:eastAsia="Arial" w:hAnsi="Arial"/>
          <w:sz w:val="16"/>
          <w:szCs w:val="16"/>
          <w:color w:val="auto"/>
        </w:rPr>
        <w:t>Rapid urbanization across the globe is one of the key factors</w:t>
      </w:r>
      <w:r>
        <w:rPr>
          <w:rFonts w:ascii="Arial" w:cs="Arial" w:eastAsia="Arial" w:hAnsi="Arial"/>
          <w:sz w:val="16"/>
          <w:szCs w:val="16"/>
          <w:i w:val="1"/>
          <w:iCs w:val="1"/>
          <w:color w:val="auto"/>
        </w:rPr>
        <w:t xml:space="preserve"> </w:t>
      </w:r>
      <w:r>
        <w:rPr>
          <w:rFonts w:ascii="Arial" w:cs="Arial" w:eastAsia="Arial" w:hAnsi="Arial"/>
          <w:sz w:val="16"/>
          <w:szCs w:val="16"/>
          <w:color w:val="auto"/>
        </w:rPr>
        <w:t>driving the growth of the market. Furthermore, increasing Internet penetration and usage of devices, such as smartphones, laptops and tablets to access e-commerce portals, is also providing a boost to the market growth of global e-commerce. The market size of global e-commerce increased from US$2,382.0 billion in 2017 to US$5,717.0 billion in 2022, at a CAGR of 19.1%. E-commerce enables organizations to conduct business without maintaining a physical presence, thereby minimizing the infrastructure, communication and overhead costs. The market is further driven by the increasing preference for online shopping, especially among women, and the growing influence of social networking platforms on shopping habits. The market size of global e-commerce is expected to increase at a CAGR of 8.7% from 2023 to 2027, reaching US$8,819.0 billion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73025</wp:posOffset>
            </wp:positionV>
            <wp:extent cx="4509135" cy="16548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50913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 Frost &amp; Sullivan</w:t>
      </w:r>
    </w:p>
    <w:p>
      <w:pPr>
        <w:spacing w:after="0" w:line="144"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Web 3.0-enabled e-commerce is a new area of innovation in the global e-commerce industry, with many businesses and startups exploring the potential of innovative technology applications in Web 3.0 for improving supply chain management, increasing transparency, and enhancing customer experiences. The market size of global Web 3.0-enabled e-commerce is expected to reach US$ 1,587.4 billion in 2027, representing a CAGR of 70.2% from 2023 to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85725</wp:posOffset>
            </wp:positionV>
            <wp:extent cx="3789045" cy="19888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78904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 Frost &amp; Sullivan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1" w:name="page72"/>
    <w:bookmarkEnd w:id="7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Mission</w:t>
      </w:r>
    </w:p>
    <w:p>
      <w:pPr>
        <w:spacing w:after="0" w:line="148"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Our mission is to be the leader in Web 3.0 enablement, bridging business to a trusted and secure e-commerce platform with curated customer experience.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We are a leading digital transformation enabler in the SME segment of the e-commerce enablement and digital optimizing services market in Singapore. We offer business and technology solutions which are designed to optimize our clients’ experiences with their customers by driving digital adoption and self-service.</w:t>
      </w:r>
    </w:p>
    <w:p>
      <w:pPr>
        <w:spacing w:after="0" w:line="81"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the e-commerce enablement and digital optimizing services market in Singapore. According to the Frost &amp; Sullivan Report, among the Singapore-based companies who have been approved to participate in the SMEs Go Digital program led by IMDA, we ranked fourth, contributing to 1.5% of the SME segment of the e-commerce enablement and digital optimizing services market in Singapore in 2022.</w:t>
      </w:r>
    </w:p>
    <w:p>
      <w:pPr>
        <w:spacing w:after="0" w:line="85"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7"/>
          <w:szCs w:val="17"/>
          <w:color w:val="auto"/>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spacing w:after="0" w:line="98"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spacing w:after="0" w:line="110" w:lineRule="exact"/>
        <w:rPr>
          <w:sz w:val="20"/>
          <w:szCs w:val="20"/>
          <w:color w:val="auto"/>
        </w:rPr>
      </w:pPr>
    </w:p>
    <w:p>
      <w:pPr>
        <w:ind w:left="1320" w:right="479" w:hanging="434"/>
        <w:spacing w:after="0" w:line="257" w:lineRule="auto"/>
        <w:tabs>
          <w:tab w:leader="none" w:pos="1315"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Business consulting: </w:t>
      </w:r>
      <w:r>
        <w:rPr>
          <w:rFonts w:ascii="Arial" w:cs="Arial" w:eastAsia="Arial" w:hAnsi="Arial"/>
          <w:sz w:val="18"/>
          <w:szCs w:val="18"/>
          <w:color w:val="auto"/>
        </w:rPr>
        <w:t>We support clients to define and deliver technology-enabled transformations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06" w:lineRule="exact"/>
        <w:rPr>
          <w:rFonts w:ascii="Arial" w:cs="Arial" w:eastAsia="Arial" w:hAnsi="Arial"/>
          <w:sz w:val="18"/>
          <w:szCs w:val="18"/>
          <w:color w:val="auto"/>
        </w:rPr>
      </w:pPr>
    </w:p>
    <w:p>
      <w:pPr>
        <w:ind w:left="1320" w:right="479" w:hanging="434"/>
        <w:spacing w:after="0" w:line="259" w:lineRule="auto"/>
        <w:tabs>
          <w:tab w:leader="none" w:pos="1315"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 customization: </w:t>
      </w:r>
      <w:r>
        <w:rPr>
          <w:rFonts w:ascii="Arial" w:cs="Arial" w:eastAsia="Arial" w:hAnsi="Arial"/>
          <w:sz w:val="18"/>
          <w:szCs w:val="18"/>
          <w:color w:val="auto"/>
        </w:rPr>
        <w:t>We offer solutions and services to plan, design, operate, optimize and transform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119"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June 30, 2023, we served over 200 clients across our core verticals such as food and beverage, wholesale and retail.</w:t>
      </w:r>
    </w:p>
    <w:p>
      <w:pPr>
        <w:spacing w:after="0" w:line="110"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plan to launch a Web 3.0 e-commerce platform whereby customers and merchants can transact in a transparent and secure way, or Tridentity, in the fourth quarter of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2" w:name="page73"/>
    <w:bookmarkEnd w:id="7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Strengths</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believe the following strengths have contributed to our continued success:</w:t>
      </w:r>
    </w:p>
    <w:p>
      <w:pPr>
        <w:spacing w:after="0" w:line="185" w:lineRule="exact"/>
        <w:rPr>
          <w:sz w:val="20"/>
          <w:szCs w:val="20"/>
          <w:color w:val="auto"/>
        </w:rPr>
      </w:pPr>
    </w:p>
    <w:p>
      <w:pPr>
        <w:ind w:left="460" w:right="959"/>
        <w:spacing w:after="0" w:line="277" w:lineRule="auto"/>
        <w:rPr>
          <w:sz w:val="20"/>
          <w:szCs w:val="20"/>
          <w:color w:val="auto"/>
        </w:rPr>
      </w:pPr>
      <w:r>
        <w:rPr>
          <w:rFonts w:ascii="Arial" w:cs="Arial" w:eastAsia="Arial" w:hAnsi="Arial"/>
          <w:sz w:val="18"/>
          <w:szCs w:val="18"/>
          <w:b w:val="1"/>
          <w:bCs w:val="1"/>
          <w:i w:val="1"/>
          <w:iCs w:val="1"/>
          <w:color w:val="auto"/>
        </w:rPr>
        <w:t>Leading digital transformation enabler in the SME segment of the e-commerce enablement and digital optimizing services market in Singapore</w:t>
      </w:r>
    </w:p>
    <w:p>
      <w:pPr>
        <w:spacing w:after="0" w:line="89"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In 2014, our founding team pioneered digital transformation for clients in Singapore. In 2021, we were one of the pre-approved vendors to participate in the SMEs Go Digital program led by IMDA, which is to provide SMEs with a variety of digital solutions and services, such as e-commerce platforms, digital marketing tools, and data analytics software. The program also offers government grants to eligible SMEs to subsidize the costs, driving digital adoptions.</w:t>
      </w:r>
    </w:p>
    <w:p>
      <w:pPr>
        <w:spacing w:after="0" w:line="93"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We are one of the leaders in the digital transformation of the SME segment in Singapore. According to the Frost &amp; Sullivan Report, among the Singapore-based companies who are pre-approved vendors to participate in the SMEs Go Digital program led by IMDA, we ranked fourth, contributing to 1.5% of the SME segment of the e-commerce enablement and digital optimizing services market in Singapore in 2022.</w:t>
      </w:r>
    </w:p>
    <w:p>
      <w:pPr>
        <w:spacing w:after="0" w:line="77"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Through the accumulation of industry domain knowledge over the years, we have in-depth understanding and expertise in the industry pain points, tailored solutions for each client, and the application of emerging technologies such as: artificial intelligence, cloud computing, Internet of Things, blockchain and big data analytics. All these enabled us to expand deeper into each industry vertical, helping our clients to capture the values of digital transformation.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Proprietary Technology Architecture</w:t>
      </w:r>
    </w:p>
    <w:p>
      <w:pPr>
        <w:spacing w:after="0" w:line="131"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Over the last three years providing IT customization services in our core vertical markets, we offer one-stop business and technology solutions that simplify customer engagement by driving digital adoption and self-service capabilities. Our solutions are largely SaaS-based cloud solutions, carefully designed to provide the systems with security, scalability and the ease of integration. Our in-house proprietary design of the technology architecture and our coding framework are key towards operation scalability and sustainability, to maximize growth and profitability.</w:t>
      </w:r>
    </w:p>
    <w:p>
      <w:pPr>
        <w:spacing w:after="0" w:line="98"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We believe our architecture enables us to innovate quickly while delivering new features to our clients simultaneously and at lower operating costs compared to legacy providers. Our ability to innovate quickly is critical to maintaining the leadership of our enabling services provided. Our proprietary technology architecture also provides financial benefits to us through operational scalability. Our developing Web 3.0 e-commerce platform is developed using this proprietary technology architecture, which contains all of the functionality that users expect from modern cloud software, as well as scalable architecture, cloud security, elegant and easy-to-use interfaces, common APIs, robust mobile accessibility, and data integration.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Unique Perspective and Efficient Operational Capabilities</w:t>
      </w:r>
    </w:p>
    <w:p>
      <w:pPr>
        <w:spacing w:after="0" w:line="144"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With our experiences in providing business consulting services to the various verticals over the years, we have developed a unique perspective into the processes and systems needed to drive the operations and business success of the market participants within these industries. Our approach enables us to deliver industry-tailored solutions, including business management software, customer engagement applications, and billing and payment solutions, to address vertical-specific workflows and customer requirements. We also have an efficient and diversified go-to-market strategy tailored to each vertical we serve.</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3" w:name="page74"/>
    <w:bookmarkEnd w:id="7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We believe that these unique perspectives and the efficient operational capabilities can be applied to our developing Web 3.0 e-commerce platform which accelerates merchants and customers’ acquisition and increases their stickiness.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Seasoned and Visionary Management Team with International Perspective</w:t>
      </w:r>
    </w:p>
    <w:p>
      <w:pPr>
        <w:spacing w:after="0" w:line="15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team members have tremendous experience in their respective areas of expertise. Our founder, chairman of board of directors and chief executive officer, Mr. Soon Huat Lim, is an innovative entrepreneur and recognized leader with combined expertise in sales, supply chain, retail and services, tourism, entertainment and media, e-commerce, and technology industries. He has over 30 years of management experience with a strong network and resources and the know-how that established our company as a leading digital transformation enabler in the SME segment of the e-commerce enablement and digital optimizing services market in Singapore. Our chief technology officer, Mr. Poh Kiong Tan, has been a Practicing Management Consultant certified by The Singapore Business Advisors and Consultants Council since 2018. His qualifications include multidisciplinary expertise ranging from branding, human resource management to productivity diagnosis and technology adoption, which are instrumental to our success.</w:t>
      </w:r>
    </w:p>
    <w:p>
      <w:pPr>
        <w:spacing w:after="0" w:line="118"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Our senior management team members have on average 15 years of management experience and extensive and complementary industry experiences in a wide range of fields, such as finance, market acquisition, risk and compliance, and operations, which enable us to develop innovative tailored solutions that meet the evolving needs of our clients and expand our global footprint.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Strategies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intend to further grow our business by pursuing the following strategies: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Capitalize on a Generational Shift to Web 3.0</w:t>
      </w:r>
    </w:p>
    <w:p>
      <w:pPr>
        <w:spacing w:after="0" w:line="158"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Web 3.0 is the next generation of the World Wide Web which aims to establish an Internet that is smarter and more secure. Web 3.0 primarily focuses on leveraging artificial intelligence, blockchain, virtual reality, augmented reality and other emerging technologies to enable smart, customized and secure digital experiences.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w:t>
      </w:r>
    </w:p>
    <w:p>
      <w:pPr>
        <w:spacing w:after="0" w:line="111" w:lineRule="exact"/>
        <w:rPr>
          <w:sz w:val="20"/>
          <w:szCs w:val="20"/>
          <w:color w:val="auto"/>
        </w:rPr>
      </w:pPr>
    </w:p>
    <w:p>
      <w:pPr>
        <w:ind w:left="460" w:right="699" w:firstLine="432"/>
        <w:spacing w:after="0" w:line="288" w:lineRule="auto"/>
        <w:rPr>
          <w:sz w:val="20"/>
          <w:szCs w:val="20"/>
          <w:color w:val="auto"/>
        </w:rPr>
      </w:pPr>
      <w:r>
        <w:rPr>
          <w:rFonts w:ascii="Arial" w:cs="Arial" w:eastAsia="Arial" w:hAnsi="Arial"/>
          <w:sz w:val="16"/>
          <w:szCs w:val="16"/>
          <w:color w:val="auto"/>
        </w:rPr>
        <w:t>Mission-critical applications are increasingly being delivered more reliably and securely via Web 3.0-enabled platforms, which can more readily enable real-time collaboration and provide access to valuable data from anywhere, anytime, on any device. As more merchants and customers embrace innovative technology applications in Web 3.0, they drive the accelerated adoption of Web 3.0 capabilities across the market participants, including our company which will operate Tridentity, a Web 3.0 e-commerce platform whereby customers and merchants can transact in a transparent and secure way, to be launched in the fourth quarter of 2023. According to the Frost &amp; Sullivan Report, the market size of global Web 3.0-enabled e-commerce is expected to reach US$189.3 billion and US$1,587.4 billion in 2023 and 2027, respectively, representing a CAGR of 70.2% from 2023 to 2027. We believe we are well positioned to capture a strong adoption cycle of Web 3.0-enabled solutions by merchants and customers globally.</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and Grow our Client Base</w:t>
      </w:r>
    </w:p>
    <w:p>
      <w:pPr>
        <w:spacing w:after="0" w:line="144" w:lineRule="exact"/>
        <w:rPr>
          <w:sz w:val="20"/>
          <w:szCs w:val="20"/>
          <w:color w:val="auto"/>
        </w:rPr>
      </w:pPr>
    </w:p>
    <w:p>
      <w:pPr>
        <w:ind w:left="460" w:right="1059" w:firstLine="432"/>
        <w:spacing w:after="0" w:line="277" w:lineRule="auto"/>
        <w:rPr>
          <w:sz w:val="20"/>
          <w:szCs w:val="20"/>
          <w:color w:val="auto"/>
        </w:rPr>
      </w:pPr>
      <w:r>
        <w:rPr>
          <w:rFonts w:ascii="Arial" w:cs="Arial" w:eastAsia="Arial" w:hAnsi="Arial"/>
          <w:sz w:val="18"/>
          <w:szCs w:val="18"/>
          <w:color w:val="auto"/>
        </w:rPr>
        <w:t>We plan to grow our existing clients by adding product features and additional functionality to our solutions and continuing to drive digital adoption of our existing solutions.</w:t>
      </w:r>
    </w:p>
    <w:p>
      <w:pPr>
        <w:spacing w:after="0" w:line="103" w:lineRule="exact"/>
        <w:rPr>
          <w:sz w:val="20"/>
          <w:szCs w:val="20"/>
          <w:color w:val="auto"/>
        </w:rPr>
      </w:pPr>
    </w:p>
    <w:p>
      <w:pPr>
        <w:ind w:left="460" w:right="639" w:firstLine="432"/>
        <w:spacing w:after="0" w:line="273" w:lineRule="auto"/>
        <w:rPr>
          <w:sz w:val="20"/>
          <w:szCs w:val="20"/>
          <w:color w:val="auto"/>
        </w:rPr>
      </w:pPr>
      <w:r>
        <w:rPr>
          <w:rFonts w:ascii="Arial" w:cs="Arial" w:eastAsia="Arial" w:hAnsi="Arial"/>
          <w:sz w:val="17"/>
          <w:szCs w:val="17"/>
          <w:color w:val="auto"/>
        </w:rPr>
        <w:t>Our verticals are large, underpenetrated, and non-cyclical with significant whitespace, low digital adoption, and growing usage of software solutions. We believe there is a significant opportunity to attract new clients with our current offerings in our vertical end-markets and new verticals. We plan to continue winning new clients by investing in our salesforce, improving the awareness of our brands and solutions, and building new partnerships and integrations. We intend to continue winning market share by driving product leadership and adoption of our industry-tailored solutions.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4" w:name="page75"/>
    <w:bookmarkEnd w:id="7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Broaden our Geographical Reach</w:t>
      </w:r>
    </w:p>
    <w:p>
      <w:pPr>
        <w:spacing w:after="0" w:line="144"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We believe there is a significant need for our solutions and services on a global basis and, accordingly, an opportunity for us to grow our business through further international expansion. We will broaden our global footprint and intend to establish a presence in additional international markets.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Selectively Pursue Strategic Acquisitions</w:t>
      </w:r>
    </w:p>
    <w:p>
      <w:pPr>
        <w:spacing w:after="0" w:line="15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plan to pursue strategic acquisitions that we believe will be complementary to our existing verticals and offerings and increase the value proposition we deliver to our clients. For example, we may pursue acquisitions that we believe will help us expand within existing or new industry verticals or enter new markets in Southeast Asia and globally, although our management has not yet determined the types of businesses that we will target at this time.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Business Consulting Solutions</w:t>
      </w:r>
    </w:p>
    <w:p>
      <w:pPr>
        <w:spacing w:after="0" w:line="162" w:lineRule="exact"/>
        <w:rPr>
          <w:sz w:val="20"/>
          <w:szCs w:val="20"/>
          <w:color w:val="auto"/>
        </w:rPr>
      </w:pPr>
    </w:p>
    <w:p>
      <w:pPr>
        <w:ind w:left="460" w:right="879" w:firstLine="432"/>
        <w:spacing w:after="0" w:line="277" w:lineRule="auto"/>
        <w:rPr>
          <w:sz w:val="20"/>
          <w:szCs w:val="20"/>
          <w:color w:val="auto"/>
        </w:rPr>
      </w:pPr>
      <w:r>
        <w:rPr>
          <w:rFonts w:ascii="Arial" w:cs="Arial" w:eastAsia="Arial" w:hAnsi="Arial"/>
          <w:sz w:val="18"/>
          <w:szCs w:val="18"/>
          <w:color w:val="auto"/>
        </w:rPr>
        <w:t>Our approach, with an eye on execution, combines creative thinking and industry expertise to enable companies to achieve market-leading performance.</w:t>
      </w:r>
    </w:p>
    <w:p>
      <w:pPr>
        <w:spacing w:after="0" w:line="89" w:lineRule="exact"/>
        <w:rPr>
          <w:sz w:val="20"/>
          <w:szCs w:val="20"/>
          <w:color w:val="auto"/>
        </w:rPr>
      </w:pPr>
    </w:p>
    <w:p>
      <w:pPr>
        <w:jc w:val="both"/>
        <w:ind w:left="460" w:right="619" w:firstLine="432"/>
        <w:spacing w:after="0" w:line="301" w:lineRule="auto"/>
        <w:rPr>
          <w:sz w:val="20"/>
          <w:szCs w:val="20"/>
          <w:color w:val="auto"/>
        </w:rPr>
      </w:pPr>
      <w:r>
        <w:rPr>
          <w:rFonts w:ascii="Arial" w:cs="Arial" w:eastAsia="Arial" w:hAnsi="Arial"/>
          <w:sz w:val="16"/>
          <w:szCs w:val="16"/>
          <w:color w:val="auto"/>
        </w:rPr>
        <w:t>We support clients to define and deliver technology-enabled transformations of their business. Equipped with the complete value chain, our suite of solutions ranges from brand proposition, multi-channel commerce and digital marketing to improve customer experience and increase customer acquisition, to insights and real-time predictive analysis for efficient decision-making and optimizing processes.</w:t>
      </w:r>
    </w:p>
    <w:p>
      <w:pPr>
        <w:spacing w:after="0" w:line="90" w:lineRule="exact"/>
        <w:rPr>
          <w:sz w:val="20"/>
          <w:szCs w:val="20"/>
          <w:color w:val="auto"/>
        </w:rPr>
      </w:pPr>
    </w:p>
    <w:p>
      <w:pPr>
        <w:ind w:left="460" w:right="659" w:firstLine="432"/>
        <w:spacing w:after="0" w:line="286" w:lineRule="auto"/>
        <w:rPr>
          <w:sz w:val="20"/>
          <w:szCs w:val="20"/>
          <w:color w:val="auto"/>
        </w:rPr>
      </w:pPr>
      <w:r>
        <w:rPr>
          <w:rFonts w:ascii="Arial" w:cs="Arial" w:eastAsia="Arial" w:hAnsi="Arial"/>
          <w:sz w:val="17"/>
          <w:szCs w:val="17"/>
          <w:color w:val="auto"/>
        </w:rPr>
        <w:t>Our one-stop branding and marketing consulting services encompass the research data analysis, visual identity elements design, strategic planning and digital marketing services for a company based on the values, positioning, brand differentiating point, and tonality of such company.</w:t>
      </w:r>
    </w:p>
    <w:p>
      <w:pPr>
        <w:spacing w:after="0" w:line="98" w:lineRule="exact"/>
        <w:rPr>
          <w:sz w:val="20"/>
          <w:szCs w:val="20"/>
          <w:color w:val="auto"/>
        </w:rPr>
      </w:pPr>
    </w:p>
    <w:p>
      <w:pPr>
        <w:jc w:val="both"/>
        <w:ind w:left="460" w:right="819" w:firstLine="432"/>
        <w:spacing w:after="0" w:line="263" w:lineRule="auto"/>
        <w:rPr>
          <w:sz w:val="20"/>
          <w:szCs w:val="20"/>
          <w:color w:val="auto"/>
        </w:rPr>
      </w:pPr>
      <w:r>
        <w:rPr>
          <w:rFonts w:ascii="Arial" w:cs="Arial" w:eastAsia="Arial" w:hAnsi="Arial"/>
          <w:sz w:val="18"/>
          <w:szCs w:val="18"/>
          <w:color w:val="auto"/>
        </w:rPr>
        <w:t>We provide market intelligence to our clients by identifying the objectives and audience, formulating customized digital marketing strategies in order to magnify their brand positioning and enhance operational efficiency.</w:t>
      </w:r>
    </w:p>
    <w:p>
      <w:pPr>
        <w:spacing w:after="0" w:line="103" w:lineRule="exact"/>
        <w:rPr>
          <w:sz w:val="20"/>
          <w:szCs w:val="20"/>
          <w:color w:val="auto"/>
        </w:rPr>
      </w:pPr>
    </w:p>
    <w:p>
      <w:pPr>
        <w:jc w:val="both"/>
        <w:ind w:left="460" w:right="859" w:firstLine="432"/>
        <w:spacing w:after="0" w:line="263" w:lineRule="auto"/>
        <w:rPr>
          <w:sz w:val="20"/>
          <w:szCs w:val="20"/>
          <w:color w:val="auto"/>
        </w:rPr>
      </w:pPr>
      <w:r>
        <w:rPr>
          <w:rFonts w:ascii="Arial" w:cs="Arial" w:eastAsia="Arial" w:hAnsi="Arial"/>
          <w:sz w:val="18"/>
          <w:szCs w:val="18"/>
          <w:color w:val="auto"/>
        </w:rPr>
        <w:t>Once a client engages us for branding and marketing consulting services, we strive to understand the client’s special needs that may be helpful to their overall marketing plan. Our brand and marketing strategy improvement process is categorized into four key phases: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data analysis</w:t>
      </w:r>
    </w:p>
    <w:p>
      <w:pPr>
        <w:spacing w:after="0" w:line="158" w:lineRule="exact"/>
        <w:rPr>
          <w:sz w:val="20"/>
          <w:szCs w:val="20"/>
          <w:color w:val="auto"/>
        </w:rPr>
      </w:pPr>
    </w:p>
    <w:p>
      <w:pPr>
        <w:ind w:left="460" w:right="559" w:firstLine="432"/>
        <w:spacing w:after="0" w:line="291" w:lineRule="auto"/>
        <w:rPr>
          <w:sz w:val="20"/>
          <w:szCs w:val="20"/>
          <w:color w:val="auto"/>
        </w:rPr>
      </w:pPr>
      <w:r>
        <w:rPr>
          <w:rFonts w:ascii="Arial" w:cs="Arial" w:eastAsia="Arial" w:hAnsi="Arial"/>
          <w:sz w:val="16"/>
          <w:szCs w:val="16"/>
          <w:color w:val="auto"/>
        </w:rPr>
        <w:t>To help our clients fully connect with consumers through online and offline touch points for targeted marketing, we have established a database of market research data, rating information and past campaign performance that are derived from both internal and third-party sources. Our research specialists are supported by a suite of data analytical capabilities that provide business insights through user-friendly data visualizations. In addition, we have developed internal systems and algorithms for collecting and analyzing industry data, which enable us to identify a particular client’s area(s) of needed improvement in terms of branding to determine how its brand is perceived at relevant stages and where its brand needs to be.</w:t>
      </w:r>
    </w:p>
    <w:p>
      <w:pPr>
        <w:spacing w:after="0" w:line="99"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Conducting research of the targeted company and its brand and reputation in the market is the first key step to set the baseline of the company positioning. How a brand is perceived can be from various angles, and it is important that we collect relevant data from the topics we want to study through various data sources. We have a team of specialists in business analytics and analytical tools with in-house developed and trained algorithms. With the insights generated through our data analysis, it will help the management to make better informed decisions.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Visual identity elements design</w:t>
      </w:r>
    </w:p>
    <w:p>
      <w:pPr>
        <w:spacing w:after="0" w:line="144"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help our clients design a collection of visual elements which work together to create consistent and flexible brand assets. Our brand specialists leverage their knowledge and expertise in market trends, consumer habits and artistic aesthetic to come up with a brand design tailored to a client’s preferences for their use based on our understanding of such client’s value and culture.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As brand visual identity is one of those key components in how to let your consumer remember you, it is important that the company invest resources in designing the right brand identity elements which represent the brand. We help our clients in the end-to-end design from brand logo design, finding the brand identity color palettes to establishing typography and iconography guidelines.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Strategic planning</w:t>
      </w:r>
    </w:p>
    <w:p>
      <w:pPr>
        <w:spacing w:after="0" w:line="158"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Our information infrastructure helps us develop a customized brand strategic plan in order to give our clients actionable insights to attract and retain new customers. We further design various marketing collateral to promote client’s new brand message and get potential customers on board with client’s long-term goals by sharing its brand’s vision. With data collection and past data records, we rely on these to identify the targeted audiences and provide important market intelligence for our clients, which helps them in planning marketing campaigns, formulating competition strategies, anticipating market movements and reacting to sudden changes in the market.</w:t>
      </w:r>
    </w:p>
    <w:p>
      <w:pPr>
        <w:spacing w:after="0" w:line="127" w:lineRule="exact"/>
        <w:rPr>
          <w:sz w:val="20"/>
          <w:szCs w:val="20"/>
          <w:color w:val="auto"/>
        </w:rPr>
      </w:pPr>
    </w:p>
    <w:p>
      <w:pPr>
        <w:ind w:left="460" w:right="639" w:firstLine="432"/>
        <w:spacing w:after="0" w:line="301" w:lineRule="auto"/>
        <w:rPr>
          <w:sz w:val="20"/>
          <w:szCs w:val="20"/>
          <w:color w:val="auto"/>
        </w:rPr>
      </w:pPr>
      <w:r>
        <w:rPr>
          <w:rFonts w:ascii="Arial" w:cs="Arial" w:eastAsia="Arial" w:hAnsi="Arial"/>
          <w:sz w:val="16"/>
          <w:szCs w:val="16"/>
          <w:color w:val="auto"/>
        </w:rPr>
        <w:t>It is important that we support our clients in planning their corporate strategies which can capture the most value. As we have gained insights from the data analysis, we are able to better identify the target market, target audience and the messaging. By leveraging on technology, targeted campaigns and marketing activities will increase the chances of outreach and sales conversions, while at the same time being cost effective.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Digital marketing</w:t>
      </w:r>
    </w:p>
    <w:p>
      <w:pPr>
        <w:spacing w:after="0" w:line="144" w:lineRule="exact"/>
        <w:rPr>
          <w:sz w:val="20"/>
          <w:szCs w:val="20"/>
          <w:color w:val="auto"/>
        </w:rPr>
      </w:pPr>
    </w:p>
    <w:p>
      <w:pPr>
        <w:ind w:left="460" w:right="739" w:firstLine="432"/>
        <w:spacing w:after="0" w:line="293" w:lineRule="auto"/>
        <w:rPr>
          <w:sz w:val="20"/>
          <w:szCs w:val="20"/>
          <w:color w:val="auto"/>
        </w:rPr>
      </w:pPr>
      <w:r>
        <w:rPr>
          <w:rFonts w:ascii="Arial" w:cs="Arial" w:eastAsia="Arial" w:hAnsi="Arial"/>
          <w:sz w:val="16"/>
          <w:szCs w:val="16"/>
          <w:color w:val="auto"/>
        </w:rPr>
        <w:t>Our digital marketing services are designed to enable enterprises to acquire, grow and retain consumer relationships more efficiently and effectively than alternative solutions available in the market. We also offer various technical upgrades, consulting services, additional integrations and access to ad-hoc data sources, services or channels. In order to enable our clients to obtain a holistic view of their consumers, we primarily provide content production and promotion services to clients with integrated digital marketing services from content planning, technical services and content production assistance to omni-channel online placement.</w:t>
      </w:r>
    </w:p>
    <w:p>
      <w:pPr>
        <w:spacing w:after="0" w:line="97"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We first conduct in-depth research on a client’s products from dimensions such as its product orientation, product features and audience portraits, and the production team will then carry out the technical design and assist in content production. Upon the client’s approval of the proposed contents, we then obtain visibility on various social media platforms such as online content-based platforms and popular apps. Based on the client’s specification about the promotion content, the expected frequency of views, our operation team tracks the work progress and ensures the client’s expectation has been met at the end of the promotion cycle. Our technology team monitors the traffic and analyses the results of the promotion and produces a traffic report to the client. The client is able to track the number of clicks and views. With the ongoing monitoring of the advertisement performances, this allows companies and brands to invest resources in targeted audiences that will potentially yield the highest returns and conversion.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IT Customization Services</w:t>
      </w:r>
    </w:p>
    <w:p>
      <w:pPr>
        <w:spacing w:after="0" w:line="162" w:lineRule="exact"/>
        <w:rPr>
          <w:sz w:val="20"/>
          <w:szCs w:val="20"/>
          <w:color w:val="auto"/>
        </w:rPr>
      </w:pPr>
    </w:p>
    <w:p>
      <w:pPr>
        <w:jc w:val="both"/>
        <w:ind w:left="460" w:right="619" w:firstLine="432"/>
        <w:spacing w:after="0" w:line="311" w:lineRule="auto"/>
        <w:rPr>
          <w:sz w:val="20"/>
          <w:szCs w:val="20"/>
          <w:color w:val="auto"/>
        </w:rPr>
      </w:pPr>
      <w:r>
        <w:rPr>
          <w:rFonts w:ascii="Arial" w:cs="Arial" w:eastAsia="Arial" w:hAnsi="Arial"/>
          <w:sz w:val="16"/>
          <w:szCs w:val="16"/>
          <w:color w:val="auto"/>
        </w:rPr>
        <w:t>We offer solutions and services to operate, optimize and transform business processes. We enable clients to get the best value from technology by developing an IT strategy, optimizing applications and infrastructure, implementing IT operating models, and governing their technical architecture for reliability and security.</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IT Consulting Services</w:t>
      </w:r>
    </w:p>
    <w:p>
      <w:pPr>
        <w:spacing w:after="0" w:line="144" w:lineRule="exact"/>
        <w:rPr>
          <w:sz w:val="20"/>
          <w:szCs w:val="20"/>
          <w:color w:val="auto"/>
        </w:rPr>
      </w:pPr>
    </w:p>
    <w:p>
      <w:pPr>
        <w:ind w:left="460" w:right="819" w:firstLine="432"/>
        <w:spacing w:after="0" w:line="263" w:lineRule="auto"/>
        <w:rPr>
          <w:sz w:val="20"/>
          <w:szCs w:val="20"/>
          <w:color w:val="auto"/>
        </w:rPr>
      </w:pPr>
      <w:r>
        <w:rPr>
          <w:rFonts w:ascii="Arial" w:cs="Arial" w:eastAsia="Arial" w:hAnsi="Arial"/>
          <w:sz w:val="18"/>
          <w:szCs w:val="18"/>
          <w:color w:val="auto"/>
        </w:rPr>
        <w:t>Our IT consulting services include a full range of consulting and technical services relating to the software solutions, from the early design and planning stages of an implementation to end-user training and after-implementation consulting services.</w:t>
      </w:r>
    </w:p>
    <w:p>
      <w:pPr>
        <w:spacing w:after="0" w:line="116" w:lineRule="exact"/>
        <w:rPr>
          <w:sz w:val="20"/>
          <w:szCs w:val="20"/>
          <w:color w:val="auto"/>
        </w:rPr>
      </w:pPr>
    </w:p>
    <w:p>
      <w:pPr>
        <w:ind w:left="460" w:right="959" w:firstLine="432"/>
        <w:spacing w:after="0" w:line="311" w:lineRule="auto"/>
        <w:rPr>
          <w:sz w:val="20"/>
          <w:szCs w:val="20"/>
          <w:color w:val="auto"/>
        </w:rPr>
      </w:pPr>
      <w:r>
        <w:rPr>
          <w:rFonts w:ascii="Arial" w:cs="Arial" w:eastAsia="Arial" w:hAnsi="Arial"/>
          <w:sz w:val="16"/>
          <w:szCs w:val="16"/>
          <w:color w:val="auto"/>
        </w:rPr>
        <w:t>We provide our services across the full system development lifecycle, encompassing definition of business requirements, developing customized software solutions, implementing and modifying software, system analysis, technical specifications, coding, testing, training, maintenance and support.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6" w:name="page77"/>
    <w:bookmarkEnd w:id="7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After a client signs the consulting service contract with us, our team will closely work with the client to develop short-term and long-term goals to optimize its business development strategies within the marketplace, customize the software solutions to meet the client’s business needs and train the client to use the system. Our consulting and customization services include:</w:t>
      </w:r>
    </w:p>
    <w:p>
      <w:pPr>
        <w:spacing w:after="0" w:line="119" w:lineRule="exact"/>
        <w:rPr>
          <w:sz w:val="20"/>
          <w:szCs w:val="20"/>
          <w:color w:val="auto"/>
        </w:rPr>
      </w:pPr>
    </w:p>
    <w:p>
      <w:pPr>
        <w:ind w:left="1320" w:right="879" w:hanging="434"/>
        <w:spacing w:after="0" w:line="342" w:lineRule="auto"/>
        <w:tabs>
          <w:tab w:leader="none" w:pos="1315"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analysis and evaluation of client’s business requirements, especially with regard to the size and complexity of the projects to be supported, as well as the client’s customized needs;</w:t>
      </w:r>
    </w:p>
    <w:p>
      <w:pPr>
        <w:spacing w:after="0" w:line="56" w:lineRule="exact"/>
        <w:rPr>
          <w:rFonts w:ascii="Arial" w:cs="Arial" w:eastAsia="Arial" w:hAnsi="Arial"/>
          <w:sz w:val="16"/>
          <w:szCs w:val="16"/>
          <w:color w:val="auto"/>
        </w:rPr>
      </w:pPr>
    </w:p>
    <w:p>
      <w:pPr>
        <w:ind w:left="1320" w:hanging="434"/>
        <w:spacing w:after="0"/>
        <w:tabs>
          <w:tab w:leader="none" w:pos="1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identification of the key problems and challenges of the current business operation and workflow;</w:t>
      </w:r>
    </w:p>
    <w:p>
      <w:pPr>
        <w:spacing w:after="0" w:line="167" w:lineRule="exact"/>
        <w:rPr>
          <w:rFonts w:ascii="Arial" w:cs="Arial" w:eastAsia="Arial" w:hAnsi="Arial"/>
          <w:sz w:val="16"/>
          <w:szCs w:val="16"/>
          <w:color w:val="auto"/>
        </w:rPr>
      </w:pPr>
    </w:p>
    <w:p>
      <w:pPr>
        <w:ind w:left="1320" w:hanging="434"/>
        <w:spacing w:after="0"/>
        <w:tabs>
          <w:tab w:leader="none" w:pos="1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 of a proposed software solution based on client’s requirements;</w:t>
      </w:r>
    </w:p>
    <w:p>
      <w:pPr>
        <w:spacing w:after="0" w:line="157" w:lineRule="exact"/>
        <w:rPr>
          <w:rFonts w:ascii="Arial" w:cs="Arial" w:eastAsia="Arial" w:hAnsi="Arial"/>
          <w:sz w:val="18"/>
          <w:szCs w:val="18"/>
          <w:color w:val="auto"/>
        </w:rPr>
      </w:pPr>
    </w:p>
    <w:p>
      <w:pPr>
        <w:ind w:left="1320" w:right="759" w:hanging="434"/>
        <w:spacing w:after="0" w:line="277" w:lineRule="auto"/>
        <w:tabs>
          <w:tab w:leader="none" w:pos="13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customization of the system features to fulfill our client’s business by revamping and integrating different information technology systems and operational systems;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administration of the project’s lifecycle by certified professionals;</w:t>
      </w:r>
    </w:p>
    <w:p>
      <w:pPr>
        <w:spacing w:after="0" w:line="144" w:lineRule="exact"/>
        <w:rPr>
          <w:rFonts w:ascii="Arial" w:cs="Arial" w:eastAsia="Arial" w:hAnsi="Arial"/>
          <w:sz w:val="18"/>
          <w:szCs w:val="18"/>
          <w:color w:val="auto"/>
        </w:rPr>
      </w:pPr>
    </w:p>
    <w:p>
      <w:pPr>
        <w:ind w:left="1320" w:right="699" w:hanging="434"/>
        <w:spacing w:after="0" w:line="277" w:lineRule="auto"/>
        <w:tabs>
          <w:tab w:leader="none" w:pos="13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fine-tuned adjustment and customization of software solutions to meet the client’s business needs such as project plan or solution proposal, etc.;</w:t>
      </w:r>
    </w:p>
    <w:p>
      <w:pPr>
        <w:spacing w:after="0" w:line="102" w:lineRule="exact"/>
        <w:rPr>
          <w:rFonts w:ascii="Arial" w:cs="Arial" w:eastAsia="Arial" w:hAnsi="Arial"/>
          <w:sz w:val="18"/>
          <w:szCs w:val="18"/>
          <w:color w:val="auto"/>
        </w:rPr>
      </w:pPr>
    </w:p>
    <w:p>
      <w:pPr>
        <w:ind w:left="1320" w:right="599" w:hanging="434"/>
        <w:spacing w:after="0" w:line="277" w:lineRule="auto"/>
        <w:tabs>
          <w:tab w:leader="none" w:pos="13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 of an implementation strategy that assesses operational impacts and improves ease of learning about the new computerized operations; and</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operational assistance with face-to-face or online professional training and reinforcement.</w:t>
      </w:r>
    </w:p>
    <w:p>
      <w:pPr>
        <w:spacing w:after="0" w:line="144" w:lineRule="exact"/>
        <w:rPr>
          <w:sz w:val="20"/>
          <w:szCs w:val="20"/>
          <w:color w:val="auto"/>
        </w:rPr>
      </w:pPr>
    </w:p>
    <w:p>
      <w:pPr>
        <w:ind w:left="460" w:right="719" w:firstLine="432"/>
        <w:spacing w:after="0" w:line="301" w:lineRule="auto"/>
        <w:rPr>
          <w:sz w:val="20"/>
          <w:szCs w:val="20"/>
          <w:color w:val="auto"/>
        </w:rPr>
      </w:pPr>
      <w:r>
        <w:rPr>
          <w:rFonts w:ascii="Arial" w:cs="Arial" w:eastAsia="Arial" w:hAnsi="Arial"/>
          <w:sz w:val="16"/>
          <w:szCs w:val="16"/>
          <w:color w:val="auto"/>
        </w:rPr>
        <w:t>We build vertically-tailored software solutions for our clients and provide software configuration assistance to meet the business requirements of our clients. Our solutions include affordable, easy-to-use, reliable and seamlessly integrated business management software, customer engagement applications, billing and payment solutions. They are purposely built to address the unique needs of specific verticals.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Software Solutions</w:t>
      </w:r>
    </w:p>
    <w:p>
      <w:pPr>
        <w:spacing w:after="0" w:line="158" w:lineRule="exact"/>
        <w:rPr>
          <w:sz w:val="20"/>
          <w:szCs w:val="20"/>
          <w:color w:val="auto"/>
        </w:rPr>
      </w:pPr>
    </w:p>
    <w:p>
      <w:pPr>
        <w:ind w:left="460" w:right="899" w:firstLine="432"/>
        <w:spacing w:after="0" w:line="308" w:lineRule="auto"/>
        <w:rPr>
          <w:sz w:val="20"/>
          <w:szCs w:val="20"/>
          <w:color w:val="auto"/>
        </w:rPr>
      </w:pPr>
      <w:r>
        <w:rPr>
          <w:rFonts w:ascii="Arial" w:cs="Arial" w:eastAsia="Arial" w:hAnsi="Arial"/>
          <w:sz w:val="17"/>
          <w:szCs w:val="17"/>
          <w:color w:val="auto"/>
        </w:rPr>
        <w:t>We offer a range of management software solutions to customers via annual subscriptions, including client relationship management solutions, inventory management solutions.</w:t>
      </w:r>
    </w:p>
    <w:p>
      <w:pPr>
        <w:spacing w:after="0" w:line="79"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Our management software solutions streamline the business operations of our clients. They not only enable our clients to devote most of their efforts and attention to business development, but empower our clients to work more efficiently by delivering seamless, connected, personalized experiences for their customers.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Web 3.0 E-Commerce Platform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the fourth quarter of 2023, we plan to launch Tridentity, a Web 3.0 e-commerce platform whereby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customers and merchants can transact in a transparent and secure way. We believe Tridentity addresses a</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massive market opportunity today and provides us with an attractive runway for growth. According to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Frost &amp; Sullivan Report, the market size of global Web 3.0-enabled e-commerce is expected to reach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US$189.3 billion and US$1,587.4 billion in 2023 and 2027, respectively, representing a CAGR of 70.2% from</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2023 to 2027.</w:t>
      </w:r>
    </w:p>
    <w:p>
      <w:pPr>
        <w:spacing w:after="0" w:line="143"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Tridentity is designed to enable merchants to execute their commerce strategy, including creating online stores, integrating and managing orders across channels, and creating marketplaces to sell products from third-party vendors. The platform will also natively combine commerce, order management and marketplace functionality, allowing merchants to sell a wider assortment of products across more channels than ever before.</w:t>
      </w:r>
    </w:p>
    <w:p>
      <w:pPr>
        <w:spacing w:after="0" w:line="90" w:lineRule="exact"/>
        <w:rPr>
          <w:sz w:val="20"/>
          <w:szCs w:val="20"/>
          <w:color w:val="auto"/>
        </w:rPr>
      </w:pPr>
    </w:p>
    <w:p>
      <w:pPr>
        <w:ind w:left="460" w:right="599" w:firstLine="432"/>
        <w:spacing w:after="0" w:line="272" w:lineRule="auto"/>
        <w:rPr>
          <w:sz w:val="20"/>
          <w:szCs w:val="20"/>
          <w:color w:val="auto"/>
        </w:rPr>
      </w:pPr>
      <w:r>
        <w:rPr>
          <w:rFonts w:ascii="Arial" w:cs="Arial" w:eastAsia="Arial" w:hAnsi="Arial"/>
          <w:sz w:val="17"/>
          <w:szCs w:val="17"/>
          <w:color w:val="auto"/>
        </w:rPr>
        <w:t>Tridentity is a Web 3.0 social e-commerce platform that reimagines the ways of online retail shopping to enhance customer experience and strengthen customer loyalty by leveraging Web 3.0 technologies. With growing competitors in the e-commerce industry, companies urge to have strategies that can differentiate themselves against others. The existing e-commerce industry is also inventing new ways in engaging the customers for their loyalty such as personalization and making sure the user interfaces are easy to navigate. As the current e-commerce platform continues to seek growth, its technology infrastructure may have certain limitations for it to transit from Web 2.0 into Web 3.0.</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7" w:name="page78"/>
    <w:bookmarkEnd w:id="7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In Tridentity, we have designed proprietary loyalty reward programmed models to focus on customer engagements, by rewarding customers with points earning and gift redemption that solely circulate within the platform as part of the platform marketing strategy, in order to improve retention rate by increasing customer-platform stickiness. We will also curate users behavior trends and personalize their shopping experience through big data analytics and our in-house proprietary machine learning models. As Tridentity periodically releases its platform versions in parallel with the consumer readiness in accepting Web 3.0 technology, we plan to bring the element of virtual reality and augmented reality, the power of cloud computing and rendering in creating virtual shopping experience. We believe with the generation shift in the technology, markets and consumers will slowly but eventually adapt and move towards the emerging technology as it matures, and we strive to be the forward movers to capture this opportunity.</w:t>
      </w:r>
    </w:p>
    <w:p>
      <w:pPr>
        <w:spacing w:after="0" w:line="118" w:lineRule="exact"/>
        <w:rPr>
          <w:sz w:val="20"/>
          <w:szCs w:val="20"/>
          <w:color w:val="auto"/>
        </w:rPr>
      </w:pPr>
    </w:p>
    <w:p>
      <w:pPr>
        <w:jc w:val="both"/>
        <w:ind w:left="460" w:right="519" w:firstLine="432"/>
        <w:spacing w:after="0" w:line="284" w:lineRule="auto"/>
        <w:rPr>
          <w:sz w:val="20"/>
          <w:szCs w:val="20"/>
          <w:color w:val="auto"/>
        </w:rPr>
      </w:pPr>
      <w:r>
        <w:rPr>
          <w:rFonts w:ascii="Arial" w:cs="Arial" w:eastAsia="Arial" w:hAnsi="Arial"/>
          <w:sz w:val="16"/>
          <w:szCs w:val="16"/>
          <w:color w:val="auto"/>
        </w:rPr>
        <w:t>On the other hand, existing e-commerce platforms are facing ongoing challenges such as online identity verification, cyber and data security, the visibility and transparency of the complex supply chain. In Tridentity, we are trying to leverage blockchain technology, as it improves transparency and trust between businesses and their customers by creating tamper-proof records, enhancing accountability and system security. Tridentity will leverage Web 3.0 technologies in developing a robust customer authentication process, a system with encrypted digital identities, protecting consumers from misuse or theft, enhancing security over identity authentication.</w:t>
      </w:r>
    </w:p>
    <w:p>
      <w:pPr>
        <w:spacing w:after="0" w:line="4"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color w:val="auto"/>
        </w:rPr>
        <w:t>The platform will also be able to provide a more secure purchase and payment, as well as enhancing the supply chain transparency and traceability. With Tridentity, customers will seamlessly buy products from an online store through smart, contract-enabled distributed applications (dApps) over the blockchain, these products will be guaranteed by the blockchain to be unique and secure, increasing trust between the merchant providing the product and its customers.</w:t>
      </w:r>
    </w:p>
    <w:p>
      <w:pPr>
        <w:spacing w:after="0" w:line="123" w:lineRule="exact"/>
        <w:rPr>
          <w:sz w:val="20"/>
          <w:szCs w:val="20"/>
          <w:color w:val="auto"/>
        </w:rPr>
      </w:pPr>
    </w:p>
    <w:p>
      <w:pPr>
        <w:ind w:left="460" w:right="719" w:firstLine="432"/>
        <w:spacing w:after="0" w:line="263" w:lineRule="auto"/>
        <w:rPr>
          <w:sz w:val="20"/>
          <w:szCs w:val="20"/>
          <w:color w:val="auto"/>
        </w:rPr>
      </w:pPr>
      <w:r>
        <w:rPr>
          <w:rFonts w:ascii="Arial" w:cs="Arial" w:eastAsia="Arial" w:hAnsi="Arial"/>
          <w:sz w:val="18"/>
          <w:szCs w:val="18"/>
          <w:color w:val="auto"/>
        </w:rPr>
        <w:t>Tridentity is also designed to enable end-user customers to obtain consistent, relevant and personalized cross-channel shopping through catalog, merchandising, marketing, research and guided navigation, personalization, automated recommendations, and live help support.</w:t>
      </w:r>
    </w:p>
    <w:p>
      <w:pPr>
        <w:spacing w:after="0" w:line="103"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We believe Tridentity strategically aligns us with our clients: we grow by enabling them to grow. We believe the ecosystem created by Tridentity will allow traditional retailers to take advantage of this new channel of sales and communication with customers, which improves the omni-channel shopping experience for both merchants and their customers.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Clients</w:t>
      </w:r>
    </w:p>
    <w:p>
      <w:pPr>
        <w:spacing w:after="0" w:line="162"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We serve a wide variety of clients across our verticals. All of our clients are SMEs. We found that SMEs need technology solutions to communicate with the large portion of their consumers. The needs and requirements of SMEs are different to those of large corporations. Tailor-made software solutions and products are not easily available to SMEs due to the cost hurdle. Our solutions and services are easy-to-deploy, highly configurable, integrated, flexible and secure, which enable SMEs to manage and interact directly with customers.</w:t>
      </w:r>
    </w:p>
    <w:p>
      <w:pPr>
        <w:spacing w:after="0" w:line="125"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We have a diversified client base spanning a range of industry verticals, including e-commerce, food and beverage, fintech, healthcare and service, wholesale and retail. As of June 30, 2023, we served over 200 clients across our core verticals such as food and beverage, wholesale and retail, all of whom utilize our services and talent to help them evolve the digital capabilities within their organizations.</w:t>
      </w:r>
    </w:p>
    <w:p>
      <w:pPr>
        <w:spacing w:after="0" w:line="90"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We have long-term and trusted strategic relationships with our clients. We look to partner with clients who recognize the importance of technology as a central component of their business strategy. With that shared understanding, we engrain ourselves in their organizations and collaborate with them to translate that strategy into higher business value over the long term.</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Technology</w:t>
      </w:r>
    </w:p>
    <w:p>
      <w:pPr>
        <w:spacing w:after="0" w:line="162"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Our customized software solutions and products are built on a common set of foundational technology principles that distinguish us and provide a multitude of benefits to our clients. We use broadly adopted, standards-based software technologies in order to create, maintain and enhance our project-focused solutions. Our developed solutions are generally both scalable and easily integrated into our clients’ existing information technology infrastructure.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8" w:name="page79"/>
    <w:bookmarkEnd w:id="7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Our solutions are designed from the ground up for speed-to-market, scalability, security, durability, and reliability. The foundational technology that enables these benefits includes:</w:t>
      </w:r>
    </w:p>
    <w:p>
      <w:pPr>
        <w:spacing w:after="0" w:line="89" w:lineRule="exact"/>
        <w:rPr>
          <w:sz w:val="20"/>
          <w:szCs w:val="20"/>
          <w:color w:val="auto"/>
        </w:rPr>
      </w:pPr>
    </w:p>
    <w:p>
      <w:pPr>
        <w:ind w:left="1320" w:right="499" w:hanging="434"/>
        <w:spacing w:after="0" w:line="289" w:lineRule="auto"/>
        <w:tabs>
          <w:tab w:leader="none" w:pos="1315"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Integration. Our solutions embrace the power of partnerships through integration. Some of our clients have other technology and systems that serve as the core software systems and deliver or receive data about their clients. Our solutions are designed for rapid deployment and integration with third-party technologies within a company’s enterprise, including application servers, security systems and portals. Our application development also provides web services interfaces and support for service-oriented architectures to facilitate enhanced integration within the enterprise. We have implemented customer and vendor-facing APIs, web service endpoints, and other integrations with many core software system providers and vendors. The architecture of the integrations and the design patterns we employ help us quickly extend our integrations to new providers or vendors.</w:t>
      </w:r>
    </w:p>
    <w:p>
      <w:pPr>
        <w:spacing w:after="0" w:line="71" w:lineRule="exact"/>
        <w:rPr>
          <w:rFonts w:ascii="Arial" w:cs="Arial" w:eastAsia="Arial" w:hAnsi="Arial"/>
          <w:sz w:val="16"/>
          <w:szCs w:val="16"/>
          <w:color w:val="auto"/>
        </w:rPr>
      </w:pPr>
    </w:p>
    <w:p>
      <w:pPr>
        <w:ind w:left="1320" w:right="459" w:hanging="434"/>
        <w:spacing w:after="0" w:line="275" w:lineRule="auto"/>
        <w:tabs>
          <w:tab w:leader="none" w:pos="13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Agility. Our cloud-based infrastructure and development and software release processes allow us to update our platform for specific groups of customers or our entire customer base at any time. This means we can rapidly innovate and deliver new functionality, without waiting for quarterly or annual release cycles. We believe these systems have the capability and scalability to enable us to meet our anticipated growth for the foreseeable future.</w:t>
      </w:r>
    </w:p>
    <w:p>
      <w:pPr>
        <w:spacing w:after="0" w:line="81" w:lineRule="exact"/>
        <w:rPr>
          <w:rFonts w:ascii="Arial" w:cs="Arial" w:eastAsia="Arial" w:hAnsi="Arial"/>
          <w:sz w:val="17"/>
          <w:szCs w:val="17"/>
          <w:color w:val="auto"/>
        </w:rPr>
      </w:pPr>
    </w:p>
    <w:p>
      <w:pPr>
        <w:ind w:left="1320" w:right="499" w:hanging="434"/>
        <w:spacing w:after="0" w:line="275" w:lineRule="auto"/>
        <w:tabs>
          <w:tab w:leader="none" w:pos="13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Scalability. By leveraging leading cloud infrastructure providers along with our technology stack, with the infrastructure designed for high performance and high availability, we are able to scale workloads of varying sizes at any time. This allows us to handle customers of all sizes and demands without traditional operational limitations such as network bandwidth, computing cycles, or storage capacity as we can scale our platform on-demand.</w:t>
      </w:r>
    </w:p>
    <w:p>
      <w:pPr>
        <w:spacing w:after="0" w:line="95" w:lineRule="exact"/>
        <w:rPr>
          <w:rFonts w:ascii="Arial" w:cs="Arial" w:eastAsia="Arial" w:hAnsi="Arial"/>
          <w:sz w:val="17"/>
          <w:szCs w:val="17"/>
          <w:color w:val="auto"/>
        </w:rPr>
      </w:pPr>
    </w:p>
    <w:p>
      <w:pPr>
        <w:ind w:left="1320" w:right="479" w:hanging="434"/>
        <w:spacing w:after="0" w:line="255" w:lineRule="auto"/>
        <w:tabs>
          <w:tab w:leader="none" w:pos="13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Reliability. Platform data is distributed and processed across multiple data centers within a region to provide redundancy. We built our solutions on a distributed computing architecture with reduced single points of failure and we operate across data center boundaries daily. In addition to datacenter level redundancy, this architecture supports multiple live copies of each data set along with snapshot capabilities for faster, point-in-time data recovery instead of traditional backup and restore methodologies.</w:t>
      </w:r>
    </w:p>
    <w:p>
      <w:pPr>
        <w:spacing w:after="0" w:line="97" w:lineRule="exact"/>
        <w:rPr>
          <w:rFonts w:ascii="Arial" w:cs="Arial" w:eastAsia="Arial" w:hAnsi="Arial"/>
          <w:sz w:val="18"/>
          <w:szCs w:val="18"/>
          <w:color w:val="auto"/>
        </w:rPr>
      </w:pPr>
    </w:p>
    <w:p>
      <w:pPr>
        <w:ind w:left="1320" w:right="599" w:hanging="434"/>
        <w:spacing w:after="0" w:line="289" w:lineRule="auto"/>
        <w:tabs>
          <w:tab w:leader="none" w:pos="1315" w:val="left"/>
        </w:tabs>
        <w:numPr>
          <w:ilvl w:val="0"/>
          <w:numId w:val="47"/>
        </w:numPr>
        <w:rPr>
          <w:rFonts w:ascii="Arial" w:cs="Arial" w:eastAsia="Arial" w:hAnsi="Arial"/>
          <w:sz w:val="16"/>
          <w:szCs w:val="16"/>
          <w:color w:val="auto"/>
        </w:rPr>
      </w:pPr>
      <w:r>
        <w:rPr>
          <w:rFonts w:ascii="Arial" w:cs="Arial" w:eastAsia="Arial" w:hAnsi="Arial"/>
          <w:sz w:val="16"/>
          <w:szCs w:val="16"/>
          <w:color w:val="auto"/>
        </w:rPr>
        <w:t>Security. We leverage industry standard network and perimeter defense technologies, distributed denial-of-service, protection systems (including web application firewalls) and enterprise grade domain name system, services across multiple vendors. We offer high levels of security by segregating each customer’s data from the data of other customers and by limiting access to our platform to only those individuals authorized by our clients. We maintain a formal and comprehensive security program designed to ensure the security and integrity of customer data, protect against security threats or data breaches, and prevent unauthorized access to the data of our clients. Due to the broad footprint of our client base, we regularly test and evaluate our platform with trusted third-party vendors to ensure the security and integrity of our services.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Maintenance and Support</w:t>
      </w:r>
    </w:p>
    <w:p>
      <w:pPr>
        <w:spacing w:after="0" w:line="162"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We aim to provide our clients with ongoing support to supplement the continuity of their operations. We will have both customer support and development support team in assisting our clients in times of system errors or bug, or even certain service request that requires development of new features. We will form a service level agreement to govern the maintenance support services, including severity level and commercial terms. It is critical that we form a fast-responding support team to our clients in committing to solve their problems arising from the system. This enhances the confidence and trust clients have in us, strengthening the business relationship for future collaborations.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Sales and Marketing</w:t>
      </w:r>
    </w:p>
    <w:p>
      <w:pPr>
        <w:spacing w:after="0" w:line="148"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We employ a diversified and efficient go-to-market strategy that leverages direct sales, referrals and strategic partnerships to accelerate new customer acquisition. Our sales and marketing strategy is focused on increasing revenues from existing clients, generating revenues from new clients and continuing to maintain our brand to appeal to current and prospective clients. We’ve generated inbound interest for our services through requests from clients seeking our services as a pre-approved vendor by IMDA, search engine optimization, word-of-mouth, paid customer referrals, and search engine marketing.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35"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Research and development is one of the key drivers in the line of our business, especially in business consultancy. We always invested resources into talents for them to always stay up-to-date with the latest news in the market, monitoring trends and markets across the key verticals. We have a holistic management team that is always actively searching for innovative ideas, looking out for risks and opportunities that are relevant to our business. In Tridentity, we believe in staying up-to-date with the market, and change as the market shifts. We always endeavor to deliver solutions that unlock the greatest value for our clients. and with the emerging technology shift towards artificial intelligence and Web 3.0, we intend to invest more resources and talents in developing the next best-in-class Web 3.0-enabled e-commerce platform.</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135"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The digital solutions industry in Singapore is highly fragmented, with a large number of market participants due to the diverse client base, a high degree of industry segmentation and different service coverage. We primarily compete with international corporations, as well as local companies. We believe we compete favorably on the following principal competitive factors:</w:t>
      </w:r>
    </w:p>
    <w:p>
      <w:pPr>
        <w:spacing w:after="0" w:line="106" w:lineRule="exact"/>
        <w:rPr>
          <w:sz w:val="20"/>
          <w:szCs w:val="20"/>
          <w:color w:val="auto"/>
        </w:rPr>
      </w:pPr>
    </w:p>
    <w:p>
      <w:pPr>
        <w:ind w:left="1320" w:hanging="434"/>
        <w:spacing w:after="0"/>
        <w:tabs>
          <w:tab w:leader="none" w:pos="1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Proven track record and reputation in the industry;</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Service customization;</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Product innovation, quality, functionality and design;</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Solid partnerships with upstream and downstream partners;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Deep vertical domain experience; and</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strong commitment to security and privacy.</w:t>
      </w:r>
    </w:p>
    <w:p>
      <w:pPr>
        <w:spacing w:after="0" w:line="144"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We believe we compete favourably across these factors. However, some of our competitors and potential competitors are large and have greater brand name recognition, longer operating histories, larger marketing budgets and established marketing relationships, access to larger client bases and significantly greater resources for the development of their offerings. Moreover, because our market is highly competitive and subject to rapid change, it is possible that new entrants, especially those with substantial resources, more efficient operating models, more rapid technology and content development cycles, or lower marketing costs, could introduce new solutions that disrupt our market and better address the needs of our clients and potential clients.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35"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We are headquartered in Singapore where we lease two corporate offices under leases that expire in 2024. We also lease one corporate office under lease in Vietnam which expires in 2025. We believe our facilities are adequate and suitable for our current needs, and that should it be needed, suitable additional or alternative space will be available to accommodate our operations.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Intellectual Property</w:t>
      </w:r>
    </w:p>
    <w:p>
      <w:pPr>
        <w:spacing w:after="0" w:line="135"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Our intellectual property rights are crucial to our business. We rely on a combination of intellectual property laws, confidentiality procedures and contractual provisions to protect our intellectual property. Prior to commencement of our relationship with our employees and channel partners, we require them to provide written obligations to keep any confidential information disclosed or otherwise made available by us confidential.</w:t>
      </w:r>
    </w:p>
    <w:p>
      <w:pPr>
        <w:spacing w:after="0" w:line="120"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We customarily enter into confidentiality agreements with our clients to preserve the confidentiality of the proprietary or confidential information or data provided to us or developed by us. Our clients usually own the intellectual property in the software or systems we develop for them.</w:t>
      </w:r>
    </w:p>
    <w:p>
      <w:pPr>
        <w:spacing w:after="0" w:line="116"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Protecting our intellectual property rights is important to our business. We plan to invest in research and development to enhance our domain knowledge and create complex, specialized solutions for our clients. As of June 30, 2023, we have registered one trademark “TRIDENTITY” (trademark number 40202251004W) in Singapore under Classes 09, 35, 38, 42 and 45 under the International Classification of Goods and Services.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We also registered and maintained the domain names “Qzonetech.com” and “Tridentity.me” for our</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business operations to ensure that we maintain the ability to engage with our clients, employees, and the public.</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As of June 30, 2023, we had a total of 33 full-time employees. We are highly dependent on our management, highly-skilled software engineers, sales and marketing personnel, and other professionals, and it is crucial that we continue to attract and retain valuable employees.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Insurance</w:t>
      </w:r>
    </w:p>
    <w:p>
      <w:pPr>
        <w:spacing w:after="0" w:line="162" w:lineRule="exact"/>
        <w:rPr>
          <w:sz w:val="20"/>
          <w:szCs w:val="20"/>
          <w:color w:val="auto"/>
        </w:rPr>
      </w:pPr>
    </w:p>
    <w:p>
      <w:pPr>
        <w:ind w:left="460" w:right="1259" w:firstLine="432"/>
        <w:spacing w:after="0" w:line="308" w:lineRule="auto"/>
        <w:rPr>
          <w:sz w:val="20"/>
          <w:szCs w:val="20"/>
          <w:color w:val="auto"/>
        </w:rPr>
      </w:pPr>
      <w:r>
        <w:rPr>
          <w:rFonts w:ascii="Arial" w:cs="Arial" w:eastAsia="Arial" w:hAnsi="Arial"/>
          <w:sz w:val="17"/>
          <w:szCs w:val="17"/>
          <w:color w:val="auto"/>
        </w:rPr>
        <w:t>We provide foreign workers medical insurance and work injury compensation insurance for our employees as required by applicable law and in line with general market practice.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We are currently not a party to any other legal or administrative proceedings and are not aware of any other pending or threatened legal or administrative proceedings against us in any material respects. We may from time to time become a party to various legal or administrative proceedings arising in the ordinary course of our business.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48"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i w:val="1"/>
          <w:iCs w:val="1"/>
          <w:color w:val="auto"/>
        </w:rPr>
        <w:t>This section sets forth a summary of the most significant rules and regulations that affect our business activities or the rights of our shareholders to receive dividends and other distributions from us. Information contained in this section should not be construed as a comprehensive summary nor detailed analysis of laws and regulations applicable to our business and operations. This overview is provided as general information only and not intended to be a substitute for professional advice. You should consult your own advisers regarding the implication of the laws and regulations of Singapore on our business and operations.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Regulations in Singapore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Regulations on Data Protection</w:t>
      </w:r>
    </w:p>
    <w:p>
      <w:pPr>
        <w:spacing w:after="0" w:line="154" w:lineRule="exact"/>
        <w:rPr>
          <w:sz w:val="20"/>
          <w:szCs w:val="20"/>
          <w:color w:val="auto"/>
        </w:rPr>
      </w:pPr>
    </w:p>
    <w:p>
      <w:pPr>
        <w:ind w:left="460" w:right="499" w:firstLine="432"/>
        <w:spacing w:after="0" w:line="258" w:lineRule="auto"/>
        <w:rPr>
          <w:sz w:val="20"/>
          <w:szCs w:val="20"/>
          <w:color w:val="auto"/>
        </w:rPr>
      </w:pPr>
      <w:r>
        <w:rPr>
          <w:rFonts w:ascii="Arial" w:cs="Arial" w:eastAsia="Arial" w:hAnsi="Arial"/>
          <w:sz w:val="18"/>
          <w:szCs w:val="18"/>
          <w:color w:val="auto"/>
        </w:rPr>
        <w:t>The Personal Data Protection Act 2012 of Singapore (the “</w:t>
      </w:r>
      <w:r>
        <w:rPr>
          <w:rFonts w:ascii="Arial" w:cs="Arial" w:eastAsia="Arial" w:hAnsi="Arial"/>
          <w:sz w:val="18"/>
          <w:szCs w:val="18"/>
          <w:b w:val="1"/>
          <w:bCs w:val="1"/>
          <w:color w:val="auto"/>
        </w:rPr>
        <w:t>PDPA</w:t>
      </w:r>
      <w:r>
        <w:rPr>
          <w:rFonts w:ascii="Arial" w:cs="Arial" w:eastAsia="Arial" w:hAnsi="Arial"/>
          <w:sz w:val="18"/>
          <w:szCs w:val="18"/>
          <w:color w:val="auto"/>
        </w:rPr>
        <w:t>”) establishes the Singapore regime for the protection of personal data in Singapore, and governs the collection, use and disclosure of personal data by organizations. In this regard, “personal data” as defined under the PDPA refers to data, whether true or not, about an individual who can be identified (a) from that data or (b) from that data and other information to which the organization has or is likely to have access.</w:t>
      </w:r>
    </w:p>
    <w:p>
      <w:pPr>
        <w:spacing w:after="0" w:line="120"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An organization is required to comply with, amongst other things, the following obligations prescribed by the PDPA:</w:t>
      </w:r>
    </w:p>
    <w:p>
      <w:pPr>
        <w:spacing w:after="0" w:line="89" w:lineRule="exact"/>
        <w:rPr>
          <w:sz w:val="20"/>
          <w:szCs w:val="20"/>
          <w:color w:val="auto"/>
        </w:rPr>
      </w:pPr>
    </w:p>
    <w:p>
      <w:pPr>
        <w:jc w:val="both"/>
        <w:ind w:left="1320" w:right="639" w:hanging="434"/>
        <w:spacing w:after="0" w:line="263" w:lineRule="auto"/>
        <w:tabs>
          <w:tab w:leader="none" w:pos="1287"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Purpose limitation obligation </w:t>
      </w:r>
      <w:r>
        <w:rPr>
          <w:rFonts w:ascii="Arial" w:cs="Arial" w:eastAsia="Arial" w:hAnsi="Arial"/>
          <w:sz w:val="18"/>
          <w:szCs w:val="18"/>
          <w:color w:val="auto"/>
        </w:rPr>
        <w:t>— personal data must be collected, used, disclosed and/or processed</w:t>
      </w:r>
      <w:r>
        <w:rPr>
          <w:rFonts w:ascii="Arial" w:cs="Arial" w:eastAsia="Arial" w:hAnsi="Arial"/>
          <w:sz w:val="18"/>
          <w:szCs w:val="18"/>
          <w:i w:val="1"/>
          <w:iCs w:val="1"/>
          <w:color w:val="auto"/>
        </w:rPr>
        <w:t xml:space="preserve"> </w:t>
      </w:r>
      <w:r>
        <w:rPr>
          <w:rFonts w:ascii="Arial" w:cs="Arial" w:eastAsia="Arial" w:hAnsi="Arial"/>
          <w:sz w:val="18"/>
          <w:szCs w:val="18"/>
          <w:color w:val="auto"/>
        </w:rPr>
        <w:t>only for purposes that a reasonable person would consider appropriate in the circumstances, and if applicable, have been notified to the individual concerned;</w:t>
      </w:r>
    </w:p>
    <w:p>
      <w:pPr>
        <w:spacing w:after="0" w:line="116" w:lineRule="exact"/>
        <w:rPr>
          <w:rFonts w:ascii="Arial" w:cs="Arial" w:eastAsia="Arial" w:hAnsi="Arial"/>
          <w:sz w:val="18"/>
          <w:szCs w:val="18"/>
          <w:color w:val="auto"/>
        </w:rPr>
      </w:pPr>
    </w:p>
    <w:p>
      <w:pPr>
        <w:ind w:left="1320" w:right="679" w:hanging="434"/>
        <w:spacing w:after="0" w:line="263" w:lineRule="auto"/>
        <w:tabs>
          <w:tab w:leader="none" w:pos="1283"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Notification obligation </w:t>
      </w:r>
      <w:r>
        <w:rPr>
          <w:rFonts w:ascii="Arial" w:cs="Arial" w:eastAsia="Arial" w:hAnsi="Arial"/>
          <w:sz w:val="18"/>
          <w:szCs w:val="18"/>
          <w:color w:val="auto"/>
        </w:rPr>
        <w:t>— individuals must be notified of the purposes for the collection, use,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and/or processing of their personal data, prior to such collection, use, disclosure and/or processing;</w:t>
      </w:r>
    </w:p>
    <w:p>
      <w:pPr>
        <w:spacing w:after="0" w:line="116" w:lineRule="exact"/>
        <w:rPr>
          <w:rFonts w:ascii="Arial" w:cs="Arial" w:eastAsia="Arial" w:hAnsi="Arial"/>
          <w:sz w:val="18"/>
          <w:szCs w:val="18"/>
          <w:color w:val="auto"/>
        </w:rPr>
      </w:pPr>
    </w:p>
    <w:p>
      <w:pPr>
        <w:ind w:left="1320" w:right="499" w:hanging="434"/>
        <w:spacing w:after="0" w:line="311" w:lineRule="auto"/>
        <w:tabs>
          <w:tab w:leader="none" w:pos="1293"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Consent obligation </w:t>
      </w:r>
      <w:r>
        <w:rPr>
          <w:rFonts w:ascii="Arial" w:cs="Arial" w:eastAsia="Arial" w:hAnsi="Arial"/>
          <w:sz w:val="16"/>
          <w:szCs w:val="16"/>
          <w:color w:val="auto"/>
        </w:rPr>
        <w:t>— the consent of individuals must be obtained for any collection, use,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and/or processing of their personal data, unless exception(s) apply. Additionally, an organization must allow the withdrawal of consent which has been given or is deemed to have been given;</w:t>
      </w:r>
    </w:p>
    <w:p>
      <w:pPr>
        <w:spacing w:after="0" w:line="67" w:lineRule="exact"/>
        <w:rPr>
          <w:rFonts w:ascii="Arial" w:cs="Arial" w:eastAsia="Arial" w:hAnsi="Arial"/>
          <w:sz w:val="16"/>
          <w:szCs w:val="16"/>
          <w:color w:val="auto"/>
        </w:rPr>
      </w:pPr>
    </w:p>
    <w:p>
      <w:pPr>
        <w:ind w:left="1320" w:right="479" w:hanging="434"/>
        <w:spacing w:after="0" w:line="296" w:lineRule="auto"/>
        <w:tabs>
          <w:tab w:leader="none" w:pos="1283"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Access and correction obligations </w:t>
      </w:r>
      <w:r>
        <w:rPr>
          <w:rFonts w:ascii="Arial" w:cs="Arial" w:eastAsia="Arial" w:hAnsi="Arial"/>
          <w:sz w:val="16"/>
          <w:szCs w:val="16"/>
          <w:color w:val="auto"/>
        </w:rPr>
        <w:t>— when requested by an individual and unless exception(s) apply,</w:t>
      </w:r>
      <w:r>
        <w:rPr>
          <w:rFonts w:ascii="Arial" w:cs="Arial" w:eastAsia="Arial" w:hAnsi="Arial"/>
          <w:sz w:val="16"/>
          <w:szCs w:val="16"/>
          <w:i w:val="1"/>
          <w:iCs w:val="1"/>
          <w:color w:val="auto"/>
        </w:rPr>
        <w:t xml:space="preserve"> </w:t>
      </w:r>
      <w:r>
        <w:rPr>
          <w:rFonts w:ascii="Arial" w:cs="Arial" w:eastAsia="Arial" w:hAnsi="Arial"/>
          <w:sz w:val="16"/>
          <w:szCs w:val="16"/>
          <w:color w:val="auto"/>
        </w:rPr>
        <w:t>an organization must: (a) provide that individual with access to his personal data in the possession or under the control of the organization and information about the ways in which his personal data may have been used, disclosed and/or processed during the past year, and/or (b) correct an error or omission in his personal data that is in the possession or under the control of the organization;</w:t>
      </w:r>
    </w:p>
    <w:p>
      <w:pPr>
        <w:spacing w:after="0" w:line="93" w:lineRule="exact"/>
        <w:rPr>
          <w:rFonts w:ascii="Arial" w:cs="Arial" w:eastAsia="Arial" w:hAnsi="Arial"/>
          <w:sz w:val="16"/>
          <w:szCs w:val="16"/>
          <w:color w:val="auto"/>
        </w:rPr>
      </w:pPr>
    </w:p>
    <w:p>
      <w:pPr>
        <w:ind w:left="1320" w:right="519" w:hanging="434"/>
        <w:spacing w:after="0" w:line="259" w:lineRule="auto"/>
        <w:tabs>
          <w:tab w:leader="none" w:pos="1273"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Accuracy obligation </w:t>
      </w:r>
      <w:r>
        <w:rPr>
          <w:rFonts w:ascii="Arial" w:cs="Arial" w:eastAsia="Arial" w:hAnsi="Arial"/>
          <w:sz w:val="18"/>
          <w:szCs w:val="18"/>
          <w:color w:val="auto"/>
        </w:rPr>
        <w:t>— an organization must make reasonable efforts to ensure that personal data</w:t>
      </w:r>
      <w:r>
        <w:rPr>
          <w:rFonts w:ascii="Arial" w:cs="Arial" w:eastAsia="Arial" w:hAnsi="Arial"/>
          <w:sz w:val="18"/>
          <w:szCs w:val="18"/>
          <w:i w:val="1"/>
          <w:iCs w:val="1"/>
          <w:color w:val="auto"/>
        </w:rPr>
        <w:t xml:space="preserve"> </w:t>
      </w:r>
      <w:r>
        <w:rPr>
          <w:rFonts w:ascii="Arial" w:cs="Arial" w:eastAsia="Arial" w:hAnsi="Arial"/>
          <w:sz w:val="18"/>
          <w:szCs w:val="18"/>
          <w:color w:val="auto"/>
        </w:rPr>
        <w:t>collected by or on its behalf is accurate and complete if such data is likely to be used by the organization to make a decision affecting the individual to whom the personal data relates or if such data is likely to be disclosed to another organization;</w:t>
      </w:r>
    </w:p>
    <w:p>
      <w:pPr>
        <w:spacing w:after="0" w:line="119" w:lineRule="exact"/>
        <w:rPr>
          <w:rFonts w:ascii="Arial" w:cs="Arial" w:eastAsia="Arial" w:hAnsi="Arial"/>
          <w:sz w:val="18"/>
          <w:szCs w:val="18"/>
          <w:color w:val="auto"/>
        </w:rPr>
      </w:pPr>
    </w:p>
    <w:p>
      <w:pPr>
        <w:ind w:left="1320" w:right="639" w:hanging="434"/>
        <w:spacing w:after="0" w:line="279" w:lineRule="auto"/>
        <w:tabs>
          <w:tab w:leader="none" w:pos="1283"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Protection obligation </w:t>
      </w:r>
      <w:r>
        <w:rPr>
          <w:rFonts w:ascii="Arial" w:cs="Arial" w:eastAsia="Arial" w:hAnsi="Arial"/>
          <w:sz w:val="17"/>
          <w:szCs w:val="17"/>
          <w:color w:val="auto"/>
        </w:rPr>
        <w:t>— an organization must implement reasonable security arrangements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 of personal data in its possession or under its control from (a) unauthorized access, collection, use, disclosure, copying, modification, disposal or similar risks, and (b) the loss of any storage medium or device on which personal data is stored;</w:t>
      </w:r>
    </w:p>
    <w:p>
      <w:pPr>
        <w:spacing w:after="0" w:line="90" w:lineRule="exact"/>
        <w:rPr>
          <w:rFonts w:ascii="Arial" w:cs="Arial" w:eastAsia="Arial" w:hAnsi="Arial"/>
          <w:sz w:val="17"/>
          <w:szCs w:val="17"/>
          <w:color w:val="auto"/>
        </w:rPr>
      </w:pPr>
    </w:p>
    <w:p>
      <w:pPr>
        <w:ind w:left="1320" w:right="659" w:hanging="434"/>
        <w:spacing w:after="0" w:line="342" w:lineRule="auto"/>
        <w:tabs>
          <w:tab w:leader="none" w:pos="1288"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Retention limitation obligation </w:t>
      </w:r>
      <w:r>
        <w:rPr>
          <w:rFonts w:ascii="Arial" w:cs="Arial" w:eastAsia="Arial" w:hAnsi="Arial"/>
          <w:sz w:val="16"/>
          <w:szCs w:val="16"/>
          <w:color w:val="auto"/>
        </w:rPr>
        <w:t>— an organization must not keep personal data for longer than it is</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to fulfil (a) the purposes for which it was collected, or (b) a legal or business purpose;</w:t>
      </w:r>
    </w:p>
    <w:p>
      <w:pPr>
        <w:spacing w:after="0" w:line="56" w:lineRule="exact"/>
        <w:rPr>
          <w:rFonts w:ascii="Arial" w:cs="Arial" w:eastAsia="Arial" w:hAnsi="Arial"/>
          <w:sz w:val="16"/>
          <w:szCs w:val="16"/>
          <w:color w:val="auto"/>
        </w:rPr>
      </w:pPr>
    </w:p>
    <w:p>
      <w:pPr>
        <w:ind w:left="1320" w:right="719" w:hanging="434"/>
        <w:spacing w:after="0" w:line="277" w:lineRule="auto"/>
        <w:tabs>
          <w:tab w:leader="none" w:pos="1293"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Transfer limitation obligation </w:t>
      </w:r>
      <w:r>
        <w:rPr>
          <w:rFonts w:ascii="Arial" w:cs="Arial" w:eastAsia="Arial" w:hAnsi="Arial"/>
          <w:sz w:val="18"/>
          <w:szCs w:val="18"/>
          <w:color w:val="auto"/>
        </w:rPr>
        <w:t>— personal data must not be transferred out of Singapore except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requirements prescribed under the PDPA;</w:t>
      </w:r>
    </w:p>
    <w:p>
      <w:pPr>
        <w:spacing w:after="0" w:line="102" w:lineRule="exact"/>
        <w:rPr>
          <w:rFonts w:ascii="Arial" w:cs="Arial" w:eastAsia="Arial" w:hAnsi="Arial"/>
          <w:sz w:val="18"/>
          <w:szCs w:val="18"/>
          <w:color w:val="auto"/>
        </w:rPr>
      </w:pPr>
    </w:p>
    <w:p>
      <w:pPr>
        <w:ind w:left="1320" w:right="559" w:hanging="434"/>
        <w:spacing w:after="0" w:line="259" w:lineRule="auto"/>
        <w:tabs>
          <w:tab w:leader="none" w:pos="1283"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Accountability obligation </w:t>
      </w:r>
      <w:r>
        <w:rPr>
          <w:rFonts w:ascii="Arial" w:cs="Arial" w:eastAsia="Arial" w:hAnsi="Arial"/>
          <w:sz w:val="18"/>
          <w:szCs w:val="18"/>
          <w:color w:val="auto"/>
        </w:rPr>
        <w:t>— an organization must implement the necessary policies and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in order to meet the obligations under the PDPA, communicate and inform its staff about these policies and procedures, and shall make information about its policies and procedures available on request.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2" w:name="page83"/>
    <w:bookmarkEnd w:id="8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679"/>
        <w:spacing w:after="0" w:line="263" w:lineRule="auto"/>
        <w:rPr>
          <w:sz w:val="20"/>
          <w:szCs w:val="20"/>
          <w:color w:val="auto"/>
        </w:rPr>
      </w:pPr>
      <w:r>
        <w:rPr>
          <w:rFonts w:ascii="Arial" w:cs="Arial" w:eastAsia="Arial" w:hAnsi="Arial"/>
          <w:sz w:val="18"/>
          <w:szCs w:val="18"/>
          <w:color w:val="auto"/>
        </w:rPr>
        <w:t>In addition, an organization must develop a process to receive and respond to data-related complaints, and must designate at least one individual as the data protection officer to oversee the organization’s compliance with the PDPA;</w:t>
      </w:r>
    </w:p>
    <w:p>
      <w:pPr>
        <w:spacing w:after="0" w:line="116" w:lineRule="exact"/>
        <w:rPr>
          <w:sz w:val="20"/>
          <w:szCs w:val="20"/>
          <w:color w:val="auto"/>
        </w:rPr>
      </w:pPr>
    </w:p>
    <w:p>
      <w:pPr>
        <w:ind w:left="1320" w:right="519" w:hanging="434"/>
        <w:spacing w:after="0" w:line="254" w:lineRule="auto"/>
        <w:tabs>
          <w:tab w:leader="none" w:pos="1273"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Data breach notification obligation </w:t>
      </w:r>
      <w:r>
        <w:rPr>
          <w:rFonts w:ascii="Arial" w:cs="Arial" w:eastAsia="Arial" w:hAnsi="Arial"/>
          <w:sz w:val="18"/>
          <w:szCs w:val="18"/>
          <w:color w:val="auto"/>
        </w:rPr>
        <w:t>— an organization must notify the Singapore Personal Data</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Protection Commission (“</w:t>
      </w:r>
      <w:r>
        <w:rPr>
          <w:rFonts w:ascii="Arial" w:cs="Arial" w:eastAsia="Arial" w:hAnsi="Arial"/>
          <w:sz w:val="18"/>
          <w:szCs w:val="18"/>
          <w:b w:val="1"/>
          <w:bCs w:val="1"/>
          <w:color w:val="auto"/>
        </w:rPr>
        <w:t>PDPC</w:t>
      </w:r>
      <w:r>
        <w:rPr>
          <w:rFonts w:ascii="Arial" w:cs="Arial" w:eastAsia="Arial" w:hAnsi="Arial"/>
          <w:sz w:val="18"/>
          <w:szCs w:val="18"/>
          <w:color w:val="auto"/>
        </w:rPr>
        <w:t>”) and/or the affected individuals if it has suffered a data breach that meets the notification thresholds prescribed under the PDPA (i.e. the data breach is or is likely to be of significant scale, or has caused or is likely to cause significant harm to the affected individuals). The organization is expected to expeditiously assess the severity of the breach, and the timeline to notify the PDPC is 3 calendar days of the organization assessing that a notification threshold has been met; and</w:t>
      </w:r>
    </w:p>
    <w:p>
      <w:pPr>
        <w:spacing w:after="0" w:line="127" w:lineRule="exact"/>
        <w:rPr>
          <w:rFonts w:ascii="Arial" w:cs="Arial" w:eastAsia="Arial" w:hAnsi="Arial"/>
          <w:sz w:val="18"/>
          <w:szCs w:val="18"/>
          <w:color w:val="auto"/>
        </w:rPr>
      </w:pPr>
    </w:p>
    <w:p>
      <w:pPr>
        <w:ind w:left="1320" w:right="559" w:hanging="434"/>
        <w:spacing w:after="0" w:line="255" w:lineRule="auto"/>
        <w:tabs>
          <w:tab w:leader="none" w:pos="1283"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Data portability obligation </w:t>
      </w:r>
      <w:r>
        <w:rPr>
          <w:rFonts w:ascii="Arial" w:cs="Arial" w:eastAsia="Arial" w:hAnsi="Arial"/>
          <w:sz w:val="18"/>
          <w:szCs w:val="18"/>
          <w:color w:val="auto"/>
        </w:rPr>
        <w:t>— the data portability obligation (which is not yet in force as at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prospectus) grants individuals with an existing direct relationship with an organization the right to request for a copy of their personal data to be transmitted in a commonly used machine-readable format to another organization which has a business presence in Singapore. The exact scope and applicability of this right will be delineated by the relevant regulations and guidelines to be published by the PDPC.</w:t>
      </w:r>
    </w:p>
    <w:p>
      <w:pPr>
        <w:spacing w:after="0" w:line="111"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PDPA creates various offenses in connection with the improper use of personal data, certain methods of collecting personal data and certain failures to comply with the requirements under the PDPA. These offenses may be applicable to organizations, their officers and/or their employees. Offenders are liable on conviction to fines and/or imprisonment. The PDPA empowers the PDPC with significant regulatory powers to ensure compliance with the PDPA, including powers to investigate, give directions and impose a financial penalty of up to SGD 1 million. In addition, the PDPA created a right of private action, pursuant to which the Singapore courts may grant damages, injunctions and relief by way of declaration, to persons who suffer loss or damages directly as a result of contraventions of certain requirements under the PDPA.</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addition to the general data protection obligations imposed under the PDPA, the PDPA also generally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prohibits organizations and individuals from sending direct marketing messages (in the form of voice calls, text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or fax messages) to Singapore telephone numbers, including mobile, fixed-line, residential and business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numbers, registered with the Do Not Call Registry (the “</w:t>
      </w:r>
      <w:r>
        <w:rPr>
          <w:rFonts w:ascii="Arial" w:cs="Arial" w:eastAsia="Arial" w:hAnsi="Arial"/>
          <w:sz w:val="17"/>
          <w:szCs w:val="17"/>
          <w:b w:val="1"/>
          <w:bCs w:val="1"/>
          <w:color w:val="auto"/>
        </w:rPr>
        <w:t>DNC Registry</w:t>
      </w:r>
      <w:r>
        <w:rPr>
          <w:rFonts w:ascii="Arial" w:cs="Arial" w:eastAsia="Arial" w:hAnsi="Arial"/>
          <w:sz w:val="17"/>
          <w:szCs w:val="17"/>
          <w:color w:val="auto"/>
        </w:rPr>
        <w:t>”), as maintained by the PDPC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DNC Obligations</w:t>
      </w:r>
      <w:r>
        <w:rPr>
          <w:rFonts w:ascii="Arial" w:cs="Arial" w:eastAsia="Arial" w:hAnsi="Arial"/>
          <w:sz w:val="16"/>
          <w:szCs w:val="16"/>
          <w:color w:val="auto"/>
        </w:rPr>
        <w:t>”). The DNC Obligations only apply to the sending of “specified messages” as defined in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PDPA, which are marketing messages that offer, promote or advertise goods or services.</w:t>
      </w:r>
    </w:p>
    <w:p>
      <w:pPr>
        <w:spacing w:after="0" w:line="143"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Pursuant to the DNC Obligations, before an organization sends any specified messages to a Singapore telephone number, it must first check whether that Singapore telephone number is listed in the DNC Registry. A failure to check the relevant register is an offense under the PDPA, unless certain exceptions apply.</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Regulations on Labor</w:t>
      </w:r>
    </w:p>
    <w:p>
      <w:pPr>
        <w:spacing w:after="0" w:line="140" w:lineRule="exact"/>
        <w:rPr>
          <w:sz w:val="20"/>
          <w:szCs w:val="20"/>
          <w:color w:val="auto"/>
        </w:rPr>
      </w:pPr>
    </w:p>
    <w:p>
      <w:pPr>
        <w:ind w:left="460" w:right="559" w:firstLine="432"/>
        <w:spacing w:after="0" w:line="289" w:lineRule="auto"/>
        <w:rPr>
          <w:sz w:val="20"/>
          <w:szCs w:val="20"/>
          <w:color w:val="auto"/>
        </w:rPr>
      </w:pPr>
      <w:r>
        <w:rPr>
          <w:rFonts w:ascii="Arial" w:cs="Arial" w:eastAsia="Arial" w:hAnsi="Arial"/>
          <w:sz w:val="16"/>
          <w:szCs w:val="16"/>
          <w:color w:val="auto"/>
        </w:rPr>
        <w:t>The Employment Act 1968 of Singapore (the “</w:t>
      </w:r>
      <w:r>
        <w:rPr>
          <w:rFonts w:ascii="Arial" w:cs="Arial" w:eastAsia="Arial" w:hAnsi="Arial"/>
          <w:sz w:val="16"/>
          <w:szCs w:val="16"/>
          <w:b w:val="1"/>
          <w:bCs w:val="1"/>
          <w:color w:val="auto"/>
        </w:rPr>
        <w:t>Employment Act</w:t>
      </w:r>
      <w:r>
        <w:rPr>
          <w:rFonts w:ascii="Arial" w:cs="Arial" w:eastAsia="Arial" w:hAnsi="Arial"/>
          <w:sz w:val="16"/>
          <w:szCs w:val="16"/>
          <w:color w:val="auto"/>
        </w:rPr>
        <w:t>”) generally extends to all employees, with the exception of certain groups of employees. It provides employees falling within its ambit protections such as minimum notice periods, maximum amount of deductions from wages, minimum holidays, maternity/paternity leave, paid childcare leave, sick leave and etc, and for (a) workmen (as defined in the Employment Act) who receive monthly basic salaries not exceeding S$4,500 and (b) employees (other than workmen or persons employed in a managerial or executive position) who receive monthly basic salaries not exceeding S$2,600, additional protections such as rest days, hours of work and other conditions of service. The Employment Act also applies to employees who are foreigners so long as they fall within the definition of “employee” under the Employment Act. In addition, the employment of foreign manpower in Singapore is also governed by the Employment of Foreign Manpower Act 1990 of Singapore.</w:t>
      </w:r>
    </w:p>
    <w:p>
      <w:pPr>
        <w:spacing w:after="0" w:line="97"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Aside from minimum benefits in respect of the aforesaid terms of employment in the Employment Act, employees in Singapore are entitled to contributions to the central provident fund by the employer as prescribed under the Central Provident Fund Act 1953 of Singapore. The specific contribution rate to be made by employers varies depending on whether the employee is a Singapore citizen or permanent resident in the private or public sector and the age group and wage band of the employee. Generally, for employees who are Singapore citizens in the private sector or non-pensionable employees in the public sector, 55 years old or below and that earn more than or equal to SGD750 a month, the employer’s contribution rate is 17% of the employee’s wages.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3" w:name="page84"/>
    <w:bookmarkEnd w:id="8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Regulations on COVID-19</w:t>
      </w:r>
    </w:p>
    <w:p>
      <w:pPr>
        <w:spacing w:after="0" w:line="14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COVID-19 (Temporary Measures) Act 2020 (No. 14 of 2020) of Singapore (“</w:t>
      </w:r>
      <w:r>
        <w:rPr>
          <w:rFonts w:ascii="Arial" w:cs="Arial" w:eastAsia="Arial" w:hAnsi="Arial"/>
          <w:sz w:val="17"/>
          <w:szCs w:val="17"/>
          <w:b w:val="1"/>
          <w:bCs w:val="1"/>
          <w:color w:val="auto"/>
        </w:rPr>
        <w:t>COVID-19 Act</w:t>
      </w:r>
      <w:r>
        <w:rPr>
          <w:rFonts w:ascii="Arial" w:cs="Arial" w:eastAsia="Arial" w:hAnsi="Arial"/>
          <w:sz w:val="17"/>
          <w:szCs w:val="17"/>
          <w:color w:val="auto"/>
        </w:rPr>
        <w:t>”) came into effect in Singapore on April 7, 2020. Under the COVID-19 Act, the Minister of Health may make regulations and make control orders for the purpose of preventing, protecting against, delaying or otherwise controlling the incidence or transmission of COVID-19 in Singapore. Control orders may make provisions including among others the following: (i) requiring people or certain people to stay at or in, and not leave, a specified place (whether or not a place of accommodation); (ii) restricting movement of or contact between people, including prohibiting or limiting group activities or other activities of people within the specified place in paragraph (i), restricting the use of any facilities at that place and limiting movement to and from that place, whether by time or location; (iii) requiring closing or limiting access to any premises or facility at a specified time, in a specified manner or to a specified extent, in relation to any premises or facility used to carry out any business, undertaking or work; (iv) restricting the time, manner or extent for the carrying out of any business, undertaking or work, including prescribing restrictions on the maximum number of people, opening hours or facilities provided, for the carrying on of the business, undertaking or work.</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Directors and Executive Officers</w:t>
      </w:r>
    </w:p>
    <w:p>
      <w:pPr>
        <w:spacing w:after="0" w:line="148"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prospectus.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Directors and Executive Officers</w:t>
            </w: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18"/>
                <w:szCs w:val="18"/>
                <w:color w:val="auto"/>
              </w:rPr>
            </w:pPr>
          </w:p>
        </w:tc>
        <w:tc>
          <w:tcPr>
            <w:tcW w:w="4800" w:type="dxa"/>
            <w:vAlign w:val="bottom"/>
          </w:tcPr>
          <w:p>
            <w:pPr>
              <w:ind w:left="1940"/>
              <w:spacing w:after="0"/>
              <w:rPr>
                <w:sz w:val="20"/>
                <w:szCs w:val="20"/>
                <w:color w:val="auto"/>
              </w:rPr>
            </w:pPr>
            <w:r>
              <w:rPr>
                <w:rFonts w:ascii="Arial" w:cs="Arial" w:eastAsia="Arial" w:hAnsi="Arial"/>
                <w:sz w:val="16"/>
                <w:szCs w:val="16"/>
                <w:b w:val="1"/>
                <w:bCs w:val="1"/>
                <w:color w:val="auto"/>
              </w:rPr>
              <w:t>Position/Title</w:t>
            </w: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Soon Huat Lim</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Founder, Chairman and Chief Executive Officer</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Haiyan Huang</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Poh Kiong Tan*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Technology Officer and Director nominee</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How Teck Lim*</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Independent director nominee</w:t>
            </w:r>
          </w:p>
        </w:tc>
      </w:tr>
      <w:tr>
        <w:trPr>
          <w:trHeight w:val="41"/>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Noi Keng Koh*</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Independent director nominee</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Chwee Koh Chua*</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Independent director nominee</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539" w:hanging="426"/>
        <w:spacing w:after="0" w:line="293" w:lineRule="auto"/>
        <w:tabs>
          <w:tab w:leader="none" w:pos="853"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individual has accepted our appointment to be a director of our company, effective upon the SEC’s declaration of effectiveness of our registration statement on Form F-1, of which this prospectus is a part.</w:t>
      </w:r>
    </w:p>
    <w:p>
      <w:pPr>
        <w:spacing w:after="0" w:line="100"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i w:val="1"/>
          <w:iCs w:val="1"/>
          <w:color w:val="auto"/>
        </w:rPr>
        <w:t xml:space="preserve">Mr. Soon Huat Lim </w:t>
      </w:r>
      <w:r>
        <w:rPr>
          <w:rFonts w:ascii="Arial" w:cs="Arial" w:eastAsia="Arial" w:hAnsi="Arial"/>
          <w:sz w:val="16"/>
          <w:szCs w:val="16"/>
          <w:color w:val="auto"/>
        </w:rPr>
        <w:t>is our founder, and has served as the chairman of the board of directors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the Company since its inception. Mr. Lim has over 30 years of management experience and combined expertise in sales, supply chain, retail and services, tourism, entertainment and media, e-commerce, and technology industries. Since May 2022, Mr. Lim has served as a director of our operative subsidiary, Trident Singapore. Meanwhile, since 2021, Mr. Lim has served as a director of Trident Foodtech Pte Ltd, a company primarily engaged in the wholesale of fruits and vegetables and the retail sale of beverages, and Trident V Tech Pte Ltd, a resale company in Singapore. Since February 2021, Mr. Lim has also been a director and chief executive officer of Asia Bird’s Nest Corporation Pte Ltd, a lifestyle consumer goods company in Singapore. In addition, Mr. Lim has been appointed as a director of E-mobility Solutions Pte Ltd, a company primarily engaged in tourism and public transportation business in Singapore, since September 2018.</w:t>
      </w:r>
    </w:p>
    <w:p>
      <w:pPr>
        <w:spacing w:after="0" w:line="101"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i w:val="1"/>
          <w:iCs w:val="1"/>
          <w:color w:val="auto"/>
        </w:rPr>
        <w:t xml:space="preserve">Ms. Haiyan Huang </w:t>
      </w:r>
      <w:r>
        <w:rPr>
          <w:rFonts w:ascii="Arial" w:cs="Arial" w:eastAsia="Arial" w:hAnsi="Arial"/>
          <w:sz w:val="16"/>
          <w:szCs w:val="16"/>
          <w:color w:val="auto"/>
        </w:rPr>
        <w:t>has served as our chief financial officer since the Company’s inception. Ms. Huang</w:t>
      </w:r>
      <w:r>
        <w:rPr>
          <w:rFonts w:ascii="Arial" w:cs="Arial" w:eastAsia="Arial" w:hAnsi="Arial"/>
          <w:sz w:val="16"/>
          <w:szCs w:val="16"/>
          <w:i w:val="1"/>
          <w:iCs w:val="1"/>
          <w:color w:val="auto"/>
        </w:rPr>
        <w:t xml:space="preserve"> </w:t>
      </w:r>
      <w:r>
        <w:rPr>
          <w:rFonts w:ascii="Arial" w:cs="Arial" w:eastAsia="Arial" w:hAnsi="Arial"/>
          <w:sz w:val="16"/>
          <w:szCs w:val="16"/>
          <w:color w:val="auto"/>
        </w:rPr>
        <w:t>has more than 20 years of experience in the financial sector. From June 2018 to October 2021, Ms. Huang first served as the chief financial officer of Zengame Technology Holding Limited (HKSE: 2660), an established mobile game developer and operator in the People’s Republic of China with special focus on card and board and other casual mobile games, and then as its consultant until May 2022. From September 2015 to May 2016, Ms. Huang served as a financial controller in Shenzhen TimeLink Technology Co., Ltd (NEEQ: 834974), a company primarily engaged in man-machine interaction and human-computer interface research and development, where Ms. Huang was primarily responsible for the administrative matters of the financial department. Ms. Huang was admitted as a Chartered Global Management Accountant by the Chartered Institute of Management Accountants in May 2017. Ms. Huang received her bachelor’s degree in finance and taxation from Sun Yat-sen University in the People’s Republic of China in 2001.</w:t>
      </w:r>
    </w:p>
    <w:p>
      <w:pPr>
        <w:spacing w:after="0" w:line="91"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i w:val="1"/>
          <w:iCs w:val="1"/>
          <w:color w:val="auto"/>
        </w:rPr>
        <w:t xml:space="preserve">Mr. Poh Kiong Tan </w:t>
      </w:r>
      <w:r>
        <w:rPr>
          <w:rFonts w:ascii="Arial" w:cs="Arial" w:eastAsia="Arial" w:hAnsi="Arial"/>
          <w:sz w:val="16"/>
          <w:szCs w:val="16"/>
          <w:color w:val="auto"/>
        </w:rPr>
        <w:t>has served as our chief technology officer since the Company’s inception and is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nominee. Mr. Tan has more than 9 years of experience in the software industry. Mr. Tan has served as a director and chief executive officer of QZT since 2014. Since January 2014, Mr. Tan has served as a director in S-Cube Pte. Ltd, a Singapore company primarily engaged in development of computer software and provision of technical and management consultancy services, where Mr. Tan was mainly responsible for operations management, quality assurance and software development. Mr. Tan received his bachelor’s degree in business information systems and cyber forensics from Murdoch University in Australia in 2014.</w:t>
      </w:r>
    </w:p>
    <w:p>
      <w:pPr>
        <w:spacing w:after="0" w:line="99"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i w:val="1"/>
          <w:iCs w:val="1"/>
          <w:color w:val="auto"/>
        </w:rPr>
        <w:t xml:space="preserve">Mr. How Teck Lim </w:t>
      </w:r>
      <w:r>
        <w:rPr>
          <w:rFonts w:ascii="Arial" w:cs="Arial" w:eastAsia="Arial" w:hAnsi="Arial"/>
          <w:sz w:val="17"/>
          <w:szCs w:val="17"/>
          <w:color w:val="auto"/>
        </w:rPr>
        <w:t>is an independent director nominee. Mr. Lim has extensive board,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mergers and acquisitions, and operating experience. Mr. Lim is currently an independent non-executive director and the chairman of audit committee of Raffles Education Limited (SGX: NR7), an independent director of Aetherium Acquisition Corp (NASDAQ: GMFI, GMFIU, GMFIW) and the chairman of Redwood International Pte. Ltd. (an investment and consultancy company). Mr. Lim has also acted as the chairman of Heliconia Capital Management Pte. Ltd., a Temasek Holdings wholly-owned private equity investment firm that invests in growth-oriented companies in Asia (2011 – 2022) and NauticAwt Limited (SGX:42D)(2015 – 2021), and the director of a number of listed and private companies. Mr. Lim has in-depth knowledge of the shipping industry, having been with the Neptune Orient Lines Group (“NOL”) from 1979 to 2005, where he held various positions from Executive Director, Group CFO, Group COO, and Group Deputy CEO. Mr. Lim is a Fellow of the Chartered Institute of Management</w:t>
      </w:r>
    </w:p>
    <w:p>
      <w:pPr>
        <w:sectPr>
          <w:pgSz w:w="11900" w:h="16838" w:orient="portrait"/>
          <w:cols w:equalWidth="0" w:num="1">
            <w:col w:w="9019"/>
          </w:cols>
          <w:pgMar w:left="1440" w:top="274"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5" w:name="page86"/>
    <w:bookmarkEnd w:id="8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79"/>
        <w:spacing w:after="0" w:line="259" w:lineRule="auto"/>
        <w:rPr>
          <w:sz w:val="20"/>
          <w:szCs w:val="20"/>
          <w:color w:val="auto"/>
        </w:rPr>
      </w:pPr>
      <w:r>
        <w:rPr>
          <w:rFonts w:ascii="Arial" w:cs="Arial" w:eastAsia="Arial" w:hAnsi="Arial"/>
          <w:sz w:val="18"/>
          <w:szCs w:val="18"/>
          <w:color w:val="auto"/>
        </w:rPr>
        <w:t>Accountants of UK (FCMA), a Fellow of the Certified Public Accountants of Australia (FCPA Aust), a Fellow of the Institute of Certified Public Accountants of Singapore (FCPA ICPAS), and a Fellow of the Singapore Institute of Directors (FSID). Mr. Lim received his bachelor’s degree in accountancy from the University of Singapore in 1975.</w:t>
      </w:r>
    </w:p>
    <w:p>
      <w:pPr>
        <w:spacing w:after="0" w:line="119"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i w:val="1"/>
          <w:iCs w:val="1"/>
          <w:color w:val="auto"/>
        </w:rPr>
        <w:t xml:space="preserve">Dr. Noi Keng Koh </w:t>
      </w:r>
      <w:r>
        <w:rPr>
          <w:rFonts w:ascii="Arial" w:cs="Arial" w:eastAsia="Arial" w:hAnsi="Arial"/>
          <w:sz w:val="16"/>
          <w:szCs w:val="16"/>
          <w:color w:val="auto"/>
        </w:rPr>
        <w:t>is an independent director nominee. Dr. Koh has extensive experience in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education. Dr. Koh is the founder and CEO of Fintech Academy in Singapore, which spearheads talent development programs and certifications for fintech, in collaboration with universities. Dr. Koh has acted as an independent director of MC Payment Limited, a former Singapore-listed company. Dr. Koh has also acted as the chair of the Centre for Financial Literacy at the National Institute Education, Nanyang Technological University for a decade. Dr. Koh received her bachelor’s degree in business administration from the National University of Singapore in 1982, and her PhD degree in learning environment from Curtin University of Technology in 2008.</w:t>
      </w:r>
    </w:p>
    <w:p>
      <w:pPr>
        <w:spacing w:after="0" w:line="99" w:lineRule="exact"/>
        <w:rPr>
          <w:sz w:val="20"/>
          <w:szCs w:val="20"/>
          <w:color w:val="auto"/>
        </w:rPr>
      </w:pPr>
    </w:p>
    <w:p>
      <w:pPr>
        <w:ind w:left="460" w:right="579" w:firstLine="432"/>
        <w:spacing w:after="0" w:line="287" w:lineRule="auto"/>
        <w:rPr>
          <w:sz w:val="20"/>
          <w:szCs w:val="20"/>
          <w:color w:val="auto"/>
        </w:rPr>
      </w:pPr>
      <w:r>
        <w:rPr>
          <w:rFonts w:ascii="Arial" w:cs="Arial" w:eastAsia="Arial" w:hAnsi="Arial"/>
          <w:sz w:val="16"/>
          <w:szCs w:val="16"/>
          <w:i w:val="1"/>
          <w:iCs w:val="1"/>
          <w:color w:val="auto"/>
        </w:rPr>
        <w:t xml:space="preserve">Mr. Chwee Koh Chua </w:t>
      </w:r>
      <w:r>
        <w:rPr>
          <w:rFonts w:ascii="Arial" w:cs="Arial" w:eastAsia="Arial" w:hAnsi="Arial"/>
          <w:sz w:val="16"/>
          <w:szCs w:val="16"/>
          <w:color w:val="auto"/>
        </w:rPr>
        <w:t>is an independent director nominee. Mr. Chua brings with him a wealth of</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 operating business and in the security business. Mr. Chua is currently an independent non-executive director of Raffles Education Limited (SGX: NR7) and Addvalue Technologies Limited (SGX:A31). Mr. Chua is also a member of audit committee of Dementia Singapore (a charity), and a council member at the RHT G.R.A.C.E. Institute (a social enterprise that promotes ethical leadership). Since joining Certis CISCO Security Pte Ltd (“Certis”) in 2004, Mr. Chua has served as the chief operating officer from 2004 to 2018 and played a key role in integrating operations and technology in the security business, and further served as the Chief of Group Technology and Operations at Certis from May 2018 to July 2021, leading its digital transformation. Prior to joining Certis, Mr. Chua served 22 years in the Singapore Armed Forces and retired with the rank of Brigadier General. Mr. Chua received his bachelor’s degree in mechanical engineering and economics with first class honors from University of Birmingham in the United Kingdom in 1985, and his master’s degree in public administration from Harvard University in 1998.</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w:t>
      </w:r>
    </w:p>
    <w:p>
      <w:pPr>
        <w:spacing w:after="0" w:line="148"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Our board of directors will consist of five directors upon the SEC’s declaration of effectiveness of our registration statement on Form F-1, of which this prospectus is a part. A director is not required to hold any shares in our company to qualify to serve as a director. A director may vote with respect to any contract, proposed contract or arrangement notwithstanding that he may be interested therein, and if he does so his vote shall be counted and he may be counted in the quorum at any meeting of our directors at which any such contract or proposed contract or arrangement is considered, provided (i) such director, if the director’s interest (whether direct or indirect) in such contract or arrangement is material, has declared the nature of his or her interest at the earliest meeting of the board at which it is practicable for such director to do so, either specifically or by way of a general notice and (ii) if such contract or arrangement is a transaction with a related party, such transaction has been approved by the audit committee. The directors may exercise all the powers of the company to borrow money, to mortgage or charge its undertaking, property and uncalled capital, and to issue debentures or other securities whenever money is borrowed or as security for any debt, liability or obligation of the company or of any third party. None of our non-executive directors has a service contract with us that provides for benefits upon termination of service.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62"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Our board of directors consists of three committees, namely the audit committee, the compensation committee, and the nominating and corporate governance committee. We have adopted a charter for each of the three committees. The members and functions of these committees are described as below:</w:t>
      </w:r>
    </w:p>
    <w:p>
      <w:pPr>
        <w:spacing w:after="0" w:line="98" w:lineRule="exact"/>
        <w:rPr>
          <w:sz w:val="20"/>
          <w:szCs w:val="20"/>
          <w:color w:val="auto"/>
        </w:rPr>
      </w:pPr>
    </w:p>
    <w:p>
      <w:pPr>
        <w:ind w:left="460" w:right="619" w:firstLine="432"/>
        <w:spacing w:after="0" w:line="272"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Our audit committee will initially consist of three directors, namely How Teck Lim,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Noi Keng Koh and Chwee Koh Chua. How Teck Lim will be the chairman of our audit committee. Each of those three directors satisfies the “independence” requirements under Rule 5605(c)(2) of the Listing Rules of the Nasdaq Stock Market meets the independence standards under Rule 10A-3 under the Exchange Act. We have determined that How Teck Lim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96" w:lineRule="exact"/>
        <w:rPr>
          <w:sz w:val="20"/>
          <w:szCs w:val="20"/>
          <w:color w:val="auto"/>
        </w:rPr>
      </w:pPr>
    </w:p>
    <w:p>
      <w:pPr>
        <w:ind w:left="1320" w:right="599" w:hanging="434"/>
        <w:spacing w:after="0" w:line="277" w:lineRule="auto"/>
        <w:tabs>
          <w:tab w:leader="none" w:pos="13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Selecting and appointing the independent auditors and pre-approving all auditing and non-auditing services permitted to be performed by such independent auditors;</w:t>
      </w:r>
    </w:p>
    <w:p>
      <w:pPr>
        <w:spacing w:after="0" w:line="102" w:lineRule="exact"/>
        <w:rPr>
          <w:rFonts w:ascii="Arial" w:cs="Arial" w:eastAsia="Arial" w:hAnsi="Arial"/>
          <w:sz w:val="18"/>
          <w:szCs w:val="18"/>
          <w:color w:val="auto"/>
        </w:rPr>
      </w:pPr>
    </w:p>
    <w:p>
      <w:pPr>
        <w:ind w:left="1320" w:right="979" w:hanging="434"/>
        <w:spacing w:after="0" w:line="277" w:lineRule="auto"/>
        <w:tabs>
          <w:tab w:leader="none" w:pos="13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with the independent auditors any audit problems or difficulties and management’s response;</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6" w:name="page87"/>
    <w:bookmarkEnd w:id="8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discussing the annual audited financial statements with management and the independent auditors;</w:t>
      </w:r>
    </w:p>
    <w:p>
      <w:pPr>
        <w:spacing w:after="0" w:line="180" w:lineRule="exact"/>
        <w:rPr>
          <w:rFonts w:ascii="Arial" w:cs="Arial" w:eastAsia="Arial" w:hAnsi="Arial"/>
          <w:sz w:val="16"/>
          <w:szCs w:val="16"/>
          <w:color w:val="auto"/>
        </w:rPr>
      </w:pPr>
    </w:p>
    <w:p>
      <w:pPr>
        <w:ind w:left="1320" w:right="1039" w:hanging="434"/>
        <w:spacing w:after="0" w:line="342" w:lineRule="auto"/>
        <w:tabs>
          <w:tab w:leader="none" w:pos="1315"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reviewing the adequacy and effectiveness of our accounting and internal control policies and procedures and any steps taken to monitor and control major financial risk exposures;</w:t>
      </w:r>
    </w:p>
    <w:p>
      <w:pPr>
        <w:spacing w:after="0" w:line="42" w:lineRule="exact"/>
        <w:rPr>
          <w:rFonts w:ascii="Arial" w:cs="Arial" w:eastAsia="Arial" w:hAnsi="Arial"/>
          <w:sz w:val="16"/>
          <w:szCs w:val="16"/>
          <w:color w:val="auto"/>
        </w:rPr>
      </w:pPr>
    </w:p>
    <w:p>
      <w:pPr>
        <w:ind w:left="1320" w:hanging="434"/>
        <w:spacing w:after="0"/>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our independent auditors;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reporting regularly to the full board of directors;</w:t>
      </w:r>
    </w:p>
    <w:p>
      <w:pPr>
        <w:spacing w:after="0" w:line="157" w:lineRule="exact"/>
        <w:rPr>
          <w:rFonts w:ascii="Arial" w:cs="Arial" w:eastAsia="Arial" w:hAnsi="Arial"/>
          <w:sz w:val="18"/>
          <w:szCs w:val="18"/>
          <w:color w:val="auto"/>
        </w:rPr>
      </w:pPr>
    </w:p>
    <w:p>
      <w:pPr>
        <w:ind w:left="1320" w:right="959" w:hanging="434"/>
        <w:spacing w:after="0" w:line="308" w:lineRule="auto"/>
        <w:tabs>
          <w:tab w:leader="none" w:pos="1315" w:val="left"/>
        </w:tabs>
        <w:numPr>
          <w:ilvl w:val="0"/>
          <w:numId w:val="53"/>
        </w:numPr>
        <w:rPr>
          <w:rFonts w:ascii="Arial" w:cs="Arial" w:eastAsia="Arial" w:hAnsi="Arial"/>
          <w:sz w:val="17"/>
          <w:szCs w:val="17"/>
          <w:color w:val="auto"/>
        </w:rPr>
      </w:pPr>
      <w:r>
        <w:rPr>
          <w:rFonts w:ascii="Arial" w:cs="Arial" w:eastAsia="Arial" w:hAnsi="Arial"/>
          <w:sz w:val="17"/>
          <w:szCs w:val="17"/>
          <w:color w:val="auto"/>
        </w:rPr>
        <w:t>monitoring compliance with our code of business conduct and ethics, including reviewing the adequacy and effectiveness of our procedures to ensure proper compliance; and</w:t>
      </w:r>
    </w:p>
    <w:p>
      <w:pPr>
        <w:spacing w:after="0" w:line="65" w:lineRule="exact"/>
        <w:rPr>
          <w:rFonts w:ascii="Arial" w:cs="Arial" w:eastAsia="Arial" w:hAnsi="Arial"/>
          <w:sz w:val="17"/>
          <w:szCs w:val="17"/>
          <w:color w:val="auto"/>
        </w:rPr>
      </w:pPr>
    </w:p>
    <w:p>
      <w:pPr>
        <w:ind w:left="1320" w:right="739" w:hanging="434"/>
        <w:spacing w:after="0" w:line="277" w:lineRule="auto"/>
        <w:tabs>
          <w:tab w:leader="none" w:pos="13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matters that are specifically assigned to our audit committee by our board of directors from time to time.</w:t>
      </w:r>
    </w:p>
    <w:p>
      <w:pPr>
        <w:spacing w:after="0" w:line="103"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Our compensation committee will initially consist of three members, namely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Noi Keng Koh, How Teck Lim and Chwee Koh Chua. Noi Keng Koh will be the chairwoman of our compensation committee. Each of those three directors satisfies the “independence” requirements of</w:t>
      </w:r>
    </w:p>
    <w:p>
      <w:pPr>
        <w:ind w:left="460" w:right="539"/>
        <w:spacing w:after="0" w:line="270" w:lineRule="auto"/>
        <w:rPr>
          <w:sz w:val="20"/>
          <w:szCs w:val="20"/>
          <w:color w:val="auto"/>
        </w:rPr>
      </w:pPr>
      <w:r>
        <w:rPr>
          <w:rFonts w:ascii="Arial" w:cs="Arial" w:eastAsia="Arial" w:hAnsi="Arial"/>
          <w:sz w:val="17"/>
          <w:szCs w:val="17"/>
          <w:color w:val="auto"/>
        </w:rPr>
        <w:t>Rule 5605(a)(2) of the Listing Rules of the Nasdaq Stock Market. Our compensation committee assists the board in reviewing and approving the compensation structure of our directors and executive officers, including all forms of compensation to be provided to our directors and executive officers. Members of the compensation committee are not prohibited from direct involvement in determining their own compensation. Our chief executive officer may not be present at any committee meeting during which his compensation is deliberated. The compensation committee is responsible for, among other things:</w:t>
      </w:r>
    </w:p>
    <w:p>
      <w:pPr>
        <w:spacing w:after="0" w:line="111" w:lineRule="exact"/>
        <w:rPr>
          <w:sz w:val="20"/>
          <w:szCs w:val="20"/>
          <w:color w:val="auto"/>
        </w:rPr>
      </w:pPr>
    </w:p>
    <w:p>
      <w:pPr>
        <w:ind w:left="1320" w:right="919" w:hanging="434"/>
        <w:spacing w:after="0" w:line="277" w:lineRule="auto"/>
        <w:tabs>
          <w:tab w:leader="none" w:pos="13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and approving to the board with respect to the compensation for our chief executive officer and other executive officers;</w:t>
      </w:r>
    </w:p>
    <w:p>
      <w:pPr>
        <w:spacing w:after="0" w:line="89" w:lineRule="exact"/>
        <w:rPr>
          <w:rFonts w:ascii="Arial" w:cs="Arial" w:eastAsia="Arial" w:hAnsi="Arial"/>
          <w:sz w:val="18"/>
          <w:szCs w:val="18"/>
          <w:color w:val="auto"/>
        </w:rPr>
      </w:pPr>
    </w:p>
    <w:p>
      <w:pPr>
        <w:ind w:left="1320" w:right="759" w:hanging="434"/>
        <w:spacing w:after="0" w:line="277" w:lineRule="auto"/>
        <w:tabs>
          <w:tab w:leader="none" w:pos="13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approving and overseeing the total compensation package for our executives other than the most senior executive officers;</w:t>
      </w:r>
    </w:p>
    <w:p>
      <w:pPr>
        <w:spacing w:after="0" w:line="102" w:lineRule="exact"/>
        <w:rPr>
          <w:rFonts w:ascii="Arial" w:cs="Arial" w:eastAsia="Arial" w:hAnsi="Arial"/>
          <w:sz w:val="18"/>
          <w:szCs w:val="18"/>
          <w:color w:val="auto"/>
        </w:rPr>
      </w:pPr>
    </w:p>
    <w:p>
      <w:pPr>
        <w:ind w:left="1320" w:right="679" w:hanging="434"/>
        <w:spacing w:after="0" w:line="277" w:lineRule="auto"/>
        <w:tabs>
          <w:tab w:leader="none" w:pos="13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and recommending to the board with respect to the compensation of our non-employee directors; and</w:t>
      </w:r>
    </w:p>
    <w:p>
      <w:pPr>
        <w:spacing w:after="0" w:line="102" w:lineRule="exact"/>
        <w:rPr>
          <w:rFonts w:ascii="Arial" w:cs="Arial" w:eastAsia="Arial" w:hAnsi="Arial"/>
          <w:sz w:val="18"/>
          <w:szCs w:val="18"/>
          <w:color w:val="auto"/>
        </w:rPr>
      </w:pPr>
    </w:p>
    <w:p>
      <w:pPr>
        <w:ind w:left="1320" w:right="579" w:hanging="434"/>
        <w:spacing w:after="0" w:line="263" w:lineRule="auto"/>
        <w:tabs>
          <w:tab w:leader="none" w:pos="13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periodically and approving any long-term incentive compensation or equity plans, programs or arrangements of similar nature such as annual bonuses, employee pension and welfare benefit plans.</w:t>
      </w:r>
    </w:p>
    <w:p>
      <w:pPr>
        <w:spacing w:after="0" w:line="103"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b w:val="1"/>
          <w:bCs w:val="1"/>
          <w:i w:val="1"/>
          <w:iCs w:val="1"/>
          <w:color w:val="auto"/>
        </w:rPr>
        <w:t xml:space="preserve">Nominating and corporate governance committee. </w:t>
      </w:r>
      <w:r>
        <w:rPr>
          <w:rFonts w:ascii="Arial" w:cs="Arial" w:eastAsia="Arial" w:hAnsi="Arial"/>
          <w:sz w:val="17"/>
          <w:szCs w:val="17"/>
          <w:color w:val="auto"/>
        </w:rPr>
        <w:t>Our nominating and corporate governance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will initially consist of three directors, namely, Chwee Koh Chua, How Teck Lim and Noi Keng Koh. Chwee Koh Chua will be the chairman of our nominating and corporate governance committee. Each of those three directors satisfies the “independence” requirements under Rule 5605(a)(2) of the Listing Rules of the Nasdaq Stock Market and meets the independence standards under Rule 10A-3 under the Exchange Act. The compensation committee assists the board of directors in reviewing and approving the compensation structure, including all forms of compensation, relating to our directors and executive officers. Our executive officers may not be present at any committee meeting during which their compensation is deliberated upon. The compensation committee is responsible for, among other things:</w:t>
      </w:r>
    </w:p>
    <w:p>
      <w:pPr>
        <w:spacing w:after="0" w:line="73" w:lineRule="exact"/>
        <w:rPr>
          <w:sz w:val="20"/>
          <w:szCs w:val="20"/>
          <w:color w:val="auto"/>
        </w:rPr>
      </w:pPr>
    </w:p>
    <w:p>
      <w:pPr>
        <w:ind w:left="1320" w:right="819" w:hanging="434"/>
        <w:spacing w:after="0" w:line="277" w:lineRule="auto"/>
        <w:tabs>
          <w:tab w:leader="none" w:pos="13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identifying and recommending nominees for election by the shareholders or appointment by the board of directors;</w:t>
      </w:r>
    </w:p>
    <w:p>
      <w:pPr>
        <w:spacing w:after="0" w:line="62" w:lineRule="exact"/>
        <w:rPr>
          <w:rFonts w:ascii="Arial" w:cs="Arial" w:eastAsia="Arial" w:hAnsi="Arial"/>
          <w:sz w:val="18"/>
          <w:szCs w:val="18"/>
          <w:color w:val="auto"/>
        </w:rPr>
      </w:pPr>
    </w:p>
    <w:p>
      <w:pPr>
        <w:ind w:left="1320" w:right="579" w:hanging="434"/>
        <w:spacing w:after="0" w:line="263" w:lineRule="auto"/>
        <w:tabs>
          <w:tab w:leader="none" w:pos="13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annually with the board of directors about its current composition with regards to characteristics such as independence, age, skills, experience, diversity and availability of service to us;</w:t>
      </w:r>
    </w:p>
    <w:p>
      <w:pPr>
        <w:spacing w:after="0" w:line="75" w:lineRule="exact"/>
        <w:rPr>
          <w:rFonts w:ascii="Arial" w:cs="Arial" w:eastAsia="Arial" w:hAnsi="Arial"/>
          <w:sz w:val="18"/>
          <w:szCs w:val="18"/>
          <w:color w:val="auto"/>
        </w:rPr>
      </w:pPr>
    </w:p>
    <w:p>
      <w:pPr>
        <w:ind w:left="1320" w:right="519" w:hanging="434"/>
        <w:spacing w:after="0" w:line="277" w:lineRule="auto"/>
        <w:tabs>
          <w:tab w:leader="none" w:pos="13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advising the board of directors on the frequency and structure of board meetings and monitoring the functioning of the committees of the board; and</w:t>
      </w:r>
    </w:p>
    <w:p>
      <w:pPr>
        <w:spacing w:after="0" w:line="62" w:lineRule="exact"/>
        <w:rPr>
          <w:rFonts w:ascii="Arial" w:cs="Arial" w:eastAsia="Arial" w:hAnsi="Arial"/>
          <w:sz w:val="18"/>
          <w:szCs w:val="18"/>
          <w:color w:val="auto"/>
        </w:rPr>
      </w:pPr>
    </w:p>
    <w:p>
      <w:pPr>
        <w:ind w:left="1320" w:right="639" w:hanging="434"/>
        <w:spacing w:after="0" w:line="259" w:lineRule="auto"/>
        <w:tabs>
          <w:tab w:leader="none" w:pos="13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advising the board periodically with regards to significant developments in the law and practice of corporate governance as well as monitoring our compliance with applicable laws and regulations, and making recommendations to the board on all matters of corporate governance and on any remedial action to be taken.</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7" w:name="page88"/>
    <w:bookmarkEnd w:id="8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Duties of Directors</w:t>
      </w:r>
    </w:p>
    <w:p>
      <w:pPr>
        <w:spacing w:after="0" w:line="148"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Under Cayman Islands law, our directors owe fiduciary duties to the company,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limited exceptional circumstances have the right to seek damages in our name if a duty owed by the directors is breached.</w:t>
      </w:r>
    </w:p>
    <w:p>
      <w:pPr>
        <w:spacing w:after="0" w:line="105" w:lineRule="exact"/>
        <w:rPr>
          <w:sz w:val="20"/>
          <w:szCs w:val="20"/>
          <w:color w:val="auto"/>
        </w:rPr>
      </w:pPr>
    </w:p>
    <w:p>
      <w:pPr>
        <w:ind w:left="460" w:right="639" w:firstLine="432"/>
        <w:spacing w:after="0" w:line="342" w:lineRule="auto"/>
        <w:rPr>
          <w:sz w:val="20"/>
          <w:szCs w:val="20"/>
          <w:color w:val="auto"/>
        </w:rPr>
      </w:pPr>
      <w:r>
        <w:rPr>
          <w:rFonts w:ascii="Arial" w:cs="Arial" w:eastAsia="Arial" w:hAnsi="Arial"/>
          <w:sz w:val="16"/>
          <w:szCs w:val="16"/>
          <w:color w:val="auto"/>
        </w:rPr>
        <w:t>Our board of directors has all the powers necessary for managing, and for directing and supervising, our business affairs. The functions and powers of our board of directors include, among others:</w:t>
      </w:r>
    </w:p>
    <w:p>
      <w:pPr>
        <w:spacing w:after="0" w:line="29" w:lineRule="exact"/>
        <w:rPr>
          <w:sz w:val="20"/>
          <w:szCs w:val="20"/>
          <w:color w:val="auto"/>
        </w:rPr>
      </w:pPr>
    </w:p>
    <w:p>
      <w:pPr>
        <w:ind w:left="1320" w:right="999" w:hanging="434"/>
        <w:spacing w:after="0" w:line="277" w:lineRule="auto"/>
        <w:tabs>
          <w:tab w:leader="none" w:pos="13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convening shareholders’ annual and extraordinary general meetings and reporting its work to shareholders at such meetings;</w:t>
      </w:r>
    </w:p>
    <w:p>
      <w:pPr>
        <w:spacing w:after="0" w:line="75" w:lineRule="exact"/>
        <w:rPr>
          <w:rFonts w:ascii="Arial" w:cs="Arial" w:eastAsia="Arial" w:hAnsi="Arial"/>
          <w:sz w:val="18"/>
          <w:szCs w:val="18"/>
          <w:color w:val="auto"/>
        </w:rPr>
      </w:pPr>
    </w:p>
    <w:p>
      <w:pPr>
        <w:ind w:left="1320" w:hanging="434"/>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and responsibilities of the officers;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exercising the borrowing powers of our company and mortgaging the property of our company; and</w:t>
      </w:r>
    </w:p>
    <w:p>
      <w:pPr>
        <w:spacing w:after="0" w:line="153" w:lineRule="exact"/>
        <w:rPr>
          <w:rFonts w:ascii="Arial" w:cs="Arial" w:eastAsia="Arial" w:hAnsi="Arial"/>
          <w:sz w:val="16"/>
          <w:szCs w:val="16"/>
          <w:color w:val="auto"/>
        </w:rPr>
      </w:pPr>
    </w:p>
    <w:p>
      <w:pPr>
        <w:ind w:left="1320" w:right="839" w:hanging="434"/>
        <w:spacing w:after="0" w:line="277" w:lineRule="auto"/>
        <w:tabs>
          <w:tab w:leader="none" w:pos="13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approving the transfer of shares in our company, including the registration of such shares in our register of members.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Oversight of Cybersecurity Risks</w:t>
      </w:r>
    </w:p>
    <w:p>
      <w:pPr>
        <w:spacing w:after="0" w:line="162"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Our board of directors plays an active role in monitoring cybersecurity risks, including in connection with data protection, and is committed to the prevention, timely detection, and mitigation of the effects of any such incidents on our operations. In addition to regular reports from each of the board’s committees, the board receives regular reports from our management, including our chief technology officer, on material cybersecurity risks and the degree of our exposure to those risks, from cyber-attacks to infrastructure vulnerabilities, including the risk of data breach. While the board oversees our cybersecurity risk management, management is responsible for day-to-day risk management processes. We believe this division of responsibilities is the most effective approach for addressing our cybersecurity risks.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Terms of Directors and Officers</w:t>
      </w:r>
    </w:p>
    <w:p>
      <w:pPr>
        <w:spacing w:after="0" w:line="162"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Our directors may be appointed by a resolution of our board of directors, or by an ordinary resolution of our shareholders. Our directors are not subject to a term of office and hold office until they are removed from office by ordinary resolution of the shareholders. A director will cease to be a director if, among other things, the director (i) becomes bankrupt or makes any arrangement or composition with his creditors; (ii) dies or is found by our company to be or becomes of unsound mind, (iii) resigns his office by notice in writing to the company, (iv) without special leave of absence from our board, is absent from three consecutive board meetings and our directors resolve that such director’s office be vacated; (v) is prohibited by law from being a director, or</w:t>
      </w:r>
    </w:p>
    <w:p>
      <w:pPr>
        <w:spacing w:after="0" w:line="2" w:lineRule="exact"/>
        <w:rPr>
          <w:sz w:val="20"/>
          <w:szCs w:val="20"/>
          <w:color w:val="auto"/>
        </w:rPr>
      </w:pPr>
    </w:p>
    <w:p>
      <w:pPr>
        <w:jc w:val="both"/>
        <w:ind w:left="460" w:right="639" w:hanging="6"/>
        <w:spacing w:after="0" w:line="255" w:lineRule="auto"/>
        <w:tabs>
          <w:tab w:leader="none" w:pos="76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is removed from office pursuant to any other provision of our memorandum and articles of association, as amended and restated from time to time. Our officers are elected by and serve at the discretion of the board of directors.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Prior to the completion of this offering, we plan to enter into new employment agreements with our senior executive officers to replace the employment agreements currently in effect. Pursuant to these new agreements, we will be entitled to terminate a senior executive officer’s employment for cause at any time for certain acts of the officer, such as being convicted of any criminal conduct, any act of gross or willful misconduct or any serious, willful, grossly negligent or persistent breach of any employment agreement provision. We may also terminate a senior executive officer’s employment by giving three-month’s prior written notice without cause. A senior executive</w:t>
      </w:r>
    </w:p>
    <w:p>
      <w:pPr>
        <w:sectPr>
          <w:pgSz w:w="11900" w:h="16838" w:orient="portrait"/>
          <w:cols w:equalWidth="0" w:num="1">
            <w:col w:w="9019"/>
          </w:cols>
          <w:pgMar w:left="1440" w:top="274"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8" w:name="page89"/>
    <w:bookmarkEnd w:id="8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spacing w:after="0" w:line="296" w:lineRule="auto"/>
        <w:rPr>
          <w:sz w:val="20"/>
          <w:szCs w:val="20"/>
          <w:color w:val="auto"/>
        </w:rPr>
      </w:pPr>
      <w:r>
        <w:rPr>
          <w:rFonts w:ascii="Arial" w:cs="Arial" w:eastAsia="Arial" w:hAnsi="Arial"/>
          <w:sz w:val="16"/>
          <w:szCs w:val="16"/>
          <w:color w:val="auto"/>
        </w:rPr>
        <w:t>officer may terminate his or her employment at any time by giving three-month’s prior written notice. In connection with the employment agreement, each senior executive officer will enter into an intellectual property ownership and confidentiality agreement and agreed to hold all information, know-how and records in any way connected with the products or services of our company, in strict confidence perpetually. Each officer will also agree that we shall own all the intellectual property developed by such officer during his or her employment.</w:t>
      </w:r>
    </w:p>
    <w:p>
      <w:pPr>
        <w:spacing w:after="0" w:line="9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We expect to enter into indemnification agreements with our directors and executive officers. Under these agreements, we may agree to indemnify our directors and executive officers against certain liabilities and expenses incurred by such persons in connection with claims made due to their being a director or officer of our company.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62"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For the year ended December 31, 2022, we paid an aggregate of approximately US$0.6 million, in cash to our executive officers and directors. We have not set aside or accrued any amount to provide pension, retirement or other similar benefits to our executive officers and directors. Our Singapore subsidiaries are required by law to make contribution, as employers, to the Central Provident Fund for their employees as required by the Central Provident Fund Act 1953. The specific contribution rate to be made varies depending on whether the employee is a Singapore citizen or permanent resident and the age group and wage band of the employee.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Incentive Plan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2023 Equity Incentive Plan</w:t>
      </w:r>
    </w:p>
    <w:p>
      <w:pPr>
        <w:spacing w:after="0" w:line="144" w:lineRule="exact"/>
        <w:rPr>
          <w:sz w:val="20"/>
          <w:szCs w:val="20"/>
          <w:color w:val="auto"/>
        </w:rPr>
      </w:pPr>
    </w:p>
    <w:p>
      <w:pPr>
        <w:ind w:left="460" w:right="739" w:firstLine="432"/>
        <w:spacing w:after="0" w:line="279" w:lineRule="auto"/>
        <w:rPr>
          <w:sz w:val="20"/>
          <w:szCs w:val="20"/>
          <w:color w:val="auto"/>
        </w:rPr>
      </w:pPr>
      <w:r>
        <w:rPr>
          <w:rFonts w:ascii="Arial" w:cs="Arial" w:eastAsia="Arial" w:hAnsi="Arial"/>
          <w:sz w:val="17"/>
          <w:szCs w:val="17"/>
          <w:color w:val="auto"/>
        </w:rPr>
        <w:t>Our 2023 Equity Incentive Plan was adopted on September 29, 2023 to attract and retain the best available personnel for positions of substantial responsibility, provide additional incentive to employees, directors and consultants and promote the success of our business. The equity incentive plan provides for the grant of an option, restricted shares, restricted share units and local awards.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158"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The maximum number of ordinary shares may be subject to awards pursuant to the 2023 Equity Incentive Plan is 55,000,000 initially. The aggregate number of ordinary shares available for issuance under the 2023 Equity Incentive Plan will be increased on January 1 of the fiscal year immediately following the fiscal year in which an initial public offering of our shares is consummated, by an amount equal to 1% of the total number of ordinary shares issued and outstanding on December 31 of the immediately preceding fiscal year.</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Administration</w:t>
      </w:r>
    </w:p>
    <w:p>
      <w:pPr>
        <w:spacing w:after="0" w:line="15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Our board of directors or a committee of the board or officers to which the board delegates the authority administers the 2023 Equity Incentive Plan. The administrator will determine the participants to receive awards, the type and number of awards to be granted to each participant and the provisions and terms and conditions of each award. In the event that any dividend or other distribution, recapitalization, share division, share consolidation, reorganization or any change in the corporate structure of the Company affecting the shares occurs, the administrator will make adjustment with respect to the number and class of shares that may be delivered under the 2023 Equity Incentive Plan and/or the number, price and class of shares covered by outstanding awards, in order to prevent diminution of the benefits intended to be made available under the 2023 Equity Incentive Plan.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Awards under the Equity Incentive Plan</w:t>
      </w:r>
    </w:p>
    <w:p>
      <w:pPr>
        <w:spacing w:after="0" w:line="144" w:lineRule="exact"/>
        <w:rPr>
          <w:sz w:val="20"/>
          <w:szCs w:val="20"/>
          <w:color w:val="auto"/>
        </w:rPr>
      </w:pPr>
    </w:p>
    <w:p>
      <w:pPr>
        <w:ind w:left="460" w:right="639" w:firstLine="432"/>
        <w:spacing w:after="0" w:line="275" w:lineRule="auto"/>
        <w:rPr>
          <w:sz w:val="20"/>
          <w:szCs w:val="20"/>
          <w:color w:val="auto"/>
        </w:rPr>
      </w:pPr>
      <w:r>
        <w:rPr>
          <w:rFonts w:ascii="Arial" w:cs="Arial" w:eastAsia="Arial" w:hAnsi="Arial"/>
          <w:sz w:val="17"/>
          <w:szCs w:val="17"/>
          <w:i w:val="1"/>
          <w:iCs w:val="1"/>
          <w:color w:val="auto"/>
        </w:rPr>
        <w:t xml:space="preserve">Share Options. </w:t>
      </w:r>
      <w:r>
        <w:rPr>
          <w:rFonts w:ascii="Arial" w:cs="Arial" w:eastAsia="Arial" w:hAnsi="Arial"/>
          <w:sz w:val="17"/>
          <w:szCs w:val="17"/>
          <w:color w:val="auto"/>
        </w:rPr>
        <w:t>Share options may be granted under the 2023 Equity Incentive Plan. The administrator</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determines the exercise price for each option award, which is stated in the award agreement and should in no case be lower than the par value of our ordinary shares in no case. One-third(1/3) of the shares subject to an option will vest on each of the first, second and third annual anniversaries of the vesting commencement date, unless otherwise provided in the award agreement.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9" w:name="page90"/>
    <w:bookmarkEnd w:id="8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i w:val="1"/>
          <w:iCs w:val="1"/>
          <w:color w:val="auto"/>
        </w:rPr>
        <w:t xml:space="preserve">Restricted Shares. </w:t>
      </w:r>
      <w:r>
        <w:rPr>
          <w:rFonts w:ascii="Arial" w:cs="Arial" w:eastAsia="Arial" w:hAnsi="Arial"/>
          <w:sz w:val="16"/>
          <w:szCs w:val="16"/>
          <w:color w:val="auto"/>
        </w:rPr>
        <w:t>A restricted share award agreement will specify restrictions on the duration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period and the number of shares granted. Restricted shares may not be sold, transferred or pledged until the end of the restricted period and may be subject to forfeiture upon a termination of employment or service with us. Unless otherwise provided in the award agreement, the holder of restricted shares will be entitled to receive all dividends and other distributions paid with respect to the ordinary shares, subject to the same restrictions on transferability and forfeitability as the underlying shares of restricted shares. One-third(1/3) of the restricted shares will vest on each of the first, second and third annual anniversaries of the vesting commencement date, unless otherwise provided in the award agreement.</w:t>
      </w:r>
    </w:p>
    <w:p>
      <w:pPr>
        <w:spacing w:after="0" w:line="98"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i w:val="1"/>
          <w:iCs w:val="1"/>
          <w:color w:val="auto"/>
        </w:rPr>
        <w:t xml:space="preserve">Restricted Share Units. </w:t>
      </w:r>
      <w:r>
        <w:rPr>
          <w:rFonts w:ascii="Arial" w:cs="Arial" w:eastAsia="Arial" w:hAnsi="Arial"/>
          <w:sz w:val="17"/>
          <w:szCs w:val="17"/>
          <w:color w:val="auto"/>
        </w:rPr>
        <w:t>Awards of restricted share units may be granted by the administrator. At the time</w:t>
      </w:r>
      <w:r>
        <w:rPr>
          <w:rFonts w:ascii="Arial" w:cs="Arial" w:eastAsia="Arial" w:hAnsi="Arial"/>
          <w:sz w:val="17"/>
          <w:szCs w:val="17"/>
          <w:i w:val="1"/>
          <w:iCs w:val="1"/>
          <w:color w:val="auto"/>
        </w:rPr>
        <w:t xml:space="preserve"> </w:t>
      </w:r>
      <w:r>
        <w:rPr>
          <w:rFonts w:ascii="Arial" w:cs="Arial" w:eastAsia="Arial" w:hAnsi="Arial"/>
          <w:sz w:val="17"/>
          <w:szCs w:val="17"/>
          <w:color w:val="auto"/>
        </w:rPr>
        <w:t>of granting restricted share units, the administrator may impose conditions that must be satisfied, such as continued employment or service or attainment of corporate performance goals, and may place restrictions on the grant and/or vesting of the restricted share units. A restricted share unit award agreement will specify applicable vesting criteria, the number of restricted share units granted and the terms and conditions on time and form of payment. Each restricted share unit, upon fulfilment of applicable conditions, represents a right to receive an amount equal to the fair market value of one ordinary share.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58"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In the event of a change in control, the administrator may provide for termination or acceleration of awards, purchase of awards from holders or replacement of awards.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w:t>
      </w:r>
    </w:p>
    <w:p>
      <w:pPr>
        <w:spacing w:after="0" w:line="144"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Unless terminated earlier, the 2023 Equity Incentive Plan will continue in effect for a term of ten years from the date of its adoption.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58"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Subject to applicable shareholders’ approval and certain exceptions, the board of directors may at any time amend or terminate the 2023 Equity Incentive Plan.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0" w:name="page91"/>
    <w:bookmarkEnd w:id="9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148"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Except as specifically noted, the following table sets forth information with respect to the beneficial ownership of our ordinary shares as of the date of this prospectus by:</w:t>
      </w:r>
    </w:p>
    <w:p>
      <w:pPr>
        <w:spacing w:after="0" w:line="103" w:lineRule="exact"/>
        <w:rPr>
          <w:sz w:val="20"/>
          <w:szCs w:val="20"/>
          <w:color w:val="auto"/>
        </w:rPr>
      </w:pPr>
    </w:p>
    <w:p>
      <w:pPr>
        <w:ind w:left="1320" w:hanging="434"/>
        <w:spacing w:after="0"/>
        <w:tabs>
          <w:tab w:leader="none" w:pos="1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57" w:lineRule="exact"/>
        <w:rPr>
          <w:rFonts w:ascii="Arial" w:cs="Arial" w:eastAsia="Arial" w:hAnsi="Arial"/>
          <w:sz w:val="18"/>
          <w:szCs w:val="18"/>
          <w:color w:val="auto"/>
        </w:rPr>
      </w:pPr>
    </w:p>
    <w:p>
      <w:pPr>
        <w:ind w:left="1320" w:right="1039" w:hanging="434"/>
        <w:spacing w:after="0" w:line="277" w:lineRule="auto"/>
        <w:tabs>
          <w:tab w:leader="none" w:pos="13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our principal shareholders who beneficially own 5% or more of our total outstanding ordinary shares.</w:t>
      </w:r>
    </w:p>
    <w:p>
      <w:pPr>
        <w:spacing w:after="0" w:line="89"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The calculations in the table below are based on 501,964,286 ordinary shares issued and outstanding as of the date of this prospectus, and 50,000,000 Class A ordinary shares and 470,714,286 Class B ordinary shares issued and outstanding immediately after the completion of this offering, assuming the underwriters do not exercise their option to purchase additional ADSs. All of our issued and outstanding shares are fully paid.</w:t>
      </w:r>
    </w:p>
    <w:p>
      <w:pPr>
        <w:spacing w:after="0" w:line="90"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0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Ordinary Shares</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Ordinary Shares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Beneficially Owned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6"/>
              </w:rPr>
              <w:t>Prior to This Offering</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ind w:left="180"/>
              <w:spacing w:after="0"/>
              <w:rPr>
                <w:sz w:val="20"/>
                <w:szCs w:val="20"/>
                <w:color w:val="auto"/>
              </w:rPr>
            </w:pPr>
            <w:r>
              <w:rPr>
                <w:rFonts w:ascii="Arial" w:cs="Arial" w:eastAsia="Arial" w:hAnsi="Arial"/>
                <w:sz w:val="14"/>
                <w:szCs w:val="14"/>
                <w:b w:val="1"/>
                <w:bCs w:val="1"/>
                <w:color w:val="auto"/>
              </w:rPr>
              <w:t>After This Offering</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6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 of</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Total</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Total</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Ordinary</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Ordinary</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Class A</w:t>
            </w:r>
          </w:p>
        </w:tc>
        <w:tc>
          <w:tcPr>
            <w:tcW w:w="4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on An</w:t>
            </w: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Class B</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on An</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As-</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Aggregate</w:t>
            </w:r>
          </w:p>
        </w:tc>
        <w:tc>
          <w:tcPr>
            <w:tcW w:w="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9"/>
              </w:rPr>
              <w:t>Ordinary</w:t>
            </w:r>
          </w:p>
        </w:tc>
        <w:tc>
          <w:tcPr>
            <w:tcW w:w="4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Ordinary</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converted</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Voting</w:t>
            </w:r>
          </w:p>
        </w:tc>
        <w:tc>
          <w:tcPr>
            <w:tcW w:w="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Ordinary</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Ordinary</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converted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86"/>
        </w:trPr>
        <w:tc>
          <w:tcPr>
            <w:tcW w:w="1640" w:type="dxa"/>
            <w:vAlign w:val="bottom"/>
          </w:tcPr>
          <w:p>
            <w:pPr>
              <w:spacing w:after="0"/>
              <w:rPr>
                <w:sz w:val="16"/>
                <w:szCs w:val="16"/>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Basis†</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Power††</w:t>
            </w:r>
          </w:p>
        </w:tc>
        <w:tc>
          <w:tcPr>
            <w:tcW w:w="4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Basis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Power</w:t>
            </w:r>
          </w:p>
        </w:tc>
        <w:tc>
          <w:tcPr>
            <w:tcW w:w="0" w:type="dxa"/>
            <w:vAlign w:val="bottom"/>
          </w:tcPr>
          <w:p>
            <w:pPr>
              <w:spacing w:after="0"/>
              <w:rPr>
                <w:sz w:val="1"/>
                <w:szCs w:val="1"/>
                <w:color w:val="auto"/>
              </w:rPr>
            </w:pPr>
          </w:p>
        </w:tc>
      </w:tr>
      <w:tr>
        <w:trPr>
          <w:trHeight w:val="26"/>
        </w:trPr>
        <w:tc>
          <w:tcPr>
            <w:tcW w:w="16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64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Directors and</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Executive</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Officers*:</w:t>
            </w: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640" w:type="dxa"/>
            <w:vAlign w:val="bottom"/>
          </w:tcPr>
          <w:p>
            <w:pPr>
              <w:spacing w:after="0"/>
              <w:rPr>
                <w:sz w:val="20"/>
                <w:szCs w:val="20"/>
                <w:color w:val="auto"/>
              </w:rPr>
            </w:pPr>
            <w:r>
              <w:rPr>
                <w:rFonts w:ascii="Arial" w:cs="Arial" w:eastAsia="Arial" w:hAnsi="Arial"/>
                <w:sz w:val="16"/>
                <w:szCs w:val="16"/>
                <w:color w:val="auto"/>
              </w:rPr>
              <w:t>Soon Huat Lim</w:t>
            </w:r>
            <w:r>
              <w:rPr>
                <w:rFonts w:ascii="Arial" w:cs="Arial" w:eastAsia="Arial" w:hAnsi="Arial"/>
                <w:sz w:val="21"/>
                <w:szCs w:val="21"/>
                <w:color w:val="auto"/>
                <w:vertAlign w:val="superscript"/>
              </w:rPr>
              <w:t>(1)</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50,000,000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w w:val="94"/>
              </w:rPr>
              <w:t>274,633,571</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94.9</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4"/>
              </w:rPr>
              <w:t>50,000,000</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274,633,571</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62.3</w:t>
            </w:r>
          </w:p>
        </w:tc>
        <w:tc>
          <w:tcPr>
            <w:tcW w:w="800" w:type="dxa"/>
            <w:vAlign w:val="bottom"/>
          </w:tcPr>
          <w:p>
            <w:pPr>
              <w:jc w:val="right"/>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83"/>
        </w:trPr>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rPr>
              <w:t>Poh Kiong Tan</w:t>
            </w:r>
            <w:r>
              <w:rPr>
                <w:rFonts w:ascii="Arial" w:cs="Arial" w:eastAsia="Arial" w:hAnsi="Arial"/>
                <w:sz w:val="21"/>
                <w:szCs w:val="21"/>
                <w:color w:val="auto"/>
                <w:vertAlign w:val="superscript"/>
              </w:rPr>
              <w:t>(2)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10,000,000</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10,000,000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0"/>
                <w:szCs w:val="20"/>
                <w:color w:val="auto"/>
              </w:rPr>
            </w:pPr>
            <w:r>
              <w:rPr>
                <w:rFonts w:ascii="Arial" w:cs="Arial" w:eastAsia="Arial" w:hAnsi="Arial"/>
                <w:sz w:val="16"/>
                <w:szCs w:val="16"/>
                <w:color w:val="auto"/>
              </w:rPr>
              <w:t>Haiyan Huang</w:t>
            </w:r>
            <w:r>
              <w:rPr>
                <w:rFonts w:ascii="Arial" w:cs="Arial" w:eastAsia="Arial" w:hAnsi="Arial"/>
                <w:sz w:val="21"/>
                <w:szCs w:val="21"/>
                <w:color w:val="auto"/>
                <w:vertAlign w:val="superscript"/>
              </w:rPr>
              <w:t>(3)</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5,000,000</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5,000,000</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1.0</w:t>
            </w:r>
          </w:p>
        </w:tc>
        <w:tc>
          <w:tcPr>
            <w:tcW w:w="80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3"/>
        </w:trPr>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rPr>
              <w:t>All directors and</w:t>
            </w: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executive officers as</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 group</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50,000,000</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4"/>
              </w:rPr>
              <w:t>289,633,571</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95.3</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4"/>
              </w:rPr>
              <w:t>50,000,000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289,633,571</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20"/>
                <w:szCs w:val="20"/>
                <w:color w:val="auto"/>
              </w:rPr>
            </w:pPr>
            <w:r>
              <w:rPr>
                <w:rFonts w:ascii="Arial" w:cs="Arial" w:eastAsia="Arial" w:hAnsi="Arial"/>
                <w:sz w:val="16"/>
                <w:szCs w:val="16"/>
                <w:b w:val="1"/>
                <w:bCs w:val="1"/>
                <w:color w:val="auto"/>
              </w:rPr>
              <w:t>Principal</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40" w:type="dxa"/>
            <w:vAlign w:val="bottom"/>
          </w:tcPr>
          <w:p>
            <w:pPr>
              <w:ind w:left="180"/>
              <w:spacing w:after="0"/>
              <w:rPr>
                <w:sz w:val="20"/>
                <w:szCs w:val="20"/>
                <w:color w:val="auto"/>
              </w:rPr>
            </w:pPr>
            <w:r>
              <w:rPr>
                <w:rFonts w:ascii="Arial" w:cs="Arial" w:eastAsia="Arial" w:hAnsi="Arial"/>
                <w:sz w:val="16"/>
                <w:szCs w:val="16"/>
                <w:b w:val="1"/>
                <w:bCs w:val="1"/>
                <w:color w:val="auto"/>
              </w:rPr>
              <w:t>Shareholders:</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rPr>
              <w:t>Trident Digital Tech</w:t>
            </w: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Ltd</w:t>
            </w:r>
            <w:r>
              <w:rPr>
                <w:rFonts w:ascii="Arial" w:cs="Arial" w:eastAsia="Arial" w:hAnsi="Arial"/>
                <w:sz w:val="21"/>
                <w:szCs w:val="21"/>
                <w:color w:val="auto"/>
                <w:vertAlign w:val="superscript"/>
              </w:rPr>
              <w:t>(4)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50,000,000</w:t>
            </w:r>
          </w:p>
        </w:tc>
        <w:tc>
          <w:tcPr>
            <w:tcW w:w="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86.9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4"/>
              </w:rPr>
              <w:t>50,000,000</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9.6</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193"/>
        </w:trPr>
        <w:tc>
          <w:tcPr>
            <w:tcW w:w="1640" w:type="dxa"/>
            <w:vAlign w:val="bottom"/>
          </w:tcPr>
          <w:p>
            <w:pPr>
              <w:spacing w:after="0"/>
              <w:rPr>
                <w:sz w:val="20"/>
                <w:szCs w:val="20"/>
                <w:color w:val="auto"/>
              </w:rPr>
            </w:pPr>
            <w:r>
              <w:rPr>
                <w:rFonts w:ascii="Arial" w:cs="Arial" w:eastAsia="Arial" w:hAnsi="Arial"/>
                <w:sz w:val="16"/>
                <w:szCs w:val="16"/>
                <w:color w:val="auto"/>
              </w:rPr>
              <w:t>Trident Group</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640" w:type="dxa"/>
            <w:vAlign w:val="bottom"/>
          </w:tcPr>
          <w:p>
            <w:pPr>
              <w:ind w:left="180"/>
              <w:spacing w:after="0"/>
              <w:rPr>
                <w:sz w:val="20"/>
                <w:szCs w:val="20"/>
                <w:color w:val="auto"/>
              </w:rPr>
            </w:pPr>
            <w:r>
              <w:rPr>
                <w:rFonts w:ascii="Arial" w:cs="Arial" w:eastAsia="Arial" w:hAnsi="Arial"/>
                <w:sz w:val="16"/>
                <w:szCs w:val="16"/>
                <w:color w:val="auto"/>
              </w:rPr>
              <w:t>Holdings Ltd</w:t>
            </w:r>
            <w:r>
              <w:rPr>
                <w:rFonts w:ascii="Arial" w:cs="Arial" w:eastAsia="Arial" w:hAnsi="Arial"/>
                <w:sz w:val="21"/>
                <w:szCs w:val="21"/>
                <w:color w:val="auto"/>
                <w:vertAlign w:val="superscript"/>
              </w:rPr>
              <w:t>(5)</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w w:val="94"/>
              </w:rPr>
              <w:t>150,000,000</w:t>
            </w:r>
          </w:p>
        </w:tc>
        <w:tc>
          <w:tcPr>
            <w:tcW w:w="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4.3</w:t>
            </w:r>
          </w:p>
        </w:tc>
        <w:tc>
          <w:tcPr>
            <w:tcW w:w="4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150,000,000</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28.8</w:t>
            </w:r>
          </w:p>
        </w:tc>
        <w:tc>
          <w:tcPr>
            <w:tcW w:w="8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83"/>
        </w:trPr>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rPr>
              <w:t>Tri Wealth Ltd</w:t>
            </w:r>
            <w:r>
              <w:rPr>
                <w:rFonts w:ascii="Arial" w:cs="Arial" w:eastAsia="Arial" w:hAnsi="Arial"/>
                <w:sz w:val="21"/>
                <w:szCs w:val="21"/>
                <w:color w:val="auto"/>
                <w:vertAlign w:val="superscript"/>
              </w:rPr>
              <w:t>(6)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4"/>
              </w:rPr>
              <w:t>125,705,000</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125,705,000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0"/>
                <w:szCs w:val="20"/>
                <w:color w:val="auto"/>
              </w:rPr>
            </w:pPr>
            <w:r>
              <w:rPr>
                <w:rFonts w:ascii="Arial" w:cs="Arial" w:eastAsia="Arial" w:hAnsi="Arial"/>
                <w:sz w:val="16"/>
                <w:szCs w:val="16"/>
                <w:color w:val="auto"/>
              </w:rPr>
              <w:t>Soon Tai Lee</w:t>
            </w:r>
            <w:r>
              <w:rPr>
                <w:rFonts w:ascii="Arial" w:cs="Arial" w:eastAsia="Arial" w:hAnsi="Arial"/>
                <w:sz w:val="21"/>
                <w:szCs w:val="21"/>
                <w:color w:val="auto"/>
                <w:vertAlign w:val="superscript"/>
              </w:rPr>
              <w:t>(7)</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75,000,000</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75,000,000</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14.4</w:t>
            </w:r>
          </w:p>
        </w:tc>
        <w:tc>
          <w:tcPr>
            <w:tcW w:w="8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84"/>
        </w:trPr>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rPr>
              <w:t>Yat Hong Lo</w:t>
            </w:r>
            <w:r>
              <w:rPr>
                <w:rFonts w:ascii="Arial" w:cs="Arial" w:eastAsia="Arial" w:hAnsi="Arial"/>
                <w:sz w:val="21"/>
                <w:szCs w:val="21"/>
                <w:color w:val="auto"/>
                <w:vertAlign w:val="superscript"/>
              </w:rPr>
              <w:t>(8)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25,000,000</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0.7</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25,000,000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6"/>
                <w:szCs w:val="16"/>
                <w:color w:val="auto"/>
              </w:rPr>
              <w:t>____________</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Notes:</w:t>
      </w:r>
    </w:p>
    <w:p>
      <w:pPr>
        <w:spacing w:after="0" w:line="22" w:lineRule="exact"/>
        <w:rPr>
          <w:sz w:val="20"/>
          <w:szCs w:val="20"/>
          <w:color w:val="auto"/>
        </w:rPr>
      </w:pPr>
    </w:p>
    <w:p>
      <w:pPr>
        <w:ind w:left="860" w:hanging="406"/>
        <w:spacing w:after="0"/>
        <w:tabs>
          <w:tab w:leader="none" w:pos="8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Except as indicated otherwise below, the business address of our directors and executive officers is Suntec Tower 3,</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8 Temasek Boulevard Road, #24-03 Singapore, 038988.</w:t>
      </w:r>
    </w:p>
    <w:p>
      <w:pPr>
        <w:spacing w:after="0" w:line="19" w:lineRule="exact"/>
        <w:rPr>
          <w:sz w:val="20"/>
          <w:szCs w:val="20"/>
          <w:color w:val="auto"/>
        </w:rPr>
      </w:pPr>
    </w:p>
    <w:p>
      <w:pPr>
        <w:jc w:val="both"/>
        <w:ind w:left="880" w:right="479" w:hanging="426"/>
        <w:spacing w:after="0" w:line="301" w:lineRule="auto"/>
        <w:tabs>
          <w:tab w:leader="none" w:pos="853" w:val="left"/>
        </w:tabs>
        <w:numPr>
          <w:ilvl w:val="0"/>
          <w:numId w:val="60"/>
        </w:numPr>
        <w:rPr>
          <w:rFonts w:ascii="Arial" w:cs="Arial" w:eastAsia="Arial" w:hAnsi="Arial"/>
          <w:sz w:val="14"/>
          <w:szCs w:val="14"/>
          <w:color w:val="auto"/>
        </w:rPr>
      </w:pPr>
      <w:r>
        <w:rPr>
          <w:rFonts w:ascii="Arial" w:cs="Arial" w:eastAsia="Arial" w:hAnsi="Arial"/>
          <w:sz w:val="14"/>
          <w:szCs w:val="14"/>
          <w:color w:val="auto"/>
        </w:rPr>
        <w:t>For each person and group included in this table, percentage ownership is calculated by dividing the number of shares beneficially owned by such person or group by the sum of (i) the number of ordinary shares outstanding as of the date</w:t>
      </w:r>
    </w:p>
    <w:p>
      <w:pPr>
        <w:spacing w:after="0" w:line="1" w:lineRule="exact"/>
        <w:rPr>
          <w:sz w:val="20"/>
          <w:szCs w:val="20"/>
          <w:color w:val="auto"/>
        </w:rPr>
      </w:pPr>
    </w:p>
    <w:p>
      <w:pPr>
        <w:ind w:left="880" w:right="599"/>
        <w:spacing w:after="0" w:line="264" w:lineRule="auto"/>
        <w:rPr>
          <w:sz w:val="20"/>
          <w:szCs w:val="20"/>
          <w:color w:val="auto"/>
        </w:rPr>
      </w:pPr>
      <w:r>
        <w:rPr>
          <w:rFonts w:ascii="Arial" w:cs="Arial" w:eastAsia="Arial" w:hAnsi="Arial"/>
          <w:sz w:val="16"/>
          <w:szCs w:val="16"/>
          <w:color w:val="auto"/>
        </w:rPr>
        <w:t>of this prospectus, and (ii) the number of ordinary shares underlying share options held by such person or group that are exercisable within 60 days after the date of this prospectus.</w:t>
      </w:r>
    </w:p>
    <w:p>
      <w:pPr>
        <w:ind w:left="880" w:right="539" w:hanging="426"/>
        <w:spacing w:after="0" w:line="264" w:lineRule="auto"/>
        <w:tabs>
          <w:tab w:leader="none" w:pos="853"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For each person and group included in this column, percentage of voting power is calculated by dividing the voting power beneficially owned by such person or group by the voting power of all of our ordinary shares as a single class. Each holder of our Class A ordinary shares is entitled to 60 votes per share. Each holder of our Class B ordinary shares is entitled to one vote per share. Our Class A ordinary shares are convertible at any time by the holder into Class B ordinary shares on a one-for-one basis, while Class B ordinary shares are not convertible into Class A ordinary shares under any circumstances.</w:t>
      </w:r>
    </w:p>
    <w:p>
      <w:pPr>
        <w:spacing w:after="0" w:line="1" w:lineRule="exact"/>
        <w:rPr>
          <w:sz w:val="20"/>
          <w:szCs w:val="20"/>
          <w:color w:val="auto"/>
        </w:rPr>
      </w:pPr>
    </w:p>
    <w:p>
      <w:pPr>
        <w:ind w:left="880" w:right="799" w:hanging="426"/>
        <w:spacing w:after="0" w:line="272" w:lineRule="auto"/>
        <w:tabs>
          <w:tab w:leader="none" w:pos="8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Represents (i) 50,000,000 Class A ordinary shares held by Trident Digital Tech Ltd, a company limited by shares incorporated in British Virgin Islands which is wholly owned by Mr. Soon Huat Lim; (ii) 150,000,000 Class B ordinary shares held by Trident Group Holdings Ltd, a company limited by shares incorporated in British Virgin Islands which is</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1" w:name="page92"/>
    <w:bookmarkEnd w:id="9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ind w:left="880" w:right="539"/>
        <w:spacing w:after="0" w:line="262" w:lineRule="auto"/>
        <w:rPr>
          <w:sz w:val="20"/>
          <w:szCs w:val="20"/>
          <w:color w:val="auto"/>
        </w:rPr>
      </w:pPr>
      <w:r>
        <w:rPr>
          <w:rFonts w:ascii="Arial" w:cs="Arial" w:eastAsia="Arial" w:hAnsi="Arial"/>
          <w:sz w:val="16"/>
          <w:szCs w:val="16"/>
          <w:color w:val="auto"/>
        </w:rPr>
        <w:t>wholly owned by Mr. Soon Huat Lim; and (iii) 124,901,428 Class B ordinary shares held by Tri Wealth Ltd, a company limited by shares incorporated in British Virgin Islands which is wholly owned by Mr. Soon Huat Lim. The registered address of Trident Digital Tech Ltd, Trident Group Holdings Ltd and Tri Wealth Ltd is Sertus Chambers, P.O. Box 905, Quastisky Building, Road Town, Tortola, British Virgin Islands.</w:t>
      </w:r>
    </w:p>
    <w:p>
      <w:pPr>
        <w:spacing w:after="0" w:line="1" w:lineRule="exact"/>
        <w:rPr>
          <w:sz w:val="20"/>
          <w:szCs w:val="20"/>
          <w:color w:val="auto"/>
        </w:rPr>
      </w:pPr>
    </w:p>
    <w:p>
      <w:pPr>
        <w:ind w:left="880" w:hanging="426"/>
        <w:spacing w:after="0"/>
        <w:tabs>
          <w:tab w:leader="none" w:pos="8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Represents 10,000,000 Class B ordinary shares directly held by Mr. Poh Kiong Tan.</w:t>
      </w:r>
    </w:p>
    <w:p>
      <w:pPr>
        <w:spacing w:after="0" w:line="18" w:lineRule="exact"/>
        <w:rPr>
          <w:rFonts w:ascii="Arial" w:cs="Arial" w:eastAsia="Arial" w:hAnsi="Arial"/>
          <w:sz w:val="16"/>
          <w:szCs w:val="16"/>
          <w:color w:val="auto"/>
        </w:rPr>
      </w:pPr>
    </w:p>
    <w:p>
      <w:pPr>
        <w:ind w:left="880" w:right="559" w:hanging="426"/>
        <w:spacing w:after="0" w:line="264" w:lineRule="auto"/>
        <w:tabs>
          <w:tab w:leader="none" w:pos="8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Represents 5,000,000 Class B ordinary shares held by Trident Verse Ltd, a British Virgin Islands company wholly owned by a trust established for the benefit of Ms. Haiyan Huang and her family, to which Ms. Haiyan Huang is also the settlor. The registered address of Trident Verse Ltd is Sertus Chambers, P.O. Box 905, Quastisky Building, Road Town, Tortola, British Virgin Islands.</w:t>
      </w:r>
    </w:p>
    <w:p>
      <w:pPr>
        <w:ind w:left="880" w:right="599" w:hanging="426"/>
        <w:spacing w:after="0" w:line="301" w:lineRule="auto"/>
        <w:tabs>
          <w:tab w:leader="none" w:pos="8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50,000,000 Class A ordinary shares held by Trident Digital Tech Ltd, a company limited by shares incorporated in British Virgin Islands and wholly owned by Mr. Soon Huat Lim. The registered address of Trident Digital Tech Ltd is Sertus Chambers, P.O. Box 905, Quastisky Building, Road Town, Tortola, British Virgin Islands.</w:t>
      </w:r>
    </w:p>
    <w:p>
      <w:pPr>
        <w:spacing w:after="0" w:line="1" w:lineRule="exact"/>
        <w:rPr>
          <w:rFonts w:ascii="Arial" w:cs="Arial" w:eastAsia="Arial" w:hAnsi="Arial"/>
          <w:sz w:val="14"/>
          <w:szCs w:val="14"/>
          <w:color w:val="auto"/>
        </w:rPr>
      </w:pPr>
    </w:p>
    <w:p>
      <w:pPr>
        <w:ind w:left="880" w:right="679" w:hanging="426"/>
        <w:spacing w:after="0" w:line="264" w:lineRule="auto"/>
        <w:tabs>
          <w:tab w:leader="none" w:pos="8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Represents 150,000,000 Class B ordinary shares held by Trident Group Holdings Ltd, a company limited by shares incorporated in British Virgin Islands and wholly owned by Mr. Soon Huat Lim. The registered address of Trident Group Holdings Ltd is Sertus Chambers, P.O. Box 905, Quastisky Building, Road Town, Tortola, British Virgin Islands.</w:t>
      </w:r>
    </w:p>
    <w:p>
      <w:pPr>
        <w:ind w:left="880" w:right="519" w:hanging="426"/>
        <w:spacing w:after="0" w:line="281" w:lineRule="auto"/>
        <w:tabs>
          <w:tab w:leader="none" w:pos="8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Represents 125,705,000 Class B ordinary shares held by Tri Wealth Ltd, a company limited by shares incorporated in British Virgin Islands and wholly owned by Mr. Soon Huat Lim. The registered address of Tri Wealth Ltd is Sertus Chambers, P.O. Box 905, Quastisky Building, Road Town, Tortola, British Virgin Islands.</w:t>
      </w:r>
    </w:p>
    <w:p>
      <w:pPr>
        <w:spacing w:after="0" w:line="1" w:lineRule="exact"/>
        <w:rPr>
          <w:rFonts w:ascii="Arial" w:cs="Arial" w:eastAsia="Arial" w:hAnsi="Arial"/>
          <w:sz w:val="15"/>
          <w:szCs w:val="15"/>
          <w:color w:val="auto"/>
        </w:rPr>
      </w:pPr>
    </w:p>
    <w:p>
      <w:pPr>
        <w:ind w:left="880" w:hanging="426"/>
        <w:spacing w:after="0"/>
        <w:tabs>
          <w:tab w:leader="none" w:pos="8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Represents 75,000,000 Class B ordinary shares directly held by Mr. Soon Tai Lee.</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Represents 25,000,000 Class B ordinary shares directly held by Mr. Yat Hong Lo.</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the date of this prospectus, none of our ordinary shares are held by record holders in the</w:t>
      </w:r>
    </w:p>
    <w:p>
      <w:pPr>
        <w:spacing w:after="0" w:line="23" w:lineRule="exact"/>
        <w:rPr>
          <w:sz w:val="20"/>
          <w:szCs w:val="20"/>
          <w:color w:val="auto"/>
        </w:rPr>
      </w:pPr>
    </w:p>
    <w:p>
      <w:pPr>
        <w:jc w:val="both"/>
        <w:ind w:left="460" w:right="599"/>
        <w:spacing w:after="0" w:line="255" w:lineRule="auto"/>
        <w:rPr>
          <w:sz w:val="20"/>
          <w:szCs w:val="20"/>
          <w:color w:val="auto"/>
        </w:rPr>
      </w:pPr>
      <w:r>
        <w:rPr>
          <w:rFonts w:ascii="Arial" w:cs="Arial" w:eastAsia="Arial" w:hAnsi="Arial"/>
          <w:sz w:val="18"/>
          <w:szCs w:val="18"/>
          <w:color w:val="auto"/>
        </w:rPr>
        <w:t>United States. None of our existing shareholders will have different voting rights from other shareholders after the completion of this offering. We are not aware of any arrangement that may, at a subsequent date, result in a change of control of our company.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Private Placements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See “Description of Share Capital — History of Securities Issuances.”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See “Management — Employment Agreements and Indemnification Agreements.”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Incentive Plan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See “Management — Equity Incentive Plan.”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from related parties</w:t>
      </w:r>
    </w:p>
    <w:p>
      <w:pPr>
        <w:spacing w:after="0" w:line="158" w:lineRule="exact"/>
        <w:rPr>
          <w:sz w:val="20"/>
          <w:szCs w:val="20"/>
          <w:color w:val="auto"/>
        </w:rPr>
      </w:pPr>
    </w:p>
    <w:p>
      <w:pPr>
        <w:jc w:val="both"/>
        <w:ind w:left="460" w:right="519" w:firstLine="432"/>
        <w:spacing w:after="0" w:line="259" w:lineRule="auto"/>
        <w:rPr>
          <w:sz w:val="20"/>
          <w:szCs w:val="20"/>
          <w:color w:val="auto"/>
        </w:rPr>
      </w:pPr>
      <w:r>
        <w:rPr>
          <w:rFonts w:ascii="Arial" w:cs="Arial" w:eastAsia="Arial" w:hAnsi="Arial"/>
          <w:sz w:val="18"/>
          <w:szCs w:val="18"/>
          <w:color w:val="auto"/>
        </w:rPr>
        <w:t>Trident Consultancy Pte. Ltd., a wholly-owned company of Mr. Soon Huat Lim, our founder, chairman of board of directors and chief executive officer, provided an interest-free loan in the amount of US$889,422 to us to support our operations. The loan was due on demand. The remaining balance of the loan was fully settled in June 2023.</w:t>
      </w:r>
    </w:p>
    <w:p>
      <w:pPr>
        <w:spacing w:after="0" w:line="119"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Mr. Lim has also historically provided short-term financing in the aggregate amount of US$1,451 for us to support our operation. The financing was provided in the form of interest-free short-term borrowings. The short-term borrowings did not have a fixed term and were repayable upon demand. The remaining balance of the short-term borrowings was fully settled in June 2023.</w:t>
      </w:r>
    </w:p>
    <w:p>
      <w:pPr>
        <w:spacing w:after="0" w:line="106"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Mr. Poh Kiong Tan, our chief technology officer, has historically provided short-term financing in the aggregate amount of US$188,026 for us to support our operation. The financing was provided in the form of interest-free short-term borrowings. The short-term borrowings did not have a fixed term and were repayable upon demand. The remaining balance of the short-term borrowings of US$40,197 as of June 30, 2023 was fully settled in July 2023.</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do not intend to receive any financing from related parties after completion of this offering.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to related parties</w:t>
      </w:r>
    </w:p>
    <w:p>
      <w:pPr>
        <w:spacing w:after="0" w:line="15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As of June 30, 2023, Mr. Lim has received short-term loan in the aggregate amount of US$1,007,634 from us. The loan was provided in the form of interest-free short-term borrowing. The short-term borrowing did not have a fixed term and were repayable upon demand. The short-term borrowing was fully repaid in September 2023.</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3" w:name="page94"/>
    <w:bookmarkEnd w:id="9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DESCRIPTION OF SHARE CAPITAL</w:t>
      </w:r>
    </w:p>
    <w:p>
      <w:pPr>
        <w:spacing w:after="0" w:line="14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were incorporated as an exempted company with limited liability in the Cayman Islands on June 12, 2023. Our affairs are currently governed by our memorandum and articles of association and the Companies Act, Cap 22 (Law 3 of 1961, as consolidated and revised) of the Cayman Islands, or the Companies Act in this section.</w:t>
      </w:r>
    </w:p>
    <w:p>
      <w:pPr>
        <w:spacing w:after="0" w:line="119" w:lineRule="exact"/>
        <w:rPr>
          <w:sz w:val="20"/>
          <w:szCs w:val="20"/>
          <w:color w:val="auto"/>
        </w:rPr>
      </w:pPr>
    </w:p>
    <w:p>
      <w:pPr>
        <w:jc w:val="both"/>
        <w:ind w:left="460" w:right="719" w:firstLine="432"/>
        <w:spacing w:after="0" w:line="291" w:lineRule="auto"/>
        <w:rPr>
          <w:sz w:val="20"/>
          <w:szCs w:val="20"/>
          <w:color w:val="auto"/>
        </w:rPr>
      </w:pPr>
      <w:r>
        <w:rPr>
          <w:rFonts w:ascii="Arial" w:cs="Arial" w:eastAsia="Arial" w:hAnsi="Arial"/>
          <w:sz w:val="16"/>
          <w:szCs w:val="16"/>
          <w:color w:val="auto"/>
        </w:rPr>
        <w:t>As of the date of this prospectus, our authorized share capital is US$50,000 divided into 5,000,000,000 ordinary shares with a par value of US$0.00001 each, comprising (i) 1,000,000,000 Class A ordinary shares,</w:t>
      </w:r>
    </w:p>
    <w:p>
      <w:pPr>
        <w:ind w:left="460" w:right="739" w:hanging="6"/>
        <w:spacing w:after="0" w:line="260" w:lineRule="auto"/>
        <w:tabs>
          <w:tab w:leader="none" w:pos="725" w:val="left"/>
        </w:tabs>
        <w:numPr>
          <w:ilvl w:val="0"/>
          <w:numId w:val="64"/>
        </w:numPr>
        <w:rPr>
          <w:rFonts w:ascii="Arial" w:cs="Arial" w:eastAsia="Arial" w:hAnsi="Arial"/>
          <w:sz w:val="18"/>
          <w:szCs w:val="18"/>
          <w:color w:val="auto"/>
        </w:rPr>
      </w:pPr>
      <w:r>
        <w:rPr>
          <w:rFonts w:ascii="Arial" w:cs="Arial" w:eastAsia="Arial" w:hAnsi="Arial"/>
          <w:sz w:val="18"/>
          <w:szCs w:val="18"/>
          <w:color w:val="auto"/>
        </w:rPr>
        <w:t>4,000,000,000 Class B ordinary shares. As of the date of this prospectus, (i) 50,000,000 Class A ordinary shares, and (ii) 451,964,286 Class B ordinary shares are issued and outstanding.</w:t>
      </w:r>
    </w:p>
    <w:p>
      <w:pPr>
        <w:spacing w:after="0" w:line="118" w:lineRule="exact"/>
        <w:rPr>
          <w:sz w:val="20"/>
          <w:szCs w:val="20"/>
          <w:color w:val="auto"/>
        </w:rPr>
      </w:pPr>
    </w:p>
    <w:p>
      <w:pPr>
        <w:ind w:left="460" w:right="819" w:firstLine="432"/>
        <w:spacing w:after="0" w:line="291" w:lineRule="auto"/>
        <w:rPr>
          <w:sz w:val="20"/>
          <w:szCs w:val="20"/>
          <w:color w:val="auto"/>
        </w:rPr>
      </w:pPr>
      <w:r>
        <w:rPr>
          <w:rFonts w:ascii="Arial" w:cs="Arial" w:eastAsia="Arial" w:hAnsi="Arial"/>
          <w:sz w:val="16"/>
          <w:szCs w:val="16"/>
          <w:color w:val="auto"/>
        </w:rPr>
        <w:t>Immediately prior to the completion of this offering, our authorized share capital will be changed into US$50,000 divided into 5,000,000,000 ordinary shares with a par value of US$0.00001 each, comprising</w:t>
      </w:r>
    </w:p>
    <w:p>
      <w:pPr>
        <w:ind w:left="460" w:right="519" w:hanging="6"/>
        <w:spacing w:after="0" w:line="252" w:lineRule="auto"/>
        <w:tabs>
          <w:tab w:leader="none" w:pos="6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1,000,000,000 Class A ordinary shares with a par value of US$0.00001 each, (ii) 3,000,000,000 Class B ordinary shares with a par value of US$0.00001 each, and (iii) 1,000,000,000 shares of a par value of US$0.00001 each of such class or classes (however designated) as the board of directors may determine in accordance with our post-offering amended and restated memorandum and articles of association. We will issue 18,750,000 Class B ordinary shares represented by ADSs in this offering. All options, regardless of grant dates, will entitle holders to an equivalent number of ordinary shares once the vesting and exercising conditions are met.</w:t>
      </w:r>
    </w:p>
    <w:p>
      <w:pPr>
        <w:spacing w:after="0" w:line="111" w:lineRule="exact"/>
        <w:rPr>
          <w:sz w:val="20"/>
          <w:szCs w:val="20"/>
          <w:color w:val="auto"/>
        </w:rPr>
      </w:pPr>
    </w:p>
    <w:p>
      <w:pPr>
        <w:ind w:left="460" w:right="659" w:firstLine="432"/>
        <w:spacing w:after="0" w:line="311" w:lineRule="auto"/>
        <w:rPr>
          <w:sz w:val="20"/>
          <w:szCs w:val="20"/>
          <w:color w:val="auto"/>
        </w:rPr>
      </w:pPr>
      <w:r>
        <w:rPr>
          <w:rFonts w:ascii="Arial" w:cs="Arial" w:eastAsia="Arial" w:hAnsi="Arial"/>
          <w:sz w:val="16"/>
          <w:szCs w:val="16"/>
          <w:color w:val="auto"/>
        </w:rPr>
        <w:t>The following are summaries of material provisions of our post-offering amended and restated memorandum and articles of association and the Companies Act insofar as they relate to the material terms of our ordinary shares that we expect will become effective immediately prior to the completion of this offering.</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Ordinary Shares</w:t>
      </w:r>
    </w:p>
    <w:p>
      <w:pPr>
        <w:spacing w:after="0" w:line="162"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Our ordinary shares are divided into Class A ordinary shares and Class B ordinary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transfer their ordinary shares.</w:t>
      </w:r>
    </w:p>
    <w:p>
      <w:pPr>
        <w:spacing w:after="0" w:line="9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Class A ordinary shares may be converted into the same number of Class B ordinary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holders thereof at any time, while Class B ordinary shares cannot be converted into Class A ordinary shares under any circumstances. Upon any sale, transfer, assignment or disposition of Class A ordinary shares by a holder thereof to any person other than holders of Class A ordinary shares or their affiliates, such Class A ordinary shares shall be automatically and immediately converted into the same number of Class B ordinary shares.</w:t>
      </w:r>
    </w:p>
    <w:p>
      <w:pPr>
        <w:spacing w:after="0" w:line="111"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Subject to the Companies Act, our directors may declare dividends in any currency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Except in so 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spacing w:after="0" w:line="118"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Our directors may also pay interim dividends, whenever our financial position, in the opinion of our directors, justifies such payment.</w:t>
      </w:r>
    </w:p>
    <w:p>
      <w:pPr>
        <w:spacing w:after="0" w:line="103"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Our directors may deduct from any dividend or bonus payable to any shareholder all sums of money (if any) presently payable by such shareholder to us on account of calls or otherwise.</w:t>
      </w:r>
    </w:p>
    <w:p>
      <w:pPr>
        <w:spacing w:after="0" w:line="89"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(2) the shareholders entitled to such dividend will</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4" w:name="page95"/>
    <w:bookmarkEnd w:id="9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spacing w:after="0" w:line="109" w:lineRule="exact"/>
        <w:rPr>
          <w:sz w:val="20"/>
          <w:szCs w:val="20"/>
          <w:color w:val="auto"/>
        </w:rPr>
      </w:pPr>
    </w:p>
    <w:p>
      <w:pPr>
        <w:ind w:left="460" w:right="679" w:firstLine="432"/>
        <w:spacing w:after="0" w:line="293" w:lineRule="auto"/>
        <w:rPr>
          <w:sz w:val="20"/>
          <w:szCs w:val="20"/>
          <w:color w:val="auto"/>
        </w:rPr>
      </w:pPr>
      <w:r>
        <w:rPr>
          <w:rFonts w:ascii="Arial" w:cs="Arial" w:eastAsia="Arial" w:hAnsi="Arial"/>
          <w:sz w:val="16"/>
          <w:szCs w:val="16"/>
          <w:color w:val="auto"/>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us.</w:t>
      </w:r>
    </w:p>
    <w:p>
      <w:pPr>
        <w:spacing w:after="0" w:line="97"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7"/>
          <w:szCs w:val="17"/>
          <w:color w:val="auto"/>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spacing w:after="0" w:line="84"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spacing w:after="0" w:line="101"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On a show of hands each shareholder is entitled to one vote or, on a poll,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is entitled to one vote for ordinary share, 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spacing w:after="0" w:line="90"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A poll may be demanded by the chairman of such meeting or any shareholder present in person or by proxy.</w:t>
      </w:r>
    </w:p>
    <w:p>
      <w:pPr>
        <w:spacing w:after="0" w:line="89"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No shareholder shall be entitled to vote or be reckoned in a quorum, in respect of any share, unless such shareholder is duly registered as our shareholder and all calls or instalments due by such shareholder to us have been paid.</w:t>
      </w:r>
    </w:p>
    <w:p>
      <w:pPr>
        <w:spacing w:after="0" w:line="116"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If a clearing house (or its nominee(s)) or a central depositary entity, being a corporation, is our shareholder, it may authorize such person or persons as it thinks fit to act as its representative(s) at any meeting or at any meeting of any class of shareholders, provided that, if more than one person is so authorized, the authorization shall specify the number and class of shares in respect of which each such person is so authorized. A person authorized pursuant to this provision is entitled to exercise the same powers on behalf of the clearing house or central depositary entity (or its nominee(s)) as if such person was the registered holder of our shares held by that clearing house or central depositary entity (or its nominee(s)) including the right to vote individually in a show of hands.</w:t>
      </w:r>
    </w:p>
    <w:p>
      <w:pPr>
        <w:spacing w:after="0" w:line="124"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b w:val="1"/>
          <w:bCs w:val="1"/>
          <w:i w:val="1"/>
          <w:iCs w:val="1"/>
          <w:color w:val="auto"/>
        </w:rPr>
        <w:t xml:space="preserve">Transfer of Ordinary Shares. </w:t>
      </w:r>
      <w:r>
        <w:rPr>
          <w:rFonts w:ascii="Arial" w:cs="Arial" w:eastAsia="Arial" w:hAnsi="Arial"/>
          <w:sz w:val="17"/>
          <w:szCs w:val="17"/>
          <w:color w:val="auto"/>
        </w:rPr>
        <w:t>Subject to any applicable restrictions set forth in our articles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association, including, for example, the board of 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 or in another form that our directors may approve.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Our directors may decline to register any transfer of any share which is not paid up or on which we have a lien. Our directors may also decline to register any transfer of any share unless:</w:t>
      </w:r>
    </w:p>
    <w:p>
      <w:pPr>
        <w:spacing w:after="0" w:line="103" w:lineRule="exact"/>
        <w:rPr>
          <w:sz w:val="20"/>
          <w:szCs w:val="20"/>
          <w:color w:val="auto"/>
        </w:rPr>
      </w:pPr>
    </w:p>
    <w:p>
      <w:pPr>
        <w:ind w:left="1320" w:right="479" w:hanging="434"/>
        <w:spacing w:after="0" w:line="263" w:lineRule="auto"/>
        <w:tabs>
          <w:tab w:leader="none" w:pos="131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instrument of transfer is lodged with us and is accompanied by the certificate for the shares to which it relates and such other evidence as our directors may reasonably require to show the right of the transferor to make the transfer;</w:t>
      </w:r>
    </w:p>
    <w:p>
      <w:pPr>
        <w:spacing w:after="0" w:line="116" w:lineRule="exact"/>
        <w:rPr>
          <w:rFonts w:ascii="Arial" w:cs="Arial" w:eastAsia="Arial" w:hAnsi="Arial"/>
          <w:sz w:val="18"/>
          <w:szCs w:val="18"/>
          <w:color w:val="auto"/>
        </w:rPr>
      </w:pPr>
    </w:p>
    <w:p>
      <w:pPr>
        <w:ind w:left="1320" w:hanging="434"/>
        <w:spacing w:after="0"/>
        <w:tabs>
          <w:tab w:leader="none" w:pos="1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instrument of transfer is properly stamped (in circumstances where stamping is required); and</w:t>
      </w:r>
    </w:p>
    <w:p>
      <w:pPr>
        <w:spacing w:after="0" w:line="180" w:lineRule="exact"/>
        <w:rPr>
          <w:rFonts w:ascii="Arial" w:cs="Arial" w:eastAsia="Arial" w:hAnsi="Arial"/>
          <w:sz w:val="16"/>
          <w:szCs w:val="16"/>
          <w:color w:val="auto"/>
        </w:rPr>
      </w:pPr>
    </w:p>
    <w:p>
      <w:pPr>
        <w:ind w:left="1320" w:right="779" w:hanging="434"/>
        <w:spacing w:after="0" w:line="277" w:lineRule="auto"/>
        <w:tabs>
          <w:tab w:leader="none" w:pos="1315" w:val="left"/>
        </w:tabs>
        <w:numPr>
          <w:ilvl w:val="0"/>
          <w:numId w:val="66"/>
        </w:numPr>
        <w:rPr>
          <w:rFonts w:ascii="Arial" w:cs="Arial" w:eastAsia="Arial" w:hAnsi="Arial"/>
          <w:sz w:val="18"/>
          <w:szCs w:val="18"/>
          <w:color w:val="auto"/>
        </w:rPr>
      </w:pPr>
      <w:r>
        <w:rPr>
          <w:rFonts w:ascii="Arial" w:cs="Arial" w:eastAsia="Arial" w:hAnsi="Arial"/>
          <w:sz w:val="18"/>
          <w:szCs w:val="18"/>
          <w:color w:val="auto"/>
        </w:rPr>
        <w:t>fee of such maximum sum as the Nasdaq may determine to be payable or such lesser sum as our directors may from time to time require is paid to us in respect thereof.</w:t>
      </w:r>
    </w:p>
    <w:p>
      <w:pPr>
        <w:spacing w:after="0" w:line="103" w:lineRule="exact"/>
        <w:rPr>
          <w:sz w:val="20"/>
          <w:szCs w:val="20"/>
          <w:color w:val="auto"/>
        </w:rPr>
      </w:pPr>
    </w:p>
    <w:p>
      <w:pPr>
        <w:ind w:left="460" w:right="599" w:firstLine="432"/>
        <w:spacing w:after="0" w:line="290" w:lineRule="auto"/>
        <w:rPr>
          <w:sz w:val="20"/>
          <w:szCs w:val="20"/>
          <w:color w:val="auto"/>
        </w:rPr>
      </w:pPr>
      <w:r>
        <w:rPr>
          <w:rFonts w:ascii="Arial" w:cs="Arial" w:eastAsia="Arial" w:hAnsi="Arial"/>
          <w:sz w:val="16"/>
          <w:szCs w:val="16"/>
          <w:b w:val="1"/>
          <w:bCs w:val="1"/>
          <w:i w:val="1"/>
          <w:iCs w:val="1"/>
          <w:color w:val="auto"/>
        </w:rPr>
        <w:t xml:space="preserve">Liquidation. </w:t>
      </w:r>
      <w:r>
        <w:rPr>
          <w:rFonts w:ascii="Arial" w:cs="Arial" w:eastAsia="Arial" w:hAnsi="Arial"/>
          <w:sz w:val="16"/>
          <w:szCs w:val="16"/>
          <w:color w:val="auto"/>
        </w:rPr>
        <w:t>Subject to any future shares which are issued with specific rights, (1) if we are wound 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assets available for distribution among our shareholders are more than sufficient to repay the whole of the capital paid up at the commencement of the winding up, the excess shall be distributed pari passu among those shareholders in proportion to the amount paid up at the commencement of the winding up on the shares held by them, respectively, and (2)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spacing w:after="0" w:line="84"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If we are wound up (whether the liquidation is voluntary or by the court),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w:t>
      </w:r>
    </w:p>
    <w:p>
      <w:pPr>
        <w:spacing w:after="0" w:line="125"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spacing w:after="0" w:line="116"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b w:val="1"/>
          <w:bCs w:val="1"/>
          <w:i w:val="1"/>
          <w:iCs w:val="1"/>
          <w:color w:val="auto"/>
        </w:rPr>
        <w:t xml:space="preserve">Calls on Ordinary Shares and Forfeiture of Ordinary Shares. </w:t>
      </w:r>
      <w:r>
        <w:rPr>
          <w:rFonts w:ascii="Arial" w:cs="Arial" w:eastAsia="Arial" w:hAnsi="Arial"/>
          <w:sz w:val="18"/>
          <w:szCs w:val="18"/>
          <w:color w:val="auto"/>
        </w:rPr>
        <w:t>Subject to our memorandum and articles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association and to the terms of allotment our board of directors may from time to time make calls upon shareholders for any amounts unpaid on their ordinary shares in a notice served to such shareholders at least 14 clear days prior to the specified time of payment.</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ordinary shares that have been called upon and remain unpaid are subject to forfeiture.</w:t>
      </w:r>
    </w:p>
    <w:p>
      <w:pPr>
        <w:spacing w:after="0" w:line="158" w:lineRule="exact"/>
        <w:rPr>
          <w:sz w:val="20"/>
          <w:szCs w:val="20"/>
          <w:color w:val="auto"/>
        </w:rPr>
      </w:pPr>
    </w:p>
    <w:p>
      <w:pPr>
        <w:ind w:left="460" w:right="719" w:firstLine="432"/>
        <w:spacing w:after="0" w:line="263" w:lineRule="auto"/>
        <w:rPr>
          <w:sz w:val="20"/>
          <w:szCs w:val="20"/>
          <w:color w:val="auto"/>
        </w:rPr>
      </w:pPr>
      <w:r>
        <w:rPr>
          <w:rFonts w:ascii="Arial" w:cs="Arial" w:eastAsia="Arial" w:hAnsi="Arial"/>
          <w:sz w:val="18"/>
          <w:szCs w:val="18"/>
          <w:b w:val="1"/>
          <w:bCs w:val="1"/>
          <w:i w:val="1"/>
          <w:iCs w:val="1"/>
          <w:color w:val="auto"/>
        </w:rPr>
        <w:t xml:space="preserve">Redemption, Repurchase and Surrender of Ordinary Shares. </w:t>
      </w:r>
      <w:r>
        <w:rPr>
          <w:rFonts w:ascii="Arial" w:cs="Arial" w:eastAsia="Arial" w:hAnsi="Arial"/>
          <w:sz w:val="18"/>
          <w:szCs w:val="18"/>
          <w:color w:val="auto"/>
        </w:rPr>
        <w:t>We are empowered by the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and our amended and restated articles of association to purchase our own shares, subject to certain restrictions.</w:t>
      </w:r>
    </w:p>
    <w:p>
      <w:pPr>
        <w:spacing w:after="0" w:line="116"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Our directors may only exercise this power on our behalf, subject to the Companies Act, our memorandum and articles of association and to any applicable requirements imposed from time to time by the Nasdaq, the Securities and Exchange Commission, or by any other recognized stock exchange on which our securities are listed.</w:t>
      </w:r>
    </w:p>
    <w:p>
      <w:pPr>
        <w:spacing w:after="0" w:line="106" w:lineRule="exact"/>
        <w:rPr>
          <w:sz w:val="20"/>
          <w:szCs w:val="20"/>
          <w:color w:val="auto"/>
        </w:rPr>
      </w:pPr>
    </w:p>
    <w:p>
      <w:pPr>
        <w:ind w:left="460" w:right="539" w:firstLine="432"/>
        <w:spacing w:after="0" w:line="285" w:lineRule="auto"/>
        <w:rPr>
          <w:sz w:val="20"/>
          <w:szCs w:val="20"/>
          <w:color w:val="auto"/>
        </w:rPr>
      </w:pPr>
      <w:r>
        <w:rPr>
          <w:rFonts w:ascii="Arial" w:cs="Arial" w:eastAsia="Arial" w:hAnsi="Arial"/>
          <w:sz w:val="16"/>
          <w:szCs w:val="16"/>
          <w:color w:val="auto"/>
        </w:rPr>
        <w:t>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(1) unless it is fully paid up,</w:t>
      </w:r>
    </w:p>
    <w:p>
      <w:pPr>
        <w:spacing w:after="0" w:line="2" w:lineRule="exact"/>
        <w:rPr>
          <w:sz w:val="20"/>
          <w:szCs w:val="20"/>
          <w:color w:val="auto"/>
        </w:rPr>
      </w:pPr>
    </w:p>
    <w:p>
      <w:pPr>
        <w:jc w:val="both"/>
        <w:ind w:left="460" w:right="679" w:hanging="6"/>
        <w:spacing w:after="0" w:line="255" w:lineRule="auto"/>
        <w:tabs>
          <w:tab w:leader="none" w:pos="7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such redemption or repurchase would result in there being no shares outstanding, or (3) if the company has commenced liquidation. In addition, our company may accept the surrender of any fully paid share for no consideration.</w:t>
      </w:r>
    </w:p>
    <w:p>
      <w:pPr>
        <w:spacing w:after="0" w:line="122"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b w:val="1"/>
          <w:bCs w:val="1"/>
          <w:i w:val="1"/>
          <w:iCs w:val="1"/>
          <w:color w:val="auto"/>
        </w:rPr>
        <w:t xml:space="preserve">Variations of Rights of Shares. </w:t>
      </w:r>
      <w:r>
        <w:rPr>
          <w:rFonts w:ascii="Arial" w:cs="Arial" w:eastAsia="Arial" w:hAnsi="Arial"/>
          <w:sz w:val="17"/>
          <w:szCs w:val="17"/>
          <w:color w:val="auto"/>
        </w:rPr>
        <w:t>If at any time, our share capital is divided into different classes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all or any of the special rights attached to any class of shares may, subject to the provisions of the Companies Act, be varied with the sanction of a special resolution passed at a general meeting of the holders of the shares of that class. Consequently, the rights of any class of shares cannot be detrimentally altered without a majority of two-thirds of the vote of all of the shares in that class.</w:t>
      </w:r>
    </w:p>
    <w:p>
      <w:pPr>
        <w:sectPr>
          <w:pgSz w:w="11900" w:h="16838" w:orient="portrait"/>
          <w:cols w:equalWidth="0" w:num="1">
            <w:col w:w="9019"/>
          </w:cols>
          <w:pgMar w:left="1440" w:top="27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6" w:name="page97"/>
    <w:bookmarkEnd w:id="9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99" w:firstLine="432"/>
        <w:spacing w:after="0" w:line="286" w:lineRule="auto"/>
        <w:rPr>
          <w:sz w:val="20"/>
          <w:szCs w:val="20"/>
          <w:color w:val="auto"/>
        </w:rPr>
      </w:pPr>
      <w:r>
        <w:rPr>
          <w:rFonts w:ascii="Arial" w:cs="Arial" w:eastAsia="Arial" w:hAnsi="Arial"/>
          <w:sz w:val="17"/>
          <w:szCs w:val="17"/>
          <w:color w:val="auto"/>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such existing class of shares.</w:t>
      </w:r>
    </w:p>
    <w:p>
      <w:pPr>
        <w:spacing w:after="0" w:line="84"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b w:val="1"/>
          <w:bCs w:val="1"/>
          <w:i w:val="1"/>
          <w:iCs w:val="1"/>
          <w:color w:val="auto"/>
        </w:rPr>
        <w:t xml:space="preserve">Inspection of Books and Records. </w:t>
      </w:r>
      <w:r>
        <w:rPr>
          <w:rFonts w:ascii="Arial" w:cs="Arial" w:eastAsia="Arial" w:hAnsi="Arial"/>
          <w:sz w:val="16"/>
          <w:szCs w:val="16"/>
          <w:color w:val="auto"/>
        </w:rPr>
        <w:t>Holders of our ordinary shares have no general right under Cayman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Islands law to inspect or obtain copies of our list of shareholders or our corporate records (other than copies of our memorandum and articles of association, our register of mortgage and charges and any special resolutions passed by our shareholders). Under Cayman Islands law, the names of our current directors can be obtained from a search conducted at the Registrar of Companies. However, we will provide our shareholders with annual audited financial statements. See “Where You Can Find Additional Information.”</w:t>
      </w:r>
    </w:p>
    <w:p>
      <w:pPr>
        <w:spacing w:after="0" w:line="70"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b w:val="1"/>
          <w:bCs w:val="1"/>
          <w:i w:val="1"/>
          <w:iCs w:val="1"/>
          <w:color w:val="auto"/>
        </w:rPr>
        <w:t xml:space="preserve">Issuance of Additional Shares. </w:t>
      </w:r>
      <w:r>
        <w:rPr>
          <w:rFonts w:ascii="Arial" w:cs="Arial" w:eastAsia="Arial" w:hAnsi="Arial"/>
          <w:sz w:val="18"/>
          <w:szCs w:val="18"/>
          <w:color w:val="auto"/>
        </w:rPr>
        <w:t>Our post-offering amended and restated memorandum of association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authorizes our board of directors to issue additional ordinary shares from time to time as our board of directors shall determine, to the extent of available authorized but unissued shares.</w:t>
      </w:r>
    </w:p>
    <w:p>
      <w:pPr>
        <w:spacing w:after="0" w:line="89" w:lineRule="exact"/>
        <w:rPr>
          <w:sz w:val="20"/>
          <w:szCs w:val="20"/>
          <w:color w:val="auto"/>
        </w:rPr>
      </w:pPr>
    </w:p>
    <w:p>
      <w:pPr>
        <w:ind w:left="460" w:right="599" w:firstLine="432"/>
        <w:spacing w:after="0" w:line="286" w:lineRule="auto"/>
        <w:rPr>
          <w:sz w:val="20"/>
          <w:szCs w:val="20"/>
          <w:color w:val="auto"/>
        </w:rPr>
      </w:pPr>
      <w:r>
        <w:rPr>
          <w:rFonts w:ascii="Arial" w:cs="Arial" w:eastAsia="Arial" w:hAnsi="Arial"/>
          <w:sz w:val="17"/>
          <w:szCs w:val="17"/>
          <w:color w:val="auto"/>
        </w:rPr>
        <w:t>Our post-offering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84" w:lineRule="exact"/>
        <w:rPr>
          <w:sz w:val="20"/>
          <w:szCs w:val="20"/>
          <w:color w:val="auto"/>
        </w:rPr>
      </w:pPr>
    </w:p>
    <w:p>
      <w:pPr>
        <w:ind w:left="1320" w:hanging="43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131" w:lineRule="exact"/>
        <w:rPr>
          <w:sz w:val="20"/>
          <w:szCs w:val="20"/>
          <w:color w:val="auto"/>
        </w:rPr>
      </w:pPr>
    </w:p>
    <w:p>
      <w:pPr>
        <w:ind w:left="460" w:right="819" w:firstLine="432"/>
        <w:spacing w:after="0" w:line="342" w:lineRule="auto"/>
        <w:rPr>
          <w:sz w:val="20"/>
          <w:szCs w:val="20"/>
          <w:color w:val="auto"/>
        </w:rPr>
      </w:pPr>
      <w:r>
        <w:rPr>
          <w:rFonts w:ascii="Arial" w:cs="Arial" w:eastAsia="Arial" w:hAnsi="Arial"/>
          <w:sz w:val="16"/>
          <w:szCs w:val="16"/>
          <w:color w:val="auto"/>
        </w:rPr>
        <w:t>Our board of directors may issue preferred shares without action by our shareholders to the extent authorized but unissued. Issuance of these shares may dilute the voting power of holders of ordinary shares.</w:t>
      </w:r>
    </w:p>
    <w:p>
      <w:pPr>
        <w:spacing w:after="0" w:line="29"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b w:val="1"/>
          <w:bCs w:val="1"/>
          <w:i w:val="1"/>
          <w:iCs w:val="1"/>
          <w:color w:val="auto"/>
        </w:rPr>
        <w:t xml:space="preserve">Anti-Takeover Provisions. </w:t>
      </w:r>
      <w:r>
        <w:rPr>
          <w:rFonts w:ascii="Arial" w:cs="Arial" w:eastAsia="Arial" w:hAnsi="Arial"/>
          <w:sz w:val="18"/>
          <w:szCs w:val="18"/>
          <w:color w:val="auto"/>
        </w:rPr>
        <w:t>Some provisions of our post-offering amended and restated memorandum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articles of association may discourage, delay or prevent a change of control of our company or management that shareholders may consider favorable, including provisions that</w:t>
      </w:r>
    </w:p>
    <w:p>
      <w:pPr>
        <w:spacing w:after="0" w:line="116" w:lineRule="exact"/>
        <w:rPr>
          <w:sz w:val="20"/>
          <w:szCs w:val="20"/>
          <w:color w:val="auto"/>
        </w:rPr>
      </w:pPr>
    </w:p>
    <w:p>
      <w:pPr>
        <w:ind w:left="1320" w:right="599" w:hanging="434"/>
        <w:spacing w:after="0" w:line="263" w:lineRule="auto"/>
        <w:tabs>
          <w:tab w:leader="none" w:pos="13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116" w:lineRule="exact"/>
        <w:rPr>
          <w:rFonts w:ascii="Arial" w:cs="Arial" w:eastAsia="Arial" w:hAnsi="Arial"/>
          <w:sz w:val="18"/>
          <w:szCs w:val="18"/>
          <w:color w:val="auto"/>
        </w:rPr>
      </w:pPr>
    </w:p>
    <w:p>
      <w:pPr>
        <w:ind w:left="1320" w:hanging="434"/>
        <w:spacing w:after="0"/>
        <w:tabs>
          <w:tab w:leader="none" w:pos="13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limit the ability of shareholders to requisition and convene general meetings of shareholders.</w:t>
      </w:r>
    </w:p>
    <w:p>
      <w:pPr>
        <w:spacing w:after="0" w:line="156" w:lineRule="exact"/>
        <w:rPr>
          <w:sz w:val="20"/>
          <w:szCs w:val="20"/>
          <w:color w:val="auto"/>
        </w:rPr>
      </w:pPr>
    </w:p>
    <w:p>
      <w:pPr>
        <w:jc w:val="both"/>
        <w:ind w:left="460" w:right="719" w:firstLine="432"/>
        <w:spacing w:after="0" w:line="263" w:lineRule="auto"/>
        <w:rPr>
          <w:sz w:val="20"/>
          <w:szCs w:val="20"/>
          <w:color w:val="auto"/>
        </w:rPr>
      </w:pPr>
      <w:r>
        <w:rPr>
          <w:rFonts w:ascii="Arial" w:cs="Arial" w:eastAsia="Arial" w:hAnsi="Arial"/>
          <w:sz w:val="18"/>
          <w:szCs w:val="18"/>
          <w:color w:val="auto"/>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spacing w:after="0" w:line="116"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b w:val="1"/>
          <w:bCs w:val="1"/>
          <w:i w:val="1"/>
          <w:iCs w:val="1"/>
          <w:color w:val="auto"/>
        </w:rPr>
        <w:t>Exclusive Forum</w:t>
      </w:r>
      <w:r>
        <w:rPr>
          <w:rFonts w:ascii="Arial" w:cs="Arial" w:eastAsia="Arial" w:hAnsi="Arial"/>
          <w:sz w:val="16"/>
          <w:szCs w:val="16"/>
          <w:color w:val="auto"/>
        </w:rPr>
        <w:t>. Unless we consent in writing to the selection of an alternative forum, the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or purchasing or otherwise acquiring American depositary shares issued pursuant to deposit agreements, shall be deemed to have notice of and consented to this exclusive forum provision. Without prejudice to the foregoing, if this exclusive forum provision is held to be illegal, invalid or unenforceable under applicable law, the legality, validity or enforceability of the rest of the articles of association shall not be affected and this exclusive forum provision shall be interpreted and construed to the maximum extent possible to apply in the relevant jurisdiction with whatever modification or deletion may be necessary so as best to give effect to our intention.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7" w:name="page98"/>
    <w:bookmarkEnd w:id="9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Register of Members</w:t>
      </w:r>
    </w:p>
    <w:p>
      <w:pPr>
        <w:spacing w:after="0" w:line="135" w:lineRule="exact"/>
        <w:rPr>
          <w:sz w:val="20"/>
          <w:szCs w:val="20"/>
          <w:color w:val="auto"/>
        </w:rPr>
      </w:pPr>
    </w:p>
    <w:p>
      <w:pPr>
        <w:ind w:left="460" w:right="599" w:firstLine="432"/>
        <w:spacing w:after="0" w:line="290" w:lineRule="auto"/>
        <w:rPr>
          <w:sz w:val="20"/>
          <w:szCs w:val="20"/>
          <w:color w:val="auto"/>
        </w:rPr>
      </w:pPr>
      <w:r>
        <w:rPr>
          <w:rFonts w:ascii="Arial" w:cs="Arial" w:eastAsia="Arial" w:hAnsi="Arial"/>
          <w:sz w:val="16"/>
          <w:szCs w:val="16"/>
          <w:color w:val="auto"/>
        </w:rPr>
        <w:t>In accordance with Section 48 of the Companies Act, the register of members is prima facie evidence of the registered holder or member of shares of a company. Therefore, a person becomes a registered holder or member of shares of the company only upon entry being made in the register of members. Our directors will maintain one register of members, at the Office of Maples Corporate Services Limited, PO Box 309, Ugland House, Grand Cayman, KY1-1104, Cayman Islands, which provides us with corporate administrative services. We will perform the procedures necessary to register the shares in the register of members as required in “PART III — Distribution of Capital and Liability of Members of Companies and Associations” of the Companies Act, and will ensure that the entries on the register of members are made without any delay.</w:t>
      </w:r>
    </w:p>
    <w:p>
      <w:pPr>
        <w:spacing w:after="0" w:line="71"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color w:val="auto"/>
        </w:rPr>
        <w:t>The depositary will be included in our register of members as the only holder of the common shares underlying the ADSs in this offering. The shares underlying the ADSs are not shares in bearer form, but are in registered form and are “non-negotiable” or “registered” shares in which case the shares underlying the ADSs can only be transferred on the books of the company in accordance with Section 166 of the Companies Act. In the event that we fail to update our register of members, the recourse of investors is directly to the depositary under the terms of the deposit agreement, which is governed by New York law.</w:t>
      </w:r>
    </w:p>
    <w:p>
      <w:pPr>
        <w:spacing w:after="0" w:line="97"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The depositary will have recourse against us under the terms of the deposit agreement, and also will hold a share certificate evidencing the depositary as the registered holder of shares underlying the ADSs. Further, Section 46 of the Companies Act provides members.</w:t>
      </w:r>
    </w:p>
    <w:p>
      <w:pPr>
        <w:spacing w:after="0" w:line="103"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In the event we fail to update our register of member, the depositary, as the aggrieved party, may apply for an order with the courts of the Cayman Islands for the rectification of the register.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Differences in Corporate Law</w:t>
      </w:r>
    </w:p>
    <w:p>
      <w:pPr>
        <w:spacing w:after="0" w:line="162" w:lineRule="exact"/>
        <w:rPr>
          <w:sz w:val="20"/>
          <w:szCs w:val="20"/>
          <w:color w:val="auto"/>
        </w:rPr>
      </w:pPr>
    </w:p>
    <w:p>
      <w:pPr>
        <w:jc w:val="both"/>
        <w:ind w:left="460" w:right="599" w:firstLine="432"/>
        <w:spacing w:after="0" w:line="263" w:lineRule="auto"/>
        <w:rPr>
          <w:sz w:val="20"/>
          <w:szCs w:val="20"/>
          <w:color w:val="auto"/>
        </w:rPr>
      </w:pPr>
      <w:r>
        <w:rPr>
          <w:rFonts w:ascii="Arial" w:cs="Arial" w:eastAsia="Arial" w:hAnsi="Arial"/>
          <w:sz w:val="18"/>
          <w:szCs w:val="18"/>
          <w:color w:val="auto"/>
        </w:rPr>
        <w:t>The Companies Act is derived, to a large extent, from the older Companies Acts of England but does not follow recent United Kingdom statutory enactments, and accordingly there are significant differences between the Companies Act and the current Companies Act of England.</w:t>
      </w:r>
    </w:p>
    <w:p>
      <w:pPr>
        <w:spacing w:after="0" w:line="116" w:lineRule="exact"/>
        <w:rPr>
          <w:sz w:val="20"/>
          <w:szCs w:val="20"/>
          <w:color w:val="auto"/>
        </w:rPr>
      </w:pPr>
    </w:p>
    <w:p>
      <w:pPr>
        <w:ind w:left="460" w:right="999" w:firstLine="432"/>
        <w:spacing w:after="0" w:line="259" w:lineRule="auto"/>
        <w:rPr>
          <w:sz w:val="20"/>
          <w:szCs w:val="20"/>
          <w:color w:val="auto"/>
        </w:rPr>
      </w:pPr>
      <w:r>
        <w:rPr>
          <w:rFonts w:ascii="Arial" w:cs="Arial" w:eastAsia="Arial" w:hAnsi="Arial"/>
          <w:sz w:val="18"/>
          <w:szCs w:val="18"/>
          <w:color w:val="auto"/>
        </w:rPr>
        <w:t>In addition, the Companies Act differs from laws applicable to United States corporations and their shareholders. Set forth below is a summary of the significant differences between the provisions of the Companies Act applicable to us and the laws applicable to United States corporations and companies incorporated in the State of Delaware.</w:t>
      </w:r>
    </w:p>
    <w:p>
      <w:pPr>
        <w:spacing w:after="0" w:line="106" w:lineRule="exact"/>
        <w:rPr>
          <w:sz w:val="20"/>
          <w:szCs w:val="20"/>
          <w:color w:val="auto"/>
        </w:rPr>
      </w:pPr>
    </w:p>
    <w:p>
      <w:pPr>
        <w:ind w:left="460" w:right="459" w:firstLine="432"/>
        <w:spacing w:after="0" w:line="267" w:lineRule="auto"/>
        <w:rPr>
          <w:sz w:val="20"/>
          <w:szCs w:val="20"/>
          <w:color w:val="auto"/>
        </w:rPr>
      </w:pPr>
      <w:r>
        <w:rPr>
          <w:rFonts w:ascii="Arial" w:cs="Arial" w:eastAsia="Arial" w:hAnsi="Arial"/>
          <w:sz w:val="17"/>
          <w:szCs w:val="17"/>
          <w:b w:val="1"/>
          <w:bCs w:val="1"/>
          <w:i w:val="1"/>
          <w:iCs w:val="1"/>
          <w:color w:val="auto"/>
        </w:rPr>
        <w:t xml:space="preserve">Mergers and Similar Arrangements. </w:t>
      </w:r>
      <w:r>
        <w:rPr>
          <w:rFonts w:ascii="Arial" w:cs="Arial" w:eastAsia="Arial" w:hAnsi="Arial"/>
          <w:sz w:val="17"/>
          <w:szCs w:val="17"/>
          <w:color w:val="auto"/>
        </w:rPr>
        <w:t>The Companies Act permits mergers and consolidations between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22"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8" w:name="page99"/>
    <w:bookmarkEnd w:id="9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03"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10" w:lineRule="exact"/>
        <w:rPr>
          <w:sz w:val="20"/>
          <w:szCs w:val="20"/>
          <w:color w:val="auto"/>
        </w:rPr>
      </w:pPr>
    </w:p>
    <w:p>
      <w:pPr>
        <w:ind w:left="460" w:right="579" w:firstLine="432"/>
        <w:spacing w:after="0" w:line="289" w:lineRule="auto"/>
        <w:rPr>
          <w:sz w:val="20"/>
          <w:szCs w:val="20"/>
          <w:color w:val="auto"/>
        </w:rPr>
      </w:pPr>
      <w:r>
        <w:rPr>
          <w:rFonts w:ascii="Arial" w:cs="Arial" w:eastAsia="Arial" w:hAnsi="Arial"/>
          <w:sz w:val="16"/>
          <w:szCs w:val="16"/>
          <w:color w:val="auto"/>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85" w:lineRule="exact"/>
        <w:rPr>
          <w:sz w:val="20"/>
          <w:szCs w:val="20"/>
          <w:color w:val="auto"/>
        </w:rPr>
      </w:pPr>
    </w:p>
    <w:p>
      <w:pPr>
        <w:ind w:left="1320" w:hanging="434"/>
        <w:spacing w:after="0"/>
        <w:tabs>
          <w:tab w:leader="none" w:pos="1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57" w:lineRule="exact"/>
        <w:rPr>
          <w:rFonts w:ascii="Arial" w:cs="Arial" w:eastAsia="Arial" w:hAnsi="Arial"/>
          <w:sz w:val="18"/>
          <w:szCs w:val="18"/>
          <w:color w:val="auto"/>
        </w:rPr>
      </w:pPr>
    </w:p>
    <w:p>
      <w:pPr>
        <w:ind w:left="1320" w:right="659" w:hanging="434"/>
        <w:spacing w:after="0" w:line="263" w:lineRule="auto"/>
        <w:tabs>
          <w:tab w:leader="none" w:pos="13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16" w:lineRule="exact"/>
        <w:rPr>
          <w:rFonts w:ascii="Arial" w:cs="Arial" w:eastAsia="Arial" w:hAnsi="Arial"/>
          <w:sz w:val="18"/>
          <w:szCs w:val="18"/>
          <w:color w:val="auto"/>
        </w:rPr>
      </w:pPr>
    </w:p>
    <w:p>
      <w:pPr>
        <w:ind w:left="1320" w:right="679" w:hanging="434"/>
        <w:spacing w:after="0" w:line="277" w:lineRule="auto"/>
        <w:tabs>
          <w:tab w:leader="none" w:pos="13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arrangement is such that may be reasonably approved by an intelligent and honest man of that class acting in respect of his interest; and</w:t>
      </w:r>
    </w:p>
    <w:p>
      <w:pPr>
        <w:spacing w:after="0" w:line="89" w:lineRule="exact"/>
        <w:rPr>
          <w:rFonts w:ascii="Arial" w:cs="Arial" w:eastAsia="Arial" w:hAnsi="Arial"/>
          <w:sz w:val="18"/>
          <w:szCs w:val="18"/>
          <w:color w:val="auto"/>
        </w:rPr>
      </w:pPr>
    </w:p>
    <w:p>
      <w:pPr>
        <w:ind w:left="1320" w:right="679" w:hanging="434"/>
        <w:spacing w:after="0" w:line="277" w:lineRule="auto"/>
        <w:tabs>
          <w:tab w:leader="none" w:pos="13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w:t>
      </w:r>
    </w:p>
    <w:p>
      <w:pPr>
        <w:spacing w:after="0" w:line="103"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The Companies Act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27" w:lineRule="exact"/>
        <w:rPr>
          <w:sz w:val="20"/>
          <w:szCs w:val="20"/>
          <w:color w:val="auto"/>
        </w:rPr>
      </w:pPr>
    </w:p>
    <w:p>
      <w:pPr>
        <w:ind w:left="460" w:right="719" w:firstLine="432"/>
        <w:spacing w:after="0" w:line="259"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06"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b w:val="1"/>
          <w:bCs w:val="1"/>
          <w:i w:val="1"/>
          <w:iCs w:val="1"/>
          <w:color w:val="auto"/>
        </w:rPr>
        <w:t xml:space="preserve">Shareholders’ Suits. </w:t>
      </w:r>
      <w:r>
        <w:rPr>
          <w:rFonts w:ascii="Arial" w:cs="Arial" w:eastAsia="Arial" w:hAnsi="Arial"/>
          <w:sz w:val="16"/>
          <w:szCs w:val="16"/>
          <w:color w:val="auto"/>
        </w:rPr>
        <w:t>In principle, we will normally be the proper plaintiff to sue for a wrong done to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Arial" w:cs="Arial" w:eastAsia="Arial" w:hAnsi="Arial"/>
          <w:sz w:val="16"/>
          <w:szCs w:val="16"/>
          <w:i w:val="1"/>
          <w:iCs w:val="1"/>
          <w:color w:val="auto"/>
        </w:rPr>
        <w:t xml:space="preserve">Foss v. Harbottle </w:t>
      </w:r>
      <w:r>
        <w:rPr>
          <w:rFonts w:ascii="Arial" w:cs="Arial" w:eastAsia="Arial" w:hAnsi="Arial"/>
          <w:sz w:val="16"/>
          <w:szCs w:val="16"/>
          <w:color w:val="auto"/>
        </w:rPr>
        <w:t>and the exceptions thereto) so that a non-controlling shareholder may be permitted to</w:t>
      </w:r>
      <w:r>
        <w:rPr>
          <w:rFonts w:ascii="Arial" w:cs="Arial" w:eastAsia="Arial" w:hAnsi="Arial"/>
          <w:sz w:val="16"/>
          <w:szCs w:val="16"/>
          <w:i w:val="1"/>
          <w:iCs w:val="1"/>
          <w:color w:val="auto"/>
        </w:rPr>
        <w:t xml:space="preserve"> </w:t>
      </w:r>
      <w:r>
        <w:rPr>
          <w:rFonts w:ascii="Arial" w:cs="Arial" w:eastAsia="Arial" w:hAnsi="Arial"/>
          <w:sz w:val="16"/>
          <w:szCs w:val="16"/>
          <w:color w:val="auto"/>
        </w:rPr>
        <w:t>commence a class action against or derivative actions in the name of our company to challenge actions where:</w:t>
      </w:r>
    </w:p>
    <w:p>
      <w:pPr>
        <w:spacing w:after="0" w:line="97" w:lineRule="exact"/>
        <w:rPr>
          <w:sz w:val="20"/>
          <w:szCs w:val="20"/>
          <w:color w:val="auto"/>
        </w:rPr>
      </w:pPr>
    </w:p>
    <w:p>
      <w:pPr>
        <w:ind w:left="1320" w:hanging="434"/>
        <w:spacing w:after="0"/>
        <w:tabs>
          <w:tab w:leader="none" w:pos="1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157" w:lineRule="exact"/>
        <w:rPr>
          <w:rFonts w:ascii="Arial" w:cs="Arial" w:eastAsia="Arial" w:hAnsi="Arial"/>
          <w:sz w:val="18"/>
          <w:szCs w:val="18"/>
          <w:color w:val="auto"/>
        </w:rPr>
      </w:pPr>
    </w:p>
    <w:p>
      <w:pPr>
        <w:ind w:left="1320" w:right="739" w:hanging="434"/>
        <w:spacing w:after="0" w:line="277" w:lineRule="auto"/>
        <w:tabs>
          <w:tab w:leader="none" w:pos="13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those who control our company are perpetrating a “fraud on the minority.”</w:t>
      </w:r>
    </w:p>
    <w:p>
      <w:pPr>
        <w:spacing w:after="0" w:line="158"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b w:val="1"/>
          <w:bCs w:val="1"/>
          <w:i w:val="1"/>
          <w:iCs w:val="1"/>
          <w:color w:val="auto"/>
        </w:rPr>
        <w:t xml:space="preserve">Indemnification of Directors and Executive Officers and Limitation of Liability. </w:t>
      </w:r>
      <w:r>
        <w:rPr>
          <w:rFonts w:ascii="Arial" w:cs="Arial" w:eastAsia="Arial" w:hAnsi="Arial"/>
          <w:sz w:val="18"/>
          <w:szCs w:val="18"/>
          <w:color w:val="auto"/>
        </w:rPr>
        <w:t>Cayman Islands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does not limit the extent to which a company’s memorandum and articles of association may provide for indemnification of officers and directors, except to the extent any such provision may be held by the Cayman Islands courts to be</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9" w:name="page100"/>
    <w:bookmarkEnd w:id="9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739"/>
        <w:spacing w:after="0" w:line="296" w:lineRule="auto"/>
        <w:rPr>
          <w:sz w:val="20"/>
          <w:szCs w:val="20"/>
          <w:color w:val="auto"/>
        </w:rPr>
      </w:pPr>
      <w:r>
        <w:rPr>
          <w:rFonts w:ascii="Arial" w:cs="Arial" w:eastAsia="Arial" w:hAnsi="Arial"/>
          <w:sz w:val="16"/>
          <w:szCs w:val="16"/>
          <w:color w:val="auto"/>
        </w:rPr>
        <w:t>contrary to public policy, such as to provide indemnification against civil fraud or the consequences of committing a crime. Our post-offering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spacing w:after="0" w:line="94" w:lineRule="exact"/>
        <w:rPr>
          <w:sz w:val="20"/>
          <w:szCs w:val="20"/>
          <w:color w:val="auto"/>
        </w:rPr>
      </w:pPr>
    </w:p>
    <w:p>
      <w:pPr>
        <w:jc w:val="both"/>
        <w:ind w:left="460" w:right="699" w:firstLine="432"/>
        <w:spacing w:after="0" w:line="263" w:lineRule="auto"/>
        <w:rPr>
          <w:sz w:val="20"/>
          <w:szCs w:val="20"/>
          <w:color w:val="auto"/>
        </w:rPr>
      </w:pPr>
      <w:r>
        <w:rPr>
          <w:rFonts w:ascii="Arial" w:cs="Arial" w:eastAsia="Arial" w:hAnsi="Arial"/>
          <w:sz w:val="18"/>
          <w:szCs w:val="18"/>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16"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as amended, or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06"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Directors’ Fiduciary Duties. </w:t>
      </w:r>
      <w:r>
        <w:rPr>
          <w:rFonts w:ascii="Arial" w:cs="Arial" w:eastAsia="Arial" w:hAnsi="Arial"/>
          <w:sz w:val="16"/>
          <w:szCs w:val="16"/>
          <w:color w:val="auto"/>
        </w:rPr>
        <w:t>Under Delaware corporate law, a director of a Delaware corporation has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03"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personal profit based on his or her position as director (unless the company permits him or her to do so), a duty not to put himself or herself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04"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b w:val="1"/>
          <w:bCs w:val="1"/>
          <w:i w:val="1"/>
          <w:iCs w:val="1"/>
          <w:color w:val="auto"/>
        </w:rPr>
        <w:t xml:space="preserve">Shareholder Action by Written Consent. </w:t>
      </w:r>
      <w:r>
        <w:rPr>
          <w:rFonts w:ascii="Arial" w:cs="Arial" w:eastAsia="Arial" w:hAnsi="Arial"/>
          <w:sz w:val="17"/>
          <w:szCs w:val="17"/>
          <w:color w:val="auto"/>
        </w:rPr>
        <w:t>Under the Delaware General Corporation Law, a corporation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eliminate the right of shareholders to act by written consent by amendment to its certificate of incorporation. Under Cayman Islands Law, a company may eliminate the ability of shareholders to approve corporate matters by way of written resolution signed by or on behalf of each shareholder who would have been entitled to vote on such matters at a general meeting without a meeting being held by amending the articles of association. Our post-offering amended and restated memorandum and articles of association do not allow shareholders to act by written resolutions.</w:t>
      </w:r>
    </w:p>
    <w:p>
      <w:pPr>
        <w:spacing w:after="0" w:line="96"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b w:val="1"/>
          <w:bCs w:val="1"/>
          <w:i w:val="1"/>
          <w:iCs w:val="1"/>
          <w:color w:val="auto"/>
        </w:rPr>
        <w:t xml:space="preserve">Shareholder Proposals. </w:t>
      </w:r>
      <w:r>
        <w:rPr>
          <w:rFonts w:ascii="Arial" w:cs="Arial" w:eastAsia="Arial" w:hAnsi="Arial"/>
          <w:sz w:val="18"/>
          <w:szCs w:val="18"/>
          <w:color w:val="auto"/>
        </w:rPr>
        <w:t>Under the Delaware General Corporation Law, a shareholder has the right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20" w:lineRule="exact"/>
        <w:rPr>
          <w:sz w:val="20"/>
          <w:szCs w:val="20"/>
          <w:color w:val="auto"/>
        </w:rPr>
      </w:pPr>
    </w:p>
    <w:p>
      <w:pPr>
        <w:ind w:left="460" w:right="639" w:firstLine="432"/>
        <w:spacing w:after="0" w:line="301" w:lineRule="auto"/>
        <w:rPr>
          <w:sz w:val="20"/>
          <w:szCs w:val="20"/>
          <w:color w:val="auto"/>
        </w:rPr>
      </w:pPr>
      <w:r>
        <w:rPr>
          <w:rFonts w:ascii="Arial" w:cs="Arial" w:eastAsia="Arial" w:hAnsi="Arial"/>
          <w:sz w:val="16"/>
          <w:szCs w:val="16"/>
          <w:color w:val="auto"/>
        </w:rPr>
        <w:t>With respect to shareholder proposals, Cayman Islands law is essentially the same as Delaware law. The Companies Act does not provide shareholders with an express right to put forth any proposal before an annual meeting of the shareholders. However, the Companies Act may provide shareholders with limited rights to requisition a general meeting, but such rights must be stipulated in the articles of association of the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0" w:name="page101"/>
    <w:bookmarkEnd w:id="10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Any one or more shareholders holding not less than two-thirds of the votes attaching to the total issued and paid up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spacing w:after="0" w:line="120"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b w:val="1"/>
          <w:bCs w:val="1"/>
          <w:i w:val="1"/>
          <w:iCs w:val="1"/>
          <w:color w:val="auto"/>
        </w:rPr>
        <w:t xml:space="preserve">Cumulative Voting. </w:t>
      </w:r>
      <w:r>
        <w:rPr>
          <w:rFonts w:ascii="Arial" w:cs="Arial" w:eastAsia="Arial" w:hAnsi="Arial"/>
          <w:sz w:val="16"/>
          <w:szCs w:val="16"/>
          <w:color w:val="auto"/>
        </w:rPr>
        <w:t>Under the Delaware General Corporation Law, cumulative voting for elections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98"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b w:val="1"/>
          <w:bCs w:val="1"/>
          <w:i w:val="1"/>
          <w:iCs w:val="1"/>
          <w:color w:val="auto"/>
        </w:rPr>
        <w:t xml:space="preserve">Removal of Directors. </w:t>
      </w:r>
      <w:r>
        <w:rPr>
          <w:rFonts w:ascii="Arial" w:cs="Arial" w:eastAsia="Arial" w:hAnsi="Arial"/>
          <w:sz w:val="16"/>
          <w:szCs w:val="16"/>
          <w:color w:val="auto"/>
        </w:rPr>
        <w:t>Under the Delaware General Corporation Law, a director of a corporation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classified board may be removed only for cause with the approval of a majority of the issued and outstanding shares entitled to vote, unless the certificate of incorporation provides otherwise. Under our post-offering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(v) is prohibited by law from being a director; or (vi) is removed from office pursuant to any other provisions of our post-offering amended and restated memorandum and articles of association.</w:t>
      </w:r>
    </w:p>
    <w:p>
      <w:pPr>
        <w:spacing w:after="0" w:line="87"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b w:val="1"/>
          <w:bCs w:val="1"/>
          <w:i w:val="1"/>
          <w:iCs w:val="1"/>
          <w:color w:val="auto"/>
        </w:rPr>
        <w:t xml:space="preserve">Transactions with Interested Shareholders. </w:t>
      </w:r>
      <w:r>
        <w:rPr>
          <w:rFonts w:ascii="Arial" w:cs="Arial" w:eastAsia="Arial" w:hAnsi="Arial"/>
          <w:sz w:val="16"/>
          <w:szCs w:val="16"/>
          <w:color w:val="auto"/>
        </w:rPr>
        <w:t>The Delaware General Corporation Law contains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00"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110"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b w:val="1"/>
          <w:bCs w:val="1"/>
          <w:i w:val="1"/>
          <w:iCs w:val="1"/>
          <w:color w:val="auto"/>
        </w:rPr>
        <w:t xml:space="preserve">Dissolution; Winding up. </w:t>
      </w:r>
      <w:r>
        <w:rPr>
          <w:rFonts w:ascii="Arial" w:cs="Arial" w:eastAsia="Arial" w:hAnsi="Arial"/>
          <w:sz w:val="18"/>
          <w:szCs w:val="18"/>
          <w:color w:val="auto"/>
        </w:rPr>
        <w:t>Under the Delaware General Corporation Law, unless the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issued and outstanding shares. Delaware law allows a Delaware corporation to include in its certificate of incorporation a supermajority voting requirement in connection with dissolutions initiated by the board.</w:t>
      </w:r>
    </w:p>
    <w:p>
      <w:pPr>
        <w:spacing w:after="0" w:line="111"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1" w:name="page102"/>
    <w:bookmarkEnd w:id="10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b w:val="1"/>
          <w:bCs w:val="1"/>
          <w:i w:val="1"/>
          <w:iCs w:val="1"/>
          <w:color w:val="auto"/>
        </w:rPr>
        <w:t xml:space="preserve">Variation of Rights of Shares. </w:t>
      </w:r>
      <w:r>
        <w:rPr>
          <w:rFonts w:ascii="Arial" w:cs="Arial" w:eastAsia="Arial" w:hAnsi="Arial"/>
          <w:sz w:val="18"/>
          <w:szCs w:val="18"/>
          <w:color w:val="auto"/>
        </w:rPr>
        <w:t>Under the Delaware General Corporation Law, a corporation may vary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rights of a class of shares with the approval of a majority of the issued and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27"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b w:val="1"/>
          <w:bCs w:val="1"/>
          <w:i w:val="1"/>
          <w:iCs w:val="1"/>
          <w:color w:val="auto"/>
        </w:rPr>
        <w:t xml:space="preserve">Amendment of Governing Documents. </w:t>
      </w:r>
      <w:r>
        <w:rPr>
          <w:rFonts w:ascii="Arial" w:cs="Arial" w:eastAsia="Arial" w:hAnsi="Arial"/>
          <w:sz w:val="16"/>
          <w:szCs w:val="16"/>
          <w:color w:val="auto"/>
        </w:rPr>
        <w:t>Under the Delaware General Corporation Law, a corporation’s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governing documents may be amended with the approval of a majority of the issued and outstanding shares entitled to vote, unless the certificate of incorporation provides otherwise. Under the Companies Act and our post-offering amended and restated memorandum and articles of association, our memorandum and articles of association may only be amended by a special resolution of our shareholders.</w:t>
      </w:r>
    </w:p>
    <w:p>
      <w:pPr>
        <w:spacing w:after="0" w:line="94"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b w:val="1"/>
          <w:bCs w:val="1"/>
          <w:i w:val="1"/>
          <w:iCs w:val="1"/>
          <w:color w:val="auto"/>
        </w:rPr>
        <w:t xml:space="preserve">Rights of Nonresident or Foreign Shareholders. </w:t>
      </w:r>
      <w:r>
        <w:rPr>
          <w:rFonts w:ascii="Arial" w:cs="Arial" w:eastAsia="Arial" w:hAnsi="Arial"/>
          <w:sz w:val="17"/>
          <w:szCs w:val="17"/>
          <w:color w:val="auto"/>
        </w:rPr>
        <w:t>There are no limitations imposed by our post-offering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amended and restated memorandum and 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History of Securities Issuance</w:t>
      </w:r>
    </w:p>
    <w:p>
      <w:pPr>
        <w:spacing w:after="0" w:line="148"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On June 12, 2023, we issued one Class A ordinary share at par value US$0.00001 to the initial subscriber and such share was transferred to Trident Digital Tech Ltd, an entity owned by our founder, chairman of board of directors and chief executive officer, Mr. Soon Huat Lim, on the same day. On the same day, we issued an additional 49,999,999 Class A ordinary shares to Trident Digital Tech Ltd, at par value.</w:t>
      </w:r>
    </w:p>
    <w:p>
      <w:pPr>
        <w:spacing w:after="0" w:line="90" w:lineRule="exact"/>
        <w:rPr>
          <w:sz w:val="20"/>
          <w:szCs w:val="20"/>
          <w:color w:val="auto"/>
        </w:rPr>
      </w:pPr>
    </w:p>
    <w:p>
      <w:pPr>
        <w:ind w:left="460" w:right="919" w:firstLine="432"/>
        <w:spacing w:after="0" w:line="308" w:lineRule="auto"/>
        <w:rPr>
          <w:sz w:val="20"/>
          <w:szCs w:val="20"/>
          <w:color w:val="auto"/>
        </w:rPr>
      </w:pPr>
      <w:r>
        <w:rPr>
          <w:rFonts w:ascii="Arial" w:cs="Arial" w:eastAsia="Arial" w:hAnsi="Arial"/>
          <w:sz w:val="17"/>
          <w:szCs w:val="17"/>
          <w:color w:val="auto"/>
        </w:rPr>
        <w:t>On June 12, 2023, we issued an aggregate of 275,705,000 Class B ordinary shares, to Trident Group Holdings Ltd and Tri Wealth Ltd, entities owned by Mr. Lim, at par value of US$0.00001 each.</w:t>
      </w:r>
    </w:p>
    <w:p>
      <w:pPr>
        <w:spacing w:after="0" w:line="79"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On July 4, 2023, we issued 10,000,000 Class B ordinary shares to our chief technology officer, Mr. Poh Kiong Tan, at par value.</w:t>
      </w:r>
    </w:p>
    <w:p>
      <w:pPr>
        <w:spacing w:after="0" w:line="89"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On July 4, 2023, we issued 5,000,000 Class B ordinary shares to Trident Verse Ltd, an entity owned by our chief financial officer, Ms. Haiyan Huang, at par value.</w:t>
      </w:r>
    </w:p>
    <w:p>
      <w:pPr>
        <w:spacing w:after="0" w:line="103"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On July 4, 2023, as part of our reorganization in preparation for our financing and listing opportunities outside Singapore, we issued an aggregate of 159,295,000 Class B ordinary shares in the aggregate consideration of approximately US$7,500,000 to certain original shareholders of our operating subsidiaries in Singapore.</w:t>
      </w:r>
    </w:p>
    <w:p>
      <w:pPr>
        <w:spacing w:after="0" w:line="119"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On October 3, 2023, we issued an aggregate of 1,964,286 Class B ordinary shares in the aggregate consideration of US$1,100,000 to certain individual and institutional investors.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14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Citibank, N.A. (“Citibank”) has agreed to act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 - Hong Kong, located at 9/F Citi Tower, One Bay East, 83 Hoi Bun Road, Kwun Tong, Kowloon, Hong Kong</w:t>
      </w:r>
      <w:r>
        <w:rPr>
          <w:rFonts w:ascii="Arial" w:cs="Arial" w:eastAsia="Arial" w:hAnsi="Arial"/>
          <w:sz w:val="33"/>
          <w:szCs w:val="33"/>
          <w:color w:val="auto"/>
          <w:vertAlign w:val="superscript"/>
        </w:rPr>
        <w:t>.</w:t>
      </w:r>
    </w:p>
    <w:p>
      <w:pPr>
        <w:spacing w:after="0" w:line="4" w:lineRule="exact"/>
        <w:rPr>
          <w:sz w:val="20"/>
          <w:szCs w:val="20"/>
          <w:color w:val="auto"/>
        </w:rPr>
      </w:pPr>
    </w:p>
    <w:p>
      <w:pPr>
        <w:ind w:left="460" w:right="559" w:firstLine="432"/>
        <w:spacing w:after="0" w:line="294" w:lineRule="auto"/>
        <w:rPr>
          <w:sz w:val="20"/>
          <w:szCs w:val="20"/>
          <w:color w:val="auto"/>
        </w:rPr>
      </w:pPr>
      <w:r>
        <w:rPr>
          <w:rFonts w:ascii="Arial" w:cs="Arial" w:eastAsia="Arial" w:hAnsi="Arial"/>
          <w:sz w:val="16"/>
          <w:szCs w:val="16"/>
          <w:color w:val="auto"/>
        </w:rPr>
        <w:t>We will appoint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t>
      </w:r>
      <w:r>
        <w:rPr>
          <w:rFonts w:ascii="Arial" w:cs="Arial" w:eastAsia="Arial" w:hAnsi="Arial"/>
          <w:sz w:val="16"/>
          <w:szCs w:val="16"/>
          <w:i w:val="1"/>
          <w:iCs w:val="1"/>
          <w:color w:val="auto"/>
        </w:rPr>
        <w:t>www.sec.gov</w:t>
      </w:r>
      <w:r>
        <w:rPr>
          <w:rFonts w:ascii="Arial" w:cs="Arial" w:eastAsia="Arial" w:hAnsi="Arial"/>
          <w:sz w:val="16"/>
          <w:szCs w:val="16"/>
          <w:color w:val="auto"/>
        </w:rPr>
        <w:t>). Please refer to Registration Number 333-[•] when retrieving such copy.</w:t>
      </w:r>
    </w:p>
    <w:p>
      <w:pPr>
        <w:spacing w:after="0" w:line="95"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83" w:lineRule="exact"/>
        <w:rPr>
          <w:sz w:val="20"/>
          <w:szCs w:val="20"/>
          <w:color w:val="auto"/>
        </w:rPr>
      </w:pPr>
    </w:p>
    <w:p>
      <w:pPr>
        <w:ind w:left="460" w:right="539" w:firstLine="432"/>
        <w:spacing w:after="0" w:line="285" w:lineRule="auto"/>
        <w:rPr>
          <w:sz w:val="20"/>
          <w:szCs w:val="20"/>
          <w:color w:val="auto"/>
        </w:rPr>
      </w:pPr>
      <w:r>
        <w:rPr>
          <w:rFonts w:ascii="Arial" w:cs="Arial" w:eastAsia="Arial" w:hAnsi="Arial"/>
          <w:sz w:val="16"/>
          <w:szCs w:val="16"/>
          <w:color w:val="auto"/>
        </w:rPr>
        <w:t>Each ADS represents the right to receive, and to exercise the beneficial ownership interests in ten (10) Class B ordinary shares that are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ADS-to-Class B ordinary 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spacing w:after="0" w:line="104"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bank. As an ADS holder you appoint the depositary bank to act on your behalf in certain circumstances. The deposit agreement and the ADRs are governed by New York law. However, our obligations to the holders of Class B ordinary shares will continue to be governed by the laws of the Cayman Islands, which may be different from the laws in the United States.</w:t>
      </w:r>
    </w:p>
    <w:p>
      <w:pPr>
        <w:spacing w:after="0" w:line="110"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3" w:name="page104"/>
    <w:bookmarkEnd w:id="10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i w:val="1"/>
          <w:iCs w:val="1"/>
          <w:color w:val="auto"/>
        </w:rPr>
        <w:t>As an owner of ADSs, we will not treat you as one of our shareholders and you will not have direct shareholder rights. The depositary bank will hold on your behalf the shareholder rights attached to the Class B ordinary shares underlying your ADSs. As an owner of ADSs you will be able to exercise the shareholders rights for the Class B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14"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74" w:lineRule="exact"/>
        <w:rPr>
          <w:sz w:val="20"/>
          <w:szCs w:val="20"/>
          <w:color w:val="auto"/>
        </w:rPr>
      </w:pPr>
    </w:p>
    <w:p>
      <w:pPr>
        <w:ind w:left="460" w:right="619" w:firstLine="432"/>
        <w:spacing w:after="0" w:line="272" w:lineRule="auto"/>
        <w:rPr>
          <w:sz w:val="20"/>
          <w:szCs w:val="20"/>
          <w:color w:val="auto"/>
        </w:rPr>
      </w:pPr>
      <w:r>
        <w:rPr>
          <w:rFonts w:ascii="Arial" w:cs="Arial" w:eastAsia="Arial" w:hAnsi="Arial"/>
          <w:sz w:val="17"/>
          <w:szCs w:val="17"/>
          <w:color w:val="auto"/>
        </w:rPr>
        <w:t>The registration of the Class B ordinary shares in the name of the depositary bank or the custodian shall, to the maximum extent permitted by applicable law, vest in the depositary bank or the custodian the record ownership in the applicable Class B ordinary shares with the beneficial ownership rights and interests in such Class B ordinary shares being at all times vested with the beneficial owners of the ADSs representing the Class B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Dividends and Distributions</w:t>
      </w:r>
    </w:p>
    <w:p>
      <w:pPr>
        <w:spacing w:after="0" w:line="148"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Distributions of Cash</w:t>
      </w:r>
    </w:p>
    <w:p>
      <w:pPr>
        <w:spacing w:after="0" w:line="135"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laws and regulations of the Cayman Islands.</w:t>
      </w:r>
    </w:p>
    <w:p>
      <w:pPr>
        <w:spacing w:after="0" w:line="76" w:lineRule="exact"/>
        <w:rPr>
          <w:sz w:val="20"/>
          <w:szCs w:val="20"/>
          <w:color w:val="auto"/>
        </w:rPr>
      </w:pPr>
    </w:p>
    <w:p>
      <w:pPr>
        <w:jc w:val="both"/>
        <w:ind w:left="460" w:right="499" w:firstLine="432"/>
        <w:spacing w:after="0" w:line="311" w:lineRule="auto"/>
        <w:rPr>
          <w:sz w:val="20"/>
          <w:szCs w:val="20"/>
          <w:color w:val="auto"/>
        </w:rPr>
      </w:pPr>
      <w:r>
        <w:rPr>
          <w:rFonts w:ascii="Arial" w:cs="Arial" w:eastAsia="Arial" w:hAnsi="Arial"/>
          <w:sz w:val="16"/>
          <w:szCs w:val="16"/>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54" w:lineRule="exact"/>
        <w:rPr>
          <w:sz w:val="20"/>
          <w:szCs w:val="20"/>
          <w:color w:val="auto"/>
        </w:rPr>
      </w:pPr>
    </w:p>
    <w:p>
      <w:pPr>
        <w:ind w:left="460" w:right="659" w:firstLine="432"/>
        <w:spacing w:after="0" w:line="296" w:lineRule="auto"/>
        <w:rPr>
          <w:sz w:val="20"/>
          <w:szCs w:val="20"/>
          <w:color w:val="auto"/>
        </w:rPr>
      </w:pPr>
      <w:r>
        <w:rPr>
          <w:rFonts w:ascii="Arial" w:cs="Arial" w:eastAsia="Arial" w:hAnsi="Arial"/>
          <w:sz w:val="16"/>
          <w:szCs w:val="16"/>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4" w:name="page105"/>
    <w:bookmarkEnd w:id="10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Distributions of Class B ordinary shares</w:t>
      </w:r>
    </w:p>
    <w:p>
      <w:pPr>
        <w:spacing w:after="0" w:line="148"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 xml:space="preserve">Whenever we make a free distribution of Class B ordinary shares for the securities on deposit with the custodian, we will deposit the applicable number of Class B ordinary shares with the custodian. Upon receipt of confirmation of such deposit, the depositary bank will </w:t>
      </w:r>
      <w:r>
        <w:rPr>
          <w:rFonts w:ascii="Arial" w:cs="Arial" w:eastAsia="Arial" w:hAnsi="Arial"/>
          <w:sz w:val="17"/>
          <w:szCs w:val="17"/>
          <w:u w:val="single" w:color="auto"/>
          <w:color w:val="auto"/>
        </w:rPr>
        <w:t>either</w:t>
      </w:r>
      <w:r>
        <w:rPr>
          <w:rFonts w:ascii="Arial" w:cs="Arial" w:eastAsia="Arial" w:hAnsi="Arial"/>
          <w:sz w:val="17"/>
          <w:szCs w:val="17"/>
          <w:color w:val="auto"/>
        </w:rPr>
        <w:t xml:space="preserve"> distribute to holders new ADSs representing the Class B ordinary shares deposited </w:t>
      </w:r>
      <w:r>
        <w:rPr>
          <w:rFonts w:ascii="Arial" w:cs="Arial" w:eastAsia="Arial" w:hAnsi="Arial"/>
          <w:sz w:val="17"/>
          <w:szCs w:val="17"/>
          <w:u w:val="single" w:color="auto"/>
          <w:color w:val="auto"/>
        </w:rPr>
        <w:t>or</w:t>
      </w:r>
      <w:r>
        <w:rPr>
          <w:rFonts w:ascii="Arial" w:cs="Arial" w:eastAsia="Arial" w:hAnsi="Arial"/>
          <w:sz w:val="17"/>
          <w:szCs w:val="17"/>
          <w:color w:val="auto"/>
        </w:rPr>
        <w:t xml:space="preserve"> modify the ADS-to-Class B ordinary share ratio, in which case each ADS you hold will represent rights and interests in the additional Class B ordinary shares so deposited. Only whole new ADSs will be distributed. Fractional entitlements will be sold and the proceeds of such sale will be distributed as in the case of a cash distribution.</w:t>
      </w:r>
    </w:p>
    <w:p>
      <w:pPr>
        <w:spacing w:after="0" w:line="110" w:lineRule="exact"/>
        <w:rPr>
          <w:sz w:val="20"/>
          <w:szCs w:val="20"/>
          <w:color w:val="auto"/>
        </w:rPr>
      </w:pPr>
    </w:p>
    <w:p>
      <w:pPr>
        <w:ind w:left="460" w:right="619" w:firstLine="432"/>
        <w:spacing w:after="0" w:line="301" w:lineRule="auto"/>
        <w:rPr>
          <w:sz w:val="20"/>
          <w:szCs w:val="20"/>
          <w:color w:val="auto"/>
        </w:rPr>
      </w:pPr>
      <w:r>
        <w:rPr>
          <w:rFonts w:ascii="Arial" w:cs="Arial" w:eastAsia="Arial" w:hAnsi="Arial"/>
          <w:sz w:val="16"/>
          <w:szCs w:val="16"/>
          <w:color w:val="auto"/>
        </w:rPr>
        <w:t>The distribution of new ADSs or the modification of the ADS-to-Class B ordinary shares ratio upon a distribution of Class B ordinary shares will be made net of the fees, expenses, taxes and governmental charges payable by holders under the terms of the deposit agreement. In order to pay such taxes or governmental charges, the depositary bank may sell all or a portion of the new Class B ordinary shares so distributed.</w:t>
      </w:r>
    </w:p>
    <w:p>
      <w:pPr>
        <w:spacing w:after="0" w:line="90"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bank does not distribute new ADSs as described above, it may sell the Class B ordinary shares received upon the terms described in the deposit agreement and will distribute the proceeds of the sale as in the case of a distribution of cash.</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Distributions of Rights</w:t>
      </w:r>
    </w:p>
    <w:p>
      <w:pPr>
        <w:spacing w:after="0" w:line="14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7"/>
          <w:szCs w:val="17"/>
          <w:color w:val="auto"/>
        </w:rPr>
        <w:t>Whenever we intend to distribute rights to subscribe for additional Class B ordinary shares, we will give prior notice to the depositary bank and we will assist the depositary bank in determining whether it is lawful and reasonably practicable to distribute rights to subscribe for additional ADSs to holders.</w:t>
      </w:r>
    </w:p>
    <w:p>
      <w:pPr>
        <w:spacing w:after="0" w:line="98"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Class B ordinary shares other than in the form of ADSs.</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The depositary bank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44" w:lineRule="exact"/>
        <w:rPr>
          <w:sz w:val="20"/>
          <w:szCs w:val="20"/>
          <w:color w:val="auto"/>
        </w:rPr>
      </w:pPr>
    </w:p>
    <w:p>
      <w:pPr>
        <w:ind w:left="1320" w:right="799" w:hanging="434"/>
        <w:spacing w:after="0" w:line="277" w:lineRule="auto"/>
        <w:tabs>
          <w:tab w:leader="none" w:pos="13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bank; or</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144" w:lineRule="exact"/>
        <w:rPr>
          <w:sz w:val="20"/>
          <w:szCs w:val="20"/>
          <w:color w:val="auto"/>
        </w:rPr>
      </w:pPr>
    </w:p>
    <w:p>
      <w:pPr>
        <w:ind w:left="460" w:right="639" w:firstLine="432"/>
        <w:spacing w:after="0" w:line="286" w:lineRule="auto"/>
        <w:rPr>
          <w:sz w:val="20"/>
          <w:szCs w:val="20"/>
          <w:color w:val="auto"/>
        </w:rPr>
      </w:pPr>
      <w:r>
        <w:rPr>
          <w:rFonts w:ascii="Arial" w:cs="Arial" w:eastAsia="Arial" w:hAnsi="Arial"/>
          <w:sz w:val="17"/>
          <w:szCs w:val="17"/>
          <w:color w:val="auto"/>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Elective Distributions</w:t>
      </w:r>
    </w:p>
    <w:p>
      <w:pPr>
        <w:spacing w:after="0" w:line="162"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spacing w:after="0" w:line="119"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the Cayman Islands would receive upon failing to make an election, as more fully described in the deposit agreement.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Other Distributions</w:t>
      </w:r>
    </w:p>
    <w:p>
      <w:pPr>
        <w:spacing w:after="0" w:line="162"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Whenever we intend to distribute property other than cash, Class B ordinary shares or rights to subscribe for additional Class B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spacing w:after="0" w:line="104" w:lineRule="exact"/>
        <w:rPr>
          <w:sz w:val="20"/>
          <w:szCs w:val="20"/>
          <w:color w:val="auto"/>
        </w:rPr>
      </w:pPr>
    </w:p>
    <w:p>
      <w:pPr>
        <w:ind w:left="460" w:right="659" w:firstLine="432"/>
        <w:spacing w:after="0" w:line="311" w:lineRule="auto"/>
        <w:rPr>
          <w:sz w:val="20"/>
          <w:szCs w:val="20"/>
          <w:color w:val="auto"/>
        </w:rPr>
      </w:pPr>
      <w:r>
        <w:rPr>
          <w:rFonts w:ascii="Arial" w:cs="Arial" w:eastAsia="Arial" w:hAnsi="Arial"/>
          <w:sz w:val="16"/>
          <w:szCs w:val="16"/>
          <w:color w:val="auto"/>
        </w:rPr>
        <w:t>If it is reasonably practicable to distribute such property to you and if we request such rights to be made available to you and provide to the depositary bank all of the documentation contemplated in the deposit agreement, the depositary bank will distribute the property to the holders in a manner it deems practicable.</w:t>
      </w:r>
    </w:p>
    <w:p>
      <w:pPr>
        <w:spacing w:after="0" w:line="68" w:lineRule="exact"/>
        <w:rPr>
          <w:sz w:val="20"/>
          <w:szCs w:val="20"/>
          <w:color w:val="auto"/>
        </w:rPr>
      </w:pPr>
    </w:p>
    <w:p>
      <w:pPr>
        <w:jc w:val="both"/>
        <w:ind w:left="460" w:right="639" w:firstLine="432"/>
        <w:spacing w:after="0" w:line="263" w:lineRule="auto"/>
        <w:rPr>
          <w:sz w:val="20"/>
          <w:szCs w:val="20"/>
          <w:color w:val="auto"/>
        </w:rPr>
      </w:pPr>
      <w:r>
        <w:rPr>
          <w:rFonts w:ascii="Arial" w:cs="Arial" w:eastAsia="Arial" w:hAnsi="Arial"/>
          <w:sz w:val="18"/>
          <w:szCs w:val="18"/>
          <w:color w:val="auto"/>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The depositary bank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58" w:lineRule="exact"/>
        <w:rPr>
          <w:sz w:val="20"/>
          <w:szCs w:val="20"/>
          <w:color w:val="auto"/>
        </w:rPr>
      </w:pPr>
    </w:p>
    <w:p>
      <w:pPr>
        <w:ind w:left="1320" w:right="759" w:hanging="434"/>
        <w:spacing w:after="0" w:line="277" w:lineRule="auto"/>
        <w:tabs>
          <w:tab w:leader="none" w:pos="13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request that the property not be distributed to you; or</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bank; or</w:t>
      </w:r>
    </w:p>
    <w:p>
      <w:pPr>
        <w:spacing w:after="0" w:line="157" w:lineRule="exact"/>
        <w:rPr>
          <w:rFonts w:ascii="Arial" w:cs="Arial" w:eastAsia="Arial" w:hAnsi="Arial"/>
          <w:sz w:val="18"/>
          <w:szCs w:val="18"/>
          <w:color w:val="auto"/>
        </w:rPr>
      </w:pPr>
    </w:p>
    <w:p>
      <w:pPr>
        <w:ind w:left="1320" w:right="879" w:hanging="434"/>
        <w:spacing w:after="0" w:line="277" w:lineRule="auto"/>
        <w:tabs>
          <w:tab w:leader="none" w:pos="13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depositary bank determines that all or a portion of the distribution to you is not reasonably practicable.</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Redemption</w:t>
      </w:r>
    </w:p>
    <w:p>
      <w:pPr>
        <w:spacing w:after="0" w:line="148" w:lineRule="exact"/>
        <w:rPr>
          <w:sz w:val="20"/>
          <w:szCs w:val="20"/>
          <w:color w:val="auto"/>
        </w:rPr>
      </w:pPr>
    </w:p>
    <w:p>
      <w:pPr>
        <w:ind w:left="460" w:right="679" w:firstLine="432"/>
        <w:spacing w:after="0" w:line="311" w:lineRule="auto"/>
        <w:rPr>
          <w:sz w:val="20"/>
          <w:szCs w:val="20"/>
          <w:color w:val="auto"/>
        </w:rPr>
      </w:pPr>
      <w:r>
        <w:rPr>
          <w:rFonts w:ascii="Arial" w:cs="Arial" w:eastAsia="Arial" w:hAnsi="Arial"/>
          <w:sz w:val="16"/>
          <w:szCs w:val="16"/>
          <w:color w:val="auto"/>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spacing w:after="0" w:line="81"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 xml:space="preserve">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the depositary bank may determine.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Changes Affecting Class B ordinary shares</w:t>
      </w:r>
    </w:p>
    <w:p>
      <w:pPr>
        <w:spacing w:after="0" w:line="162"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Class B ordinary shares held on deposit for your ADSs may change from time to time. For example, there may be a change in nominal or par value, split-up, cancellation, consolidation or any other reclassification of such Class B ordinary shares or a recapitalization, reorganization, merger, consolidation or sale of assets of the Company.</w:t>
      </w:r>
    </w:p>
    <w:p>
      <w:pPr>
        <w:spacing w:after="0" w:line="106"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If any such change were to occur, your ADSs would, to the extent permitted by law and the deposit agreement, represent the right to receive the property received or exchanged in respect of the Class B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Class B ordinary shares. If the depositary bank may not lawfully distribute such property to you, the depositary bank may sell such property and distribute the net proceeds to you as in the case of a cash distribution.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6" w:name="page107"/>
    <w:bookmarkEnd w:id="10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Issuance of ADSs upon Deposit of Class B ordinary shares</w:t>
      </w:r>
    </w:p>
    <w:p>
      <w:pPr>
        <w:spacing w:after="0" w:line="14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Upon completion of the offering, the Class B ordinary shares being offered pursuant to the prospectus will be deposited by us with the custodian. Upon receipt of confirmation of such deposit, the depositary bank will issue ADSs to the underwriters named in the prospectus. After the completion of the offering, the Class B ordinary shares that are being offered for sale pursuant to the prospectus will be deposited by us with the custodian. Upon receipt of confirmation of such deposit, the depositary bank will issue ADSs to the underwriters named in the prospectus.</w:t>
      </w:r>
    </w:p>
    <w:p>
      <w:pPr>
        <w:spacing w:after="0" w:line="125"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After the closing of the offer, the depositary bank may create ADSs on your behalf if you or your broker deposit Class B ordinary shares with the custodian and provide the certifications and documentation required by the deposit agreement. The depositary bank will deliver these ADSs to the person you indicate only after you pay any applicable issuance fees and any charges and taxes payable for the transfer of the Class B ordinary shares to the custodian. Your ability to deposit Class B ordinary shares and receive ADSs may be limited by U.S. and the Cayman Islands legal considerations applicable at the time of deposit.</w:t>
      </w:r>
    </w:p>
    <w:p>
      <w:pPr>
        <w:spacing w:after="0" w:line="110" w:lineRule="exact"/>
        <w:rPr>
          <w:sz w:val="20"/>
          <w:szCs w:val="20"/>
          <w:color w:val="auto"/>
        </w:rPr>
      </w:pPr>
    </w:p>
    <w:p>
      <w:pPr>
        <w:jc w:val="both"/>
        <w:ind w:left="460" w:right="699" w:firstLine="432"/>
        <w:spacing w:after="0" w:line="286" w:lineRule="auto"/>
        <w:rPr>
          <w:sz w:val="20"/>
          <w:szCs w:val="20"/>
          <w:color w:val="auto"/>
        </w:rPr>
      </w:pPr>
      <w:r>
        <w:rPr>
          <w:rFonts w:ascii="Arial" w:cs="Arial" w:eastAsia="Arial" w:hAnsi="Arial"/>
          <w:sz w:val="17"/>
          <w:szCs w:val="17"/>
          <w:color w:val="auto"/>
        </w:rPr>
        <w:t>The issuance of ADSs may be delayed until the depositary bank or the custodian receives confirmation that all required approvals have been given and that the Class B ordinary shares have been duly transferred to the custodian. The depositary bank will only issue ADSs in whole numbers.</w:t>
      </w:r>
    </w:p>
    <w:p>
      <w:pPr>
        <w:spacing w:after="0" w:line="84" w:lineRule="exact"/>
        <w:rPr>
          <w:sz w:val="20"/>
          <w:szCs w:val="20"/>
          <w:color w:val="auto"/>
        </w:rPr>
      </w:pPr>
    </w:p>
    <w:p>
      <w:pPr>
        <w:jc w:val="both"/>
        <w:ind w:left="460" w:right="699" w:firstLine="432"/>
        <w:spacing w:after="0" w:line="308" w:lineRule="auto"/>
        <w:rPr>
          <w:sz w:val="20"/>
          <w:szCs w:val="20"/>
          <w:color w:val="auto"/>
        </w:rPr>
      </w:pPr>
      <w:r>
        <w:rPr>
          <w:rFonts w:ascii="Arial" w:cs="Arial" w:eastAsia="Arial" w:hAnsi="Arial"/>
          <w:sz w:val="17"/>
          <w:szCs w:val="17"/>
          <w:color w:val="auto"/>
        </w:rPr>
        <w:t>When you make a deposit of Class B ordinary shares, you will be responsible for transferring good and valid title to the depositary bank. As such, you will be deemed to represent and warrant that:</w:t>
      </w:r>
    </w:p>
    <w:p>
      <w:pPr>
        <w:spacing w:after="0" w:line="79" w:lineRule="exact"/>
        <w:rPr>
          <w:sz w:val="20"/>
          <w:szCs w:val="20"/>
          <w:color w:val="auto"/>
        </w:rPr>
      </w:pPr>
    </w:p>
    <w:p>
      <w:pPr>
        <w:ind w:left="1320" w:right="919" w:hanging="434"/>
        <w:spacing w:after="0" w:line="277" w:lineRule="auto"/>
        <w:tabs>
          <w:tab w:leader="none" w:pos="13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Class B ordinary shares are duly authorized, validly issued, fully paid, non-assessable and legally obtained.</w:t>
      </w:r>
    </w:p>
    <w:p>
      <w:pPr>
        <w:spacing w:after="0" w:line="102" w:lineRule="exact"/>
        <w:rPr>
          <w:rFonts w:ascii="Arial" w:cs="Arial" w:eastAsia="Arial" w:hAnsi="Arial"/>
          <w:sz w:val="18"/>
          <w:szCs w:val="18"/>
          <w:color w:val="auto"/>
        </w:rPr>
      </w:pPr>
    </w:p>
    <w:p>
      <w:pPr>
        <w:ind w:left="1320" w:right="659" w:hanging="434"/>
        <w:spacing w:after="0" w:line="277" w:lineRule="auto"/>
        <w:tabs>
          <w:tab w:leader="none" w:pos="13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Class B ordinary shares have been validly waived or exercised.</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You are duly authorized to deposit the Class B ordinary shares.</w:t>
      </w:r>
    </w:p>
    <w:p>
      <w:pPr>
        <w:spacing w:after="0" w:line="157" w:lineRule="exact"/>
        <w:rPr>
          <w:rFonts w:ascii="Arial" w:cs="Arial" w:eastAsia="Arial" w:hAnsi="Arial"/>
          <w:sz w:val="18"/>
          <w:szCs w:val="18"/>
          <w:color w:val="auto"/>
        </w:rPr>
      </w:pPr>
    </w:p>
    <w:p>
      <w:pPr>
        <w:ind w:left="1320" w:right="599" w:hanging="434"/>
        <w:spacing w:after="0" w:line="311" w:lineRule="auto"/>
        <w:tabs>
          <w:tab w:leader="none" w:pos="1315"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Class B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81" w:lineRule="exact"/>
        <w:rPr>
          <w:rFonts w:ascii="Arial" w:cs="Arial" w:eastAsia="Arial" w:hAnsi="Arial"/>
          <w:sz w:val="16"/>
          <w:szCs w:val="16"/>
          <w:color w:val="auto"/>
        </w:rPr>
      </w:pPr>
    </w:p>
    <w:p>
      <w:pPr>
        <w:ind w:left="1320" w:right="1299" w:hanging="434"/>
        <w:spacing w:after="0" w:line="277" w:lineRule="auto"/>
        <w:tabs>
          <w:tab w:leader="none" w:pos="13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Class B ordinary shares presented for deposit have not been stripped of any rights or entitlements.</w:t>
      </w:r>
    </w:p>
    <w:p>
      <w:pPr>
        <w:spacing w:after="0" w:line="89" w:lineRule="exact"/>
        <w:rPr>
          <w:sz w:val="20"/>
          <w:szCs w:val="20"/>
          <w:color w:val="auto"/>
        </w:rPr>
      </w:pPr>
    </w:p>
    <w:p>
      <w:pPr>
        <w:ind w:left="460" w:right="519" w:firstLine="432"/>
        <w:spacing w:after="0" w:line="381" w:lineRule="auto"/>
        <w:rPr>
          <w:sz w:val="20"/>
          <w:szCs w:val="20"/>
          <w:color w:val="auto"/>
        </w:rPr>
      </w:pPr>
      <w:r>
        <w:rPr>
          <w:rFonts w:ascii="Arial" w:cs="Arial" w:eastAsia="Arial" w:hAnsi="Arial"/>
          <w:sz w:val="15"/>
          <w:szCs w:val="15"/>
          <w:color w:val="auto"/>
        </w:rPr>
        <w:t>If any of the representations or warranties are incorrect in any way, we and the depositary bank may, at your cost and expense, take any and all actions necessary to correct the consequences of the misrepresentations.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Transfer, Combination and Split Up of ADRs</w:t>
      </w:r>
    </w:p>
    <w:p>
      <w:pPr>
        <w:spacing w:after="0" w:line="162" w:lineRule="exact"/>
        <w:rPr>
          <w:sz w:val="20"/>
          <w:szCs w:val="20"/>
          <w:color w:val="auto"/>
        </w:rPr>
      </w:pPr>
    </w:p>
    <w:p>
      <w:pPr>
        <w:jc w:val="both"/>
        <w:ind w:left="460" w:right="1139" w:firstLine="432"/>
        <w:spacing w:after="0" w:line="263"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bank and also must:</w:t>
      </w:r>
    </w:p>
    <w:p>
      <w:pPr>
        <w:spacing w:after="0" w:line="116" w:lineRule="exact"/>
        <w:rPr>
          <w:sz w:val="20"/>
          <w:szCs w:val="20"/>
          <w:color w:val="auto"/>
        </w:rPr>
      </w:pPr>
    </w:p>
    <w:p>
      <w:pPr>
        <w:ind w:left="1320" w:hanging="434"/>
        <w:spacing w:after="0"/>
        <w:tabs>
          <w:tab w:leader="none" w:pos="13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ensure that the surrendered ADR is properly endorsed or otherwise in proper form for transfer;</w:t>
      </w:r>
    </w:p>
    <w:p>
      <w:pPr>
        <w:spacing w:after="0" w:line="155" w:lineRule="exact"/>
        <w:rPr>
          <w:rFonts w:ascii="Arial" w:cs="Arial" w:eastAsia="Arial" w:hAnsi="Arial"/>
          <w:sz w:val="17"/>
          <w:szCs w:val="17"/>
          <w:color w:val="auto"/>
        </w:rPr>
      </w:pPr>
    </w:p>
    <w:p>
      <w:pPr>
        <w:ind w:left="1320" w:right="1199" w:hanging="434"/>
        <w:spacing w:after="0" w:line="277" w:lineRule="auto"/>
        <w:tabs>
          <w:tab w:leader="none" w:pos="13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bank deems appropriate;</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57" w:lineRule="exact"/>
        <w:rPr>
          <w:rFonts w:ascii="Arial" w:cs="Arial" w:eastAsia="Arial" w:hAnsi="Arial"/>
          <w:sz w:val="18"/>
          <w:szCs w:val="18"/>
          <w:color w:val="auto"/>
        </w:rPr>
      </w:pPr>
    </w:p>
    <w:p>
      <w:pPr>
        <w:ind w:left="1320" w:right="799" w:hanging="434"/>
        <w:spacing w:after="0" w:line="308" w:lineRule="auto"/>
        <w:tabs>
          <w:tab w:leader="none" w:pos="1315" w:val="left"/>
        </w:tabs>
        <w:numPr>
          <w:ilvl w:val="0"/>
          <w:numId w:val="75"/>
        </w:numPr>
        <w:rPr>
          <w:rFonts w:ascii="Arial" w:cs="Arial" w:eastAsia="Arial" w:hAnsi="Arial"/>
          <w:sz w:val="17"/>
          <w:szCs w:val="17"/>
          <w:color w:val="auto"/>
        </w:rPr>
      </w:pPr>
      <w:r>
        <w:rPr>
          <w:rFonts w:ascii="Arial" w:cs="Arial" w:eastAsia="Arial" w:hAnsi="Arial"/>
          <w:sz w:val="17"/>
          <w:szCs w:val="17"/>
          <w:color w:val="auto"/>
        </w:rPr>
        <w:t>pay all applicable fees, charges, expenses, taxes and other government charges payable by ADR holders pursuant to the terms of the deposit agreement, upon the transfer of ADRs.</w:t>
      </w:r>
    </w:p>
    <w:p>
      <w:pPr>
        <w:spacing w:after="0" w:line="65" w:lineRule="exact"/>
        <w:rPr>
          <w:sz w:val="20"/>
          <w:szCs w:val="20"/>
          <w:color w:val="auto"/>
        </w:rPr>
      </w:pPr>
    </w:p>
    <w:p>
      <w:pPr>
        <w:ind w:left="460" w:right="859" w:firstLine="432"/>
        <w:spacing w:after="0" w:line="259"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7" w:name="page108"/>
    <w:bookmarkEnd w:id="10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Withdrawal of Class B ordinary shares Upon Cancellation of ADSs</w:t>
      </w:r>
    </w:p>
    <w:p>
      <w:pPr>
        <w:spacing w:after="0" w:line="148"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As a holder, you will be entitled to present your ADSs to the depositary bank for cancellation and then receive the corresponding number of underlying Class B ordinary shares at the custodian’s offices. Your ability to withdraw the Class B ordinary shares held in respect of the ADSs may be limited by U.S. and the Cayman Islands law considerations applicable at the time of withdrawal. In order to withdraw the Class B ordinary shares represented by your ADSs, you will be required to pay to the depositary bank the fees for cancellation of ADSs and any charges and taxes payable upon the transfer of the Class B ordinary shares. You assume the risk for delivery of all funds and securities upon withdrawal. Once canceled, the ADSs will not have any rights under the deposit agreement.</w:t>
      </w:r>
    </w:p>
    <w:p>
      <w:pPr>
        <w:spacing w:after="0" w:line="11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If you hold ADSs registered in your name, the depositary bank may ask you to provide proof of identity and genuineness of any signature and such other documents as the depositary bank may deem appropriate before it will cancel your ADSs. The withdrawal of the Class B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You will have the right to withdraw the securities represented by your ADSs at any time except for:</w:t>
      </w:r>
    </w:p>
    <w:p>
      <w:pPr>
        <w:spacing w:after="0" w:line="144" w:lineRule="exact"/>
        <w:rPr>
          <w:sz w:val="20"/>
          <w:szCs w:val="20"/>
          <w:color w:val="auto"/>
        </w:rPr>
      </w:pPr>
    </w:p>
    <w:p>
      <w:pPr>
        <w:ind w:left="1320" w:right="739" w:hanging="434"/>
        <w:spacing w:after="0" w:line="263" w:lineRule="auto"/>
        <w:tabs>
          <w:tab w:leader="none" w:pos="13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Class B ordinary shares or ADSs are closed, or (ii) Class B ordinary shares are immobilized on account of a shareholders’ meeting or a payment of dividends.</w:t>
      </w:r>
    </w:p>
    <w:p>
      <w:pPr>
        <w:spacing w:after="0" w:line="116" w:lineRule="exact"/>
        <w:rPr>
          <w:rFonts w:ascii="Arial" w:cs="Arial" w:eastAsia="Arial" w:hAnsi="Arial"/>
          <w:sz w:val="18"/>
          <w:szCs w:val="18"/>
          <w:color w:val="auto"/>
        </w:rPr>
      </w:pPr>
    </w:p>
    <w:p>
      <w:pPr>
        <w:ind w:left="1320" w:hanging="434"/>
        <w:spacing w:after="0"/>
        <w:tabs>
          <w:tab w:leader="none" w:pos="1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57" w:lineRule="exact"/>
        <w:rPr>
          <w:rFonts w:ascii="Arial" w:cs="Arial" w:eastAsia="Arial" w:hAnsi="Arial"/>
          <w:sz w:val="18"/>
          <w:szCs w:val="18"/>
          <w:color w:val="auto"/>
        </w:rPr>
      </w:pPr>
    </w:p>
    <w:p>
      <w:pPr>
        <w:ind w:left="1320" w:right="1019" w:hanging="434"/>
        <w:spacing w:after="0" w:line="277" w:lineRule="auto"/>
        <w:tabs>
          <w:tab w:leader="none" w:pos="13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89"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Voting Rights</w:t>
      </w:r>
    </w:p>
    <w:p>
      <w:pPr>
        <w:spacing w:after="0" w:line="162" w:lineRule="exact"/>
        <w:rPr>
          <w:sz w:val="20"/>
          <w:szCs w:val="20"/>
          <w:color w:val="auto"/>
        </w:rPr>
      </w:pPr>
    </w:p>
    <w:p>
      <w:pPr>
        <w:ind w:left="460" w:right="719" w:firstLine="432"/>
        <w:spacing w:after="0" w:line="286" w:lineRule="auto"/>
        <w:rPr>
          <w:sz w:val="20"/>
          <w:szCs w:val="20"/>
          <w:color w:val="auto"/>
        </w:rPr>
      </w:pPr>
      <w:r>
        <w:rPr>
          <w:rFonts w:ascii="Arial" w:cs="Arial" w:eastAsia="Arial" w:hAnsi="Arial"/>
          <w:sz w:val="17"/>
          <w:szCs w:val="17"/>
          <w:color w:val="auto"/>
        </w:rPr>
        <w:t>As a holder, you generally have the right under the deposit agreement to instruct the depositary bank to exercise the voting rights for the Class B ordinary shares represented by your ADSs. The voting rights of holders of Class B ordinary shares are described in “Description of Share Capital”.</w:t>
      </w:r>
    </w:p>
    <w:p>
      <w:pPr>
        <w:spacing w:after="0" w:line="98"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spacing w:after="0" w:line="90"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If the depositary bank timely receives voting instructions from a holder of ADSs, it will endeavor to vote the securities (in person or by proxy) represented by the holder’s ADSs in accordance with such voting instructions as follows:</w:t>
      </w:r>
    </w:p>
    <w:p>
      <w:pPr>
        <w:spacing w:after="0" w:line="116" w:lineRule="exact"/>
        <w:rPr>
          <w:sz w:val="20"/>
          <w:szCs w:val="20"/>
          <w:color w:val="auto"/>
        </w:rPr>
      </w:pPr>
    </w:p>
    <w:p>
      <w:pPr>
        <w:ind w:left="1320" w:right="699" w:hanging="434"/>
        <w:spacing w:after="0" w:line="311" w:lineRule="auto"/>
        <w:tabs>
          <w:tab w:leader="none" w:pos="1315"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In the event of voting by show of hands</w:t>
      </w:r>
      <w:r>
        <w:rPr>
          <w:rFonts w:ascii="Arial" w:cs="Arial" w:eastAsia="Arial" w:hAnsi="Arial"/>
          <w:sz w:val="16"/>
          <w:szCs w:val="16"/>
          <w:color w:val="auto"/>
        </w:rPr>
        <w:t>, the depositary bank will vote (or cause the custodian to</w:t>
      </w:r>
      <w:r>
        <w:rPr>
          <w:rFonts w:ascii="Arial" w:cs="Arial" w:eastAsia="Arial" w:hAnsi="Arial"/>
          <w:sz w:val="16"/>
          <w:szCs w:val="16"/>
          <w:i w:val="1"/>
          <w:iCs w:val="1"/>
          <w:color w:val="auto"/>
        </w:rPr>
        <w:t xml:space="preserve"> </w:t>
      </w:r>
      <w:r>
        <w:rPr>
          <w:rFonts w:ascii="Arial" w:cs="Arial" w:eastAsia="Arial" w:hAnsi="Arial"/>
          <w:sz w:val="16"/>
          <w:szCs w:val="16"/>
          <w:color w:val="auto"/>
        </w:rPr>
        <w:t>vote) all Class B ordinary shares held on deposit at that time in accordance with the voting instructions received from a majority of holders of ADSs who provide timely voting instructions.</w:t>
      </w:r>
    </w:p>
    <w:p>
      <w:pPr>
        <w:spacing w:after="0" w:line="81" w:lineRule="exact"/>
        <w:rPr>
          <w:rFonts w:ascii="Arial" w:cs="Arial" w:eastAsia="Arial" w:hAnsi="Arial"/>
          <w:sz w:val="16"/>
          <w:szCs w:val="16"/>
          <w:color w:val="auto"/>
        </w:rPr>
      </w:pPr>
    </w:p>
    <w:p>
      <w:pPr>
        <w:ind w:left="1320" w:right="479" w:hanging="434"/>
        <w:spacing w:after="0" w:line="263" w:lineRule="auto"/>
        <w:tabs>
          <w:tab w:leader="none" w:pos="1315"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bank will vote (or cause the Custodian to vote) the</w:t>
      </w:r>
      <w:r>
        <w:rPr>
          <w:rFonts w:ascii="Arial" w:cs="Arial" w:eastAsia="Arial" w:hAnsi="Arial"/>
          <w:sz w:val="18"/>
          <w:szCs w:val="18"/>
          <w:i w:val="1"/>
          <w:iCs w:val="1"/>
          <w:color w:val="auto"/>
        </w:rPr>
        <w:t xml:space="preserve"> </w:t>
      </w:r>
      <w:r>
        <w:rPr>
          <w:rFonts w:ascii="Arial" w:cs="Arial" w:eastAsia="Arial" w:hAnsi="Arial"/>
          <w:sz w:val="18"/>
          <w:szCs w:val="18"/>
          <w:color w:val="auto"/>
        </w:rPr>
        <w:t>Class B ordinary shares held on deposit in accordance with the voting instructions received from the holders of ADSs.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8" w:name="page109"/>
    <w:bookmarkEnd w:id="10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Securities for which no voting instructions have been received will not be voted (except (a) as set forth above in the case voting is by show of hands, (b) in the event of voting by poll, holders of ADSs in respect of which no timely voting instructions have been received shall be deemed to have instructed the depositary to give a discretionary proxy to a person designated by us to vote the ordinary shares represented by such holders’ ADSs;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 and (c) as otherwise contemplated in the deposit agreement). 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Fees and Charges</w:t>
      </w:r>
    </w:p>
    <w:p>
      <w:pPr>
        <w:spacing w:after="0" w:line="162" w:lineRule="exact"/>
        <w:rPr>
          <w:sz w:val="20"/>
          <w:szCs w:val="20"/>
          <w:color w:val="auto"/>
        </w:rPr>
      </w:pPr>
    </w:p>
    <w:p>
      <w:pPr>
        <w:ind w:left="460" w:right="1259" w:firstLine="432"/>
        <w:spacing w:after="0" w:line="277" w:lineRule="auto"/>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260" w:type="dxa"/>
            <w:vAlign w:val="bottom"/>
            <w:gridSpan w:val="2"/>
          </w:tcPr>
          <w:p>
            <w:pPr>
              <w:spacing w:after="0"/>
              <w:rPr>
                <w:sz w:val="20"/>
                <w:szCs w:val="20"/>
                <w:color w:val="auto"/>
              </w:rPr>
            </w:pPr>
            <w:r>
              <w:rPr>
                <w:rFonts w:ascii="Arial" w:cs="Arial" w:eastAsia="Arial" w:hAnsi="Arial"/>
                <w:sz w:val="16"/>
                <w:szCs w:val="16"/>
                <w:b w:val="1"/>
                <w:bCs w:val="1"/>
                <w:color w:val="auto"/>
              </w:rPr>
              <w:t>Service</w:t>
            </w:r>
          </w:p>
        </w:tc>
        <w:tc>
          <w:tcPr>
            <w:tcW w:w="3840" w:type="dxa"/>
            <w:vAlign w:val="bottom"/>
          </w:tcPr>
          <w:p>
            <w:pPr>
              <w:ind w:left="1760"/>
              <w:spacing w:after="0"/>
              <w:rPr>
                <w:sz w:val="20"/>
                <w:szCs w:val="20"/>
                <w:color w:val="auto"/>
              </w:rPr>
            </w:pPr>
            <w:r>
              <w:rPr>
                <w:rFonts w:ascii="Arial" w:cs="Arial" w:eastAsia="Arial" w:hAnsi="Arial"/>
                <w:sz w:val="16"/>
                <w:szCs w:val="16"/>
                <w:b w:val="1"/>
                <w:bCs w:val="1"/>
                <w:color w:val="auto"/>
              </w:rPr>
              <w:t>Fees</w:t>
            </w:r>
          </w:p>
        </w:tc>
        <w:tc>
          <w:tcPr>
            <w:tcW w:w="0" w:type="dxa"/>
            <w:vAlign w:val="bottom"/>
          </w:tcPr>
          <w:p>
            <w:pPr>
              <w:spacing w:after="0"/>
              <w:rPr>
                <w:sz w:val="1"/>
                <w:szCs w:val="1"/>
                <w:color w:val="auto"/>
              </w:rPr>
            </w:pPr>
          </w:p>
        </w:tc>
      </w:tr>
      <w:tr>
        <w:trPr>
          <w:trHeight w:val="46"/>
        </w:trPr>
        <w:tc>
          <w:tcPr>
            <w:tcW w:w="4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160" w:type="dxa"/>
            <w:vAlign w:val="bottom"/>
          </w:tcPr>
          <w:p>
            <w:pPr>
              <w:spacing w:after="0" w:line="195" w:lineRule="exact"/>
              <w:rPr>
                <w:sz w:val="20"/>
                <w:szCs w:val="20"/>
                <w:color w:val="auto"/>
              </w:rPr>
            </w:pPr>
            <w:r>
              <w:rPr>
                <w:rFonts w:ascii="Arial" w:cs="Arial" w:eastAsia="Arial" w:hAnsi="Arial"/>
                <w:sz w:val="18"/>
                <w:szCs w:val="18"/>
                <w:color w:val="auto"/>
                <w:w w:val="96"/>
              </w:rPr>
              <w:t>•  Issuance of ADSs (e.g., an issuance of ADS upon a</w:t>
            </w:r>
          </w:p>
        </w:tc>
        <w:tc>
          <w:tcPr>
            <w:tcW w:w="100" w:type="dxa"/>
            <w:vAlign w:val="bottom"/>
            <w:vMerge w:val="continue"/>
          </w:tcPr>
          <w:p>
            <w:pPr>
              <w:spacing w:after="0"/>
              <w:rPr>
                <w:sz w:val="16"/>
                <w:szCs w:val="16"/>
                <w:color w:val="auto"/>
              </w:rPr>
            </w:pPr>
          </w:p>
        </w:tc>
        <w:tc>
          <w:tcPr>
            <w:tcW w:w="3840" w:type="dxa"/>
            <w:vAlign w:val="bottom"/>
          </w:tcPr>
          <w:p>
            <w:pPr>
              <w:spacing w:after="0" w:line="195" w:lineRule="exact"/>
              <w:rPr>
                <w:sz w:val="20"/>
                <w:szCs w:val="20"/>
                <w:color w:val="auto"/>
              </w:rPr>
            </w:pPr>
            <w:r>
              <w:rPr>
                <w:rFonts w:ascii="Arial" w:cs="Arial" w:eastAsia="Arial" w:hAnsi="Arial"/>
                <w:sz w:val="18"/>
                <w:szCs w:val="18"/>
                <w:color w:val="auto"/>
              </w:rPr>
              <w:t>Up to U.S. 5¢ per ADS issued</w:t>
            </w: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Arial" w:cs="Arial" w:eastAsia="Arial" w:hAnsi="Arial"/>
                <w:sz w:val="18"/>
                <w:szCs w:val="18"/>
                <w:color w:val="auto"/>
                <w:w w:val="95"/>
              </w:rPr>
              <w:t>deposit of Class B ordinary shares, upon a change in</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Arial" w:cs="Arial" w:eastAsia="Arial" w:hAnsi="Arial"/>
                <w:sz w:val="18"/>
                <w:szCs w:val="18"/>
                <w:color w:val="auto"/>
                <w:w w:val="98"/>
              </w:rPr>
              <w:t>the ADS(s)-to-Class B ordinary share(s) ratio, or for</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Arial" w:cs="Arial" w:eastAsia="Arial" w:hAnsi="Arial"/>
                <w:sz w:val="18"/>
                <w:szCs w:val="18"/>
                <w:color w:val="auto"/>
                <w:w w:val="90"/>
              </w:rPr>
              <w:t>any other reason), excluding ADS issuances as a result</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ind w:left="220"/>
              <w:spacing w:after="0"/>
              <w:rPr>
                <w:sz w:val="20"/>
                <w:szCs w:val="20"/>
                <w:color w:val="auto"/>
              </w:rPr>
            </w:pPr>
            <w:r>
              <w:rPr>
                <w:rFonts w:ascii="Arial" w:cs="Arial" w:eastAsia="Arial" w:hAnsi="Arial"/>
                <w:sz w:val="18"/>
                <w:szCs w:val="18"/>
                <w:color w:val="auto"/>
              </w:rPr>
              <w:t>of distributions of Class B ordinary shares)</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80" w:right="1899" w:hanging="226"/>
        <w:spacing w:after="0" w:line="258" w:lineRule="auto"/>
        <w:tabs>
          <w:tab w:leader="none" w:pos="6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Cancellation of ADSs (e.g., a cancellation of ADSs for Up to U.S. 5¢ per ADS cancelled delivery of deposited property, upon a change in the</w:t>
      </w:r>
    </w:p>
    <w:p>
      <w:pPr>
        <w:spacing w:after="0" w:line="1" w:lineRule="exact"/>
        <w:rPr>
          <w:rFonts w:ascii="Arial" w:cs="Arial" w:eastAsia="Arial" w:hAnsi="Arial"/>
          <w:sz w:val="18"/>
          <w:szCs w:val="18"/>
          <w:color w:val="auto"/>
        </w:rPr>
      </w:pPr>
    </w:p>
    <w:p>
      <w:pPr>
        <w:ind w:left="680" w:right="4539"/>
        <w:spacing w:after="0" w:line="260" w:lineRule="auto"/>
        <w:rPr>
          <w:rFonts w:ascii="Arial" w:cs="Arial" w:eastAsia="Arial" w:hAnsi="Arial"/>
          <w:sz w:val="18"/>
          <w:szCs w:val="18"/>
          <w:color w:val="auto"/>
        </w:rPr>
      </w:pPr>
      <w:r>
        <w:rPr>
          <w:rFonts w:ascii="Arial" w:cs="Arial" w:eastAsia="Arial" w:hAnsi="Arial"/>
          <w:sz w:val="18"/>
          <w:szCs w:val="18"/>
          <w:color w:val="auto"/>
        </w:rPr>
        <w:t>ADS(s)-to-Class B ordinary share(s) ratio, or for any other reason)</w:t>
      </w:r>
    </w:p>
    <w:p>
      <w:pPr>
        <w:spacing w:after="0" w:line="158" w:lineRule="exact"/>
        <w:rPr>
          <w:sz w:val="20"/>
          <w:szCs w:val="20"/>
          <w:color w:val="auto"/>
        </w:rPr>
      </w:pPr>
    </w:p>
    <w:p>
      <w:pPr>
        <w:ind w:left="460"/>
        <w:spacing w:after="0"/>
        <w:tabs>
          <w:tab w:leader="none" w:pos="4700" w:val="left"/>
        </w:tabs>
        <w:rPr>
          <w:sz w:val="20"/>
          <w:szCs w:val="20"/>
          <w:color w:val="auto"/>
        </w:rPr>
      </w:pPr>
      <w:r>
        <w:rPr>
          <w:rFonts w:ascii="Arial" w:cs="Arial" w:eastAsia="Arial" w:hAnsi="Arial"/>
          <w:sz w:val="18"/>
          <w:szCs w:val="18"/>
          <w:color w:val="auto"/>
        </w:rPr>
        <w:t>•  Distribution of cash dividends or other cash</w:t>
      </w:r>
      <w:r>
        <w:rPr>
          <w:sz w:val="20"/>
          <w:szCs w:val="20"/>
          <w:color w:val="auto"/>
        </w:rPr>
        <w:tab/>
      </w:r>
      <w:r>
        <w:rPr>
          <w:rFonts w:ascii="Arial" w:cs="Arial" w:eastAsia="Arial" w:hAnsi="Arial"/>
          <w:sz w:val="16"/>
          <w:szCs w:val="16"/>
          <w:color w:val="auto"/>
        </w:rPr>
        <w:t>Up to U.S. 5¢ per ADS held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distributions (e.g., upon a sale of rights and other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entitlements)</w:t>
      </w:r>
    </w:p>
    <w:p>
      <w:pPr>
        <w:spacing w:after="0" w:line="184" w:lineRule="exact"/>
        <w:rPr>
          <w:sz w:val="20"/>
          <w:szCs w:val="20"/>
          <w:color w:val="auto"/>
        </w:rPr>
      </w:pPr>
    </w:p>
    <w:p>
      <w:pPr>
        <w:ind w:left="460"/>
        <w:spacing w:after="0"/>
        <w:tabs>
          <w:tab w:leader="none" w:pos="4700" w:val="left"/>
        </w:tabs>
        <w:rPr>
          <w:sz w:val="20"/>
          <w:szCs w:val="20"/>
          <w:color w:val="auto"/>
        </w:rPr>
      </w:pPr>
      <w:r>
        <w:rPr>
          <w:rFonts w:ascii="Arial" w:cs="Arial" w:eastAsia="Arial" w:hAnsi="Arial"/>
          <w:sz w:val="18"/>
          <w:szCs w:val="18"/>
          <w:color w:val="auto"/>
        </w:rPr>
        <w:t>•  Distribution of ADSs pursuant to (i) stock dividends</w:t>
      </w:r>
      <w:r>
        <w:rPr>
          <w:sz w:val="20"/>
          <w:szCs w:val="20"/>
          <w:color w:val="auto"/>
        </w:rPr>
        <w:tab/>
      </w:r>
      <w:r>
        <w:rPr>
          <w:rFonts w:ascii="Arial" w:cs="Arial" w:eastAsia="Arial" w:hAnsi="Arial"/>
          <w:sz w:val="16"/>
          <w:szCs w:val="16"/>
          <w:color w:val="auto"/>
        </w:rPr>
        <w:t>Up to U.S. 5¢ per ADS held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or other free stock distributions, or (ii) exercise of</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rights to purchase additional ADSs</w:t>
      </w:r>
    </w:p>
    <w:p>
      <w:pPr>
        <w:spacing w:after="0" w:line="184" w:lineRule="exact"/>
        <w:rPr>
          <w:sz w:val="20"/>
          <w:szCs w:val="20"/>
          <w:color w:val="auto"/>
        </w:rPr>
      </w:pPr>
    </w:p>
    <w:p>
      <w:pPr>
        <w:ind w:left="460"/>
        <w:spacing w:after="0"/>
        <w:tabs>
          <w:tab w:leader="none" w:pos="4700" w:val="left"/>
        </w:tabs>
        <w:rPr>
          <w:sz w:val="20"/>
          <w:szCs w:val="20"/>
          <w:color w:val="auto"/>
        </w:rPr>
      </w:pPr>
      <w:r>
        <w:rPr>
          <w:rFonts w:ascii="Arial" w:cs="Arial" w:eastAsia="Arial" w:hAnsi="Arial"/>
          <w:sz w:val="18"/>
          <w:szCs w:val="18"/>
          <w:color w:val="auto"/>
        </w:rPr>
        <w:t>•  Distribution of financial instruments, including, but</w:t>
      </w:r>
      <w:r>
        <w:rPr>
          <w:sz w:val="20"/>
          <w:szCs w:val="20"/>
          <w:color w:val="auto"/>
        </w:rPr>
        <w:tab/>
      </w:r>
      <w:r>
        <w:rPr>
          <w:rFonts w:ascii="Arial" w:cs="Arial" w:eastAsia="Arial" w:hAnsi="Arial"/>
          <w:sz w:val="16"/>
          <w:szCs w:val="16"/>
          <w:color w:val="auto"/>
        </w:rPr>
        <w:t>Up to U.S. 5¢ per ADS held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limited to, securities other than ADSs or rights to</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purchase additional ADSs (e.g., spin-off shares and</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contingent value rights)</w:t>
      </w:r>
    </w:p>
    <w:p>
      <w:pPr>
        <w:sectPr>
          <w:pgSz w:w="11900" w:h="16838" w:orient="portrait"/>
          <w:cols w:equalWidth="0" w:num="1">
            <w:col w:w="9019"/>
          </w:cols>
          <w:pgMar w:left="1440" w:top="274" w:right="1440" w:bottom="1440" w:gutter="0" w:footer="0" w:header="0"/>
        </w:sectPr>
      </w:pPr>
    </w:p>
    <w:p>
      <w:pPr>
        <w:spacing w:after="0" w:line="184" w:lineRule="exact"/>
        <w:rPr>
          <w:sz w:val="20"/>
          <w:szCs w:val="20"/>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ADS Services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80" w:hanging="226"/>
        <w:spacing w:after="0" w:line="259" w:lineRule="auto"/>
        <w:tabs>
          <w:tab w:leader="none" w:pos="662"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Registration of ADS transfers (e.g., upon a registration of the transfer of registered ownership of ADSs, upon a transfer of ADSs into DTC and </w:t>
      </w:r>
      <w:r>
        <w:rPr>
          <w:rFonts w:ascii="Arial" w:cs="Arial" w:eastAsia="Arial" w:hAnsi="Arial"/>
          <w:sz w:val="18"/>
          <w:szCs w:val="18"/>
          <w:i w:val="1"/>
          <w:iCs w:val="1"/>
          <w:color w:val="auto"/>
        </w:rPr>
        <w:t>vice versa</w:t>
      </w:r>
      <w:r>
        <w:rPr>
          <w:rFonts w:ascii="Arial" w:cs="Arial" w:eastAsia="Arial" w:hAnsi="Arial"/>
          <w:sz w:val="18"/>
          <w:szCs w:val="18"/>
          <w:color w:val="auto"/>
        </w:rPr>
        <w:t>, or for any other reason)</w:t>
      </w:r>
    </w:p>
    <w:p>
      <w:pPr>
        <w:spacing w:after="0" w:line="159" w:lineRule="exact"/>
        <w:rPr>
          <w:rFonts w:ascii="Arial" w:cs="Arial" w:eastAsia="Arial" w:hAnsi="Arial"/>
          <w:sz w:val="18"/>
          <w:szCs w:val="18"/>
          <w:color w:val="auto"/>
        </w:rPr>
      </w:pPr>
    </w:p>
    <w:p>
      <w:pPr>
        <w:ind w:left="680" w:right="20" w:hanging="226"/>
        <w:spacing w:after="0" w:line="290" w:lineRule="auto"/>
        <w:tabs>
          <w:tab w:leader="none" w:pos="662"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Arial" w:cs="Arial" w:eastAsia="Arial" w:hAnsi="Arial"/>
          <w:sz w:val="16"/>
          <w:szCs w:val="16"/>
          <w:i w:val="1"/>
          <w:iCs w:val="1"/>
          <w:color w:val="auto"/>
        </w:rPr>
        <w:t>vice versa</w:t>
      </w:r>
      <w:r>
        <w:rPr>
          <w:rFonts w:ascii="Arial" w:cs="Arial" w:eastAsia="Arial" w:hAnsi="Arial"/>
          <w:sz w:val="16"/>
          <w:szCs w:val="16"/>
          <w:color w:val="auto"/>
        </w:rPr>
        <w:t>) or conversion of ADSs for unsponsored American Depositary Shares (e.g., upon termination of the Deposit Agreement).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499"/>
        <w:spacing w:after="0" w:line="308" w:lineRule="auto"/>
        <w:rPr>
          <w:sz w:val="20"/>
          <w:szCs w:val="20"/>
          <w:color w:val="auto"/>
        </w:rPr>
      </w:pPr>
      <w:r>
        <w:rPr>
          <w:rFonts w:ascii="Arial" w:cs="Arial" w:eastAsia="Arial" w:hAnsi="Arial"/>
          <w:sz w:val="17"/>
          <w:szCs w:val="17"/>
          <w:color w:val="auto"/>
        </w:rPr>
        <w:t>Up to U.S. 5¢ per ADS held on the applicable record date(s) established by the depositary bank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Up to U.S. 5¢ per ADS (or fraction thereof)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transferred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Up to U.S. 5¢ per ADS (or fraction thereof)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converted</w:t>
      </w:r>
    </w:p>
    <w:p>
      <w:pPr>
        <w:spacing w:after="0" w:line="1520" w:lineRule="exact"/>
        <w:rPr>
          <w:sz w:val="20"/>
          <w:szCs w:val="20"/>
          <w:color w:val="auto"/>
        </w:rPr>
      </w:pPr>
    </w:p>
    <w:p>
      <w:pPr>
        <w:sectPr>
          <w:pgSz w:w="11900" w:h="16838" w:orient="portrait"/>
          <w:cols w:equalWidth="0" w:num="2">
            <w:col w:w="4600" w:space="120"/>
            <w:col w:w="429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9" w:name="page110"/>
    <w:bookmarkEnd w:id="10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58" w:lineRule="exact"/>
        <w:rPr>
          <w:sz w:val="20"/>
          <w:szCs w:val="20"/>
          <w:color w:val="auto"/>
        </w:rPr>
      </w:pPr>
    </w:p>
    <w:p>
      <w:pPr>
        <w:ind w:left="1320" w:hanging="434"/>
        <w:spacing w:after="0"/>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57" w:lineRule="exact"/>
        <w:rPr>
          <w:rFonts w:ascii="Arial" w:cs="Arial" w:eastAsia="Arial" w:hAnsi="Arial"/>
          <w:sz w:val="18"/>
          <w:szCs w:val="18"/>
          <w:color w:val="auto"/>
        </w:rPr>
      </w:pPr>
    </w:p>
    <w:p>
      <w:pPr>
        <w:ind w:left="1320" w:right="739" w:hanging="434"/>
        <w:spacing w:after="0" w:line="259" w:lineRule="auto"/>
        <w:tabs>
          <w:tab w:leader="none" w:pos="13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Class B ordinary shares on the share register and applicable to transfers of Class B ordinary shares to or from the name of the custodian, the depositary bank or any nominees upon the making of deposits and withdrawals, respectively;</w:t>
      </w:r>
    </w:p>
    <w:p>
      <w:pPr>
        <w:spacing w:after="0" w:line="105" w:lineRule="exact"/>
        <w:rPr>
          <w:rFonts w:ascii="Arial" w:cs="Arial" w:eastAsia="Arial" w:hAnsi="Arial"/>
          <w:sz w:val="18"/>
          <w:szCs w:val="18"/>
          <w:color w:val="auto"/>
        </w:rPr>
      </w:pPr>
    </w:p>
    <w:p>
      <w:pPr>
        <w:ind w:left="1320" w:hanging="434"/>
        <w:spacing w:after="0"/>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57" w:lineRule="exact"/>
        <w:rPr>
          <w:rFonts w:ascii="Arial" w:cs="Arial" w:eastAsia="Arial" w:hAnsi="Arial"/>
          <w:sz w:val="18"/>
          <w:szCs w:val="18"/>
          <w:color w:val="auto"/>
        </w:rPr>
      </w:pPr>
    </w:p>
    <w:p>
      <w:pPr>
        <w:ind w:left="1320" w:right="579" w:hanging="434"/>
        <w:spacing w:after="0" w:line="263" w:lineRule="auto"/>
        <w:tabs>
          <w:tab w:leader="none" w:pos="13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fees, expenses, spreads, taxes and other charges of the depositary bank and/or service providers (which may be a division, branch or affiliate of the depositary bank) in the conversion of foreign currency;</w:t>
      </w:r>
    </w:p>
    <w:p>
      <w:pPr>
        <w:spacing w:after="0" w:line="116" w:lineRule="exact"/>
        <w:rPr>
          <w:rFonts w:ascii="Arial" w:cs="Arial" w:eastAsia="Arial" w:hAnsi="Arial"/>
          <w:sz w:val="18"/>
          <w:szCs w:val="18"/>
          <w:color w:val="auto"/>
        </w:rPr>
      </w:pPr>
    </w:p>
    <w:p>
      <w:pPr>
        <w:jc w:val="both"/>
        <w:ind w:left="1320" w:right="519" w:hanging="434"/>
        <w:spacing w:after="0" w:line="263" w:lineRule="auto"/>
        <w:tabs>
          <w:tab w:leader="none" w:pos="13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reasonable and customary out-of-pocket expenses incurred by the depositary bank in connection with compliance with exchange control regulations and other regulatory requirements applicable to Class B ordinary shares, ADSs and ADRs;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fees, charges, costs and expenses incurred by the depositary bank, the custodian, or any nominee in connection with the ADR program; and</w:t>
      </w:r>
    </w:p>
    <w:p>
      <w:pPr>
        <w:spacing w:after="0" w:line="102" w:lineRule="exact"/>
        <w:rPr>
          <w:rFonts w:ascii="Arial" w:cs="Arial" w:eastAsia="Arial" w:hAnsi="Arial"/>
          <w:sz w:val="18"/>
          <w:szCs w:val="18"/>
          <w:color w:val="auto"/>
        </w:rPr>
      </w:pPr>
    </w:p>
    <w:p>
      <w:pPr>
        <w:ind w:left="1320" w:right="839" w:hanging="434"/>
        <w:spacing w:after="0" w:line="263" w:lineRule="auto"/>
        <w:tabs>
          <w:tab w:leader="none" w:pos="13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deposit agreement pursuant to any ancillary agreement to the deposit agreement in respect of the ADR program, the ADSs and the ADRs.</w:t>
      </w:r>
    </w:p>
    <w:p>
      <w:pPr>
        <w:spacing w:after="0" w:line="116" w:lineRule="exact"/>
        <w:rPr>
          <w:sz w:val="20"/>
          <w:szCs w:val="20"/>
          <w:color w:val="auto"/>
        </w:rPr>
      </w:pPr>
    </w:p>
    <w:p>
      <w:pPr>
        <w:ind w:left="460" w:right="479" w:firstLine="432"/>
        <w:spacing w:after="0" w:line="282" w:lineRule="auto"/>
        <w:rPr>
          <w:sz w:val="20"/>
          <w:szCs w:val="20"/>
          <w:color w:val="auto"/>
        </w:rPr>
      </w:pPr>
      <w:r>
        <w:rPr>
          <w:rFonts w:ascii="Arial" w:cs="Arial" w:eastAsia="Arial" w:hAnsi="Arial"/>
          <w:sz w:val="16"/>
          <w:szCs w:val="16"/>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w:t>
      </w:r>
    </w:p>
    <w:p>
      <w:pPr>
        <w:spacing w:after="0" w:line="11" w:lineRule="exact"/>
        <w:rPr>
          <w:sz w:val="20"/>
          <w:szCs w:val="20"/>
          <w:color w:val="auto"/>
        </w:rPr>
      </w:pPr>
    </w:p>
    <w:p>
      <w:pPr>
        <w:ind w:left="460" w:right="479" w:hanging="6"/>
        <w:spacing w:after="0" w:line="290" w:lineRule="auto"/>
        <w:tabs>
          <w:tab w:leader="none" w:pos="725"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conversion of ADSs of one series for ADSs of another series, the ADS conversion fee will be payable by the Holder whose ADSs are converted or by the person to whom the converted ADSs are delivered.</w:t>
      </w:r>
    </w:p>
    <w:p>
      <w:pPr>
        <w:spacing w:after="0" w:line="80"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Amendments and Termination</w:t>
      </w:r>
    </w:p>
    <w:p>
      <w:pPr>
        <w:spacing w:after="0" w:line="162" w:lineRule="exact"/>
        <w:rPr>
          <w:sz w:val="20"/>
          <w:szCs w:val="20"/>
          <w:color w:val="auto"/>
        </w:rPr>
      </w:pPr>
    </w:p>
    <w:p>
      <w:pPr>
        <w:ind w:left="460" w:right="919" w:firstLine="432"/>
        <w:spacing w:after="0" w:line="259" w:lineRule="auto"/>
        <w:rPr>
          <w:sz w:val="20"/>
          <w:szCs w:val="20"/>
          <w:color w:val="auto"/>
        </w:rPr>
      </w:pPr>
      <w:r>
        <w:rPr>
          <w:rFonts w:ascii="Arial" w:cs="Arial" w:eastAsia="Arial" w:hAnsi="Arial"/>
          <w:sz w:val="18"/>
          <w:szCs w:val="18"/>
          <w:color w:val="auto"/>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0" w:name="page111"/>
    <w:bookmarkEnd w:id="11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19"/>
        <w:spacing w:after="0" w:line="257" w:lineRule="auto"/>
        <w:rPr>
          <w:sz w:val="20"/>
          <w:szCs w:val="20"/>
          <w:color w:val="auto"/>
        </w:rPr>
      </w:pPr>
      <w:r>
        <w:rPr>
          <w:rFonts w:ascii="Arial" w:cs="Arial" w:eastAsia="Arial" w:hAnsi="Arial"/>
          <w:sz w:val="18"/>
          <w:szCs w:val="18"/>
          <w:color w:val="auto"/>
        </w:rPr>
        <w:t>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2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Class B ordinary shares represented by your ADSs (except as permitted by law).</w:t>
      </w:r>
    </w:p>
    <w:p>
      <w:pPr>
        <w:spacing w:after="0" w:line="119"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spacing w:after="0" w:line="106"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spacing w:after="0" w:line="110"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In connection with any termination of the deposit agreement, the depositary bank may make available to owners of ADSs a means to withdraw the Class B ordinary shares represented by ADSs and to direct the depositary of such Class B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and expenses.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Books of Depositary</w:t>
      </w:r>
    </w:p>
    <w:p>
      <w:pPr>
        <w:spacing w:after="0" w:line="162" w:lineRule="exact"/>
        <w:rPr>
          <w:sz w:val="20"/>
          <w:szCs w:val="20"/>
          <w:color w:val="auto"/>
        </w:rPr>
      </w:pPr>
    </w:p>
    <w:p>
      <w:pPr>
        <w:jc w:val="both"/>
        <w:ind w:left="460" w:right="839" w:firstLine="432"/>
        <w:spacing w:after="0" w:line="286" w:lineRule="auto"/>
        <w:rPr>
          <w:sz w:val="20"/>
          <w:szCs w:val="20"/>
          <w:color w:val="auto"/>
        </w:rPr>
      </w:pPr>
      <w:r>
        <w:rPr>
          <w:rFonts w:ascii="Arial" w:cs="Arial" w:eastAsia="Arial" w:hAnsi="Arial"/>
          <w:sz w:val="17"/>
          <w:szCs w:val="17"/>
          <w:color w:val="auto"/>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84"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 depositary bank will maintain in New York facilities to record and process the issuance, cancellation, combination, split-up and transfer of ADSs. These facilities may be closed from time to time, to the extent not prohibited by law.</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Limitations on Obligations and Liabilities</w:t>
      </w:r>
    </w:p>
    <w:p>
      <w:pPr>
        <w:spacing w:after="0" w:line="162"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The deposit agreement limits our obligations and the depositary bank’s obligations to you. Please note the following:</w:t>
      </w:r>
    </w:p>
    <w:p>
      <w:pPr>
        <w:spacing w:after="0" w:line="103" w:lineRule="exact"/>
        <w:rPr>
          <w:sz w:val="20"/>
          <w:szCs w:val="20"/>
          <w:color w:val="auto"/>
        </w:rPr>
      </w:pPr>
    </w:p>
    <w:p>
      <w:pPr>
        <w:ind w:left="1320" w:right="659" w:hanging="434"/>
        <w:spacing w:after="0" w:line="277" w:lineRule="auto"/>
        <w:tabs>
          <w:tab w:leader="none" w:pos="13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and the depositary bank are obligated only to take the actions specifically stated in the deposit agreement without negligence or bad faith.</w:t>
      </w:r>
    </w:p>
    <w:p>
      <w:pPr>
        <w:spacing w:after="0" w:line="89" w:lineRule="exact"/>
        <w:rPr>
          <w:rFonts w:ascii="Arial" w:cs="Arial" w:eastAsia="Arial" w:hAnsi="Arial"/>
          <w:sz w:val="18"/>
          <w:szCs w:val="18"/>
          <w:color w:val="auto"/>
        </w:rPr>
      </w:pPr>
    </w:p>
    <w:p>
      <w:pPr>
        <w:ind w:left="1320" w:right="659" w:hanging="434"/>
        <w:spacing w:after="0" w:line="263" w:lineRule="auto"/>
        <w:tabs>
          <w:tab w:leader="none" w:pos="13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depositary bank disclaims any liability for any failure to carry out voting instructions, for any manner in which a vote is cast or for the effect of any vote, provided it acts in good faith and in accordance with the terms of the deposit agreement.</w:t>
      </w:r>
    </w:p>
    <w:p>
      <w:pPr>
        <w:spacing w:after="0" w:line="116" w:lineRule="exact"/>
        <w:rPr>
          <w:rFonts w:ascii="Arial" w:cs="Arial" w:eastAsia="Arial" w:hAnsi="Arial"/>
          <w:sz w:val="18"/>
          <w:szCs w:val="18"/>
          <w:color w:val="auto"/>
        </w:rPr>
      </w:pPr>
    </w:p>
    <w:p>
      <w:pPr>
        <w:ind w:left="1320" w:right="479" w:hanging="434"/>
        <w:spacing w:after="0" w:line="272" w:lineRule="auto"/>
        <w:tabs>
          <w:tab w:leader="none" w:pos="1315"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Class B ordinary shares, for the validity or worth of the Class B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09" w:lineRule="exact"/>
        <w:rPr>
          <w:rFonts w:ascii="Arial" w:cs="Arial" w:eastAsia="Arial" w:hAnsi="Arial"/>
          <w:sz w:val="17"/>
          <w:szCs w:val="17"/>
          <w:color w:val="auto"/>
        </w:rPr>
      </w:pPr>
    </w:p>
    <w:p>
      <w:pPr>
        <w:ind w:left="1320" w:right="799" w:hanging="434"/>
        <w:spacing w:after="0" w:line="277" w:lineRule="auto"/>
        <w:tabs>
          <w:tab w:leader="none" w:pos="13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and the depositary bank will not be obligated to perform any act that is inconsistent with the terms of the deposit agreement.</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1" w:name="page112"/>
    <w:bookmarkEnd w:id="11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539" w:hanging="434"/>
        <w:spacing w:after="0" w:line="254" w:lineRule="auto"/>
        <w:tabs>
          <w:tab w:leader="none" w:pos="13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memorandum and articles of association, or any provision of or governing the securities on deposit, or by reason of any act of God or war or other circumstances beyond our control.</w:t>
      </w:r>
    </w:p>
    <w:p>
      <w:pPr>
        <w:spacing w:after="0" w:line="127" w:lineRule="exact"/>
        <w:rPr>
          <w:rFonts w:ascii="Arial" w:cs="Arial" w:eastAsia="Arial" w:hAnsi="Arial"/>
          <w:sz w:val="18"/>
          <w:szCs w:val="18"/>
          <w:color w:val="auto"/>
        </w:rPr>
      </w:pPr>
    </w:p>
    <w:p>
      <w:pPr>
        <w:ind w:left="1320" w:right="479" w:hanging="434"/>
        <w:spacing w:after="0" w:line="263" w:lineRule="auto"/>
        <w:tabs>
          <w:tab w:leader="none" w:pos="13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and the depositary bank disclaim any liability by reason of any exercise of, or failure to exercise, any discretion provided for in the deposit agreement or in our memorandum and articles of association or in any provisions of or governing the securities on deposit.</w:t>
      </w:r>
    </w:p>
    <w:p>
      <w:pPr>
        <w:spacing w:after="0" w:line="116" w:lineRule="exact"/>
        <w:rPr>
          <w:rFonts w:ascii="Arial" w:cs="Arial" w:eastAsia="Arial" w:hAnsi="Arial"/>
          <w:sz w:val="18"/>
          <w:szCs w:val="18"/>
          <w:color w:val="auto"/>
        </w:rPr>
      </w:pPr>
    </w:p>
    <w:p>
      <w:pPr>
        <w:ind w:left="1320" w:right="579" w:hanging="434"/>
        <w:spacing w:after="0" w:line="301" w:lineRule="auto"/>
        <w:tabs>
          <w:tab w:leader="none" w:pos="1315" w:val="left"/>
        </w:tabs>
        <w:numPr>
          <w:ilvl w:val="0"/>
          <w:numId w:val="83"/>
        </w:numPr>
        <w:rPr>
          <w:rFonts w:ascii="Arial" w:cs="Arial" w:eastAsia="Arial" w:hAnsi="Arial"/>
          <w:sz w:val="16"/>
          <w:szCs w:val="16"/>
          <w:color w:val="auto"/>
        </w:rPr>
      </w:pPr>
      <w:r>
        <w:rPr>
          <w:rFonts w:ascii="Arial" w:cs="Arial" w:eastAsia="Arial" w:hAnsi="Arial"/>
          <w:sz w:val="16"/>
          <w:szCs w:val="16"/>
          <w:color w:val="auto"/>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76" w:lineRule="exact"/>
        <w:rPr>
          <w:rFonts w:ascii="Arial" w:cs="Arial" w:eastAsia="Arial" w:hAnsi="Arial"/>
          <w:sz w:val="16"/>
          <w:szCs w:val="16"/>
          <w:color w:val="auto"/>
        </w:rPr>
      </w:pPr>
    </w:p>
    <w:p>
      <w:pPr>
        <w:ind w:left="1320" w:right="679" w:hanging="434"/>
        <w:spacing w:after="0" w:line="286" w:lineRule="auto"/>
        <w:tabs>
          <w:tab w:leader="none" w:pos="1315" w:val="left"/>
        </w:tabs>
        <w:numPr>
          <w:ilvl w:val="0"/>
          <w:numId w:val="83"/>
        </w:numPr>
        <w:rPr>
          <w:rFonts w:ascii="Arial" w:cs="Arial" w:eastAsia="Arial" w:hAnsi="Arial"/>
          <w:sz w:val="17"/>
          <w:szCs w:val="17"/>
          <w:color w:val="auto"/>
        </w:rPr>
      </w:pPr>
      <w:r>
        <w:rPr>
          <w:rFonts w:ascii="Arial" w:cs="Arial" w:eastAsia="Arial" w:hAnsi="Arial"/>
          <w:sz w:val="17"/>
          <w:szCs w:val="17"/>
          <w:color w:val="auto"/>
        </w:rPr>
        <w:t>We and the depositary bank also disclaim liability for the inability by a holder to benefit from any distribution, offering, right or other benefit that is made available to holders of Class B ordinary shares but is not, under the terms of the deposit agreement, made available to you.</w:t>
      </w:r>
    </w:p>
    <w:p>
      <w:pPr>
        <w:spacing w:after="0" w:line="97" w:lineRule="exact"/>
        <w:rPr>
          <w:rFonts w:ascii="Arial" w:cs="Arial" w:eastAsia="Arial" w:hAnsi="Arial"/>
          <w:sz w:val="17"/>
          <w:szCs w:val="17"/>
          <w:color w:val="auto"/>
        </w:rPr>
      </w:pPr>
    </w:p>
    <w:p>
      <w:pPr>
        <w:ind w:left="1320" w:right="559" w:hanging="434"/>
        <w:spacing w:after="0" w:line="342" w:lineRule="auto"/>
        <w:tabs>
          <w:tab w:leader="none" w:pos="1315" w:val="left"/>
        </w:tabs>
        <w:numPr>
          <w:ilvl w:val="0"/>
          <w:numId w:val="83"/>
        </w:numPr>
        <w:rPr>
          <w:rFonts w:ascii="Arial" w:cs="Arial" w:eastAsia="Arial" w:hAnsi="Arial"/>
          <w:sz w:val="16"/>
          <w:szCs w:val="16"/>
          <w:color w:val="auto"/>
        </w:rPr>
      </w:pPr>
      <w:r>
        <w:rPr>
          <w:rFonts w:ascii="Arial" w:cs="Arial" w:eastAsia="Arial" w:hAnsi="Arial"/>
          <w:sz w:val="16"/>
          <w:szCs w:val="16"/>
          <w:color w:val="auto"/>
        </w:rPr>
        <w:t>We and the depositary bank may rely without any liability upon any written notice, request or other document believed to be genuine and to have been signed or presented by the proper parties.</w:t>
      </w:r>
    </w:p>
    <w:p>
      <w:pPr>
        <w:spacing w:after="0" w:line="56" w:lineRule="exact"/>
        <w:rPr>
          <w:rFonts w:ascii="Arial" w:cs="Arial" w:eastAsia="Arial" w:hAnsi="Arial"/>
          <w:sz w:val="16"/>
          <w:szCs w:val="16"/>
          <w:color w:val="auto"/>
        </w:rPr>
      </w:pPr>
    </w:p>
    <w:p>
      <w:pPr>
        <w:ind w:left="1320" w:right="759" w:hanging="434"/>
        <w:spacing w:after="0" w:line="277" w:lineRule="auto"/>
        <w:tabs>
          <w:tab w:leader="none" w:pos="13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and the depositary bank also disclaim liability for any consequential or punitive damages for any breach of the terms of the deposit agreement.</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 disclaimer of any Securities Act liability is intended by any provision of the deposit agreement.</w:t>
      </w:r>
    </w:p>
    <w:p>
      <w:pPr>
        <w:spacing w:after="0" w:line="180" w:lineRule="exact"/>
        <w:rPr>
          <w:rFonts w:ascii="Arial" w:cs="Arial" w:eastAsia="Arial" w:hAnsi="Arial"/>
          <w:sz w:val="16"/>
          <w:szCs w:val="16"/>
          <w:color w:val="auto"/>
        </w:rPr>
      </w:pPr>
    </w:p>
    <w:p>
      <w:pPr>
        <w:ind w:left="1320" w:right="1079" w:hanging="434"/>
        <w:spacing w:after="0" w:line="342" w:lineRule="auto"/>
        <w:tabs>
          <w:tab w:leader="none" w:pos="1315"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Nothing in the deposit agreement gives rise to a partnership or joint venture, or establishes a fiduciary relationship, among us, the depositary bank and you as ADS holder.</w:t>
      </w:r>
    </w:p>
    <w:p>
      <w:pPr>
        <w:spacing w:after="0" w:line="56" w:lineRule="exact"/>
        <w:rPr>
          <w:rFonts w:ascii="Arial" w:cs="Arial" w:eastAsia="Arial" w:hAnsi="Arial"/>
          <w:sz w:val="16"/>
          <w:szCs w:val="16"/>
          <w:color w:val="auto"/>
        </w:rPr>
      </w:pPr>
    </w:p>
    <w:p>
      <w:pPr>
        <w:ind w:left="1320" w:right="519" w:hanging="434"/>
        <w:spacing w:after="0" w:line="257" w:lineRule="auto"/>
        <w:tabs>
          <w:tab w:leader="none" w:pos="13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07"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Class B ordinary shares from the ADS facility with respect to obligations or liabilities incurred under the deposit agreement before the cancellation of the ADSs and the withdrawal of the Class B ordinary shares, and such limitations would most likely not apply to ADS holders who withdraw the Class B ordinary shares from the ADS facility with respect to obligations or liabilities incurred after the cancellation of the ADSs and the withdrawal of the Class B ordinary shares and not under the deposit agreement.</w:t>
      </w:r>
    </w:p>
    <w:p>
      <w:pPr>
        <w:spacing w:after="0" w:line="124"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Taxes</w:t>
      </w:r>
    </w:p>
    <w:p>
      <w:pPr>
        <w:spacing w:after="0" w:line="162"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07" w:lineRule="exact"/>
        <w:rPr>
          <w:sz w:val="20"/>
          <w:szCs w:val="20"/>
          <w:color w:val="auto"/>
        </w:rPr>
      </w:pPr>
    </w:p>
    <w:p>
      <w:pPr>
        <w:ind w:left="460" w:right="539" w:firstLine="432"/>
        <w:spacing w:after="0" w:line="311" w:lineRule="auto"/>
        <w:rPr>
          <w:sz w:val="20"/>
          <w:szCs w:val="20"/>
          <w:color w:val="auto"/>
        </w:rPr>
      </w:pPr>
      <w:r>
        <w:rPr>
          <w:rFonts w:ascii="Arial" w:cs="Arial" w:eastAsia="Arial" w:hAnsi="Arial"/>
          <w:sz w:val="16"/>
          <w:szCs w:val="16"/>
          <w:color w:val="auto"/>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w:t>
      </w:r>
    </w:p>
    <w:p>
      <w:pPr>
        <w:sectPr>
          <w:pgSz w:w="11900" w:h="16838" w:orient="portrait"/>
          <w:cols w:equalWidth="0" w:num="1">
            <w:col w:w="9019"/>
          </w:cols>
          <w:pgMar w:left="1440" w:top="274" w:right="1440" w:bottom="1440" w:gutter="0" w:footer="0" w:header="0"/>
        </w:sectPr>
      </w:pP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2" w:name="page113"/>
    <w:bookmarkEnd w:id="11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59"/>
        <w:spacing w:after="0" w:line="279" w:lineRule="auto"/>
        <w:rPr>
          <w:sz w:val="20"/>
          <w:szCs w:val="20"/>
          <w:color w:val="auto"/>
        </w:rPr>
      </w:pPr>
      <w:r>
        <w:rPr>
          <w:rFonts w:ascii="Arial" w:cs="Arial" w:eastAsia="Arial" w:hAnsi="Arial"/>
          <w:sz w:val="17"/>
          <w:szCs w:val="17"/>
          <w:color w:val="auto"/>
        </w:rPr>
        <w:t>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Foreign Currency Conversion</w:t>
      </w:r>
    </w:p>
    <w:p>
      <w:pPr>
        <w:spacing w:after="0" w:line="162" w:lineRule="exact"/>
        <w:rPr>
          <w:sz w:val="20"/>
          <w:szCs w:val="20"/>
          <w:color w:val="auto"/>
        </w:rPr>
      </w:pPr>
    </w:p>
    <w:p>
      <w:pPr>
        <w:jc w:val="both"/>
        <w:ind w:left="460" w:right="699" w:firstLine="432"/>
        <w:spacing w:after="0" w:line="301" w:lineRule="auto"/>
        <w:rPr>
          <w:sz w:val="20"/>
          <w:szCs w:val="20"/>
          <w:color w:val="auto"/>
        </w:rPr>
      </w:pPr>
      <w:r>
        <w:rPr>
          <w:rFonts w:ascii="Arial" w:cs="Arial" w:eastAsia="Arial" w:hAnsi="Arial"/>
          <w:sz w:val="16"/>
          <w:szCs w:val="16"/>
          <w:color w:val="auto"/>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90"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bank may take the following actions in its discretion:</w:t>
      </w:r>
    </w:p>
    <w:p>
      <w:pPr>
        <w:spacing w:after="0" w:line="103" w:lineRule="exact"/>
        <w:rPr>
          <w:sz w:val="20"/>
          <w:szCs w:val="20"/>
          <w:color w:val="auto"/>
        </w:rPr>
      </w:pPr>
    </w:p>
    <w:p>
      <w:pPr>
        <w:ind w:left="1320" w:right="579" w:hanging="434"/>
        <w:spacing w:after="0" w:line="277" w:lineRule="auto"/>
        <w:tabs>
          <w:tab w:leader="none" w:pos="13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Governing Law/Waiver of Jury Trial</w:t>
      </w:r>
    </w:p>
    <w:p>
      <w:pPr>
        <w:spacing w:after="0" w:line="148" w:lineRule="exact"/>
        <w:rPr>
          <w:sz w:val="20"/>
          <w:szCs w:val="20"/>
          <w:color w:val="auto"/>
        </w:rPr>
      </w:pPr>
    </w:p>
    <w:p>
      <w:pPr>
        <w:ind w:left="460" w:right="779" w:firstLine="432"/>
        <w:spacing w:after="0" w:line="263" w:lineRule="auto"/>
        <w:rPr>
          <w:sz w:val="20"/>
          <w:szCs w:val="20"/>
          <w:color w:val="auto"/>
        </w:rPr>
      </w:pPr>
      <w:r>
        <w:rPr>
          <w:rFonts w:ascii="Arial" w:cs="Arial" w:eastAsia="Arial" w:hAnsi="Arial"/>
          <w:sz w:val="18"/>
          <w:szCs w:val="18"/>
          <w:color w:val="auto"/>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spacing w:after="0" w:line="116" w:lineRule="exact"/>
        <w:rPr>
          <w:sz w:val="20"/>
          <w:szCs w:val="20"/>
          <w:color w:val="auto"/>
        </w:rPr>
      </w:pPr>
    </w:p>
    <w:p>
      <w:pPr>
        <w:jc w:val="both"/>
        <w:ind w:left="460" w:right="659" w:firstLine="432"/>
        <w:spacing w:after="0" w:line="286" w:lineRule="auto"/>
        <w:rPr>
          <w:sz w:val="20"/>
          <w:szCs w:val="20"/>
          <w:color w:val="auto"/>
        </w:rPr>
      </w:pPr>
      <w:r>
        <w:rPr>
          <w:rFonts w:ascii="Arial" w:cs="Arial" w:eastAsia="Arial" w:hAnsi="Arial"/>
          <w:sz w:val="17"/>
          <w:szCs w:val="17"/>
          <w:color w:val="auto"/>
        </w:rPr>
        <w:t>As a party to the deposit agreement, you irrevocably waive, to the fullest extent permitted by applicable law, your right to trial by jury in any legal proceeding arising out of or related to the deposit agreement or the ADRs, or the transactions contemplated therein, against us and/or the depositary.</w:t>
      </w:r>
    </w:p>
    <w:p>
      <w:pPr>
        <w:spacing w:after="0" w:line="98"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i w:val="1"/>
          <w:iCs w:val="1"/>
          <w:color w:val="auto"/>
        </w:rPr>
        <w:t>Such waiver of your right to trial by jury would apply to any claim under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 If we or the depositary opposed a jury trial demand based on the waiver, the court would determine whether the waiver was enforceable based on the facts and circumstances of the applicable case in accordance with applicable case law. However, you will not be deemed, by agreeing to the terms of the deposit agreement, to have waived our or the depositary’s compliance with U.S. federal securities laws or the rules and regulations promulgated thereunder.</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Jurisdiction</w:t>
      </w:r>
    </w:p>
    <w:p>
      <w:pPr>
        <w:spacing w:after="0" w:line="148"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We have agreed with the depositary that the federal or state courts in the City of New York shall have the non-exclusive jurisdiction to hear and determine any dispute between us and the depositary arising from or relating in any way to the deposit agreement (including claims arising under the Exchange Act or the Securities Act).</w:t>
      </w:r>
    </w:p>
    <w:p>
      <w:pPr>
        <w:spacing w:after="0" w:line="119"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The deposit agreement provides that, by holding an ADS or an interest therein, you irrevocably agree that any legal suit, action or proceeding against or involving us or the depositary arising out of or related in any way to the deposit agreement, the ADSs, the ADRs or the transactions contemplated thereby or by virtue of ownership thereof (including claims arising under the Exchange Act or the Securities Act), may only be instituted in the United States District Court for the Southern District of New York (or, if the Southern District of New York lacks subject matter jurisdiction over a particular dispute, in the state courts of New York County, New York), and by holding an ADS or an interest therein you irrevocably waive any objection which you may now or hereafter have to the laying of venue of any such proceeding, and irrevocably submit to the exclusive jurisdiction of such courts in any such suit, action or proceeding. The deposit agreement also provides that the foregoing agreement and waiver shall survive your ownership of ADSs or interests therein.</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48"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Upon completion of this offering, we will have 1,875,000 ADSs outstanding, representing 18,750,000 Class B ordinary shares, or approximately 3.6% of our outstanding ordinary shares, assuming the underwriters do not exercise their over-allotment option to purchase additional ADSs. All of the ADSs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While we intend to list the ADSs on the Nasdaq Capital Market, we cannot assure you that a regular trading market will develop in the ADSs. We do not expect that a trading market will develop in our ordinary shares not represented by the ADSs.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have agreed that we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any ADSs, our ordinary shares or securities convertible into or exchangeable or exercisable for any ADSs or our ordinary shares, enter into any swap or other arrangement that transfers to another, in whole or in part, any of the economic consequences of ownership of the ADSs or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representatives of the underwriters for a period of 180 days after the date of this prospectus, subject to certain exceptions and applicable notice requirements.</w:t>
      </w:r>
    </w:p>
    <w:p>
      <w:pPr>
        <w:spacing w:after="0" w:line="103"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Our directors and executive officers, our shareholders holding 10% or more of our ordinary shares have agreed that they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of any ADSs, our ordinary shares or securities convertible into or exchangeable or exercisable for any ADSs or our ordinary shares, or enter into any swap or other arrangement that transfers to another, in whole or in part, any of the economic consequences of ownership of the ADSs,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representatives of the underwriters for a period of 180 days after the date of this prospectus, subject to certain exceptions and applicable notice requirements.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148"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All of our ordinary shares that will be outstanding upon the completion of this offering, other than those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699"/>
        <w:spacing w:after="0" w:line="286" w:lineRule="auto"/>
        <w:rPr>
          <w:sz w:val="20"/>
          <w:szCs w:val="20"/>
          <w:color w:val="auto"/>
        </w:rPr>
      </w:pPr>
      <w:r>
        <w:rPr>
          <w:rFonts w:ascii="Arial" w:cs="Arial" w:eastAsia="Arial" w:hAnsi="Arial"/>
          <w:sz w:val="17"/>
          <w:szCs w:val="17"/>
          <w:color w:val="auto"/>
        </w:rPr>
        <w:t>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98" w:lineRule="exact"/>
        <w:rPr>
          <w:sz w:val="20"/>
          <w:szCs w:val="20"/>
          <w:color w:val="auto"/>
        </w:rPr>
      </w:pPr>
    </w:p>
    <w:p>
      <w:pPr>
        <w:ind w:left="1320" w:right="839" w:hanging="434"/>
        <w:spacing w:after="0" w:line="286" w:lineRule="auto"/>
        <w:tabs>
          <w:tab w:leader="none" w:pos="1315" w:val="left"/>
        </w:tabs>
        <w:numPr>
          <w:ilvl w:val="0"/>
          <w:numId w:val="85"/>
        </w:numPr>
        <w:rPr>
          <w:rFonts w:ascii="Arial" w:cs="Arial" w:eastAsia="Arial" w:hAnsi="Arial"/>
          <w:sz w:val="17"/>
          <w:szCs w:val="17"/>
          <w:color w:val="auto"/>
        </w:rPr>
      </w:pPr>
      <w:r>
        <w:rPr>
          <w:rFonts w:ascii="Arial" w:cs="Arial" w:eastAsia="Arial" w:hAnsi="Arial"/>
          <w:sz w:val="17"/>
          <w:szCs w:val="17"/>
          <w:color w:val="auto"/>
        </w:rPr>
        <w:t>1% of the then outstanding ordinary shares, in the form of ADSs or otherwise, which will equal approximately 52,071,428 ordinary shares immediately after this offering, assuming the underwriters do not exercise their option to purchase additional ADSs; or</w:t>
      </w:r>
    </w:p>
    <w:p>
      <w:pPr>
        <w:spacing w:after="0" w:line="97" w:lineRule="exact"/>
        <w:rPr>
          <w:rFonts w:ascii="Arial" w:cs="Arial" w:eastAsia="Arial" w:hAnsi="Arial"/>
          <w:sz w:val="17"/>
          <w:szCs w:val="17"/>
          <w:color w:val="auto"/>
        </w:rPr>
      </w:pPr>
    </w:p>
    <w:p>
      <w:pPr>
        <w:ind w:left="1320" w:right="559" w:hanging="434"/>
        <w:spacing w:after="0" w:line="263" w:lineRule="auto"/>
        <w:tabs>
          <w:tab w:leader="none" w:pos="13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in the form of ADSs or otherwise, on the Nasdaq Capital Market, during the four calendar weeks preceding the date on which notice of the sale is filed with the SEC.</w:t>
      </w:r>
    </w:p>
    <w:p>
      <w:pPr>
        <w:spacing w:after="0" w:line="103"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Affiliates who sell restricted securities under Rule 144 may not solicit orders or arrange for the solicitation of orders, and they are also subject to certain requirements relating to manner of sale, notice and the availability of current public information about us.</w:t>
      </w:r>
    </w:p>
    <w:p>
      <w:pPr>
        <w:spacing w:after="0" w:line="116"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701</w:t>
      </w:r>
    </w:p>
    <w:p>
      <w:pPr>
        <w:spacing w:after="0" w:line="162"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148"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i w:val="1"/>
          <w:iCs w:val="1"/>
          <w:color w:val="auto"/>
        </w:rPr>
        <w:t>The following summary of material Cayman Islands, Singapore, and United States federal income tax consequences of an investment in our ADSs or ordinary shares is based upon laws and relevant interpretations thereof in effect as of the date of this prospectus, all of which are subject to change. This summary does not deal with all possible tax consequences relating to an investment in our ADSs or ordinary shares, such as the tax consequences under state, local and other tax laws.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Cayman Islands Taxation</w:t>
      </w:r>
    </w:p>
    <w:p>
      <w:pPr>
        <w:spacing w:after="0" w:line="148"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70"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Payments of dividends and capital in respect of the shares will not be subject to taxation in the Cayman Islands and no withholding will be required on the payment of a dividend or capital to any holder of our ADSs or ordinary shares, nor will gains derived from the disposal of our ADSs or ordinary shares be subject to Cayman Islands income or corporation tax.</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Singapore Taxation Considerations</w:t>
      </w:r>
    </w:p>
    <w:p>
      <w:pPr>
        <w:spacing w:after="0" w:line="162" w:lineRule="exact"/>
        <w:rPr>
          <w:sz w:val="20"/>
          <w:szCs w:val="20"/>
          <w:color w:val="auto"/>
        </w:rPr>
      </w:pPr>
    </w:p>
    <w:p>
      <w:pPr>
        <w:ind w:left="460" w:right="1119" w:firstLine="432"/>
        <w:spacing w:after="0" w:line="342" w:lineRule="auto"/>
        <w:rPr>
          <w:sz w:val="20"/>
          <w:szCs w:val="20"/>
          <w:color w:val="auto"/>
        </w:rPr>
      </w:pPr>
      <w:r>
        <w:rPr>
          <w:rFonts w:ascii="Arial" w:cs="Arial" w:eastAsia="Arial" w:hAnsi="Arial"/>
          <w:sz w:val="16"/>
          <w:szCs w:val="16"/>
          <w:color w:val="auto"/>
        </w:rPr>
        <w:t>The following summary is not intended to be or to be regarded as tax advice to any investors, and investors should consult their own professional tax advisors regarding the Singapore tax matters.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Corporate Income Tax</w:t>
      </w:r>
    </w:p>
    <w:p>
      <w:pPr>
        <w:spacing w:after="0" w:line="131" w:lineRule="exact"/>
        <w:rPr>
          <w:sz w:val="20"/>
          <w:szCs w:val="20"/>
          <w:color w:val="auto"/>
        </w:rPr>
      </w:pPr>
    </w:p>
    <w:p>
      <w:pPr>
        <w:ind w:left="460" w:right="659" w:firstLine="432"/>
        <w:spacing w:after="0" w:line="272" w:lineRule="auto"/>
        <w:rPr>
          <w:sz w:val="20"/>
          <w:szCs w:val="20"/>
          <w:color w:val="auto"/>
        </w:rPr>
      </w:pPr>
      <w:r>
        <w:rPr>
          <w:rFonts w:ascii="Arial" w:cs="Arial" w:eastAsia="Arial" w:hAnsi="Arial"/>
          <w:sz w:val="17"/>
          <w:szCs w:val="17"/>
          <w:color w:val="auto"/>
        </w:rPr>
        <w:t>A company is regarded as a tax resident in Singapore if the control and management of its business is exercised in Singapore. “Control and management” is defined as the making of decisions on strategic matters, such as those concerning the company’s policy and strategy. Generally, the location of a company’s board of directors’ meetings where strategic decisions are made determines where the control and management of that company is exercised. However, under certain scenarios, holding board meetings in Singapore may not be sufficient and other factors will be considered to determine if the control and management of the business is indeed exercised in Singapore.</w:t>
      </w:r>
    </w:p>
    <w:p>
      <w:pPr>
        <w:spacing w:after="0" w:line="8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Singapore tax resident corporate taxpayer is subject to Singapore income tax on:</w:t>
      </w:r>
    </w:p>
    <w:p>
      <w:pPr>
        <w:spacing w:after="0" w:line="144" w:lineRule="exact"/>
        <w:rPr>
          <w:sz w:val="20"/>
          <w:szCs w:val="20"/>
          <w:color w:val="auto"/>
        </w:rPr>
      </w:pPr>
    </w:p>
    <w:p>
      <w:pPr>
        <w:ind w:left="1320" w:hanging="434"/>
        <w:spacing w:after="0"/>
        <w:tabs>
          <w:tab w:leader="none" w:pos="1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income accruing in or derived from Singapore; or</w:t>
      </w:r>
    </w:p>
    <w:p>
      <w:pPr>
        <w:spacing w:after="0" w:line="130" w:lineRule="exact"/>
        <w:rPr>
          <w:rFonts w:ascii="Arial" w:cs="Arial" w:eastAsia="Arial" w:hAnsi="Arial"/>
          <w:sz w:val="18"/>
          <w:szCs w:val="18"/>
          <w:color w:val="auto"/>
        </w:rPr>
      </w:pPr>
    </w:p>
    <w:p>
      <w:pPr>
        <w:ind w:left="1320" w:right="519" w:hanging="434"/>
        <w:spacing w:after="0" w:line="311" w:lineRule="auto"/>
        <w:tabs>
          <w:tab w:leader="none" w:pos="1273"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income derived from outside Singapore (i.e. foreign-sourced income) which is received or deemed received in Singapore, unless otherwise exempted. A non-Singapore tax resident corporate taxpayer is liable to Singapore income tax on income accruing in or derived from Singapore.</w:t>
      </w:r>
    </w:p>
    <w:p>
      <w:pPr>
        <w:spacing w:after="0" w:line="54"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A non-Singapore tax resident corporate taxpayer is also liable to Singapore income tax on income derived from outside Singapore which is received or deemed to have been received in Singapore but generally only where such taxpayer is considered to be operating in or from Singapore.</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Foreign-sourced income is deemed to be received in Singapore when it is:</w:t>
      </w:r>
    </w:p>
    <w:p>
      <w:pPr>
        <w:spacing w:after="0" w:line="131" w:lineRule="exact"/>
        <w:rPr>
          <w:sz w:val="20"/>
          <w:szCs w:val="20"/>
          <w:color w:val="auto"/>
        </w:rPr>
      </w:pPr>
    </w:p>
    <w:p>
      <w:pPr>
        <w:ind w:left="1320" w:hanging="434"/>
        <w:spacing w:after="0"/>
        <w:tabs>
          <w:tab w:leader="none" w:pos="1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remitted to, transmitted or brought into Singapore;</w:t>
      </w:r>
    </w:p>
    <w:p>
      <w:pPr>
        <w:spacing w:after="0" w:line="130" w:lineRule="exact"/>
        <w:rPr>
          <w:rFonts w:ascii="Arial" w:cs="Arial" w:eastAsia="Arial" w:hAnsi="Arial"/>
          <w:sz w:val="18"/>
          <w:szCs w:val="18"/>
          <w:color w:val="auto"/>
        </w:rPr>
      </w:pPr>
    </w:p>
    <w:p>
      <w:pPr>
        <w:ind w:left="1280" w:hanging="394"/>
        <w:spacing w:after="0"/>
        <w:tabs>
          <w:tab w:leader="none" w:pos="12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used to pay off any debt incurred in respect of a trade or business carried on in Singapore; or</w:t>
      </w:r>
    </w:p>
    <w:p>
      <w:pPr>
        <w:spacing w:after="0" w:line="155" w:lineRule="exact"/>
        <w:rPr>
          <w:rFonts w:ascii="Arial" w:cs="Arial" w:eastAsia="Arial" w:hAnsi="Arial"/>
          <w:sz w:val="17"/>
          <w:szCs w:val="17"/>
          <w:color w:val="auto"/>
        </w:rPr>
      </w:pPr>
    </w:p>
    <w:p>
      <w:pPr>
        <w:ind w:left="1320" w:hanging="434"/>
        <w:spacing w:after="0"/>
        <w:tabs>
          <w:tab w:leader="none" w:pos="1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used to purchase any movable property brought into Singapore.</w:t>
      </w:r>
    </w:p>
    <w:p>
      <w:pPr>
        <w:spacing w:after="0" w:line="131"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Foreign-sourced income in the form of branch profits, dividends and service fee income (“specified foreign income”) received or deemed received in Singapore by a Singapore tax resident company are exempted from Singapore tax provided that the following qualifying conditions are met:</w:t>
      </w:r>
    </w:p>
    <w:p>
      <w:pPr>
        <w:spacing w:after="0" w:line="89" w:lineRule="exact"/>
        <w:rPr>
          <w:sz w:val="20"/>
          <w:szCs w:val="20"/>
          <w:color w:val="auto"/>
        </w:rPr>
      </w:pPr>
    </w:p>
    <w:p>
      <w:pPr>
        <w:ind w:left="1320" w:right="619" w:hanging="434"/>
        <w:spacing w:after="0" w:line="277" w:lineRule="auto"/>
        <w:tabs>
          <w:tab w:leader="none" w:pos="1317"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such income is subject to tax of a similar character to income tax (by whatever name called) under the law of the territory from which such income is received;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479" w:hanging="434"/>
        <w:spacing w:after="0" w:line="279" w:lineRule="auto"/>
        <w:tabs>
          <w:tab w:leader="none" w:pos="1273" w:val="left"/>
        </w:tabs>
        <w:numPr>
          <w:ilvl w:val="0"/>
          <w:numId w:val="89"/>
        </w:numPr>
        <w:rPr>
          <w:rFonts w:ascii="Arial" w:cs="Arial" w:eastAsia="Arial" w:hAnsi="Arial"/>
          <w:sz w:val="17"/>
          <w:szCs w:val="17"/>
          <w:color w:val="auto"/>
        </w:rPr>
      </w:pPr>
      <w:r>
        <w:rPr>
          <w:rFonts w:ascii="Arial" w:cs="Arial" w:eastAsia="Arial" w:hAnsi="Arial"/>
          <w:sz w:val="17"/>
          <w:szCs w:val="17"/>
          <w:color w:val="auto"/>
        </w:rPr>
        <w:t>at the time such income is received in Singapore by the person resident in Singapore, the highest rate of tax of a similar character to income tax (by whatever name called) levied under the law of the territory from which such income is received on any gains or profits from any trade or business carried on by any company in that territory at that time is at least 15.0%; and</w:t>
      </w:r>
    </w:p>
    <w:p>
      <w:pPr>
        <w:spacing w:after="0" w:line="103" w:lineRule="exact"/>
        <w:rPr>
          <w:rFonts w:ascii="Arial" w:cs="Arial" w:eastAsia="Arial" w:hAnsi="Arial"/>
          <w:sz w:val="17"/>
          <w:szCs w:val="17"/>
          <w:color w:val="auto"/>
        </w:rPr>
      </w:pPr>
    </w:p>
    <w:p>
      <w:pPr>
        <w:ind w:left="1320" w:right="839" w:hanging="434"/>
        <w:spacing w:after="0" w:line="263" w:lineRule="auto"/>
        <w:tabs>
          <w:tab w:leader="none" w:pos="131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Comptroller of Income Tax (the “Comptroller”) is satisfied that the tax exemption would be beneficial to the person resident in Singapore who is receiving or deemed to be receiving the specified foreign income.</w:t>
      </w:r>
    </w:p>
    <w:p>
      <w:pPr>
        <w:spacing w:after="0" w:line="116"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The prevailing corporate income tax rate in Singapore is 17.0% with the first S$200,000 of chargeable income of a company being partially exempt from tax as follows:</w:t>
      </w:r>
    </w:p>
    <w:p>
      <w:pPr>
        <w:spacing w:after="0" w:line="89" w:lineRule="exact"/>
        <w:rPr>
          <w:sz w:val="20"/>
          <w:szCs w:val="20"/>
          <w:color w:val="auto"/>
        </w:rPr>
      </w:pPr>
    </w:p>
    <w:p>
      <w:pPr>
        <w:ind w:left="1320" w:hanging="434"/>
        <w:spacing w:after="0"/>
        <w:tabs>
          <w:tab w:leader="none" w:pos="1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75.0% of the first S$10,000 of chargeable income; and</w:t>
      </w:r>
    </w:p>
    <w:p>
      <w:pPr>
        <w:spacing w:after="0" w:line="157" w:lineRule="exact"/>
        <w:rPr>
          <w:rFonts w:ascii="Arial" w:cs="Arial" w:eastAsia="Arial" w:hAnsi="Arial"/>
          <w:sz w:val="18"/>
          <w:szCs w:val="18"/>
          <w:color w:val="auto"/>
        </w:rPr>
      </w:pPr>
    </w:p>
    <w:p>
      <w:pPr>
        <w:ind w:left="1280" w:hanging="394"/>
        <w:spacing w:after="0"/>
        <w:tabs>
          <w:tab w:leader="none" w:pos="12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50.0% of the next S$190,000 of chargeable income.</w:t>
      </w:r>
    </w:p>
    <w:p>
      <w:pPr>
        <w:spacing w:after="0" w:line="158"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New companies will also, subject to certain conditions and exceptions, be eligible for tax exemption for each of the company’s first three (3) years of assessment as follows:</w:t>
      </w:r>
    </w:p>
    <w:p>
      <w:pPr>
        <w:spacing w:after="0" w:line="89" w:lineRule="exact"/>
        <w:rPr>
          <w:sz w:val="20"/>
          <w:szCs w:val="20"/>
          <w:color w:val="auto"/>
        </w:rPr>
      </w:pPr>
    </w:p>
    <w:p>
      <w:pPr>
        <w:ind w:left="1320" w:hanging="434"/>
        <w:spacing w:after="0"/>
        <w:tabs>
          <w:tab w:leader="none" w:pos="1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75.0% of the first S$100,000 of chargeable income; and</w:t>
      </w:r>
    </w:p>
    <w:p>
      <w:pPr>
        <w:spacing w:after="0" w:line="157" w:lineRule="exact"/>
        <w:rPr>
          <w:rFonts w:ascii="Arial" w:cs="Arial" w:eastAsia="Arial" w:hAnsi="Arial"/>
          <w:sz w:val="18"/>
          <w:szCs w:val="18"/>
          <w:color w:val="auto"/>
        </w:rPr>
      </w:pPr>
    </w:p>
    <w:p>
      <w:pPr>
        <w:ind w:left="1280" w:hanging="394"/>
        <w:spacing w:after="0"/>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50.0% of the next S$100,000 of chargeable income.</w:t>
      </w:r>
    </w:p>
    <w:p>
      <w:pPr>
        <w:spacing w:after="0" w:line="158" w:lineRule="exact"/>
        <w:rPr>
          <w:sz w:val="20"/>
          <w:szCs w:val="20"/>
          <w:color w:val="auto"/>
        </w:rPr>
      </w:pPr>
    </w:p>
    <w:p>
      <w:pPr>
        <w:ind w:left="460" w:right="679" w:firstLine="432"/>
        <w:spacing w:after="0" w:line="308" w:lineRule="auto"/>
        <w:rPr>
          <w:sz w:val="20"/>
          <w:szCs w:val="20"/>
          <w:color w:val="auto"/>
        </w:rPr>
      </w:pPr>
      <w:r>
        <w:rPr>
          <w:rFonts w:ascii="Arial" w:cs="Arial" w:eastAsia="Arial" w:hAnsi="Arial"/>
          <w:sz w:val="17"/>
          <w:szCs w:val="17"/>
          <w:color w:val="auto"/>
        </w:rPr>
        <w:t>The remaining chargeable income (after the tax exemption scheme for new companies or the partial tax exemption scheme for companies) will be fully taxable at the prevailing corporate tax rate.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Distributions</w:t>
      </w:r>
    </w:p>
    <w:p>
      <w:pPr>
        <w:spacing w:after="0" w:line="144"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All Singapore-tax resident companies are currently under the one-tier corporate tax system, or one-tier system.</w:t>
      </w:r>
    </w:p>
    <w:p>
      <w:pPr>
        <w:spacing w:after="0" w:line="103"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Under the one-tier system, the income tax paid by a tax resident company is a final tax and its distributable profits can be distributed to shareholders as tax exempt (one-tier) dividends. Such dividends are tax exempt in the hands of a shareholder, regardless of the tax residence status, shareholding level or legal form of the shareholder.</w:t>
      </w:r>
    </w:p>
    <w:p>
      <w:pPr>
        <w:spacing w:after="0" w:line="119"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Accordingly, dividends received in respect of the ordinary shares of a Singapore-tax resident company by either a resident or non-resident of Singapore are not subject to Singapore income tax (whether by withholding or otherwise).</w:t>
      </w:r>
    </w:p>
    <w:p>
      <w:pPr>
        <w:spacing w:after="0" w:line="103"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Foreign shareholders are advised to consult their own tax advisers to take into account the tax laws of their respective countries of residence and the existence of any agreement for the avoidance of double taxation which their country of residence may have with Singapore.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Gains on Disposal of Shares</w:t>
      </w:r>
    </w:p>
    <w:p>
      <w:pPr>
        <w:spacing w:after="0" w:line="158"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Singapore does not currently impose tax on capital gains. Gains arising from the disposal of the shares may be construed to be of an income nature and subject to Singapore income tax, especially if they arise from activities which may be regarded as the carrying on of a trade or business in Singapore. Such gains may also be considered income in nature, even if they do not arise from an activity in the ordinary course of trade or business or an ordinary incident of some other business activity, if the shares were purchased with the intention or purpose of making a profit by sale rather than holding for long-term investment purposes in Singapore. Conversely, gains from disposition of the shares in Singapore, if considered as capital gains rather than income by the Inland Revenue Authority of Singapore (“</w:t>
      </w:r>
      <w:r>
        <w:rPr>
          <w:rFonts w:ascii="Arial" w:cs="Arial" w:eastAsia="Arial" w:hAnsi="Arial"/>
          <w:sz w:val="16"/>
          <w:szCs w:val="16"/>
          <w:b w:val="1"/>
          <w:bCs w:val="1"/>
          <w:color w:val="auto"/>
        </w:rPr>
        <w:t>IRAS</w:t>
      </w:r>
      <w:r>
        <w:rPr>
          <w:rFonts w:ascii="Arial" w:cs="Arial" w:eastAsia="Arial" w:hAnsi="Arial"/>
          <w:sz w:val="16"/>
          <w:szCs w:val="16"/>
          <w:color w:val="auto"/>
        </w:rPr>
        <w:t>”), are not taxable in Singapore.</w:t>
      </w:r>
    </w:p>
    <w:p>
      <w:pPr>
        <w:spacing w:after="0" w:line="98"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There are no specific laws or regulations which deal with the characterization of whether a gain is income or capital in nature. The characterization of gains arising from the sale of our shares will depend primarily on the facts and circumstances (commonly referred to as the “badges of trade”) of each shareholder.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ind w:left="460" w:right="479" w:firstLine="432"/>
        <w:spacing w:after="0" w:line="266" w:lineRule="auto"/>
        <w:rPr>
          <w:sz w:val="20"/>
          <w:szCs w:val="20"/>
          <w:color w:val="auto"/>
        </w:rPr>
      </w:pPr>
      <w:r>
        <w:rPr>
          <w:rFonts w:ascii="Arial" w:cs="Arial" w:eastAsia="Arial" w:hAnsi="Arial"/>
          <w:sz w:val="18"/>
          <w:szCs w:val="18"/>
          <w:color w:val="auto"/>
        </w:rPr>
        <w:t>Subject to specified exceptions, Section 13W of the Income Tax Act 1947 (“</w:t>
      </w:r>
      <w:r>
        <w:rPr>
          <w:rFonts w:ascii="Arial" w:cs="Arial" w:eastAsia="Arial" w:hAnsi="Arial"/>
          <w:sz w:val="18"/>
          <w:szCs w:val="18"/>
          <w:b w:val="1"/>
          <w:bCs w:val="1"/>
          <w:color w:val="auto"/>
        </w:rPr>
        <w:t>SITA</w:t>
      </w:r>
      <w:r>
        <w:rPr>
          <w:rFonts w:ascii="Arial" w:cs="Arial" w:eastAsia="Arial" w:hAnsi="Arial"/>
          <w:sz w:val="18"/>
          <w:szCs w:val="18"/>
          <w:color w:val="auto"/>
        </w:rPr>
        <w:t>”) provides for certainty on the non-taxability of gains derived by a corporate taxpayer from the disposal of ordinary shares during the period from June 1, 2012 to December 31, 2027 (both dates inclusive) where:</w:t>
      </w:r>
    </w:p>
    <w:p>
      <w:pPr>
        <w:spacing w:after="0" w:line="99" w:lineRule="exact"/>
        <w:rPr>
          <w:sz w:val="20"/>
          <w:szCs w:val="20"/>
          <w:color w:val="auto"/>
        </w:rPr>
      </w:pPr>
    </w:p>
    <w:p>
      <w:pPr>
        <w:ind w:left="1320" w:right="819" w:hanging="434"/>
        <w:spacing w:after="0" w:line="277" w:lineRule="auto"/>
        <w:tabs>
          <w:tab w:leader="none" w:pos="131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divesting company had legally and beneficially held a minimum shareholding of 20% of the ordinary shares of the company whose shares are being disposed; and</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divesting company had maintained the minimum 20% shareholding for a continuous period of at least 24 months immediately prior to the disposal.</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exemption prescribed under Section 13W of the SITA is not applicable under the following scenarios:</w:t>
      </w:r>
    </w:p>
    <w:p>
      <w:pPr>
        <w:spacing w:after="0" w:line="167" w:lineRule="exact"/>
        <w:rPr>
          <w:sz w:val="20"/>
          <w:szCs w:val="20"/>
          <w:color w:val="auto"/>
        </w:rPr>
      </w:pPr>
    </w:p>
    <w:p>
      <w:pPr>
        <w:ind w:left="1320" w:right="999" w:hanging="434"/>
        <w:spacing w:after="0" w:line="277" w:lineRule="auto"/>
        <w:tabs>
          <w:tab w:leader="none" w:pos="131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disposal(s) of shares the gains or profits of which are included as part of the income of an insurer company;</w:t>
      </w:r>
    </w:p>
    <w:p>
      <w:pPr>
        <w:spacing w:after="0" w:line="75" w:lineRule="exact"/>
        <w:rPr>
          <w:rFonts w:ascii="Arial" w:cs="Arial" w:eastAsia="Arial" w:hAnsi="Arial"/>
          <w:sz w:val="18"/>
          <w:szCs w:val="18"/>
          <w:color w:val="auto"/>
        </w:rPr>
      </w:pPr>
    </w:p>
    <w:p>
      <w:pPr>
        <w:ind w:left="1280" w:hanging="394"/>
        <w:spacing w:after="0"/>
        <w:tabs>
          <w:tab w:leader="none" w:pos="12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disposal of shares before 1 June 2022 in a company that is:</w:t>
      </w:r>
    </w:p>
    <w:p>
      <w:pPr>
        <w:spacing w:after="0" w:line="130" w:lineRule="exact"/>
        <w:rPr>
          <w:rFonts w:ascii="Arial" w:cs="Arial" w:eastAsia="Arial" w:hAnsi="Arial"/>
          <w:sz w:val="18"/>
          <w:szCs w:val="18"/>
          <w:color w:val="auto"/>
        </w:rPr>
      </w:pPr>
    </w:p>
    <w:p>
      <w:pPr>
        <w:ind w:left="1720" w:hanging="402"/>
        <w:spacing w:after="0"/>
        <w:tabs>
          <w:tab w:leader="none" w:pos="17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is in the business of trading Singapore immovable properties; or</w:t>
      </w:r>
    </w:p>
    <w:p>
      <w:pPr>
        <w:spacing w:after="0" w:line="144" w:lineRule="exact"/>
        <w:rPr>
          <w:rFonts w:ascii="Arial" w:cs="Arial" w:eastAsia="Arial" w:hAnsi="Arial"/>
          <w:sz w:val="18"/>
          <w:szCs w:val="18"/>
          <w:color w:val="auto"/>
        </w:rPr>
      </w:pPr>
    </w:p>
    <w:p>
      <w:pPr>
        <w:ind w:left="1760" w:right="759" w:hanging="442"/>
        <w:spacing w:after="0" w:line="263" w:lineRule="auto"/>
        <w:tabs>
          <w:tab w:leader="none" w:pos="1723" w:val="left"/>
        </w:tabs>
        <w:numPr>
          <w:ilvl w:val="1"/>
          <w:numId w:val="93"/>
        </w:numPr>
        <w:rPr>
          <w:rFonts w:ascii="Arial" w:cs="Arial" w:eastAsia="Arial" w:hAnsi="Arial"/>
          <w:sz w:val="18"/>
          <w:szCs w:val="18"/>
          <w:color w:val="auto"/>
        </w:rPr>
      </w:pPr>
      <w:r>
        <w:rPr>
          <w:rFonts w:ascii="Arial" w:cs="Arial" w:eastAsia="Arial" w:hAnsi="Arial"/>
          <w:sz w:val="18"/>
          <w:szCs w:val="18"/>
          <w:color w:val="auto"/>
        </w:rPr>
        <w:t>principally carries on the activity of holding Singapore immovable properties, other than property development, where the shares are not listed on a stock exchange in Singapore or elsewhere;</w:t>
      </w:r>
    </w:p>
    <w:p>
      <w:pPr>
        <w:spacing w:after="0" w:line="89" w:lineRule="exact"/>
        <w:rPr>
          <w:rFonts w:ascii="Arial" w:cs="Arial" w:eastAsia="Arial" w:hAnsi="Arial"/>
          <w:sz w:val="18"/>
          <w:szCs w:val="18"/>
          <w:color w:val="auto"/>
        </w:rPr>
      </w:pPr>
    </w:p>
    <w:p>
      <w:pPr>
        <w:ind w:left="1320" w:right="1079" w:hanging="434"/>
        <w:spacing w:after="0" w:line="308" w:lineRule="auto"/>
        <w:tabs>
          <w:tab w:leader="none" w:pos="1317"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disposal of shares on or after 1 June 2022 not listed on a stock exchange in Singapore or elsewhere, being shares in a company that the Comptroller is satisfied:</w:t>
      </w:r>
    </w:p>
    <w:p>
      <w:pPr>
        <w:spacing w:after="0" w:line="51" w:lineRule="exact"/>
        <w:rPr>
          <w:rFonts w:ascii="Arial" w:cs="Arial" w:eastAsia="Arial" w:hAnsi="Arial"/>
          <w:sz w:val="17"/>
          <w:szCs w:val="17"/>
          <w:color w:val="auto"/>
        </w:rPr>
      </w:pPr>
    </w:p>
    <w:p>
      <w:pPr>
        <w:ind w:left="1720" w:hanging="402"/>
        <w:spacing w:after="0"/>
        <w:tabs>
          <w:tab w:leader="none" w:pos="1720" w:val="left"/>
        </w:tabs>
        <w:numPr>
          <w:ilvl w:val="1"/>
          <w:numId w:val="93"/>
        </w:numPr>
        <w:rPr>
          <w:rFonts w:ascii="Arial" w:cs="Arial" w:eastAsia="Arial" w:hAnsi="Arial"/>
          <w:sz w:val="16"/>
          <w:szCs w:val="16"/>
          <w:color w:val="auto"/>
        </w:rPr>
      </w:pPr>
      <w:r>
        <w:rPr>
          <w:rFonts w:ascii="Arial" w:cs="Arial" w:eastAsia="Arial" w:hAnsi="Arial"/>
          <w:sz w:val="16"/>
          <w:szCs w:val="16"/>
          <w:color w:val="auto"/>
        </w:rPr>
        <w:t>is in the business of trading immovable properties situated whether in Singapore or elsewhere;</w:t>
      </w:r>
    </w:p>
    <w:p>
      <w:pPr>
        <w:spacing w:after="0" w:line="167" w:lineRule="exact"/>
        <w:rPr>
          <w:rFonts w:ascii="Arial" w:cs="Arial" w:eastAsia="Arial" w:hAnsi="Arial"/>
          <w:sz w:val="16"/>
          <w:szCs w:val="16"/>
          <w:color w:val="auto"/>
        </w:rPr>
      </w:pPr>
    </w:p>
    <w:p>
      <w:pPr>
        <w:ind w:left="1760" w:right="1099" w:hanging="442"/>
        <w:spacing w:after="0" w:line="277" w:lineRule="auto"/>
        <w:tabs>
          <w:tab w:leader="none" w:pos="1723" w:val="left"/>
        </w:tabs>
        <w:numPr>
          <w:ilvl w:val="1"/>
          <w:numId w:val="93"/>
        </w:numPr>
        <w:rPr>
          <w:rFonts w:ascii="Arial" w:cs="Arial" w:eastAsia="Arial" w:hAnsi="Arial"/>
          <w:sz w:val="18"/>
          <w:szCs w:val="18"/>
          <w:color w:val="auto"/>
        </w:rPr>
      </w:pPr>
      <w:r>
        <w:rPr>
          <w:rFonts w:ascii="Arial" w:cs="Arial" w:eastAsia="Arial" w:hAnsi="Arial"/>
          <w:sz w:val="18"/>
          <w:szCs w:val="18"/>
          <w:color w:val="auto"/>
        </w:rPr>
        <w:t>principally carries on the activity of holding immovable properties situated whether in Singapore or elsewhere; or</w:t>
      </w:r>
    </w:p>
    <w:p>
      <w:pPr>
        <w:spacing w:after="0" w:line="75" w:lineRule="exact"/>
        <w:rPr>
          <w:rFonts w:ascii="Arial" w:cs="Arial" w:eastAsia="Arial" w:hAnsi="Arial"/>
          <w:sz w:val="18"/>
          <w:szCs w:val="18"/>
          <w:color w:val="auto"/>
        </w:rPr>
      </w:pPr>
    </w:p>
    <w:p>
      <w:pPr>
        <w:ind w:left="1720" w:hanging="402"/>
        <w:spacing w:after="0"/>
        <w:tabs>
          <w:tab w:leader="none" w:pos="17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has undertaken property development on Singapore or elsewhere, except where:</w:t>
      </w:r>
    </w:p>
    <w:p>
      <w:pPr>
        <w:spacing w:after="0" w:line="130" w:lineRule="exact"/>
        <w:rPr>
          <w:rFonts w:ascii="Arial" w:cs="Arial" w:eastAsia="Arial" w:hAnsi="Arial"/>
          <w:sz w:val="18"/>
          <w:szCs w:val="18"/>
          <w:color w:val="auto"/>
        </w:rPr>
      </w:pPr>
    </w:p>
    <w:p>
      <w:pPr>
        <w:ind w:left="2180" w:right="599" w:hanging="430"/>
        <w:spacing w:after="0" w:line="263" w:lineRule="auto"/>
        <w:tabs>
          <w:tab w:leader="none" w:pos="2173" w:val="left"/>
        </w:tabs>
        <w:numPr>
          <w:ilvl w:val="2"/>
          <w:numId w:val="93"/>
        </w:numPr>
        <w:rPr>
          <w:rFonts w:ascii="Arial" w:cs="Arial" w:eastAsia="Arial" w:hAnsi="Arial"/>
          <w:sz w:val="18"/>
          <w:szCs w:val="18"/>
          <w:color w:val="auto"/>
        </w:rPr>
      </w:pPr>
      <w:r>
        <w:rPr>
          <w:rFonts w:ascii="Arial" w:cs="Arial" w:eastAsia="Arial" w:hAnsi="Arial"/>
          <w:sz w:val="18"/>
          <w:szCs w:val="18"/>
          <w:color w:val="auto"/>
        </w:rPr>
        <w:t>the immovable property developed is used by the company to carry on its trade or business (including the business of letting immovable properties), not being a business mentioned in sub-paragraph (i); and</w:t>
      </w:r>
    </w:p>
    <w:p>
      <w:pPr>
        <w:spacing w:after="0" w:line="102" w:lineRule="exact"/>
        <w:rPr>
          <w:rFonts w:ascii="Arial" w:cs="Arial" w:eastAsia="Arial" w:hAnsi="Arial"/>
          <w:sz w:val="18"/>
          <w:szCs w:val="18"/>
          <w:color w:val="auto"/>
        </w:rPr>
      </w:pPr>
    </w:p>
    <w:p>
      <w:pPr>
        <w:ind w:left="2180" w:right="519" w:hanging="430"/>
        <w:spacing w:after="0" w:line="342" w:lineRule="auto"/>
        <w:tabs>
          <w:tab w:leader="none" w:pos="2163" w:val="left"/>
        </w:tabs>
        <w:numPr>
          <w:ilvl w:val="2"/>
          <w:numId w:val="93"/>
        </w:numPr>
        <w:rPr>
          <w:rFonts w:ascii="Arial" w:cs="Arial" w:eastAsia="Arial" w:hAnsi="Arial"/>
          <w:sz w:val="16"/>
          <w:szCs w:val="16"/>
          <w:color w:val="auto"/>
        </w:rPr>
      </w:pPr>
      <w:r>
        <w:rPr>
          <w:rFonts w:ascii="Arial" w:cs="Arial" w:eastAsia="Arial" w:hAnsi="Arial"/>
          <w:sz w:val="16"/>
          <w:szCs w:val="16"/>
          <w:color w:val="auto"/>
        </w:rPr>
        <w:t>the company did not undertake any property development in Singapore or elsewhere for a period of at least 60 consecutive months before the disposal of shares; or</w:t>
      </w:r>
    </w:p>
    <w:p>
      <w:pPr>
        <w:spacing w:after="0" w:line="29" w:lineRule="exact"/>
        <w:rPr>
          <w:rFonts w:ascii="Arial" w:cs="Arial" w:eastAsia="Arial" w:hAnsi="Arial"/>
          <w:sz w:val="16"/>
          <w:szCs w:val="16"/>
          <w:color w:val="auto"/>
        </w:rPr>
      </w:pPr>
    </w:p>
    <w:p>
      <w:pPr>
        <w:ind w:left="1320" w:right="539" w:hanging="434"/>
        <w:spacing w:after="0" w:line="277" w:lineRule="auto"/>
        <w:tabs>
          <w:tab w:leader="none" w:pos="127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disposal(s) of shares by a partnership, limited partnership and limited liability partnership one or more of the partners of which is a company or are companies.</w:t>
      </w:r>
    </w:p>
    <w:p>
      <w:pPr>
        <w:spacing w:after="0" w:line="7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Shareholders who apply, or who are required to apply, the Singapore Financial Reporting Standard 39</w:t>
      </w:r>
    </w:p>
    <w:p>
      <w:pPr>
        <w:spacing w:after="0" w:line="35" w:lineRule="exact"/>
        <w:rPr>
          <w:sz w:val="20"/>
          <w:szCs w:val="20"/>
          <w:color w:val="auto"/>
        </w:rPr>
      </w:pPr>
    </w:p>
    <w:p>
      <w:pPr>
        <w:ind w:left="460" w:right="639"/>
        <w:spacing w:after="0" w:line="290" w:lineRule="auto"/>
        <w:rPr>
          <w:sz w:val="20"/>
          <w:szCs w:val="20"/>
          <w:color w:val="auto"/>
        </w:rPr>
      </w:pPr>
      <w:r>
        <w:rPr>
          <w:rFonts w:ascii="Arial" w:cs="Arial" w:eastAsia="Arial" w:hAnsi="Arial"/>
          <w:sz w:val="16"/>
          <w:szCs w:val="16"/>
          <w:color w:val="auto"/>
        </w:rPr>
        <w:t>— Financial Instruments: Recognition and Measurement, or SFRS(I) 1-39; the Singapore Financial Reporting Standard 109 — Financial Instruments, or FRS 109; or the Singapore Financial Reporting Standard (International) 9 — Financial Instruments, or SFRS(I) 9, may for the purposes of Singapore income tax be required to recognize gains or losses in respect of financial instruments (not being gains or losses in the nature of capital) in accordance with SFRS(I) 1-39, FRS 109 or SFRS(I) 9 (as the case may be) (as modified by the applicable provisions of Singapore income tax law) even where no sale or disposal of the shares is made.</w:t>
      </w:r>
    </w:p>
    <w:p>
      <w:pPr>
        <w:spacing w:after="0" w:line="83"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Shareholders who may be subject to the above-mentioned tax treatments, including under Sections 34A or 34AA of the SITA, should consult their accounting and tax advisers regarding the Singapore income tax consequences of their acquisition, holding and disposal of the shares.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148"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The following discussion describes the material United States federal income tax consequences to a United States Holder (as defined below), under current law, of an investment in our ADSs or ordinary shares. This discussion is based on the federal income tax laws of the United States as of the date of this prospectus, including the United States Internal Revenue Code of 1986, as amended, or the Code, existing and proposed Treasury regulations promulgated thereunder, judicial authority, published administrative positions of the IRS and other applicable authorities, all as of the date of this prospectus. All of the foregoing authorities are subject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spacing w:after="0" w:line="273" w:lineRule="auto"/>
        <w:rPr>
          <w:sz w:val="20"/>
          <w:szCs w:val="20"/>
          <w:color w:val="auto"/>
        </w:rPr>
      </w:pPr>
      <w:r>
        <w:rPr>
          <w:rFonts w:ascii="Arial" w:cs="Arial" w:eastAsia="Arial" w:hAnsi="Arial"/>
          <w:sz w:val="17"/>
          <w:szCs w:val="17"/>
          <w:color w:val="auto"/>
        </w:rPr>
        <w:t>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 This summary does not discuss the so-called Medicare tax on net investment income, any federal non-income tax laws, including the federal estate or gift tax laws, or the laws of any state, local or non-United States taxing jurisdiction.</w:t>
      </w:r>
    </w:p>
    <w:p>
      <w:pPr>
        <w:spacing w:after="0" w:line="110"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This discussion applies only to a United States Holder that holds ADSs or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92" w:lineRule="exact"/>
        <w:rPr>
          <w:sz w:val="20"/>
          <w:szCs w:val="20"/>
          <w:color w:val="auto"/>
        </w:rPr>
      </w:pPr>
    </w:p>
    <w:p>
      <w:pPr>
        <w:ind w:left="1320" w:hanging="434"/>
        <w:spacing w:after="0"/>
        <w:tabs>
          <w:tab w:leader="none" w:pos="1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banks;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brokers or dealers in stocks and securities, or currencies;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who are required to use a mark-to-market method of accounting;</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certain former citizens or residents of the United States subject to Section 877 of the Code;</w:t>
      </w:r>
    </w:p>
    <w:p>
      <w:pPr>
        <w:spacing w:after="0" w:line="142" w:lineRule="exact"/>
        <w:rPr>
          <w:rFonts w:ascii="Arial" w:cs="Arial" w:eastAsia="Arial" w:hAnsi="Arial"/>
          <w:sz w:val="17"/>
          <w:szCs w:val="17"/>
          <w:color w:val="auto"/>
        </w:rPr>
      </w:pPr>
    </w:p>
    <w:p>
      <w:pPr>
        <w:ind w:left="1320" w:hanging="434"/>
        <w:spacing w:after="0"/>
        <w:tabs>
          <w:tab w:leader="none" w:pos="1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entities subject to the United States anti-inversion rules;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tax-exempt organizations and entities;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subject to the alternative minimum tax provisions of the Code;</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whose functional currency is other than the United States dollar;</w:t>
      </w:r>
    </w:p>
    <w:p>
      <w:pPr>
        <w:spacing w:after="0" w:line="130" w:lineRule="exact"/>
        <w:rPr>
          <w:rFonts w:ascii="Arial" w:cs="Arial" w:eastAsia="Arial" w:hAnsi="Arial"/>
          <w:sz w:val="18"/>
          <w:szCs w:val="18"/>
          <w:color w:val="auto"/>
        </w:rPr>
      </w:pPr>
    </w:p>
    <w:p>
      <w:pPr>
        <w:ind w:left="1320" w:right="779" w:hanging="434"/>
        <w:spacing w:after="0" w:line="277" w:lineRule="auto"/>
        <w:tabs>
          <w:tab w:leader="none" w:pos="1315"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holding ADSs or ordinary shares as part of a straddle, hedging, conversion or integrated transaction;</w:t>
      </w:r>
    </w:p>
    <w:p>
      <w:pPr>
        <w:spacing w:after="0" w:line="89" w:lineRule="exact"/>
        <w:rPr>
          <w:rFonts w:ascii="Arial" w:cs="Arial" w:eastAsia="Arial" w:hAnsi="Arial"/>
          <w:sz w:val="18"/>
          <w:szCs w:val="18"/>
          <w:color w:val="auto"/>
        </w:rPr>
      </w:pPr>
    </w:p>
    <w:p>
      <w:pPr>
        <w:ind w:left="1320" w:right="699" w:hanging="434"/>
        <w:spacing w:after="0" w:line="277" w:lineRule="auto"/>
        <w:tabs>
          <w:tab w:leader="none" w:pos="1315"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holding ADSs or ordinary shares through a bank, financial institution or other entity, or a branch thereof, located, organized or resident outside the United States;</w:t>
      </w:r>
    </w:p>
    <w:p>
      <w:pPr>
        <w:spacing w:after="0" w:line="75" w:lineRule="exact"/>
        <w:rPr>
          <w:rFonts w:ascii="Arial" w:cs="Arial" w:eastAsia="Arial" w:hAnsi="Arial"/>
          <w:sz w:val="18"/>
          <w:szCs w:val="18"/>
          <w:color w:val="auto"/>
        </w:rPr>
      </w:pPr>
    </w:p>
    <w:p>
      <w:pPr>
        <w:ind w:left="1320" w:right="639" w:hanging="434"/>
        <w:spacing w:after="0" w:line="277" w:lineRule="auto"/>
        <w:tabs>
          <w:tab w:leader="none" w:pos="1315"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the total combined voting power of all classes of our voting stock;</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who acquired ADSs or ordinary shares pursuant to the exercise of an employee stock option or otherwise as compensation; or</w:t>
      </w:r>
    </w:p>
    <w:p>
      <w:pPr>
        <w:spacing w:after="0" w:line="89" w:lineRule="exact"/>
        <w:rPr>
          <w:rFonts w:ascii="Arial" w:cs="Arial" w:eastAsia="Arial" w:hAnsi="Arial"/>
          <w:sz w:val="18"/>
          <w:szCs w:val="18"/>
          <w:color w:val="auto"/>
        </w:rPr>
      </w:pPr>
    </w:p>
    <w:p>
      <w:pPr>
        <w:ind w:left="1320" w:right="819" w:hanging="434"/>
        <w:spacing w:after="0" w:line="277" w:lineRule="auto"/>
        <w:tabs>
          <w:tab w:leader="none" w:pos="1315"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partnerships or other pass-through entities, or persons holding ADSs or ordinary shares through such entities.</w:t>
      </w:r>
    </w:p>
    <w:p>
      <w:pPr>
        <w:spacing w:after="0" w:line="76" w:lineRule="exact"/>
        <w:rPr>
          <w:sz w:val="20"/>
          <w:szCs w:val="20"/>
          <w:color w:val="auto"/>
        </w:rPr>
      </w:pPr>
    </w:p>
    <w:p>
      <w:pPr>
        <w:ind w:left="460" w:right="919" w:firstLine="432"/>
        <w:spacing w:after="0" w:line="275" w:lineRule="auto"/>
        <w:rPr>
          <w:sz w:val="20"/>
          <w:szCs w:val="20"/>
          <w:color w:val="auto"/>
        </w:rPr>
      </w:pPr>
      <w:r>
        <w:rPr>
          <w:rFonts w:ascii="Arial" w:cs="Arial" w:eastAsia="Arial" w:hAnsi="Arial"/>
          <w:sz w:val="17"/>
          <w:szCs w:val="17"/>
          <w:color w:val="auto"/>
        </w:rPr>
        <w:t>If a partnership (including an entity or arrangement treated as a partnership for United States federal income tax purposes) holds our ADSs or ordinary shares, the tax treatment of a partner in the partnership generally will depend upon the status of the partner and the activities of the partnership. A partner in a partnership holding our ADSs or ordinary shares should consult its own tax advisors regarding the tax consequences of holding our ADSs or ordinary shares.</w:t>
      </w:r>
    </w:p>
    <w:p>
      <w:pPr>
        <w:spacing w:after="0" w:line="105" w:lineRule="exact"/>
        <w:rPr>
          <w:sz w:val="20"/>
          <w:szCs w:val="20"/>
          <w:color w:val="auto"/>
        </w:rPr>
      </w:pPr>
    </w:p>
    <w:p>
      <w:pPr>
        <w:ind w:left="460" w:right="539" w:firstLine="432"/>
        <w:spacing w:after="0" w:line="294" w:lineRule="auto"/>
        <w:rPr>
          <w:sz w:val="20"/>
          <w:szCs w:val="20"/>
          <w:color w:val="auto"/>
        </w:rPr>
      </w:pPr>
      <w:r>
        <w:rPr>
          <w:rFonts w:ascii="Arial" w:cs="Arial" w:eastAsia="Arial" w:hAnsi="Arial"/>
          <w:sz w:val="16"/>
          <w:szCs w:val="16"/>
          <w:b w:val="1"/>
          <w:bCs w:val="1"/>
          <w:color w:val="auto"/>
        </w:rPr>
        <w:t>The following discussion is for informational purposes only and is not a substitute for careful tax planning and advice. Investors considering the purchase of ADSs or ordinary shares should consult their own tax advisors with respect to the application of the United States federal income tax laws to their particular situations, as well as any tax consequences arising under the Medicare tax on net investment income, any federal non-income tax laws, including the federal estate or gift tax laws, or the laws of any state, local or non-United States taxing jurisdiction and under any applicable tax treaty.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For purposes of the discussion below, a “United States Holder” is a beneficial owner of our ADSs or ordinary shares that is, for United States federal income tax purposes:</w:t>
      </w:r>
    </w:p>
    <w:p>
      <w:pPr>
        <w:spacing w:after="0" w:line="76" w:lineRule="exact"/>
        <w:rPr>
          <w:sz w:val="20"/>
          <w:szCs w:val="20"/>
          <w:color w:val="auto"/>
        </w:rPr>
      </w:pPr>
    </w:p>
    <w:p>
      <w:pPr>
        <w:ind w:left="1320" w:hanging="434"/>
        <w:spacing w:after="0"/>
        <w:tabs>
          <w:tab w:leader="none" w:pos="1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44" w:lineRule="exact"/>
        <w:rPr>
          <w:rFonts w:ascii="Arial" w:cs="Arial" w:eastAsia="Arial" w:hAnsi="Arial"/>
          <w:sz w:val="18"/>
          <w:szCs w:val="18"/>
          <w:color w:val="auto"/>
        </w:rPr>
      </w:pPr>
    </w:p>
    <w:p>
      <w:pPr>
        <w:ind w:left="1320" w:right="499" w:hanging="434"/>
        <w:spacing w:after="0" w:line="263" w:lineRule="auto"/>
        <w:tabs>
          <w:tab w:leader="none" w:pos="13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102" w:lineRule="exact"/>
        <w:rPr>
          <w:rFonts w:ascii="Arial" w:cs="Arial" w:eastAsia="Arial" w:hAnsi="Arial"/>
          <w:sz w:val="18"/>
          <w:szCs w:val="18"/>
          <w:color w:val="auto"/>
        </w:rPr>
      </w:pPr>
    </w:p>
    <w:p>
      <w:pPr>
        <w:ind w:left="1320" w:right="679" w:hanging="434"/>
        <w:spacing w:after="0" w:line="277" w:lineRule="auto"/>
        <w:tabs>
          <w:tab w:leader="none" w:pos="13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02" w:lineRule="exact"/>
        <w:rPr>
          <w:rFonts w:ascii="Arial" w:cs="Arial" w:eastAsia="Arial" w:hAnsi="Arial"/>
          <w:sz w:val="18"/>
          <w:szCs w:val="18"/>
          <w:color w:val="auto"/>
        </w:rPr>
      </w:pPr>
    </w:p>
    <w:p>
      <w:pPr>
        <w:ind w:left="1320" w:right="499" w:hanging="434"/>
        <w:spacing w:after="0" w:line="257" w:lineRule="auto"/>
        <w:tabs>
          <w:tab w:leader="none" w:pos="13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spacing w:after="0" w:line="120"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discussion below assumes that the representations contained in the deposit agreement and any related agreement is true and that the obligations in such agreements will be complied with in accordance with their terms.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ADSs</w:t>
      </w:r>
    </w:p>
    <w:p>
      <w:pPr>
        <w:spacing w:after="0" w:line="144"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If you own our ADSs, then you should be treated as the owner of the underlying ordinary shares represented by those ADSs for United States federal income tax purposes. Accordingly, deposits or withdrawals of ordinary shares for ADSs should not be subject to United States federal income tax.</w:t>
      </w:r>
    </w:p>
    <w:p>
      <w:pPr>
        <w:spacing w:after="0" w:line="116"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United States Treasury Department and the IRS have expressed concerns that intermediaries in the chain of ownership between the holder of an ADS and the issuer of the security underlying the ADS may be taking actions that are inconsistent with the beneficial ownership of the underlying security (for example, a pre-release of ADSs to persons that do not have beneficial ownership of the securities underlying the ADSs). Such actions may be inconsistent with the claiming of the reduced rate of tax applicable to certain dividends received by non-corporate United States Holders of ADSs, including individual United States Holders, and the claiming of foreign tax credits by United States Holders of ADSs. Accordingly, among other things, the availability of foreign tax credits or the reduced tax rate for dividends received by non-corporate United States Holders, each discussed below, could be affected by actions taken by intermediaries in the chain of ownership between the holder of an ADS and our company, if as a result of such actions, the holders of ADSs are not properly treated as beneficial owners of ordinary shares.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5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or the asset test. Passive income generally includes, among other things, dividends, interest, rents, royalties, and gains from the disposition of passive assets. Passive assets are those which give rise to passive income, and include assets held for investment, as well as cash, assets readily convertible into cash, and working capital. The company’s goodwill and other unbooked intangibles are taken into account and may be classified as active or passive depending upon the relative amounts of income generated by the company in each category. We will be treated as owning a proportionate share of the assets and earning a proportionate share of the income of any other corporation in which we own, directly or indirectly, 25% or more (by value) of the stock.</w:t>
      </w:r>
    </w:p>
    <w:p>
      <w:pPr>
        <w:spacing w:after="0" w:line="91"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Based upon our current and projected income and assets, the expected proceeds from this offering, and projections as to the market price of our ADSs immediately following this offering,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including the relative amounts of income generated by our strategic investment business as compared to our other businesses, and the value of the assets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0" w:name="page121"/>
    <w:bookmarkEnd w:id="12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spacing w:after="0" w:line="286" w:lineRule="auto"/>
        <w:rPr>
          <w:sz w:val="20"/>
          <w:szCs w:val="20"/>
          <w:color w:val="auto"/>
        </w:rPr>
      </w:pPr>
      <w:r>
        <w:rPr>
          <w:rFonts w:ascii="Arial" w:cs="Arial" w:eastAsia="Arial" w:hAnsi="Arial"/>
          <w:sz w:val="16"/>
          <w:szCs w:val="16"/>
          <w:color w:val="auto"/>
        </w:rPr>
        <w:t>held by our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subsequent years. Furthermore fluctuations in the market price of our ADSs may cause us to be a PFIC for the current or future taxable years because the value of our assets for purposes of the asset test, including the value of our goodwill and unbooked intangibles, may be determined by reference to the market price of our ADSs from time to time (which may be volatile). In estimating the value of our goodwill and other unbooked intangibles, we have taken into account our anticipated market capitalization immediately following the close of this offering. Among other matters, if our market capitalization is less than anticipated or subsequently declines, we may be or become a PFIC for the current or future taxable years.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03"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If we are a PFIC for any year during which a U.S. Holder holds our ADSs or ordinary shares, we generally will continue to be treated as a PFIC for all succeeding years during which such U.S. Holder holds our ADSs or ordinary shares unless, in such case, we cease to be treated as a PFIC and such U.S. Holder makes a deemed sole election.</w:t>
      </w:r>
    </w:p>
    <w:p>
      <w:pPr>
        <w:spacing w:after="0" w:line="119"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discussion below under “— Dividends” and “— Sale or Other Disposition” is written on the basis that we will not be or become classified as a PFIC for U.S. federal income tax purposes. The U.S. federal income tax rules that apply generally if we are treated as a PFIC are discussed below under “— Passive Foreign Investment Company Rules.”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44"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Any cash distributions paid on our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ordinary shares will not be eligible for the dividends received deduction allowed to corporations in respect of dividends-received from U.S. corporations.</w:t>
      </w:r>
    </w:p>
    <w:p>
      <w:pPr>
        <w:spacing w:after="0" w:line="111" w:lineRule="exact"/>
        <w:rPr>
          <w:sz w:val="20"/>
          <w:szCs w:val="20"/>
          <w:color w:val="auto"/>
        </w:rPr>
      </w:pPr>
    </w:p>
    <w:p>
      <w:pPr>
        <w:ind w:left="460" w:right="559" w:firstLine="432"/>
        <w:spacing w:after="0" w:line="285" w:lineRule="auto"/>
        <w:rPr>
          <w:sz w:val="20"/>
          <w:szCs w:val="20"/>
          <w:color w:val="auto"/>
        </w:rPr>
      </w:pPr>
      <w:r>
        <w:rPr>
          <w:rFonts w:ascii="Arial" w:cs="Arial" w:eastAsia="Arial" w:hAnsi="Arial"/>
          <w:sz w:val="16"/>
          <w:szCs w:val="16"/>
          <w:color w:val="auto"/>
        </w:rPr>
        <w:t>Individuals and other non-corporate U.S. Holders may be subject to tax on any such dividends at the lower capital gain tax rate applicable to “qualified dividend income,” provided that certain conditions are satisfied, including that (i) our ADSs or ordinary shares on which the dividends are paid are readily tradable on an established securities market in the United States, (ii) we are neither a PFIC nor treated as such with respect to a U.S. Holder for the taxable year in which the dividend is paid and the preceding taxable year, and</w:t>
      </w:r>
    </w:p>
    <w:p>
      <w:pPr>
        <w:spacing w:after="0" w:line="2" w:lineRule="exact"/>
        <w:rPr>
          <w:sz w:val="20"/>
          <w:szCs w:val="20"/>
          <w:color w:val="auto"/>
        </w:rPr>
      </w:pPr>
    </w:p>
    <w:p>
      <w:pPr>
        <w:ind w:left="460" w:right="519" w:hanging="6"/>
        <w:spacing w:after="0" w:line="268" w:lineRule="auto"/>
        <w:tabs>
          <w:tab w:leader="none" w:pos="775" w:val="left"/>
        </w:tabs>
        <w:numPr>
          <w:ilvl w:val="0"/>
          <w:numId w:val="97"/>
        </w:numPr>
        <w:rPr>
          <w:rFonts w:ascii="Arial" w:cs="Arial" w:eastAsia="Arial" w:hAnsi="Arial"/>
          <w:sz w:val="17"/>
          <w:szCs w:val="17"/>
          <w:color w:val="auto"/>
        </w:rPr>
      </w:pPr>
      <w:r>
        <w:rPr>
          <w:rFonts w:ascii="Arial" w:cs="Arial" w:eastAsia="Arial" w:hAnsi="Arial"/>
          <w:sz w:val="17"/>
          <w:szCs w:val="17"/>
          <w:color w:val="auto"/>
        </w:rPr>
        <w:t>certain holding period requirements are met. We intend to list the ADSs on the Nasdaq Capital Market. Provided that this listing is approved, we believe that the ADSs should generally be considered to be readily tradeable on an established securities market in the United States. There can be no assurance that the ADSs will continue to be considered readily tradable on an established securities market in later years. Because the ordinary shares will not be listed on a U.S. exchange, we do not believe that dividends received with respect to ordinary shares that are not represented by ADSs will be treated as qualified dividends. U.S. Holders are urged to consult their tax advisors regarding the availability of the lower rate for dividends paid with respect to the ADSs or ordinary shares.</w:t>
      </w:r>
    </w:p>
    <w:p>
      <w:pPr>
        <w:spacing w:after="0" w:line="116"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For U.S. foreign tax credit purposes, dividends paid on our ADSs or ordinary shares will generally be treated as income from foreign sources and will generally constitute passive category income. The rules governing the foreign tax credit are complex and U.S. Holders are urged to consult their tax advisors regarding the availability of the foreign tax credit under their particular circumstances.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Disposition</w:t>
      </w:r>
    </w:p>
    <w:p>
      <w:pPr>
        <w:spacing w:after="0" w:line="144"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A U.S. Holder will generally recognize gain or loss upon the sale or other disposition of ADSs or ordinary shares in an amount equal to the difference between the amount realized upon the disposition and the holder’s adjusted tax basis in such ADSs or ordinary shares. Such gain or loss will generally be capital gain or loss. Any</w:t>
      </w:r>
    </w:p>
    <w:p>
      <w:pPr>
        <w:sectPr>
          <w:pgSz w:w="11900" w:h="16838" w:orient="portrait"/>
          <w:cols w:equalWidth="0" w:num="1">
            <w:col w:w="9019"/>
          </w:cols>
          <w:pgMar w:left="1440" w:top="274" w:right="1440"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1" w:name="page122"/>
    <w:bookmarkEnd w:id="12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spacing w:after="0" w:line="271" w:lineRule="auto"/>
        <w:rPr>
          <w:sz w:val="20"/>
          <w:szCs w:val="20"/>
          <w:color w:val="auto"/>
        </w:rPr>
      </w:pPr>
      <w:r>
        <w:rPr>
          <w:rFonts w:ascii="Arial" w:cs="Arial" w:eastAsia="Arial" w:hAnsi="Arial"/>
          <w:sz w:val="17"/>
          <w:szCs w:val="17"/>
          <w:color w:val="auto"/>
        </w:rPr>
        <w:t>such capital gain or loss will be long term if the ADSs or ordinary shares have been held for more than one year. Non-corporate U.S. Holders (including individuals) generally will be subject to United States federal income tax on long-term capital gain at preferential rates. The deductibility of a capital loss may be subject to limitations. Any such gain or loss that the U.S. Holder recognizes will generally be treated as U.S. source income or loss for foreign tax credit limitation purposes, which could limit the availability of foreign tax credits. Each U.S. Holder is advised to consult its tax advisor regarding the tax consequences if a foreign tax is imposed on a disposition of our ADSs or ordinary shares, including the applicability of any tax treaty and the availability of the foreign tax credit under its particular circumstances.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58"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If we are classified as a PFIC for any taxable year during which a U.S. Holder holds our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including, under certain circumstances, a pledge, of ADSs or ordinary shares. Under the PFIC rules:</w:t>
      </w:r>
    </w:p>
    <w:p>
      <w:pPr>
        <w:spacing w:after="0" w:line="99" w:lineRule="exact"/>
        <w:rPr>
          <w:sz w:val="20"/>
          <w:szCs w:val="20"/>
          <w:color w:val="auto"/>
        </w:rPr>
      </w:pPr>
    </w:p>
    <w:p>
      <w:pPr>
        <w:ind w:left="1320" w:right="479" w:hanging="434"/>
        <w:spacing w:after="0" w:line="277" w:lineRule="auto"/>
        <w:tabs>
          <w:tab w:leader="none" w:pos="131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the ADSs or ordinary shares;</w:t>
      </w:r>
    </w:p>
    <w:p>
      <w:pPr>
        <w:spacing w:after="0" w:line="89" w:lineRule="exact"/>
        <w:rPr>
          <w:rFonts w:ascii="Arial" w:cs="Arial" w:eastAsia="Arial" w:hAnsi="Arial"/>
          <w:sz w:val="18"/>
          <w:szCs w:val="18"/>
          <w:color w:val="auto"/>
        </w:rPr>
      </w:pPr>
    </w:p>
    <w:p>
      <w:pPr>
        <w:jc w:val="both"/>
        <w:ind w:left="1320" w:right="539" w:hanging="434"/>
        <w:spacing w:after="0" w:line="263" w:lineRule="auto"/>
        <w:tabs>
          <w:tab w:leader="none" w:pos="131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years in the U.S. Holder’s holding period prior to the first taxable year in which we are classified as a PFIC (each, a “pre-PFIC year”), will be taxable as ordinary income; and</w:t>
      </w:r>
    </w:p>
    <w:p>
      <w:pPr>
        <w:spacing w:after="0" w:line="116" w:lineRule="exact"/>
        <w:rPr>
          <w:rFonts w:ascii="Arial" w:cs="Arial" w:eastAsia="Arial" w:hAnsi="Arial"/>
          <w:sz w:val="18"/>
          <w:szCs w:val="18"/>
          <w:color w:val="auto"/>
        </w:rPr>
      </w:pPr>
    </w:p>
    <w:p>
      <w:pPr>
        <w:jc w:val="both"/>
        <w:ind w:left="1320" w:right="579" w:hanging="434"/>
        <w:spacing w:after="0" w:line="259" w:lineRule="auto"/>
        <w:tabs>
          <w:tab w:leader="none" w:pos="131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spacing w:after="0" w:line="119"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As an alternative to the foregoing rules, a U.S. Holder of “marketable stock” (as defined below) in a PFIC may make a mark-to-market election with respect to such stock. If a U.S. Holder makes this election with respect to our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in respect of our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01"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Our ADSs, but not our ordinary shares, will be treated as marketable stock upon their listing on the Nasdaq Capital Market. We anticipate that our ADSs should qualify as being regularly traded, but no assurances may be given in this regard.</w:t>
      </w:r>
    </w:p>
    <w:p>
      <w:pPr>
        <w:spacing w:after="0" w:line="94"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16"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If a U.S. Holder owns our ADSs or ordinary shares during any taxable year that we are a PFIC, the holder must generally file an annual IRS Form 8621. You should consult your tax advisor regarding the U.S. federal income tax consequences of owning and disposing of our ADSs or ordinary shares if we are or become a PFIC.</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3" w:name="page124"/>
    <w:bookmarkEnd w:id="12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44" w:lineRule="exact"/>
        <w:rPr>
          <w:sz w:val="20"/>
          <w:szCs w:val="20"/>
          <w:color w:val="auto"/>
        </w:rPr>
      </w:pPr>
    </w:p>
    <w:p>
      <w:pPr>
        <w:ind w:left="460" w:right="559" w:firstLine="432"/>
        <w:spacing w:after="0" w:line="261" w:lineRule="auto"/>
        <w:rPr>
          <w:sz w:val="20"/>
          <w:szCs w:val="20"/>
          <w:color w:val="auto"/>
        </w:rPr>
      </w:pPr>
      <w:r>
        <w:rPr>
          <w:rFonts w:ascii="Arial" w:cs="Arial" w:eastAsia="Arial" w:hAnsi="Arial"/>
          <w:sz w:val="18"/>
          <w:szCs w:val="18"/>
          <w:color w:val="auto"/>
        </w:rPr>
        <w:t xml:space="preserve">We expect to enter into an underwriting agreement with US Tiger Securities, Inc., or the </w:t>
      </w:r>
      <w:r>
        <w:rPr>
          <w:rFonts w:ascii="Arial" w:cs="Arial" w:eastAsia="Arial" w:hAnsi="Arial"/>
          <w:sz w:val="18"/>
          <w:szCs w:val="18"/>
          <w:b w:val="1"/>
          <w:bCs w:val="1"/>
          <w:color w:val="auto"/>
        </w:rPr>
        <w:t>“Underwriter</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The Underwriter has agreed to purchase, and we have agreed to sell to it, the number of our ADSs at the initial public offering price, less the underwriting discounts and commissions, as set forth on the cover page of this prospectus and as indicated below:</w:t>
      </w:r>
    </w:p>
    <w:p>
      <w:pPr>
        <w:spacing w:after="0" w:line="157" w:lineRule="exact"/>
        <w:rPr>
          <w:sz w:val="20"/>
          <w:szCs w:val="20"/>
          <w:color w:val="auto"/>
        </w:rPr>
      </w:pPr>
    </w:p>
    <w:p>
      <w:pPr>
        <w:ind w:left="744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ind w:left="460"/>
        <w:spacing w:after="0"/>
        <w:tabs>
          <w:tab w:leader="none" w:pos="7620" w:val="left"/>
        </w:tabs>
        <w:rPr>
          <w:sz w:val="20"/>
          <w:szCs w:val="20"/>
          <w:color w:val="auto"/>
        </w:rPr>
      </w:pPr>
      <w:r>
        <w:rPr>
          <w:rFonts w:ascii="Arial" w:cs="Arial" w:eastAsia="Arial" w:hAnsi="Arial"/>
          <w:sz w:val="16"/>
          <w:szCs w:val="16"/>
          <w:b w:val="1"/>
          <w:bCs w:val="1"/>
          <w:color w:val="auto"/>
        </w:rPr>
        <w:t>Underwriter</w:t>
      </w:r>
      <w:r>
        <w:rPr>
          <w:sz w:val="20"/>
          <w:szCs w:val="20"/>
          <w:color w:val="auto"/>
        </w:rPr>
        <w:tab/>
      </w:r>
      <w:r>
        <w:rPr>
          <w:rFonts w:ascii="Arial" w:cs="Arial" w:eastAsia="Arial" w:hAnsi="Arial"/>
          <w:sz w:val="16"/>
          <w:szCs w:val="16"/>
          <w:b w:val="1"/>
          <w:bCs w:val="1"/>
          <w:color w:val="auto"/>
        </w:rPr>
        <w:t>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41275</wp:posOffset>
            </wp:positionV>
            <wp:extent cx="514350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Tiger Securities, Inc.</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w:t>
      </w:r>
    </w:p>
    <w:p>
      <w:pPr>
        <w:spacing w:after="0" w:line="225"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Underwriter is offering the ADSs subject to its acceptance of the ADSs from us and subject to prior sale. The underwriting agreement provides that the obligations of the Underwriter to pay for and accept delivery of the ADSs offered by this prospectus are subject to the approval of certain legal matters by its counsel and to other conditions. The Underwriter is obligated to take and pay for all of the ADSs offered by this prospectus if any such ADSs are taken. However, the Underwriter is not required to take or pay for the ADSs covered by the Underwriter’s option to purchase additional ADSs described below.</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Over-Allotment Option</w:t>
      </w:r>
    </w:p>
    <w:p>
      <w:pPr>
        <w:spacing w:after="0" w:line="158"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We have granted to the Underwriter an option (“</w:t>
      </w:r>
      <w:r>
        <w:rPr>
          <w:rFonts w:ascii="Arial" w:cs="Arial" w:eastAsia="Arial" w:hAnsi="Arial"/>
          <w:sz w:val="17"/>
          <w:szCs w:val="17"/>
          <w:b w:val="1"/>
          <w:bCs w:val="1"/>
          <w:color w:val="auto"/>
        </w:rPr>
        <w:t>Over-Allotment Option</w:t>
      </w:r>
      <w:r>
        <w:rPr>
          <w:rFonts w:ascii="Arial" w:cs="Arial" w:eastAsia="Arial" w:hAnsi="Arial"/>
          <w:sz w:val="17"/>
          <w:szCs w:val="17"/>
          <w:color w:val="auto"/>
        </w:rPr>
        <w:t>”), exercisable for 45 days after the closing of this offering to purchase up to 281,250 additional ADSs at the initial public offering price listed on the cover page of this prospectus, less underwriting discounts and commissions. Such additional ADSs represent 15% of the total amount sold in this offering. The Underwriter may exercise this Over-Allotment Option solely for the purpose of covering over-allotments, if any, made in connection with this offering. To the extent the Over-Allotment Option is exercised, the Underwriter will become obligated, subject to certain conditions, to purchase about the same percentage of the additional ADSs as the number listed next to the Underwriter’s name in the preceding table.</w:t>
      </w:r>
    </w:p>
    <w:p>
      <w:pPr>
        <w:spacing w:after="0" w:line="95"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The Underwriter will offer the ADSs to the public at the initial public offering price set forth on the cover of this prospectus. After this offering, the initial public offering price, concession and reallowance to dealers may be reduced by the Underwriter. No change in those terms will change the amount of proceeds to be received by us as set forth on the cover of this prospectus. The ADSs are offered by the Underwriter as stated herein, subject to receipt and acceptance by the Underwriter and subject to its right to reject any order in whole or in part.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Discounts and Expenses</w:t>
      </w:r>
    </w:p>
    <w:p>
      <w:pPr>
        <w:spacing w:after="0" w:line="162"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The underwriting discounts and commissions are equal to 6% of the initial public offering price set forth on the cover of this prospectus.</w:t>
      </w:r>
    </w:p>
    <w:p>
      <w:pPr>
        <w:spacing w:after="0" w:line="103" w:lineRule="exact"/>
        <w:rPr>
          <w:sz w:val="20"/>
          <w:szCs w:val="20"/>
          <w:color w:val="auto"/>
        </w:rPr>
      </w:pPr>
    </w:p>
    <w:p>
      <w:pPr>
        <w:jc w:val="both"/>
        <w:ind w:left="460" w:right="499" w:firstLine="432"/>
        <w:spacing w:after="0" w:line="286" w:lineRule="auto"/>
        <w:rPr>
          <w:sz w:val="20"/>
          <w:szCs w:val="20"/>
          <w:color w:val="auto"/>
        </w:rPr>
      </w:pPr>
      <w:r>
        <w:rPr>
          <w:rFonts w:ascii="Arial" w:cs="Arial" w:eastAsia="Arial" w:hAnsi="Arial"/>
          <w:sz w:val="17"/>
          <w:szCs w:val="17"/>
          <w:color w:val="auto"/>
        </w:rPr>
        <w:t>The following table shows the per ADS and total initial public offering price, underwriting discounts and commissions, and proceeds before expenses to us. These amounts are shown assuming both no exercise and full exercise of the Underwriter’s option to purchase up to 281,250 additional ADSs.</w:t>
      </w:r>
    </w:p>
    <w:p>
      <w:pPr>
        <w:spacing w:after="0" w:line="12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Total Without</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7"/>
              </w:rPr>
              <w:t>Total With Full</w:t>
            </w:r>
          </w:p>
        </w:tc>
      </w:t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Exercise of</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 of</w:t>
            </w:r>
          </w:p>
        </w:tc>
      </w:t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Over- allotment   Over- allotment</w:t>
            </w:r>
          </w:p>
        </w:tc>
      </w:tr>
      <w:tr>
        <w:trPr>
          <w:trHeight w:val="210"/>
        </w:trPr>
        <w:tc>
          <w:tcPr>
            <w:tcW w:w="4360" w:type="dxa"/>
            <w:vAlign w:val="bottom"/>
          </w:tcPr>
          <w:p>
            <w:pPr>
              <w:spacing w:after="0"/>
              <w:rPr>
                <w:sz w:val="18"/>
                <w:szCs w:val="18"/>
                <w:color w:val="auto"/>
              </w:rPr>
            </w:pP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Per ADS</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Option</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r>
      <w:tr>
        <w:trPr>
          <w:trHeight w:val="47"/>
        </w:trPr>
        <w:tc>
          <w:tcPr>
            <w:tcW w:w="43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1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4"/>
              </w:rPr>
              <w:t>Underwriting discounts and commissions to be paid by us</w:t>
            </w:r>
          </w:p>
        </w:tc>
        <w:tc>
          <w:tcPr>
            <w:tcW w:w="1240" w:type="dxa"/>
            <w:vAlign w:val="bottom"/>
            <w:gridSpan w:val="2"/>
          </w:tcPr>
          <w:p>
            <w:pPr>
              <w:spacing w:after="0"/>
              <w:rPr>
                <w:sz w:val="20"/>
                <w:szCs w:val="20"/>
                <w:color w:val="auto"/>
              </w:rPr>
            </w:pPr>
            <w:r>
              <w:rPr>
                <w:rFonts w:ascii="Arial" w:cs="Arial" w:eastAsia="Arial" w:hAnsi="Arial"/>
                <w:sz w:val="18"/>
                <w:szCs w:val="18"/>
                <w:color w:val="auto"/>
              </w:rPr>
              <w:t>US$</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41"/>
        </w:trPr>
        <w:tc>
          <w:tcPr>
            <w:tcW w:w="43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We will also pay to the Underwriter by deduction from the net proceeds of this offering, a non-accountable expense allowance equal to one percent (1%) of the gross proceeds received by us from the sale of our ADSs.</w:t>
      </w:r>
    </w:p>
    <w:p>
      <w:pPr>
        <w:spacing w:after="0" w:line="116"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We have agreed to reimburse the Underwriter for its reasonable out-of-pocket accountable expenses (including but not limited to reasonable and documented travel costs, legal fees, due diligence fees, and other expenses and disbursements, incurred in connection with its services for the purpose of the offering regardless of whether</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4" w:name="page125"/>
    <w:bookmarkEnd w:id="12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spacing w:after="0" w:line="311" w:lineRule="auto"/>
        <w:rPr>
          <w:sz w:val="20"/>
          <w:szCs w:val="20"/>
          <w:color w:val="auto"/>
        </w:rPr>
      </w:pPr>
      <w:r>
        <w:rPr>
          <w:rFonts w:ascii="Arial" w:cs="Arial" w:eastAsia="Arial" w:hAnsi="Arial"/>
          <w:sz w:val="16"/>
          <w:szCs w:val="16"/>
          <w:color w:val="auto"/>
        </w:rPr>
        <w:t>the offering is successfully closed) up to a maximum of US$200,000 for out-of-pocket accountable expenses. In addition, we have agreed to pay to the Underwriter upon closing of this offering a non-accountable expense allowance equal to one percent (1%) of the gross proceeds derived from the sale of the ADSs in this offering.</w:t>
      </w:r>
    </w:p>
    <w:p>
      <w:pPr>
        <w:spacing w:after="0" w:line="81" w:lineRule="exact"/>
        <w:rPr>
          <w:sz w:val="20"/>
          <w:szCs w:val="20"/>
          <w:color w:val="auto"/>
        </w:rPr>
      </w:pPr>
    </w:p>
    <w:p>
      <w:pPr>
        <w:ind w:left="460" w:right="579" w:firstLine="432"/>
        <w:spacing w:after="0" w:line="288" w:lineRule="auto"/>
        <w:rPr>
          <w:sz w:val="20"/>
          <w:szCs w:val="20"/>
          <w:color w:val="auto"/>
        </w:rPr>
      </w:pPr>
      <w:r>
        <w:rPr>
          <w:rFonts w:ascii="Arial" w:cs="Arial" w:eastAsia="Arial" w:hAnsi="Arial"/>
          <w:sz w:val="16"/>
          <w:szCs w:val="16"/>
          <w:color w:val="auto"/>
        </w:rPr>
        <w:t>We have agreed to pay all reasonable, necessary and accountable out-of-pocket expenses relating to the offering, including but not limited to: (i) the costs of preparing, printing and filing the registration statement with the SEC, amendments and supplements thereto, and post effective amendments, as well as the filing with FINRA, and payment of all necessary fees in connection therewith and the printing of a sufficient quantity of preliminary and final prospectuses as the Underwriter may reasonably request; (ii) the costs of preparing, printing and delivering exhibits thereto, in such quantities as Underwriter may reasonably request; (iii) all fees, expenses and disbursements relating to the registration, qualification or exemption of securities offered under the securities laws of foreign jurisdictions designated by Underwriter; (iv) the fees of counsel(s) and accountants for the Company, including fees associated with any blue sky filings where applicable; (v) fees associated with the Company’s transfer agent; and (vi) fees, if necessary, associated with translation services.</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estimate that the total expenses of the offering payable by us, excluding the underwriting discounts</w:t>
      </w:r>
    </w:p>
    <w:p>
      <w:pPr>
        <w:spacing w:after="0" w:line="46" w:lineRule="exact"/>
        <w:rPr>
          <w:sz w:val="20"/>
          <w:szCs w:val="20"/>
          <w:color w:val="auto"/>
        </w:rPr>
      </w:pPr>
    </w:p>
    <w:p>
      <w:pPr>
        <w:ind w:left="460"/>
        <w:spacing w:after="0"/>
        <w:tabs>
          <w:tab w:leader="none" w:pos="7240" w:val="left"/>
        </w:tabs>
        <w:rPr>
          <w:sz w:val="20"/>
          <w:szCs w:val="20"/>
          <w:color w:val="auto"/>
        </w:rPr>
      </w:pPr>
      <w:r>
        <w:rPr>
          <w:rFonts w:ascii="Arial" w:cs="Arial" w:eastAsia="Arial" w:hAnsi="Arial"/>
          <w:sz w:val="18"/>
          <w:szCs w:val="18"/>
          <w:color w:val="auto"/>
        </w:rPr>
        <w:t>and commissions and non-accountable expense allowance, will be approximately US$[</w:t>
      </w:r>
      <w:r>
        <w:rPr>
          <w:sz w:val="20"/>
          <w:szCs w:val="20"/>
          <w:color w:val="auto"/>
        </w:rPr>
        <w:tab/>
      </w:r>
      <w:r>
        <w:rPr>
          <w:rFonts w:ascii="Arial" w:cs="Arial" w:eastAsia="Arial" w:hAnsi="Arial"/>
          <w:sz w:val="18"/>
          <w:szCs w:val="18"/>
          <w:color w:val="auto"/>
        </w:rPr>
        <w: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48"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and liabilities arising from breaches of representations and warranties contained in the underwriting agreement, or to contribute to payments that the Underwriter may be required to make in respect of those liabilities.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ind w:left="460" w:right="579" w:firstLine="432"/>
        <w:spacing w:after="0" w:line="254" w:lineRule="auto"/>
        <w:rPr>
          <w:sz w:val="20"/>
          <w:szCs w:val="20"/>
          <w:color w:val="auto"/>
        </w:rPr>
      </w:pPr>
      <w:r>
        <w:rPr>
          <w:rFonts w:ascii="Arial" w:cs="Arial" w:eastAsia="Arial" w:hAnsi="Arial"/>
          <w:sz w:val="18"/>
          <w:szCs w:val="18"/>
          <w:color w:val="auto"/>
        </w:rPr>
        <w:t>Our executive officers, directors and shareholders holding 10% or more of our ordinary shares have agreed, subject to certain exceptions, to a six month “lock-up” period from the effective date of the registration statement of which this prospectus forms a part with respect to the ordinary shares that they beneficially own, including the issuance of shares upon the exercise of convertible securities and options that are currently outstanding or which may be issued. This means that, for a period of six months following the closing of the offering, such persons may not offer, sell, pledge or otherwise dispose of these securities without the prior written consent of the Underwriter.</w:t>
      </w:r>
    </w:p>
    <w:p>
      <w:pPr>
        <w:spacing w:after="0" w:line="127"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Underwriter has no present intention to waive or shorten the lock-up period; however, the terms of the lock-up agreements may be waived at its discretion. In determining whether to waive the terms of the lock-up agreements, the Underwriter may base its decision on its assessment of the relative strengths of the securities markets and companies similar to ours in general, and the trading pattern of, and demand for, our securities in general.</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Pricing of the Offering</w:t>
      </w:r>
    </w:p>
    <w:p>
      <w:pPr>
        <w:spacing w:after="0" w:line="148" w:lineRule="exact"/>
        <w:rPr>
          <w:sz w:val="20"/>
          <w:szCs w:val="20"/>
          <w:color w:val="auto"/>
        </w:rPr>
      </w:pPr>
    </w:p>
    <w:p>
      <w:pPr>
        <w:ind w:left="460" w:right="839" w:firstLine="432"/>
        <w:spacing w:after="0" w:line="273" w:lineRule="auto"/>
        <w:rPr>
          <w:sz w:val="20"/>
          <w:szCs w:val="20"/>
          <w:color w:val="auto"/>
        </w:rPr>
      </w:pPr>
      <w:r>
        <w:rPr>
          <w:rFonts w:ascii="Arial" w:cs="Arial" w:eastAsia="Arial" w:hAnsi="Arial"/>
          <w:sz w:val="17"/>
          <w:szCs w:val="17"/>
          <w:color w:val="auto"/>
        </w:rPr>
        <w:t>Prior to this offering, there has been no public market for our ADS or our ordinary shares. The initial public offering price of the shares has been negotiated between us and the Underwriter. Among the factors considered in determining the initial public offering price of the shares, in addition to the prevailing market conditions, are our historical performance, estimates of our business potential and earnings prospects, an assessment of our management and the consideration of the above factors in relation to market valuation of companies in related businesses.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Offer, Sale and Distribution of Securities</w:t>
      </w:r>
    </w:p>
    <w:p>
      <w:pPr>
        <w:spacing w:after="0" w:line="162"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A prospectus in electronic format may be made available on the websites maintained by the Underwriter or selling group members, if any, participating in this offering and the Underwriter may distribute prospectuses electronically. The Underwriter may agree to allocate a number of ADSs to selling group members for sale to their online brokerage account holders. The ADSs to be sold pursuant to internet distributions will be allocated on the same basis as other allocations. Other than the prospectus in electronic format, the information on these websites is not part of, nor incorporated by reference into, this prospectus or the registration statement of which this prospectus forms a part, has not been approved or endorsed by us or the Underwriter, and should not be relied upon by investors.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5" w:name="page126"/>
    <w:bookmarkEnd w:id="12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4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In connection with this offering, the Underwriter may engage in transactions that stabilize, maintain or otherwise affect the price of our ADSs. Specifically, the Underwriter may sell more shares than they are obligated to purchase under the underwriting agreement, creating a short position. A short sale is covered if the short position is no greater than the number of shares available for purchase by the Underwriter under option to purchase additional shares. The Underwriter can close out a covered short sale by exercising the option to purchase additional shares or purchasing shares in the open market. In determining the source of shares to close out a covered short sale, the Underwriter will consider, among other things, the open market price of shares compared to the price available under the option to purchase additional shares. The Underwriter may also sell shares in excess of the option to purchase additional shares, creating a naked short position. The Underwriter must close out any naked short position by purchasing shares in the open market. A naked short position is more likely to be created if the Underwriter is concerned that there may be downward pressure on the price of the shares in the open market after pricing that could adversely affect investors who purchase in the offering.</w:t>
      </w:r>
    </w:p>
    <w:p>
      <w:pPr>
        <w:spacing w:after="0" w:line="100" w:lineRule="exact"/>
        <w:rPr>
          <w:sz w:val="20"/>
          <w:szCs w:val="20"/>
          <w:color w:val="auto"/>
        </w:rPr>
      </w:pPr>
    </w:p>
    <w:p>
      <w:pPr>
        <w:jc w:val="both"/>
        <w:ind w:left="460" w:right="799" w:firstLine="432"/>
        <w:spacing w:after="0" w:line="263" w:lineRule="auto"/>
        <w:rPr>
          <w:sz w:val="20"/>
          <w:szCs w:val="20"/>
          <w:color w:val="auto"/>
        </w:rPr>
      </w:pPr>
      <w:r>
        <w:rPr>
          <w:rFonts w:ascii="Arial" w:cs="Arial" w:eastAsia="Arial" w:hAnsi="Arial"/>
          <w:sz w:val="18"/>
          <w:szCs w:val="18"/>
          <w:color w:val="auto"/>
        </w:rPr>
        <w:t>The Underwriter may also impose a penalty bid. This occurs when a particular Underwriter or dealer repays selling concessions allowed to it for distributing our ADSs in this offering because such Underwriter repurchases those shares in stabilizing or short covering transactions.</w:t>
      </w:r>
    </w:p>
    <w:p>
      <w:pPr>
        <w:spacing w:after="0" w:line="116" w:lineRule="exact"/>
        <w:rPr>
          <w:sz w:val="20"/>
          <w:szCs w:val="20"/>
          <w:color w:val="auto"/>
        </w:rPr>
      </w:pPr>
    </w:p>
    <w:p>
      <w:pPr>
        <w:jc w:val="both"/>
        <w:ind w:left="460" w:right="799" w:firstLine="432"/>
        <w:spacing w:after="0" w:line="263" w:lineRule="auto"/>
        <w:rPr>
          <w:sz w:val="20"/>
          <w:szCs w:val="20"/>
          <w:color w:val="auto"/>
        </w:rPr>
      </w:pPr>
      <w:r>
        <w:rPr>
          <w:rFonts w:ascii="Arial" w:cs="Arial" w:eastAsia="Arial" w:hAnsi="Arial"/>
          <w:sz w:val="18"/>
          <w:szCs w:val="18"/>
          <w:color w:val="auto"/>
        </w:rPr>
        <w:t>The Underwriter may also impose a penalty bid. This occurs when a particular Underwriter or dealer repays selling concessions allowed to it for distributing our ADSs in this offering because such Underwriter repurchases those shares in stabilizing or short covering transactions.</w:t>
      </w:r>
    </w:p>
    <w:p>
      <w:pPr>
        <w:spacing w:after="0" w:line="103"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Finally, the Underwriter may bid for, and purchase, our ADSs in market making transactions, including “passive” market making transactions as described below.</w:t>
      </w:r>
    </w:p>
    <w:p>
      <w:pPr>
        <w:spacing w:after="0" w:line="103" w:lineRule="exact"/>
        <w:rPr>
          <w:sz w:val="20"/>
          <w:szCs w:val="20"/>
          <w:color w:val="auto"/>
        </w:rPr>
      </w:pPr>
    </w:p>
    <w:p>
      <w:pPr>
        <w:jc w:val="both"/>
        <w:ind w:left="460" w:right="619" w:firstLine="432"/>
        <w:spacing w:after="0" w:line="279" w:lineRule="auto"/>
        <w:rPr>
          <w:sz w:val="20"/>
          <w:szCs w:val="20"/>
          <w:color w:val="auto"/>
        </w:rPr>
      </w:pPr>
      <w:r>
        <w:rPr>
          <w:rFonts w:ascii="Arial" w:cs="Arial" w:eastAsia="Arial" w:hAnsi="Arial"/>
          <w:sz w:val="17"/>
          <w:szCs w:val="17"/>
          <w:color w:val="auto"/>
        </w:rPr>
        <w:t>These activities may stabilize or maintain the market price of our ADSs at a price that is higher than the price that might otherwise exist in the absence of these activities. The Underwriter is not required to engage in these activities, and may discontinue any of these activities at any time without notice. These transactions may be effected on the Nasdaq Capital Market, in the over-the-counter market, or otherwise.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Passive Market Making</w:t>
      </w:r>
    </w:p>
    <w:p>
      <w:pPr>
        <w:spacing w:after="0" w:line="16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In connection with this offering, the Underwriter may engage in passive market making transactions in our ADSs on the Nasdaq Capital Market in accordance with Rule 103 of Regulation M under the Exchange Act, during a period before the commencement of offers or sales of the shares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Potential Conflicts of Interest</w:t>
      </w:r>
    </w:p>
    <w:p>
      <w:pPr>
        <w:spacing w:after="0" w:line="148" w:lineRule="exact"/>
        <w:rPr>
          <w:sz w:val="20"/>
          <w:szCs w:val="20"/>
          <w:color w:val="auto"/>
        </w:rPr>
      </w:pPr>
    </w:p>
    <w:p>
      <w:pPr>
        <w:ind w:left="460" w:right="459" w:firstLine="432"/>
        <w:spacing w:after="0" w:line="253" w:lineRule="auto"/>
        <w:rPr>
          <w:sz w:val="20"/>
          <w:szCs w:val="20"/>
          <w:color w:val="auto"/>
        </w:rPr>
      </w:pPr>
      <w:r>
        <w:rPr>
          <w:rFonts w:ascii="Arial" w:cs="Arial" w:eastAsia="Arial" w:hAnsi="Arial"/>
          <w:sz w:val="18"/>
          <w:szCs w:val="18"/>
          <w:color w:val="auto"/>
        </w:rPr>
        <w:t>The Underwriter and its affiliates may, from time to time, engage in transactions with and perform services for us in the ordinary course of their business for which they may receive customary fees and reimbursement of expenses. In the ordinary course of their various business activities, the Underwriter and its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our Company. The Underwriter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Relationships</w:t>
      </w:r>
    </w:p>
    <w:p>
      <w:pPr>
        <w:spacing w:after="0" w:line="162"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Underwriter is a full service financial institution engaged in various activities, which may include the sales and trading of securities, commercial and investment banking, advisory, investment management, investment research, principal investment, hedging, market making, financing, brokerage and other financial and non-financial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59"/>
        <w:spacing w:after="0" w:line="263" w:lineRule="auto"/>
        <w:rPr>
          <w:sz w:val="20"/>
          <w:szCs w:val="20"/>
          <w:color w:val="auto"/>
        </w:rPr>
      </w:pPr>
      <w:r>
        <w:rPr>
          <w:rFonts w:ascii="Arial" w:cs="Arial" w:eastAsia="Arial" w:hAnsi="Arial"/>
          <w:sz w:val="18"/>
          <w:szCs w:val="18"/>
          <w:color w:val="auto"/>
        </w:rPr>
        <w:t>activities and services. The Underwriter may in the future perform a variety of such activities and services for us and for persons or entities with relationships with us for which they received or will receive customary fees, commissions and expenses.</w:t>
      </w:r>
    </w:p>
    <w:p>
      <w:pPr>
        <w:spacing w:after="0" w:line="116" w:lineRule="exact"/>
        <w:rPr>
          <w:sz w:val="20"/>
          <w:szCs w:val="20"/>
          <w:color w:val="auto"/>
        </w:rPr>
      </w:pPr>
    </w:p>
    <w:p>
      <w:pPr>
        <w:ind w:left="460" w:right="699" w:firstLine="432"/>
        <w:spacing w:after="0" w:line="279" w:lineRule="auto"/>
        <w:rPr>
          <w:sz w:val="20"/>
          <w:szCs w:val="20"/>
          <w:color w:val="auto"/>
        </w:rPr>
      </w:pPr>
      <w:r>
        <w:rPr>
          <w:rFonts w:ascii="Arial" w:cs="Arial" w:eastAsia="Arial" w:hAnsi="Arial"/>
          <w:sz w:val="17"/>
          <w:szCs w:val="17"/>
          <w:color w:val="auto"/>
        </w:rPr>
        <w:t>In addition, in the ordinary course of their business activities, the Underwriter, its affiliates, directors, officers and employees may at any time purchase, sell or hold a broad array of investments and actively trade debt and equity securities (or related derivative securities) and other financial instruments (including bank loans) for their own account and for the accounts of their customers.</w:t>
      </w:r>
    </w:p>
    <w:p>
      <w:pPr>
        <w:spacing w:after="0" w:line="104"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Such investments and securities activities may involve assets, securities and/or instruments of ours or our affiliates. The Underwriter and its affiliates, directors, officers and employees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 outside the United States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Australia</w:t>
      </w:r>
    </w:p>
    <w:p>
      <w:pPr>
        <w:spacing w:after="0" w:line="144"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This prospectus is not a product disclosure statement, prospectus or other type of disclosure document for the purposes of Corporations Act 2001 (Commonwealth of Australia) (the “Act”) and does not purport to include the information required of a product disclosure statement, prospectus or other disclosure document under Chapter 6D.2 of the Act. No product disclosure statement, prospectus, disclosure document, offering material or advertisement in relation to the offer of the ADSs has been or will be lodged with the Australian Securities and Investments Commission or the Australian Securities Exchange.</w:t>
      </w:r>
    </w:p>
    <w:p>
      <w:pPr>
        <w:spacing w:after="0" w:line="97"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Accordingly, (1) the offer of the ADSs under this prospectus may only be made to persons: (i) to whom it is lawful to offer the ADSs without disclosure to investors under Chapter 6D.2 of the Act under one or more exemptions set out in Section 708 of the Act, and (ii) who are “wholesale clients” as that term is defined in section 761G of the Act, (2) this prospectus may only be made available in Australia to persons as set forth in clause (1) above, and (3) by accepting this offer, the offeree represents that the offeree is such a person as set forth in clause (1) above, and the offeree agrees not to sell or offer for sale any of the ADSs sold to the offeree within 12 months after their issue except as otherwise permitted under the Act.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Canada</w:t>
      </w:r>
    </w:p>
    <w:p>
      <w:pPr>
        <w:spacing w:after="0" w:line="15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1" w:lineRule="exact"/>
        <w:rPr>
          <w:sz w:val="20"/>
          <w:szCs w:val="20"/>
          <w:color w:val="auto"/>
        </w:rPr>
      </w:pPr>
    </w:p>
    <w:p>
      <w:pPr>
        <w:jc w:val="both"/>
        <w:ind w:left="460" w:right="739" w:firstLine="432"/>
        <w:spacing w:after="0" w:line="279" w:lineRule="auto"/>
        <w:rPr>
          <w:sz w:val="20"/>
          <w:szCs w:val="20"/>
          <w:color w:val="auto"/>
        </w:rPr>
      </w:pPr>
      <w:r>
        <w:rPr>
          <w:rFonts w:ascii="Arial" w:cs="Arial" w:eastAsia="Arial" w:hAnsi="Arial"/>
          <w:sz w:val="17"/>
          <w:szCs w:val="17"/>
          <w:color w:val="auto"/>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spacing w:after="0" w:line="104"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the United Kingdom</w:t>
      </w:r>
    </w:p>
    <w:p>
      <w:pPr>
        <w:spacing w:after="0" w:line="144"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qualified investors within the meaning of Article 2(1)(e) of the Prospectus Directive that are also (i) to investment professionals falling within Article 19(5) of the Financial Services and Markets Act 2000 (Financial Promotion) Order 2005 within, and/or (ii) high net worth entities, and other persons to whom it may lawfully be communicated, falling with Article 49(2)(a) to (d) (all such persons together being referred to as “relevant persons”).</w:t>
      </w:r>
    </w:p>
    <w:p>
      <w:pPr>
        <w:spacing w:after="0" w:line="125" w:lineRule="exact"/>
        <w:rPr>
          <w:sz w:val="20"/>
          <w:szCs w:val="20"/>
          <w:color w:val="auto"/>
        </w:rPr>
      </w:pPr>
    </w:p>
    <w:p>
      <w:pPr>
        <w:jc w:val="both"/>
        <w:ind w:left="460" w:right="659" w:firstLine="432"/>
        <w:spacing w:after="0" w:line="311" w:lineRule="auto"/>
        <w:rPr>
          <w:sz w:val="20"/>
          <w:szCs w:val="20"/>
          <w:color w:val="auto"/>
        </w:rPr>
      </w:pPr>
      <w:r>
        <w:rPr>
          <w:rFonts w:ascii="Arial" w:cs="Arial" w:eastAsia="Arial" w:hAnsi="Arial"/>
          <w:sz w:val="16"/>
          <w:szCs w:val="16"/>
          <w:color w:val="auto"/>
        </w:rPr>
        <w:t>This prospectus and its contents are confidential and should not be distributed, published or reproduced (in whole or in part) or disclosed by recipients to any other persons in the United Kingdom. Any person in the United Kingdom who is not a relevant person should not act or rely on this prospectus or any of its contents.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Malaysia</w:t>
      </w:r>
    </w:p>
    <w:p>
      <w:pPr>
        <w:spacing w:after="0" w:line="15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ADSs have not been and may not be approved by the securities commission Malaysia, or SC, and this document has not been and will not be registered as a prospectus with the SC under the Malaysian capital markets and services act of 2007, or CMSA. Accordingly, no securities or offer for subscription or purchase of securities or invitation to subscribe for or purchase securities are being made to any person in or from within Malaysia under this document except to persons falling within any of paragraphs 2(g)(i) to (xi) of schedule 5 of the CMSA and distributed only by a holder of a capital markets services license who carries on the business of dealing in securities and subject to the issuer having lodged this prospectus with the SC within seven days from the date of the distribution of this prospectus in Malaysia. The distribution in Malaysia of this document is subject to Malaysian laws. Save as aforementioned, no action has been taken in Malaysia under its securities laws in respect of this document. This document does not constitute and may not be used for the purpose of a public offering or an issue, offer for subscription or purchase, invitation to subscribe for or purchase any securities requiring the approval of the SC or the registration of a prospectus with the SC under the CMSA.</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Singapore</w:t>
      </w:r>
    </w:p>
    <w:p>
      <w:pPr>
        <w:spacing w:after="0" w:line="144"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2001 of Singapore (the “SFA”), (ii) to a relevant person pursuant to Section 275(1), or any person pursuant to Section 275(1A), and in accordance with the conditions specified in Sections 275 and 276 of the SFA or (iii) otherwise pursuant to, and in accordance with the conditions of, any other applicable provision of the SFA, in each case subject to compliance with conditions set forth in the SFA.</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Where the ADSs are subscribed or purchased under Section 275 of the SFA by a relevant person which is:</w:t>
      </w:r>
    </w:p>
    <w:p>
      <w:pPr>
        <w:spacing w:after="0" w:line="181" w:lineRule="exact"/>
        <w:rPr>
          <w:sz w:val="20"/>
          <w:szCs w:val="20"/>
          <w:color w:val="auto"/>
        </w:rPr>
      </w:pPr>
    </w:p>
    <w:p>
      <w:pPr>
        <w:jc w:val="both"/>
        <w:ind w:left="1320" w:right="719" w:hanging="434"/>
        <w:spacing w:after="0" w:line="263" w:lineRule="auto"/>
        <w:tabs>
          <w:tab w:leader="none" w:pos="13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2" w:lineRule="exact"/>
        <w:rPr>
          <w:rFonts w:ascii="Arial" w:cs="Arial" w:eastAsia="Arial" w:hAnsi="Arial"/>
          <w:sz w:val="18"/>
          <w:szCs w:val="18"/>
          <w:color w:val="auto"/>
        </w:rPr>
      </w:pPr>
    </w:p>
    <w:p>
      <w:pPr>
        <w:ind w:left="1320" w:right="739" w:hanging="434"/>
        <w:spacing w:after="0" w:line="308" w:lineRule="auto"/>
        <w:tabs>
          <w:tab w:leader="none" w:pos="1315" w:val="left"/>
        </w:tabs>
        <w:numPr>
          <w:ilvl w:val="0"/>
          <w:numId w:val="99"/>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79" w:lineRule="exact"/>
        <w:rPr>
          <w:sz w:val="20"/>
          <w:szCs w:val="20"/>
          <w:color w:val="auto"/>
        </w:rPr>
      </w:pPr>
    </w:p>
    <w:p>
      <w:pPr>
        <w:ind w:left="460" w:right="679"/>
        <w:spacing w:after="0" w:line="25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119" w:lineRule="exact"/>
        <w:rPr>
          <w:sz w:val="20"/>
          <w:szCs w:val="20"/>
          <w:color w:val="auto"/>
        </w:rPr>
      </w:pPr>
    </w:p>
    <w:p>
      <w:pPr>
        <w:ind w:left="1320" w:right="659" w:hanging="434"/>
        <w:spacing w:after="0" w:line="286" w:lineRule="auto"/>
        <w:tabs>
          <w:tab w:leader="none" w:pos="131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(in the case of such trust) where the transfer arises from an offer referred to in Section 276(4)(c)(ii) of the SFA;</w:t>
      </w:r>
    </w:p>
    <w:p>
      <w:pPr>
        <w:spacing w:after="0" w:line="84" w:lineRule="exact"/>
        <w:rPr>
          <w:rFonts w:ascii="Arial" w:cs="Arial" w:eastAsia="Arial" w:hAnsi="Arial"/>
          <w:sz w:val="17"/>
          <w:szCs w:val="17"/>
          <w:color w:val="auto"/>
        </w:rPr>
      </w:pPr>
    </w:p>
    <w:p>
      <w:pPr>
        <w:ind w:left="1320" w:hanging="434"/>
        <w:spacing w:after="0"/>
        <w:tabs>
          <w:tab w:leader="none" w:pos="1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57" w:lineRule="exact"/>
        <w:rPr>
          <w:rFonts w:ascii="Arial" w:cs="Arial" w:eastAsia="Arial" w:hAnsi="Arial"/>
          <w:sz w:val="18"/>
          <w:szCs w:val="18"/>
          <w:color w:val="auto"/>
        </w:rPr>
      </w:pPr>
    </w:p>
    <w:p>
      <w:pPr>
        <w:ind w:left="1320" w:right="539" w:hanging="434"/>
        <w:spacing w:after="0" w:line="277" w:lineRule="auto"/>
        <w:tabs>
          <w:tab w:leader="none" w:pos="131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76"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Singapore SFA Product Classification: </w:t>
      </w:r>
      <w:r>
        <w:rPr>
          <w:rFonts w:ascii="Arial" w:cs="Arial" w:eastAsia="Arial" w:hAnsi="Arial"/>
          <w:sz w:val="18"/>
          <w:szCs w:val="18"/>
          <w:i w:val="1"/>
          <w:iCs w:val="1"/>
          <w:color w:val="auto"/>
        </w:rPr>
        <w:t>In accordance with Section 309B of the SFA, the Company has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determined, and hereby notifies all relevant persons (as defined under Section 309A(1) of the SFA), that the ADSs are prescribed capital markets products (as defined in the Securities and Futures (Capital Market Products) Regulations 2018 of Singapore) and Excluded Investment Products (as defined in MAS Notice SFA 04-N12: Notice on the Sale of Investment Products and MAS Notice FAA-N16: Notice on Recommendations on Investment Products)</w:t>
      </w:r>
      <w:r>
        <w:rPr>
          <w:rFonts w:ascii="Arial" w:cs="Arial" w:eastAsia="Arial" w:hAnsi="Arial"/>
          <w:sz w:val="18"/>
          <w:szCs w:val="18"/>
          <w:color w:val="auto"/>
        </w:rPr>
        <w:t>.</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Purchasers are advised to seek legal advice prior to any resale of the securities.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the People’s Republic of China</w:t>
      </w:r>
    </w:p>
    <w:p>
      <w:pPr>
        <w:spacing w:after="0" w:line="131"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This prospectus may not be circulated or distributed in China and the ADSs may not be offered or sold, and will not offer or sell to any person for re-offering or resale directly or indirectly to any resident of China except pursuant to applicable laws, rules and regulations of China. For the purpose of this paragraph only, China does not include Taiwan and the special administrative regions of Hong Kong and Macau.</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Hong Kong</w:t>
      </w:r>
    </w:p>
    <w:p>
      <w:pPr>
        <w:spacing w:after="0" w:line="144"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ADSs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our ADSs be issued or may be in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our ADSs which are or are intended to be disposed of only to persons outside Hong Kong or only to “professional investors” within the meaning of the Securities and Futures Ordinance (Cap. 571, Laws of Hong Kong) and any rules made thereunder.</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Taiwan</w:t>
      </w:r>
    </w:p>
    <w:p>
      <w:pPr>
        <w:spacing w:after="0" w:line="131"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The ADSs have not been and will not be registered with the Financial Supervisory Commission of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Indonesia</w:t>
      </w:r>
    </w:p>
    <w:p>
      <w:pPr>
        <w:spacing w:after="0" w:line="131" w:lineRule="exact"/>
        <w:rPr>
          <w:sz w:val="20"/>
          <w:szCs w:val="20"/>
          <w:color w:val="auto"/>
        </w:rPr>
      </w:pPr>
    </w:p>
    <w:p>
      <w:pPr>
        <w:ind w:left="460" w:right="719" w:firstLine="432"/>
        <w:spacing w:after="0" w:line="257" w:lineRule="auto"/>
        <w:rPr>
          <w:sz w:val="20"/>
          <w:szCs w:val="20"/>
          <w:color w:val="auto"/>
        </w:rPr>
      </w:pPr>
      <w:r>
        <w:rPr>
          <w:rFonts w:ascii="Arial" w:cs="Arial" w:eastAsia="Arial" w:hAnsi="Arial"/>
          <w:sz w:val="18"/>
          <w:szCs w:val="18"/>
          <w:color w:val="auto"/>
        </w:rPr>
        <w:t>This prospectus does not, and is not intended to, constitute a public offering in Indonesia under Law Number 8 of 1995 regarding Capital Market. This prospectus may not be distributed in the Republic of Indonesia and the ADSs may not be offered or sold in the Republic of Indonesia or to Indonesian citizens wherever they are domiciled, or to Indonesia residents, in a manner which constitutes a public offering under the laws of the Republic of Indonesia.</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Vietnam</w:t>
      </w:r>
    </w:p>
    <w:p>
      <w:pPr>
        <w:spacing w:after="0" w:line="144"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This offering of ADSs has not been and will not be registered with the State Securities Commission of Vietnam under the Law on Securities of Vietnam and its guiding decrees and circulars. The ADSs will not be offered or sold in Vietnam through a public offering and will not be offered or sold to Vietnamese persons other than those who are licensed to invest in offshore securities under the Law on Investment of Vietnam.</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Thailand</w:t>
      </w:r>
    </w:p>
    <w:p>
      <w:pPr>
        <w:spacing w:after="0" w:line="117" w:lineRule="exact"/>
        <w:rPr>
          <w:sz w:val="20"/>
          <w:szCs w:val="20"/>
          <w:color w:val="auto"/>
        </w:rPr>
      </w:pPr>
    </w:p>
    <w:p>
      <w:pPr>
        <w:jc w:val="both"/>
        <w:ind w:left="460" w:right="559" w:firstLine="432"/>
        <w:spacing w:after="0" w:line="296" w:lineRule="auto"/>
        <w:rPr>
          <w:sz w:val="20"/>
          <w:szCs w:val="20"/>
          <w:color w:val="auto"/>
        </w:rPr>
      </w:pPr>
      <w:r>
        <w:rPr>
          <w:rFonts w:ascii="Arial" w:cs="Arial" w:eastAsia="Arial" w:hAnsi="Arial"/>
          <w:sz w:val="16"/>
          <w:szCs w:val="16"/>
          <w:color w:val="auto"/>
        </w:rPr>
        <w:t>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Korea</w:t>
      </w:r>
    </w:p>
    <w:p>
      <w:pPr>
        <w:spacing w:after="0" w:line="117"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Japan</w:t>
      </w:r>
    </w:p>
    <w:p>
      <w:pPr>
        <w:spacing w:after="0" w:line="117"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ADSs offered in this prospectus have not been and will not be registered under the Financial Instruments and Exchange Law of Japan. The ADSs have not been offered or sold and will not be offered or sold, directly or indirectly, in Japan or to or for the account of any resident of Japan (including any corporation or other entity organized under the laws of Japan), except (1) pursuant to an exemption from the registration requirements of the Financial Instruments and Exchange Law and (2) in compliance with any other applicable requirements of Japanese law.</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New Zealand</w:t>
      </w:r>
    </w:p>
    <w:p>
      <w:pPr>
        <w:spacing w:after="0" w:line="131"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This document has not been registered, filed with, or approved by any New Zealand regulatory authority under the Financial Markets Conduct Act 2013 (New Zealand) (“FMCA”). This document is not a product disclosure statement under New Zealand law and is not required to, and may not, contain all the information that a product disclosure statement under New Zealand law is required to contain. The Securities are not being offered or sold in New Zealand (or allotted with a view to being offered for sale in New Zealand) other than to a person who is a “wholesale investor” within the meaning of clause 3(2) of Schedule 1 of the FMCA — that is, a person who:</w:t>
      </w:r>
    </w:p>
    <w:p>
      <w:pPr>
        <w:spacing w:after="0" w:line="87" w:lineRule="exact"/>
        <w:rPr>
          <w:sz w:val="20"/>
          <w:szCs w:val="20"/>
          <w:color w:val="auto"/>
        </w:rPr>
      </w:pPr>
    </w:p>
    <w:p>
      <w:pPr>
        <w:ind w:left="1320" w:hanging="434"/>
        <w:spacing w:after="0"/>
        <w:tabs>
          <w:tab w:leader="none" w:pos="1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is an “investment business” within the meaning of clause 37 of Schedule 1 of the FMCA;</w:t>
      </w:r>
    </w:p>
    <w:p>
      <w:pPr>
        <w:spacing w:after="0" w:line="117" w:lineRule="exact"/>
        <w:rPr>
          <w:rFonts w:ascii="Arial" w:cs="Arial" w:eastAsia="Arial" w:hAnsi="Arial"/>
          <w:sz w:val="18"/>
          <w:szCs w:val="18"/>
          <w:color w:val="auto"/>
        </w:rPr>
      </w:pPr>
    </w:p>
    <w:p>
      <w:pPr>
        <w:ind w:left="1320" w:hanging="434"/>
        <w:spacing w:after="0"/>
        <w:tabs>
          <w:tab w:leader="none" w:pos="1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meets the “investment activity criteria” specified in clause 38 of Schedule 1 of the FMCA;</w:t>
      </w:r>
    </w:p>
    <w:p>
      <w:pPr>
        <w:spacing w:after="0" w:line="117" w:lineRule="exact"/>
        <w:rPr>
          <w:rFonts w:ascii="Arial" w:cs="Arial" w:eastAsia="Arial" w:hAnsi="Arial"/>
          <w:sz w:val="18"/>
          <w:szCs w:val="18"/>
          <w:color w:val="auto"/>
        </w:rPr>
      </w:pPr>
    </w:p>
    <w:p>
      <w:pPr>
        <w:ind w:left="1320" w:hanging="434"/>
        <w:spacing w:after="0"/>
        <w:tabs>
          <w:tab w:leader="none" w:pos="1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is “large” within the meaning of clause 39 of Schedule 1 of the FMCA; or</w:t>
      </w:r>
    </w:p>
    <w:p>
      <w:pPr>
        <w:spacing w:after="0" w:line="117" w:lineRule="exact"/>
        <w:rPr>
          <w:rFonts w:ascii="Arial" w:cs="Arial" w:eastAsia="Arial" w:hAnsi="Arial"/>
          <w:sz w:val="18"/>
          <w:szCs w:val="18"/>
          <w:color w:val="auto"/>
        </w:rPr>
      </w:pPr>
    </w:p>
    <w:p>
      <w:pPr>
        <w:ind w:left="1320" w:right="1079" w:hanging="434"/>
        <w:spacing w:after="0" w:line="308" w:lineRule="auto"/>
        <w:tabs>
          <w:tab w:leader="none" w:pos="131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is a “government agency” within the meaning of clause 40 of Schedule 1 of the FMCA. The Securities are not being offered or sold to retail investors in New Zealand.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the European Economic Area</w:t>
      </w:r>
    </w:p>
    <w:p>
      <w:pPr>
        <w:spacing w:after="0" w:line="117"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units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units or otherwise making them available to retail investors in the EEA has been prepared and therefore offering or selling the units or otherwise making them available to any retail investor in the EEA may be unlawful under the PRIIPs Regulation.</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the Cayman Islands</w:t>
      </w:r>
    </w:p>
    <w:p>
      <w:pPr>
        <w:spacing w:after="0" w:line="131"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No offer or invitation, whether directly or indirectly, may be made to the public in the Cayman Islands to subscribe for our securities.</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0" w:name="page131"/>
    <w:bookmarkEnd w:id="13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RELATED TO THIS OFFERING</w:t>
      </w:r>
    </w:p>
    <w:p>
      <w:pPr>
        <w:spacing w:after="0" w:line="148" w:lineRule="exact"/>
        <w:rPr>
          <w:sz w:val="20"/>
          <w:szCs w:val="20"/>
          <w:color w:val="auto"/>
        </w:rPr>
      </w:pPr>
    </w:p>
    <w:p>
      <w:pPr>
        <w:ind w:left="460" w:right="899" w:firstLine="432"/>
        <w:spacing w:after="0" w:line="259"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stock exchange application and listing fee, all amounts are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110490</wp:posOffset>
            </wp:positionV>
            <wp:extent cx="5143500" cy="1803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67" w:lineRule="exact"/>
        <w:rPr>
          <w:sz w:val="20"/>
          <w:szCs w:val="20"/>
          <w:color w:val="auto"/>
        </w:rPr>
      </w:pPr>
    </w:p>
    <w:p>
      <w:pPr>
        <w:ind w:left="460"/>
        <w:spacing w:after="0"/>
        <w:tabs>
          <w:tab w:leader="none" w:pos="7240" w:val="left"/>
        </w:tabs>
        <w:rPr>
          <w:sz w:val="20"/>
          <w:szCs w:val="20"/>
          <w:color w:val="auto"/>
        </w:rPr>
      </w:pPr>
      <w:r>
        <w:rPr>
          <w:rFonts w:ascii="Arial" w:cs="Arial" w:eastAsia="Arial" w:hAnsi="Arial"/>
          <w:sz w:val="18"/>
          <w:szCs w:val="18"/>
          <w:color w:val="auto"/>
        </w:rPr>
        <w:t>SEC Registration Fee</w:t>
      </w:r>
      <w:r>
        <w:rPr>
          <w:sz w:val="20"/>
          <w:szCs w:val="20"/>
          <w:color w:val="auto"/>
        </w:rPr>
        <w:tab/>
      </w:r>
      <w:r>
        <w:rPr>
          <w:rFonts w:ascii="Arial" w:cs="Arial" w:eastAsia="Arial" w:hAnsi="Arial"/>
          <w:sz w:val="16"/>
          <w:szCs w:val="16"/>
          <w:color w:val="auto"/>
        </w:rPr>
        <w:t>US$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Exchange Application and Listing Fee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Legal Fees and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40640</wp:posOffset>
            </wp:positionV>
            <wp:extent cx="8229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53" w:lineRule="exact"/>
        <w:rPr>
          <w:sz w:val="20"/>
          <w:szCs w:val="20"/>
          <w:color w:val="auto"/>
        </w:rPr>
      </w:pPr>
    </w:p>
    <w:p>
      <w:pPr>
        <w:ind w:left="460"/>
        <w:spacing w:after="0"/>
        <w:tabs>
          <w:tab w:leader="none" w:pos="724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34290</wp:posOffset>
            </wp:positionV>
            <wp:extent cx="8229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51435</wp:posOffset>
            </wp:positionV>
            <wp:extent cx="8229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1" w:name="page132"/>
    <w:bookmarkEnd w:id="13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Hogan Lovells is representing us with respect to certain legal matters as to the United States federal and New York State law. Sichenzia Ross Ference Carmel LLP is representing the underwriters with respect to certain legal matters as to the United States federal and New York State law. The validity of the ordinary shares represented by the ADSs offered in this offering and Maples and Calder (Hong Kong) LLP will pass upon other certain legal matters as to Cayman Islands law for us. Resource Law LLC (in alliance with Reed Smith) will pass upon certain legal matters as to Singapore law for us. Hogan Lovells and Sichenzia Ross Ference Carmel LLP may rely upon Maples and Calder (Hong Kong) LLP with respect to matters governed by Cayman Islands law and Resource Law LLC (in alliance with Reed Smith) with respect to matters governed by the Singapore law.</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consolidated financial statements as of December 31, 2021 and 2022, and for each of the two years in the period ended December 31, 2022, appearing in this prospectus and registration statement have been audited by Marcum Asia CPAs LLP, an independent registered public accounting firm, as set forth in its report thereon appearing elsewhere herein, and are included in reliance upon such report given on the authority of such firm as experts in accounting and auditing.</w:t>
      </w:r>
    </w:p>
    <w:p>
      <w:pPr>
        <w:spacing w:after="0" w:line="120" w:lineRule="exact"/>
        <w:rPr>
          <w:sz w:val="20"/>
          <w:szCs w:val="20"/>
          <w:color w:val="auto"/>
        </w:rPr>
      </w:pPr>
    </w:p>
    <w:p>
      <w:pPr>
        <w:ind w:left="460" w:right="1279" w:firstLine="432"/>
        <w:spacing w:after="0" w:line="277" w:lineRule="auto"/>
        <w:rPr>
          <w:sz w:val="20"/>
          <w:szCs w:val="20"/>
          <w:color w:val="auto"/>
        </w:rPr>
      </w:pPr>
      <w:r>
        <w:rPr>
          <w:rFonts w:ascii="Arial" w:cs="Arial" w:eastAsia="Arial" w:hAnsi="Arial"/>
          <w:sz w:val="18"/>
          <w:szCs w:val="18"/>
          <w:color w:val="auto"/>
        </w:rPr>
        <w:t>The office of Marcum Asia CPAs LLP is located at 7 Pennsylvania Plaza Suite 830, New York, NY 10001, United States.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48"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We have filed a registration statement on Form F-1, including relevant exhibits, with the SEC under the Securities Act with respect to the underlying Class B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97" w:lineRule="exact"/>
        <w:rPr>
          <w:sz w:val="20"/>
          <w:szCs w:val="20"/>
          <w:color w:val="auto"/>
        </w:rPr>
      </w:pPr>
    </w:p>
    <w:p>
      <w:pPr>
        <w:ind w:left="460" w:right="699" w:firstLine="432"/>
        <w:spacing w:after="0" w:line="273" w:lineRule="auto"/>
        <w:rPr>
          <w:sz w:val="20"/>
          <w:szCs w:val="20"/>
          <w:color w:val="auto"/>
        </w:rPr>
      </w:pPr>
      <w:r>
        <w:rPr>
          <w:rFonts w:ascii="Arial" w:cs="Arial" w:eastAsia="Arial" w:hAnsi="Arial"/>
          <w:sz w:val="17"/>
          <w:szCs w:val="17"/>
          <w:color w:val="auto"/>
        </w:rPr>
        <w:t xml:space="preserve">We are subject to periodic reporting and other information requirements of the Exchange Act as applicable to foreign private issuers. Accordingly, we are required to file reports, including annual reports on Form 20-F, and other information with the SEC. All information filed with the SEC can be obtained over the internet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or inspected and copied at the public reference facilities maintained by the SEC at 100 F Street, N.E., Washington, D.C. 20549. You can request copies of documents, upon payment of a duplicating fee, by writing to the SEC.</w:t>
      </w:r>
    </w:p>
    <w:p>
      <w:pPr>
        <w:spacing w:after="0" w:line="110"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2" w:name="page133"/>
    <w:bookmarkEnd w:id="13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40" w:type="dxa"/>
            <w:vAlign w:val="bottom"/>
            <w:gridSpan w:val="18"/>
          </w:tcPr>
          <w:p>
            <w:pPr>
              <w:jc w:val="center"/>
              <w:ind w:right="840"/>
              <w:spacing w:after="0"/>
              <w:rPr>
                <w:sz w:val="20"/>
                <w:szCs w:val="20"/>
                <w:color w:val="auto"/>
              </w:rPr>
            </w:pPr>
            <w:r>
              <w:rPr>
                <w:rFonts w:ascii="Arial" w:cs="Arial" w:eastAsia="Arial" w:hAnsi="Arial"/>
                <w:sz w:val="18"/>
                <w:szCs w:val="18"/>
                <w:b w:val="1"/>
                <w:bCs w:val="1"/>
                <w:color w:val="auto"/>
              </w:rPr>
              <w:t>TRIDENT DIGITAL TECH HOLDINGS LTD</w:t>
            </w:r>
          </w:p>
        </w:tc>
        <w:tc>
          <w:tcPr>
            <w:tcW w:w="82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40" w:type="dxa"/>
            <w:vAlign w:val="bottom"/>
            <w:gridSpan w:val="18"/>
          </w:tcPr>
          <w:p>
            <w:pPr>
              <w:jc w:val="center"/>
              <w:ind w:right="840"/>
              <w:spacing w:after="0"/>
              <w:rPr>
                <w:sz w:val="20"/>
                <w:szCs w:val="20"/>
                <w:color w:val="auto"/>
              </w:rPr>
            </w:pPr>
            <w:r>
              <w:rPr>
                <w:rFonts w:ascii="Arial" w:cs="Arial" w:eastAsia="Arial" w:hAnsi="Arial"/>
                <w:sz w:val="18"/>
                <w:szCs w:val="18"/>
                <w:b w:val="1"/>
                <w:bCs w:val="1"/>
                <w:color w:val="auto"/>
              </w:rPr>
              <w:t>INDEX TO CONSOLIDATED FINANCIAL STATEMENTS</w:t>
            </w:r>
          </w:p>
        </w:tc>
        <w:tc>
          <w:tcPr>
            <w:tcW w:w="82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5"/>
              </w:rPr>
              <w:t>PAGE(S)</w:t>
            </w:r>
          </w:p>
        </w:tc>
      </w:tr>
      <w:tr>
        <w:trPr>
          <w:trHeight w:val="46"/>
        </w:trPr>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78"/>
        </w:trPr>
        <w:tc>
          <w:tcPr>
            <w:tcW w:w="7280" w:type="dxa"/>
            <w:vAlign w:val="bottom"/>
            <w:gridSpan w:val="22"/>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CONSOLIDATED FINANCIAL STATEMENTS FOR THE YEARS ENDED DECEMBER</w:t>
            </w:r>
          </w:p>
        </w:tc>
        <w:tc>
          <w:tcPr>
            <w:tcW w:w="820" w:type="dxa"/>
            <w:vAlign w:val="bottom"/>
            <w:shd w:val="clear" w:color="auto" w:fill="CCEEFF"/>
          </w:tcPr>
          <w:p>
            <w:pPr>
              <w:spacing w:after="0"/>
              <w:rPr>
                <w:sz w:val="15"/>
                <w:szCs w:val="15"/>
                <w:color w:val="auto"/>
              </w:rPr>
            </w:pPr>
          </w:p>
        </w:tc>
      </w:tr>
      <w:tr>
        <w:trPr>
          <w:trHeight w:val="255"/>
        </w:trPr>
        <w:tc>
          <w:tcPr>
            <w:tcW w:w="180" w:type="dxa"/>
            <w:vAlign w:val="bottom"/>
            <w:tcBorders>
              <w:bottom w:val="single" w:sz="8" w:color="CCEEFF"/>
            </w:tcBorders>
            <w:shd w:val="clear" w:color="auto" w:fill="CCEEFF"/>
          </w:tcPr>
          <w:p>
            <w:pPr>
              <w:spacing w:after="0"/>
              <w:rPr>
                <w:sz w:val="22"/>
                <w:szCs w:val="22"/>
                <w:color w:val="auto"/>
              </w:rPr>
            </w:pPr>
          </w:p>
        </w:tc>
        <w:tc>
          <w:tcPr>
            <w:tcW w:w="7100" w:type="dxa"/>
            <w:vAlign w:val="bottom"/>
            <w:tcBorders>
              <w:bottom w:val="single" w:sz="8" w:color="CCEEFF"/>
            </w:tcBorders>
            <w:gridSpan w:val="21"/>
            <w:shd w:val="clear" w:color="auto" w:fill="CCEEFF"/>
          </w:tcPr>
          <w:p>
            <w:pPr>
              <w:spacing w:after="0"/>
              <w:rPr>
                <w:sz w:val="20"/>
                <w:szCs w:val="20"/>
                <w:color w:val="auto"/>
              </w:rPr>
            </w:pPr>
            <w:r>
              <w:rPr>
                <w:rFonts w:ascii="Arial" w:cs="Arial" w:eastAsia="Arial" w:hAnsi="Arial"/>
                <w:sz w:val="18"/>
                <w:szCs w:val="18"/>
                <w:b w:val="1"/>
                <w:bCs w:val="1"/>
                <w:color w:val="auto"/>
              </w:rPr>
              <w:t>31, 2022 AND 2021</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176"/>
        </w:trPr>
        <w:tc>
          <w:tcPr>
            <w:tcW w:w="7280" w:type="dxa"/>
            <w:vAlign w:val="bottom"/>
            <w:gridSpan w:val="22"/>
          </w:tcPr>
          <w:p>
            <w:pPr>
              <w:spacing w:after="0" w:line="176" w:lineRule="exact"/>
              <w:rPr>
                <w:sz w:val="20"/>
                <w:szCs w:val="20"/>
                <w:color w:val="auto"/>
              </w:rPr>
            </w:pPr>
            <w:r>
              <w:rPr>
                <w:rFonts w:ascii="Arial" w:cs="Arial" w:eastAsia="Arial" w:hAnsi="Arial"/>
                <w:sz w:val="18"/>
                <w:szCs w:val="18"/>
                <w:color w:val="0000EE"/>
              </w:rPr>
              <w:t>REPORT OF INDEPENDENT REGISTERED PUBLIC ACCOUNTING FIRM (PCAOB ID:</w:t>
            </w:r>
          </w:p>
        </w:tc>
        <w:tc>
          <w:tcPr>
            <w:tcW w:w="820" w:type="dxa"/>
            <w:vAlign w:val="bottom"/>
          </w:tcPr>
          <w:p>
            <w:pPr>
              <w:spacing w:after="0"/>
              <w:rPr>
                <w:sz w:val="15"/>
                <w:szCs w:val="15"/>
                <w:color w:val="auto"/>
              </w:rPr>
            </w:pPr>
          </w:p>
        </w:tc>
      </w:tr>
      <w:tr>
        <w:trPr>
          <w:trHeight w:val="196"/>
        </w:trPr>
        <w:tc>
          <w:tcPr>
            <w:tcW w:w="960" w:type="dxa"/>
            <w:vAlign w:val="bottom"/>
            <w:tcBorders>
              <w:top w:val="single" w:sz="8" w:color="0000EE"/>
            </w:tcBorders>
            <w:gridSpan w:val="3"/>
          </w:tcPr>
          <w:p>
            <w:pPr>
              <w:ind w:left="180"/>
              <w:spacing w:after="0" w:line="196" w:lineRule="exact"/>
              <w:rPr>
                <w:sz w:val="20"/>
                <w:szCs w:val="20"/>
                <w:color w:val="auto"/>
              </w:rPr>
            </w:pPr>
            <w:r>
              <w:rPr>
                <w:rFonts w:ascii="Arial" w:cs="Arial" w:eastAsia="Arial" w:hAnsi="Arial"/>
                <w:sz w:val="18"/>
                <w:szCs w:val="18"/>
                <w:color w:val="0000EE"/>
              </w:rPr>
              <w:t>5395)</w:t>
            </w:r>
          </w:p>
        </w:tc>
        <w:tc>
          <w:tcPr>
            <w:tcW w:w="6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F-2</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CONSOLIDATED BALANCE SHEETS AS OF DECEMBER 31, 2022 AND 2021</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5960" w:type="dxa"/>
            <w:vAlign w:val="bottom"/>
            <w:tcBorders>
              <w:bottom w:val="single" w:sz="8" w:color="0000EE"/>
            </w:tcBorders>
            <w:gridSpan w:val="9"/>
          </w:tcPr>
          <w:p>
            <w:pPr>
              <w:spacing w:after="0" w:line="176" w:lineRule="exact"/>
              <w:rPr>
                <w:sz w:val="20"/>
                <w:szCs w:val="20"/>
                <w:color w:val="auto"/>
              </w:rPr>
            </w:pPr>
            <w:r>
              <w:rPr>
                <w:rFonts w:ascii="Arial" w:cs="Arial" w:eastAsia="Arial" w:hAnsi="Arial"/>
                <w:sz w:val="18"/>
                <w:szCs w:val="18"/>
                <w:color w:val="0000EE"/>
                <w:w w:val="94"/>
              </w:rPr>
              <w:t>CONSOLIDATED STATEMENTS OF OPERATIONS AND COMPREHENSIVE</w:t>
            </w:r>
          </w:p>
        </w:tc>
        <w:tc>
          <w:tcPr>
            <w:tcW w:w="1320" w:type="dxa"/>
            <w:vAlign w:val="bottom"/>
            <w:gridSpan w:val="13"/>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21"/>
          </w:tcPr>
          <w:p>
            <w:pPr>
              <w:spacing w:after="0" w:line="196" w:lineRule="exact"/>
              <w:rPr>
                <w:sz w:val="20"/>
                <w:szCs w:val="20"/>
                <w:color w:val="auto"/>
              </w:rPr>
            </w:pPr>
            <w:r>
              <w:rPr>
                <w:rFonts w:ascii="Arial" w:cs="Arial" w:eastAsia="Arial" w:hAnsi="Arial"/>
                <w:sz w:val="18"/>
                <w:szCs w:val="18"/>
                <w:color w:val="0000EE"/>
              </w:rPr>
              <w:t>(LOSS)/INCOME FOR THE YEARS ENDED DECEMBER 31, 2022 AND 2021</w:t>
            </w: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F-4</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5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72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CHANGES IN EQUITY/(DEFICIT) FOR THE YEARS</w:t>
            </w:r>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760" w:type="dxa"/>
            <w:vAlign w:val="bottom"/>
            <w:tcBorders>
              <w:top w:val="single" w:sz="8" w:color="0000EE"/>
            </w:tcBorders>
            <w:gridSpan w:val="18"/>
            <w:shd w:val="clear" w:color="auto" w:fill="CCEEFF"/>
          </w:tcPr>
          <w:p>
            <w:pPr>
              <w:spacing w:after="0" w:line="196" w:lineRule="exact"/>
              <w:rPr>
                <w:sz w:val="20"/>
                <w:szCs w:val="20"/>
                <w:color w:val="auto"/>
              </w:rPr>
            </w:pPr>
            <w:r>
              <w:rPr>
                <w:rFonts w:ascii="Arial" w:cs="Arial" w:eastAsia="Arial" w:hAnsi="Arial"/>
                <w:sz w:val="18"/>
                <w:szCs w:val="18"/>
                <w:color w:val="0000EE"/>
              </w:rPr>
              <w:t>ENDED DECEMBER 31, 2022 AND 2021</w:t>
            </w:r>
          </w:p>
        </w:tc>
        <w:tc>
          <w:tcPr>
            <w:tcW w:w="340" w:type="dxa"/>
            <w:vAlign w:val="bottom"/>
            <w:tcBorders>
              <w:top w:val="single" w:sz="8" w:color="CCEEFF"/>
            </w:tcBorders>
            <w:gridSpan w:val="3"/>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7280" w:type="dxa"/>
            <w:vAlign w:val="bottom"/>
            <w:gridSpan w:val="22"/>
          </w:tcPr>
          <w:p>
            <w:pPr>
              <w:spacing w:after="0" w:line="176" w:lineRule="exact"/>
              <w:rPr>
                <w:sz w:val="20"/>
                <w:szCs w:val="20"/>
                <w:color w:val="auto"/>
              </w:rPr>
            </w:pPr>
            <w:r>
              <w:rPr>
                <w:rFonts w:ascii="Arial" w:cs="Arial" w:eastAsia="Arial" w:hAnsi="Arial"/>
                <w:sz w:val="18"/>
                <w:szCs w:val="18"/>
                <w:color w:val="0000EE"/>
                <w:w w:val="97"/>
              </w:rPr>
              <w:t>CONSOLIDATED STATEMENTS OF CASH FLOWS FOR THE YEARS ENDED DECEMBER</w:t>
            </w:r>
          </w:p>
        </w:tc>
        <w:tc>
          <w:tcPr>
            <w:tcW w:w="8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92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31, 2022 AND 2021</w:t>
            </w:r>
          </w:p>
        </w:tc>
        <w:tc>
          <w:tcPr>
            <w:tcW w:w="1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F-6</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NOTES TO CONSOLIDATED FINANCIAL STATEMENTS</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521"/>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5"/>
              </w:rPr>
              <w:t>PAGE(S)</w:t>
            </w:r>
          </w:p>
        </w:tc>
      </w:tr>
      <w:tr>
        <w:trPr>
          <w:trHeight w:val="46"/>
        </w:trPr>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56"/>
        </w:trPr>
        <w:tc>
          <w:tcPr>
            <w:tcW w:w="6920" w:type="dxa"/>
            <w:vAlign w:val="bottom"/>
            <w:tcBorders>
              <w:bottom w:val="single" w:sz="8" w:color="0000EE"/>
            </w:tcBorders>
            <w:gridSpan w:val="18"/>
            <w:shd w:val="clear" w:color="auto" w:fill="CCEEFF"/>
          </w:tcPr>
          <w:p>
            <w:pPr>
              <w:spacing w:after="0" w:line="156" w:lineRule="exact"/>
              <w:rPr>
                <w:sz w:val="20"/>
                <w:szCs w:val="20"/>
                <w:color w:val="auto"/>
              </w:rPr>
            </w:pPr>
            <w:r>
              <w:rPr>
                <w:rFonts w:ascii="Arial" w:cs="Arial" w:eastAsia="Arial" w:hAnsi="Arial"/>
                <w:sz w:val="18"/>
                <w:szCs w:val="18"/>
                <w:color w:val="0000EE"/>
                <w:w w:val="95"/>
              </w:rPr>
              <w:t>UNAUDITED CONDENSED CONSOLIDATED BALANCE SHEETS AS OF JUNE 30, 2023</w:t>
            </w:r>
          </w:p>
        </w:tc>
        <w:tc>
          <w:tcPr>
            <w:tcW w:w="360" w:type="dxa"/>
            <w:vAlign w:val="bottom"/>
            <w:tcBorders>
              <w:bottom w:val="single" w:sz="8" w:color="CCEEFF"/>
            </w:tcBorders>
            <w:gridSpan w:val="4"/>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21"/>
            <w:shd w:val="clear" w:color="auto" w:fill="CCEEFF"/>
          </w:tcPr>
          <w:p>
            <w:pPr>
              <w:spacing w:after="0" w:line="196" w:lineRule="exact"/>
              <w:rPr>
                <w:sz w:val="20"/>
                <w:szCs w:val="20"/>
                <w:color w:val="auto"/>
              </w:rPr>
            </w:pPr>
            <w:r>
              <w:rPr>
                <w:rFonts w:ascii="Arial" w:cs="Arial" w:eastAsia="Arial" w:hAnsi="Arial"/>
                <w:sz w:val="18"/>
                <w:szCs w:val="18"/>
                <w:color w:val="0000EE"/>
              </w:rPr>
              <w:t>AND DECEMBER 31, 2022</w:t>
            </w:r>
          </w:p>
        </w:tc>
        <w:tc>
          <w:tcPr>
            <w:tcW w:w="8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F-23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6640" w:type="dxa"/>
            <w:vAlign w:val="bottom"/>
            <w:tcBorders>
              <w:bottom w:val="single" w:sz="8" w:color="0000EE"/>
            </w:tcBorders>
            <w:gridSpan w:val="14"/>
          </w:tcPr>
          <w:p>
            <w:pPr>
              <w:spacing w:after="0" w:line="176" w:lineRule="exact"/>
              <w:rPr>
                <w:sz w:val="20"/>
                <w:szCs w:val="20"/>
                <w:color w:val="auto"/>
              </w:rPr>
            </w:pPr>
            <w:r>
              <w:rPr>
                <w:rFonts w:ascii="Arial" w:cs="Arial" w:eastAsia="Arial" w:hAnsi="Arial"/>
                <w:sz w:val="18"/>
                <w:szCs w:val="18"/>
                <w:color w:val="0000EE"/>
                <w:w w:val="95"/>
              </w:rPr>
              <w:t>UNAUDITED CONDENSED CONSOLIDATED STATEMENTS OF OPERATIONS AND</w:t>
            </w:r>
          </w:p>
        </w:tc>
        <w:tc>
          <w:tcPr>
            <w:tcW w:w="640" w:type="dxa"/>
            <w:vAlign w:val="bottom"/>
            <w:gridSpan w:val="8"/>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62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4"/>
              </w:rPr>
              <w:t>COMPREHENSIVE (LOSS)/INCOME FOR THE SIX MONTHS ENDED JUNE 30, 2023</w:t>
            </w:r>
          </w:p>
        </w:tc>
        <w:tc>
          <w:tcPr>
            <w:tcW w:w="48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100" w:type="dxa"/>
            <w:vAlign w:val="bottom"/>
            <w:gridSpan w:val="21"/>
          </w:tcPr>
          <w:p>
            <w:pPr>
              <w:spacing w:after="0" w:line="196" w:lineRule="exact"/>
              <w:rPr>
                <w:sz w:val="20"/>
                <w:szCs w:val="20"/>
                <w:color w:val="auto"/>
              </w:rPr>
            </w:pPr>
            <w:r>
              <w:rPr>
                <w:rFonts w:ascii="Arial" w:cs="Arial" w:eastAsia="Arial" w:hAnsi="Arial"/>
                <w:sz w:val="18"/>
                <w:szCs w:val="18"/>
                <w:color w:val="0000EE"/>
              </w:rPr>
              <w:t>AND 2022</w:t>
            </w: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F-24</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72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UNAUDITED CONDENSED CONSOLIDATED STATEMENTS OF CHANGES IN</w:t>
            </w:r>
          </w:p>
        </w:tc>
        <w:tc>
          <w:tcPr>
            <w:tcW w:w="820" w:type="dxa"/>
            <w:vAlign w:val="bottom"/>
            <w:shd w:val="clear" w:color="auto" w:fill="CCEEFF"/>
          </w:tcPr>
          <w:p>
            <w:pPr>
              <w:spacing w:after="0"/>
              <w:rPr>
                <w:sz w:val="15"/>
                <w:szCs w:val="15"/>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740" w:type="dxa"/>
            <w:vAlign w:val="bottom"/>
            <w:gridSpan w:val="6"/>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320" w:type="dxa"/>
            <w:vAlign w:val="bottom"/>
            <w:gridSpan w:val="5"/>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21"/>
            <w:shd w:val="clear" w:color="auto" w:fill="CCEEFF"/>
          </w:tcPr>
          <w:p>
            <w:pPr>
              <w:spacing w:after="0" w:line="196" w:lineRule="exact"/>
              <w:rPr>
                <w:sz w:val="20"/>
                <w:szCs w:val="20"/>
                <w:color w:val="auto"/>
              </w:rPr>
            </w:pPr>
            <w:r>
              <w:rPr>
                <w:rFonts w:ascii="Arial" w:cs="Arial" w:eastAsia="Arial" w:hAnsi="Arial"/>
                <w:sz w:val="18"/>
                <w:szCs w:val="18"/>
                <w:color w:val="0000EE"/>
              </w:rPr>
              <w:t>EQUITY/(DEFICIT) FOR THE SIX MONTHS ENDED JUNE 30, 2023 AND 2022</w:t>
            </w:r>
          </w:p>
        </w:tc>
        <w:tc>
          <w:tcPr>
            <w:tcW w:w="8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F-25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7280" w:type="dxa"/>
            <w:vAlign w:val="bottom"/>
            <w:gridSpan w:val="22"/>
          </w:tcPr>
          <w:p>
            <w:pPr>
              <w:spacing w:after="0" w:line="176" w:lineRule="exact"/>
              <w:rPr>
                <w:sz w:val="20"/>
                <w:szCs w:val="20"/>
                <w:color w:val="auto"/>
              </w:rPr>
            </w:pPr>
            <w:r>
              <w:rPr>
                <w:rFonts w:ascii="Arial" w:cs="Arial" w:eastAsia="Arial" w:hAnsi="Arial"/>
                <w:sz w:val="18"/>
                <w:szCs w:val="18"/>
                <w:color w:val="0000EE"/>
                <w:w w:val="98"/>
              </w:rPr>
              <w:t>UNAUDITED CONDENSED CONSOLIDATED STATEMENTS OF CASH FLOWS FOR THE</w:t>
            </w:r>
          </w:p>
        </w:tc>
        <w:tc>
          <w:tcPr>
            <w:tcW w:w="8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4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SIX MONTHS ENDED JUNE 30, 2023 AND 2022</w:t>
            </w:r>
          </w:p>
        </w:tc>
        <w:tc>
          <w:tcPr>
            <w:tcW w:w="260" w:type="dxa"/>
            <w:vAlign w:val="bottom"/>
            <w:gridSpan w:val="2"/>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F-26</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NOTES TO UNAUDITED CONDENSED CONSOLIDATED FINANCIAL STATEMENTS</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F-27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392"/>
        </w:trPr>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6"/>
          </w:tcPr>
          <w:p>
            <w:pPr>
              <w:jc w:val="center"/>
              <w:ind w:right="2520"/>
              <w:spacing w:after="0"/>
              <w:rPr>
                <w:sz w:val="20"/>
                <w:szCs w:val="20"/>
                <w:color w:val="auto"/>
              </w:rPr>
            </w:pPr>
            <w:r>
              <w:rPr>
                <w:rFonts w:ascii="Arial" w:cs="Arial" w:eastAsia="Arial" w:hAnsi="Arial"/>
                <w:sz w:val="18"/>
                <w:szCs w:val="18"/>
                <w:color w:val="auto"/>
                <w:w w:val="88"/>
              </w:rPr>
              <w:t>F-1</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33" w:name="page134"/>
    <w:bookmarkEnd w:id="13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right="1439" w:firstLine="969"/>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Board of Directors of Trident Digital Tech Holdings Ltd</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We have audited the accompanying consolidated balance sheets of Trident Digital Tech Holdings Ltd (the “Company”) as of December 31, 2022 and 2021, the related consolidated statements of operations and comprehensive (loss)/income, changes in equity/(deficit)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Arial" w:cs="Arial" w:eastAsia="Arial" w:hAnsi="Arial"/>
          <w:sz w:val="18"/>
          <w:szCs w:val="18"/>
          <w:b w:val="1"/>
          <w:bCs w:val="1"/>
          <w:color w:val="auto"/>
        </w:rPr>
        <w:t>s</w:t>
      </w:r>
      <w:r>
        <w:rPr>
          <w:rFonts w:ascii="Arial" w:cs="Arial" w:eastAsia="Arial" w:hAnsi="Arial"/>
          <w:sz w:val="18"/>
          <w:szCs w:val="18"/>
          <w:color w:val="auto"/>
        </w:rPr>
        <w:t xml:space="preserve">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Marcum Asia CPAs LLP</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2023.</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Beijing, China</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July 7, 2023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4" w:name="page135"/>
    <w:bookmarkEnd w:id="13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CONSOLIDATED BALANCE SHEETS (In U.S. dollars, except for share and per share data, or otherwise noted)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945,265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273,593</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47,547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118,779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cost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268,509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141,851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29,870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1,403,172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422,242</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106,718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47,659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Right-of-use assets, net</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1,494,082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36,550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1,600,800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84,209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3,003,972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506,451</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135,360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218,225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51,867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654,063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192,935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Amount due to related parties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526,263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63,753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Subscription fees advance from a shareholder</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524,560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303,730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54,678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liabilities, current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277,699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Income tax payable</w:t>
            </w:r>
          </w:p>
        </w:tc>
        <w:tc>
          <w:tcPr>
            <w:tcW w:w="16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28,108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2,639,900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424,656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498,572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34,340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1,190,287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12,336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1,688,859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46,676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4,328,759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471,332</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600" w:type="dxa"/>
            <w:vAlign w:val="bottom"/>
          </w:tcPr>
          <w:p>
            <w:pPr>
              <w:ind w:left="180"/>
              <w:spacing w:after="0" w:line="201" w:lineRule="exact"/>
              <w:rPr>
                <w:sz w:val="20"/>
                <w:szCs w:val="20"/>
                <w:color w:val="auto"/>
              </w:rPr>
            </w:pPr>
            <w:r>
              <w:rPr>
                <w:rFonts w:ascii="Arial" w:cs="Arial" w:eastAsia="Arial" w:hAnsi="Arial"/>
                <w:sz w:val="18"/>
                <w:szCs w:val="18"/>
                <w:color w:val="auto"/>
                <w:w w:val="94"/>
              </w:rPr>
              <w:t>Ordinary Shares (par value $0.00001 per share; 1,000,000,000 Class A</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ordinary shares authorized, 50,000,000 and 50,000,000 Class A</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w w:val="93"/>
              </w:rPr>
              <w:t>ordinary shares issued and outstanding as of December 31, 2022 and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w w:val="93"/>
              </w:rPr>
              <w:t>2021, respectively; 4,000,000,000 Class B ordinary shares authorized,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w w:val="98"/>
              </w:rPr>
              <w:t>360,205,000 and 360,205,000 Class B ordinary shares issued and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360"/>
              <w:spacing w:after="0"/>
              <w:rPr>
                <w:sz w:val="20"/>
                <w:szCs w:val="20"/>
                <w:color w:val="auto"/>
              </w:rPr>
            </w:pPr>
            <w:r>
              <w:rPr>
                <w:rFonts w:ascii="Arial" w:cs="Arial" w:eastAsia="Arial" w:hAnsi="Arial"/>
                <w:sz w:val="18"/>
                <w:szCs w:val="18"/>
                <w:color w:val="auto"/>
              </w:rPr>
              <w:t>outstanding as of December 31, 2022 and 2021, 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20"/>
                <w:szCs w:val="20"/>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4,102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Subscription receivable</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32,240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(deficit)/earnings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(1,323,341)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35,349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(37,788)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(1,324,787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35,119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3,003,972</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506,451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shares and per share information are presented on a retroactive basis to reflect the reorganization (Note 1).</w:t>
      </w:r>
    </w:p>
    <w:p>
      <w:pPr>
        <w:spacing w:after="0" w:line="160" w:lineRule="exact"/>
        <w:rPr>
          <w:rFonts w:ascii="Arial" w:cs="Arial" w:eastAsia="Arial" w:hAnsi="Arial"/>
          <w:sz w:val="15"/>
          <w:szCs w:val="15"/>
          <w:color w:val="auto"/>
        </w:rPr>
      </w:pPr>
    </w:p>
    <w:p>
      <w:pPr>
        <w:ind w:left="1360"/>
        <w:spacing w:after="0"/>
        <w:rPr>
          <w:rFonts w:ascii="Arial" w:cs="Arial" w:eastAsia="Arial" w:hAnsi="Arial"/>
          <w:sz w:val="15"/>
          <w:szCs w:val="15"/>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322" w:gutter="0" w:footer="0" w:header="0"/>
        </w:sectPr>
      </w:pPr>
    </w:p>
    <w:bookmarkStart w:id="135" w:name="page136"/>
    <w:bookmarkEnd w:id="13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TRIDENT DIGITAL TECH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and per share data, or otherwise noted)</w:t>
      </w:r>
    </w:p>
    <w:p>
      <w:pPr>
        <w:spacing w:after="0" w:line="171" w:lineRule="exact"/>
        <w:rPr>
          <w:sz w:val="20"/>
          <w:szCs w:val="20"/>
          <w:color w:val="auto"/>
        </w:rPr>
      </w:pPr>
    </w:p>
    <w:p>
      <w:pPr>
        <w:jc w:val="center"/>
        <w:ind w:left="5580"/>
        <w:spacing w:after="0"/>
        <w:rPr>
          <w:sz w:val="20"/>
          <w:szCs w:val="20"/>
          <w:color w:val="auto"/>
        </w:rPr>
      </w:pPr>
      <w:r>
        <w:rPr>
          <w:rFonts w:ascii="Arial" w:cs="Arial" w:eastAsia="Arial" w:hAnsi="Arial"/>
          <w:sz w:val="16"/>
          <w:szCs w:val="16"/>
          <w:b w:val="1"/>
          <w:bCs w:val="1"/>
          <w:color w:val="auto"/>
        </w:rPr>
        <w:t>For the Years Ended</w:t>
      </w:r>
    </w:p>
    <w:p>
      <w:pPr>
        <w:spacing w:after="0" w:line="26" w:lineRule="exact"/>
        <w:rPr>
          <w:sz w:val="20"/>
          <w:szCs w:val="20"/>
          <w:color w:val="auto"/>
        </w:rPr>
      </w:pPr>
    </w:p>
    <w:p>
      <w:pPr>
        <w:jc w:val="center"/>
        <w:ind w:left="55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1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1,262,899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657,092</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(1,000,689)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(456,645)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262,210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200,447</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Selling expenses</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(241,344)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(123,533)</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(989,774)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(174,377)</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(287,578)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(1,518,696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(297,910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Financial expenses, net</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(4,786)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136,576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156,220</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Total other income, net</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131,790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155,475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(Loss)/Income before income tax expense</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(1,124,696)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58,012</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(4,793)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(28,045)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Net (loss)/income</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5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(1,129,489</w:t>
            </w:r>
          </w:p>
        </w:tc>
        <w:tc>
          <w:tcPr>
            <w:tcW w:w="14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29,967</w:t>
            </w:r>
          </w:p>
        </w:tc>
        <w:tc>
          <w:tcPr>
            <w:tcW w:w="0" w:type="dxa"/>
            <w:vAlign w:val="bottom"/>
          </w:tcPr>
          <w:p>
            <w:pPr>
              <w:spacing w:after="0"/>
              <w:rPr>
                <w:sz w:val="1"/>
                <w:szCs w:val="1"/>
                <w:color w:val="auto"/>
              </w:rPr>
            </w:pPr>
          </w:p>
        </w:tc>
      </w:tr>
      <w:tr>
        <w:trPr>
          <w:trHeight w:val="271"/>
        </w:trPr>
        <w:tc>
          <w:tcPr>
            <w:tcW w:w="55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(37,482)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Total comprehensive (loss)/income</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(1,166,971</w:t>
            </w:r>
          </w:p>
        </w:tc>
        <w:tc>
          <w:tcPr>
            <w:tcW w:w="1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29,661</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Weighted average number of Ordinary Shares – basic and diluted*</w:t>
            </w: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410,205,000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w w:val="91"/>
              </w:rPr>
              <w:t>410,205,000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Basic and diluted earnings per ordinary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91"/>
        </w:trPr>
        <w:tc>
          <w:tcPr>
            <w:tcW w:w="5580" w:type="dxa"/>
            <w:vAlign w:val="bottom"/>
          </w:tcPr>
          <w:p>
            <w:pPr>
              <w:spacing w:after="0"/>
              <w:rPr>
                <w:sz w:val="20"/>
                <w:szCs w:val="20"/>
                <w:color w:val="auto"/>
              </w:rPr>
            </w:pPr>
            <w:r>
              <w:rPr>
                <w:rFonts w:ascii="Arial" w:cs="Arial" w:eastAsia="Arial" w:hAnsi="Arial"/>
                <w:sz w:val="16"/>
                <w:szCs w:val="16"/>
                <w:color w:val="auto"/>
              </w:rPr>
              <w:t>____________</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4700270</wp:posOffset>
            </wp:positionH>
            <wp:positionV relativeFrom="paragraph">
              <wp:posOffset>-4392930</wp:posOffset>
            </wp:positionV>
            <wp:extent cx="285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-4401820</wp:posOffset>
            </wp:positionV>
            <wp:extent cx="2857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71" w:lineRule="exact"/>
        <w:rPr>
          <w:sz w:val="20"/>
          <w:szCs w:val="20"/>
          <w:color w:val="auto"/>
        </w:rPr>
      </w:pPr>
    </w:p>
    <w:p>
      <w:pPr>
        <w:ind w:left="860" w:hanging="406"/>
        <w:spacing w:after="0"/>
        <w:tabs>
          <w:tab w:leader="none" w:pos="8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 shares and per share information are presented on a retroactive basis to reflect the reorganization (Note 1).</w:t>
      </w:r>
    </w:p>
    <w:p>
      <w:pPr>
        <w:spacing w:after="0" w:line="160" w:lineRule="exact"/>
        <w:rPr>
          <w:rFonts w:ascii="Arial" w:cs="Arial" w:eastAsia="Arial" w:hAnsi="Arial"/>
          <w:sz w:val="15"/>
          <w:szCs w:val="15"/>
          <w:color w:val="auto"/>
        </w:rPr>
      </w:pPr>
    </w:p>
    <w:p>
      <w:pPr>
        <w:ind w:left="1360"/>
        <w:spacing w:after="0"/>
        <w:rPr>
          <w:rFonts w:ascii="Arial" w:cs="Arial" w:eastAsia="Arial" w:hAnsi="Arial"/>
          <w:sz w:val="15"/>
          <w:szCs w:val="15"/>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6" w:name="page137"/>
    <w:bookmarkEnd w:id="13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TRIDENT DIGITAL TECH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and per share data, or otherwise noted)</w:t>
      </w:r>
    </w:p>
    <w:p>
      <w:pPr>
        <w:spacing w:after="0" w:line="26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1680" w:type="dxa"/>
            <w:vAlign w:val="bottom"/>
            <w:gridSpan w:val="6"/>
            <w:vMerge w:val="restart"/>
          </w:tcPr>
          <w:p>
            <w:pPr>
              <w:ind w:left="260"/>
              <w:spacing w:after="0"/>
              <w:rPr>
                <w:sz w:val="20"/>
                <w:szCs w:val="20"/>
                <w:color w:val="auto"/>
              </w:rPr>
            </w:pPr>
            <w:r>
              <w:rPr>
                <w:rFonts w:ascii="Arial" w:cs="Arial" w:eastAsia="Arial" w:hAnsi="Arial"/>
                <w:sz w:val="16"/>
                <w:szCs w:val="16"/>
                <w:b w:val="1"/>
                <w:bCs w:val="1"/>
                <w:color w:val="auto"/>
              </w:rPr>
              <w:t>Ordinary share</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5"/>
          </w:tcPr>
          <w:p>
            <w:pPr>
              <w:ind w:left="40"/>
              <w:spacing w:after="0"/>
              <w:rPr>
                <w:sz w:val="20"/>
                <w:szCs w:val="20"/>
                <w:color w:val="auto"/>
              </w:rPr>
            </w:pPr>
            <w:r>
              <w:rPr>
                <w:rFonts w:ascii="Arial" w:cs="Arial" w:eastAsia="Arial" w:hAnsi="Arial"/>
                <w:sz w:val="16"/>
                <w:szCs w:val="16"/>
                <w:b w:val="1"/>
                <w:bCs w:val="1"/>
                <w:color w:val="auto"/>
                <w:w w:val="97"/>
              </w:rPr>
              <w:t>Additional</w:t>
            </w:r>
          </w:p>
        </w:tc>
        <w:tc>
          <w:tcPr>
            <w:tcW w:w="20" w:type="dxa"/>
            <w:vAlign w:val="bottom"/>
          </w:tcPr>
          <w:p>
            <w:pPr>
              <w:spacing w:after="0"/>
              <w:rPr>
                <w:sz w:val="17"/>
                <w:szCs w:val="17"/>
                <w:color w:val="auto"/>
              </w:rPr>
            </w:pPr>
          </w:p>
        </w:tc>
        <w:tc>
          <w:tcPr>
            <w:tcW w:w="10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16"/>
        </w:trPr>
        <w:tc>
          <w:tcPr>
            <w:tcW w:w="1580" w:type="dxa"/>
            <w:vAlign w:val="bottom"/>
          </w:tcPr>
          <w:p>
            <w:pPr>
              <w:spacing w:after="0"/>
              <w:rPr>
                <w:sz w:val="10"/>
                <w:szCs w:val="10"/>
                <w:color w:val="auto"/>
              </w:rPr>
            </w:pPr>
          </w:p>
        </w:tc>
        <w:tc>
          <w:tcPr>
            <w:tcW w:w="1680" w:type="dxa"/>
            <w:vAlign w:val="bottom"/>
            <w:gridSpan w:val="6"/>
            <w:vMerge w:val="continue"/>
          </w:tcPr>
          <w:p>
            <w:pPr>
              <w:spacing w:after="0"/>
              <w:rPr>
                <w:sz w:val="10"/>
                <w:szCs w:val="10"/>
                <w:color w:val="auto"/>
              </w:rPr>
            </w:pPr>
          </w:p>
        </w:tc>
        <w:tc>
          <w:tcPr>
            <w:tcW w:w="920" w:type="dxa"/>
            <w:vAlign w:val="bottom"/>
            <w:gridSpan w:val="3"/>
            <w:vMerge w:val="restart"/>
          </w:tcPr>
          <w:p>
            <w:pPr>
              <w:jc w:val="center"/>
              <w:ind w:right="40"/>
              <w:spacing w:after="0" w:line="142" w:lineRule="exact"/>
              <w:rPr>
                <w:sz w:val="20"/>
                <w:szCs w:val="20"/>
                <w:color w:val="auto"/>
              </w:rPr>
            </w:pPr>
            <w:r>
              <w:rPr>
                <w:rFonts w:ascii="Arial" w:cs="Arial" w:eastAsia="Arial" w:hAnsi="Arial"/>
                <w:sz w:val="16"/>
                <w:szCs w:val="16"/>
                <w:b w:val="1"/>
                <w:bCs w:val="1"/>
                <w:color w:val="auto"/>
                <w:w w:val="89"/>
              </w:rPr>
              <w:t>Subscription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vMerge w:val="restart"/>
          </w:tcPr>
          <w:p>
            <w:pPr>
              <w:jc w:val="right"/>
              <w:ind w:right="180"/>
              <w:spacing w:after="0" w:line="142" w:lineRule="exact"/>
              <w:rPr>
                <w:sz w:val="20"/>
                <w:szCs w:val="20"/>
                <w:color w:val="auto"/>
              </w:rPr>
            </w:pPr>
            <w:r>
              <w:rPr>
                <w:rFonts w:ascii="Arial" w:cs="Arial" w:eastAsia="Arial" w:hAnsi="Arial"/>
                <w:sz w:val="16"/>
                <w:szCs w:val="16"/>
                <w:b w:val="1"/>
                <w:bCs w:val="1"/>
                <w:color w:val="auto"/>
                <w:w w:val="91"/>
              </w:rPr>
              <w:t>paid-in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restart"/>
          </w:tcPr>
          <w:p>
            <w:pPr>
              <w:jc w:val="center"/>
              <w:ind w:right="200"/>
              <w:spacing w:after="0" w:line="142" w:lineRule="exact"/>
              <w:rPr>
                <w:sz w:val="20"/>
                <w:szCs w:val="20"/>
                <w:color w:val="auto"/>
              </w:rPr>
            </w:pPr>
            <w:r>
              <w:rPr>
                <w:rFonts w:ascii="Arial" w:cs="Arial" w:eastAsia="Arial" w:hAnsi="Arial"/>
                <w:sz w:val="16"/>
                <w:szCs w:val="16"/>
                <w:b w:val="1"/>
                <w:bCs w:val="1"/>
                <w:color w:val="auto"/>
                <w:w w:val="89"/>
              </w:rPr>
              <w:t>earnings/</w:t>
            </w:r>
          </w:p>
        </w:tc>
        <w:tc>
          <w:tcPr>
            <w:tcW w:w="960" w:type="dxa"/>
            <w:vAlign w:val="bottom"/>
            <w:gridSpan w:val="4"/>
            <w:vMerge w:val="restart"/>
          </w:tcPr>
          <w:p>
            <w:pPr>
              <w:spacing w:after="0" w:line="142" w:lineRule="exact"/>
              <w:rPr>
                <w:sz w:val="20"/>
                <w:szCs w:val="20"/>
                <w:color w:val="auto"/>
              </w:rPr>
            </w:pPr>
            <w:r>
              <w:rPr>
                <w:rFonts w:ascii="Arial" w:cs="Arial" w:eastAsia="Arial" w:hAnsi="Arial"/>
                <w:sz w:val="16"/>
                <w:szCs w:val="16"/>
                <w:b w:val="1"/>
                <w:bCs w:val="1"/>
                <w:color w:val="auto"/>
                <w:w w:val="93"/>
              </w:rPr>
              <w:t>Accumulated</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40"/>
              <w:spacing w:after="0" w:line="142" w:lineRule="exact"/>
              <w:rPr>
                <w:sz w:val="20"/>
                <w:szCs w:val="20"/>
                <w:color w:val="auto"/>
              </w:rPr>
            </w:pPr>
            <w:r>
              <w:rPr>
                <w:rFonts w:ascii="Arial" w:cs="Arial" w:eastAsia="Arial" w:hAnsi="Arial"/>
                <w:sz w:val="16"/>
                <w:szCs w:val="16"/>
                <w:b w:val="1"/>
                <w:bCs w:val="1"/>
                <w:color w:val="auto"/>
                <w:w w:val="90"/>
              </w:rPr>
              <w:t>Company’s</w:t>
            </w:r>
          </w:p>
        </w:tc>
        <w:tc>
          <w:tcPr>
            <w:tcW w:w="0" w:type="dxa"/>
            <w:vAlign w:val="bottom"/>
          </w:tcPr>
          <w:p>
            <w:pPr>
              <w:spacing w:after="0"/>
              <w:rPr>
                <w:sz w:val="1"/>
                <w:szCs w:val="1"/>
                <w:color w:val="auto"/>
              </w:rPr>
            </w:pPr>
          </w:p>
        </w:tc>
      </w:tr>
      <w:tr>
        <w:trPr>
          <w:trHeight w:val="47"/>
        </w:trPr>
        <w:tc>
          <w:tcPr>
            <w:tcW w:w="15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580" w:type="dxa"/>
            <w:vAlign w:val="bottom"/>
          </w:tcPr>
          <w:p>
            <w:pPr>
              <w:spacing w:after="0"/>
              <w:rPr>
                <w:sz w:val="20"/>
                <w:szCs w:val="20"/>
                <w:color w:val="auto"/>
              </w:rPr>
            </w:pPr>
          </w:p>
        </w:tc>
        <w:tc>
          <w:tcPr>
            <w:tcW w:w="980" w:type="dxa"/>
            <w:vAlign w:val="bottom"/>
            <w:gridSpan w:val="2"/>
          </w:tcPr>
          <w:p>
            <w:pPr>
              <w:ind w:left="240"/>
              <w:spacing w:after="0"/>
              <w:rPr>
                <w:sz w:val="20"/>
                <w:szCs w:val="20"/>
                <w:color w:val="auto"/>
              </w:rPr>
            </w:pPr>
            <w:r>
              <w:rPr>
                <w:rFonts w:ascii="Arial" w:cs="Arial" w:eastAsia="Arial" w:hAnsi="Arial"/>
                <w:sz w:val="16"/>
                <w:szCs w:val="16"/>
                <w:b w:val="1"/>
                <w:bCs w:val="1"/>
                <w:color w:val="auto"/>
              </w:rPr>
              <w:t>Share</w:t>
            </w:r>
          </w:p>
        </w:tc>
        <w:tc>
          <w:tcPr>
            <w:tcW w:w="70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w w:val="95"/>
              </w:rPr>
              <w:t>Amount</w:t>
            </w:r>
          </w:p>
        </w:tc>
        <w:tc>
          <w:tcPr>
            <w:tcW w:w="9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6"/>
              </w:rPr>
              <w:t>receivable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9"/>
              </w:rPr>
              <w:t>capita</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3"/>
              </w:rPr>
              <w:t>(deficit)</w:t>
            </w:r>
          </w:p>
        </w:tc>
        <w:tc>
          <w:tcPr>
            <w:tcW w:w="100" w:type="dxa"/>
            <w:vAlign w:val="bottom"/>
          </w:tcPr>
          <w:p>
            <w:pPr>
              <w:spacing w:after="0"/>
              <w:rPr>
                <w:sz w:val="20"/>
                <w:szCs w:val="20"/>
                <w:color w:val="auto"/>
              </w:rPr>
            </w:pPr>
          </w:p>
        </w:tc>
        <w:tc>
          <w:tcPr>
            <w:tcW w:w="860" w:type="dxa"/>
            <w:vAlign w:val="bottom"/>
            <w:gridSpan w:val="3"/>
          </w:tcPr>
          <w:p>
            <w:pPr>
              <w:ind w:left="20"/>
              <w:spacing w:after="0"/>
              <w:rPr>
                <w:sz w:val="20"/>
                <w:szCs w:val="20"/>
                <w:color w:val="auto"/>
              </w:rPr>
            </w:pPr>
            <w:r>
              <w:rPr>
                <w:rFonts w:ascii="Arial" w:cs="Arial" w:eastAsia="Arial" w:hAnsi="Arial"/>
                <w:sz w:val="16"/>
                <w:szCs w:val="16"/>
                <w:b w:val="1"/>
                <w:bCs w:val="1"/>
                <w:color w:val="auto"/>
              </w:rPr>
              <w:t>other loss</w:t>
            </w: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w w:val="91"/>
              </w:rPr>
              <w:t>equity/(deficit)</w:t>
            </w:r>
          </w:p>
        </w:tc>
        <w:tc>
          <w:tcPr>
            <w:tcW w:w="0" w:type="dxa"/>
            <w:vAlign w:val="bottom"/>
          </w:tcPr>
          <w:p>
            <w:pPr>
              <w:spacing w:after="0"/>
              <w:rPr>
                <w:sz w:val="1"/>
                <w:szCs w:val="1"/>
                <w:color w:val="auto"/>
              </w:rPr>
            </w:pPr>
          </w:p>
        </w:tc>
      </w:tr>
      <w:tr>
        <w:trPr>
          <w:trHeight w:val="46"/>
        </w:trPr>
        <w:tc>
          <w:tcPr>
            <w:tcW w:w="15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58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as of</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7"/>
              </w:rPr>
              <w:t>410,205,000</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4,102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(4,102)</w:t>
            </w:r>
          </w:p>
        </w:tc>
        <w:tc>
          <w:tcPr>
            <w:tcW w:w="40" w:type="dxa"/>
            <w:vAlign w:val="bottom"/>
            <w:shd w:val="clear" w:color="auto" w:fill="CCEEFF"/>
          </w:tcPr>
          <w:p>
            <w:pPr>
              <w:spacing w:after="0"/>
              <w:rPr>
                <w:sz w:val="22"/>
                <w:szCs w:val="22"/>
                <w:color w:val="auto"/>
              </w:rPr>
            </w:pPr>
          </w:p>
        </w:tc>
        <w:tc>
          <w:tcPr>
            <w:tcW w:w="1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5,382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5,458</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58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29,967</w:t>
            </w:r>
          </w:p>
        </w:tc>
        <w:tc>
          <w:tcPr>
            <w:tcW w:w="10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29,967</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1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178"/>
        </w:trPr>
        <w:tc>
          <w:tcPr>
            <w:tcW w:w="1580" w:type="dxa"/>
            <w:vAlign w:val="bottom"/>
          </w:tcPr>
          <w:p>
            <w:pPr>
              <w:spacing w:after="0" w:line="177" w:lineRule="exact"/>
              <w:rPr>
                <w:sz w:val="20"/>
                <w:szCs w:val="20"/>
                <w:color w:val="auto"/>
              </w:rPr>
            </w:pPr>
            <w:r>
              <w:rPr>
                <w:rFonts w:ascii="Arial" w:cs="Arial" w:eastAsia="Arial" w:hAnsi="Arial"/>
                <w:sz w:val="18"/>
                <w:szCs w:val="18"/>
                <w:b w:val="1"/>
                <w:bCs w:val="1"/>
                <w:color w:val="auto"/>
              </w:rPr>
              <w:t>Balance as of</w:t>
            </w: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1580" w:type="dxa"/>
            <w:vAlign w:val="bottom"/>
          </w:tcPr>
          <w:p>
            <w:pPr>
              <w:ind w:left="180"/>
              <w:spacing w:after="0"/>
              <w:rPr>
                <w:sz w:val="20"/>
                <w:szCs w:val="20"/>
                <w:color w:val="auto"/>
              </w:rPr>
            </w:pPr>
            <w:r>
              <w:rPr>
                <w:rFonts w:ascii="Arial" w:cs="Arial" w:eastAsia="Arial" w:hAnsi="Arial"/>
                <w:sz w:val="18"/>
                <w:szCs w:val="18"/>
                <w:b w:val="1"/>
                <w:bCs w:val="1"/>
                <w:color w:val="auto"/>
              </w:rPr>
              <w:t>2021</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7"/>
              </w:rPr>
              <w:t>410,205,000</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7"/>
              </w:rPr>
              <w:t>4,102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(4,102)</w:t>
            </w:r>
          </w:p>
        </w:tc>
        <w:tc>
          <w:tcPr>
            <w:tcW w:w="40" w:type="dxa"/>
            <w:vAlign w:val="bottom"/>
          </w:tcPr>
          <w:p>
            <w:pPr>
              <w:spacing w:after="0"/>
              <w:rPr>
                <w:sz w:val="24"/>
                <w:szCs w:val="24"/>
                <w:color w:val="auto"/>
              </w:rPr>
            </w:pPr>
          </w:p>
        </w:tc>
        <w:tc>
          <w:tcPr>
            <w:tcW w:w="140" w:type="dxa"/>
            <w:vAlign w:val="bottom"/>
            <w:gridSpan w:val="3"/>
          </w:tcPr>
          <w:p>
            <w:pPr>
              <w:ind w:left="4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76</w:t>
            </w: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35,349</w:t>
            </w: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(306)</w:t>
            </w: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35,119</w:t>
            </w:r>
          </w:p>
        </w:tc>
        <w:tc>
          <w:tcPr>
            <w:tcW w:w="0" w:type="dxa"/>
            <w:vAlign w:val="bottom"/>
          </w:tcPr>
          <w:p>
            <w:pPr>
              <w:spacing w:after="0"/>
              <w:rPr>
                <w:sz w:val="1"/>
                <w:szCs w:val="1"/>
                <w:color w:val="auto"/>
              </w:rPr>
            </w:pPr>
          </w:p>
        </w:tc>
      </w:tr>
      <w:tr>
        <w:trPr>
          <w:trHeight w:val="223"/>
        </w:trPr>
        <w:tc>
          <w:tcPr>
            <w:tcW w:w="158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Net loss</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2"/>
              </w:rPr>
              <w:t>(1,129,489)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(1,129,489)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80" w:type="dxa"/>
            <w:vAlign w:val="bottom"/>
          </w:tcPr>
          <w:p>
            <w:pPr>
              <w:spacing w:after="0" w:line="201" w:lineRule="exact"/>
              <w:rPr>
                <w:sz w:val="20"/>
                <w:szCs w:val="20"/>
                <w:color w:val="auto"/>
              </w:rPr>
            </w:pPr>
            <w:r>
              <w:rPr>
                <w:rFonts w:ascii="Arial" w:cs="Arial" w:eastAsia="Arial" w:hAnsi="Arial"/>
                <w:sz w:val="18"/>
                <w:szCs w:val="18"/>
                <w:color w:val="auto"/>
              </w:rPr>
              <w:t>Contribution from</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tcPr>
          <w:p>
            <w:pPr>
              <w:ind w:left="180"/>
              <w:spacing w:after="0"/>
              <w:rPr>
                <w:sz w:val="20"/>
                <w:szCs w:val="20"/>
                <w:color w:val="auto"/>
              </w:rPr>
            </w:pPr>
            <w:r>
              <w:rPr>
                <w:rFonts w:ascii="Arial" w:cs="Arial" w:eastAsia="Arial" w:hAnsi="Arial"/>
                <w:sz w:val="18"/>
                <w:szCs w:val="18"/>
                <w:color w:val="auto"/>
              </w:rPr>
              <w:t>shareholder</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4,102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32,164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36,266</w:t>
            </w:r>
          </w:p>
        </w:tc>
        <w:tc>
          <w:tcPr>
            <w:tcW w:w="0" w:type="dxa"/>
            <w:vAlign w:val="bottom"/>
          </w:tcPr>
          <w:p>
            <w:pPr>
              <w:spacing w:after="0"/>
              <w:rPr>
                <w:sz w:val="1"/>
                <w:szCs w:val="1"/>
                <w:color w:val="auto"/>
              </w:rPr>
            </w:pPr>
          </w:p>
        </w:tc>
      </w:tr>
      <w:tr>
        <w:trPr>
          <w:trHeight w:val="41"/>
        </w:trPr>
        <w:tc>
          <w:tcPr>
            <w:tcW w:w="1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(229,201)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(229,201)</w:t>
            </w:r>
          </w:p>
        </w:tc>
        <w:tc>
          <w:tcPr>
            <w:tcW w:w="0" w:type="dxa"/>
            <w:vAlign w:val="bottom"/>
          </w:tcPr>
          <w:p>
            <w:pPr>
              <w:spacing w:after="0"/>
              <w:rPr>
                <w:sz w:val="1"/>
                <w:szCs w:val="1"/>
                <w:color w:val="auto"/>
              </w:rPr>
            </w:pPr>
          </w:p>
        </w:tc>
      </w:tr>
      <w:tr>
        <w:trPr>
          <w:trHeight w:val="202"/>
        </w:trPr>
        <w:tc>
          <w:tcPr>
            <w:tcW w:w="1580" w:type="dxa"/>
            <w:vAlign w:val="bottom"/>
          </w:tcPr>
          <w:p>
            <w:pPr>
              <w:spacing w:after="0" w:line="201" w:lineRule="exact"/>
              <w:rPr>
                <w:sz w:val="20"/>
                <w:szCs w:val="20"/>
                <w:color w:val="auto"/>
              </w:rPr>
            </w:pPr>
            <w:r>
              <w:rPr>
                <w:rFonts w:ascii="Arial" w:cs="Arial" w:eastAsia="Arial" w:hAnsi="Arial"/>
                <w:sz w:val="18"/>
                <w:szCs w:val="18"/>
                <w:color w:val="auto"/>
              </w:rPr>
              <w:t>Foreign currency</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Arial" w:cs="Arial" w:eastAsia="Arial" w:hAnsi="Arial"/>
                <w:sz w:val="18"/>
                <w:szCs w:val="18"/>
                <w:color w:val="auto"/>
              </w:rPr>
              <w:t>translation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58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(37,482)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(37,482)</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58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as of</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2022</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7"/>
              </w:rPr>
              <w:t>410,205,000</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4,102</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32,240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9"/>
              </w:rPr>
              <w:t>(1,323,341)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(37,788)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(1,324,787)</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shares and per share information are presented on a retroactive basis to reflect the reorganization (Note 1).</w:t>
      </w:r>
    </w:p>
    <w:p>
      <w:pPr>
        <w:spacing w:after="0" w:line="160" w:lineRule="exact"/>
        <w:rPr>
          <w:rFonts w:ascii="Arial" w:cs="Arial" w:eastAsia="Arial" w:hAnsi="Arial"/>
          <w:sz w:val="15"/>
          <w:szCs w:val="15"/>
          <w:color w:val="auto"/>
        </w:rPr>
      </w:pPr>
    </w:p>
    <w:p>
      <w:pPr>
        <w:ind w:left="1360"/>
        <w:spacing w:after="0"/>
        <w:rPr>
          <w:rFonts w:ascii="Arial" w:cs="Arial" w:eastAsia="Arial" w:hAnsi="Arial"/>
          <w:sz w:val="15"/>
          <w:szCs w:val="15"/>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7" w:name="page138"/>
    <w:bookmarkEnd w:id="13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TRIDENT DIGITAL TECH HOLDINGS LTD CONSOLIDATED STATEMENTS OF CASH FLOWS (In U.S. dollars, except for share and per share data, or otherwise noted)</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6"/>
          </w:tcPr>
          <w:p>
            <w:pPr>
              <w:jc w:val="right"/>
              <w:ind w:right="441"/>
              <w:spacing w:after="0"/>
              <w:rPr>
                <w:sz w:val="20"/>
                <w:szCs w:val="20"/>
                <w:color w:val="auto"/>
              </w:rPr>
            </w:pPr>
            <w:r>
              <w:rPr>
                <w:rFonts w:ascii="Arial" w:cs="Arial" w:eastAsia="Arial" w:hAnsi="Arial"/>
                <w:sz w:val="16"/>
                <w:szCs w:val="16"/>
                <w:b w:val="1"/>
                <w:bCs w:val="1"/>
                <w:color w:val="auto"/>
              </w:rPr>
              <w:t>For the Years Ended</w:t>
            </w:r>
          </w:p>
        </w:tc>
      </w:tr>
      <w:tr>
        <w:trPr>
          <w:trHeight w:val="210"/>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6"/>
          </w:tcPr>
          <w:p>
            <w:pPr>
              <w:jc w:val="right"/>
              <w:ind w:right="681"/>
              <w:spacing w:after="0"/>
              <w:rPr>
                <w:sz w:val="20"/>
                <w:szCs w:val="20"/>
                <w:color w:val="auto"/>
              </w:rPr>
            </w:pPr>
            <w:r>
              <w:rPr>
                <w:rFonts w:ascii="Arial" w:cs="Arial" w:eastAsia="Arial" w:hAnsi="Arial"/>
                <w:sz w:val="16"/>
                <w:szCs w:val="16"/>
                <w:b w:val="1"/>
                <w:bCs w:val="1"/>
                <w:color w:val="auto"/>
              </w:rPr>
              <w:t>December 31,</w:t>
            </w:r>
          </w:p>
        </w:tc>
      </w:tr>
      <w:tr>
        <w:trPr>
          <w:trHeight w:val="47"/>
        </w:trPr>
        <w:tc>
          <w:tcPr>
            <w:tcW w:w="56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5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r>
      <w:tr>
        <w:trPr>
          <w:trHeight w:val="46"/>
        </w:trPr>
        <w:tc>
          <w:tcPr>
            <w:tcW w:w="56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Net (loss)/income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w w:val="95"/>
              </w:rPr>
              <w:t>(1,129,489)</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29,967</w:t>
            </w:r>
          </w:p>
        </w:tc>
      </w:tr>
      <w:tr>
        <w:trPr>
          <w:trHeight w:val="41"/>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5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Adjustments to reconcile net loss to net cash (used in)/provided by</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1"/>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16,867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5,363</w:t>
            </w:r>
          </w:p>
        </w:tc>
      </w:tr>
      <w:tr>
        <w:trPr>
          <w:trHeight w:val="41"/>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Amortisation of right-of-use asset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101,099</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5,996</w:t>
            </w: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Deferred tax benefit</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71,232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(118,779)</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Contract cost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(268,509)</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(111,981)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(29,870)</w:t>
            </w:r>
          </w:p>
        </w:tc>
      </w:tr>
      <w:tr>
        <w:trPr>
          <w:trHeight w:val="41"/>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166,358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51,491</w:t>
            </w: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461,128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192,935</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(28,108)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27,869</w:t>
            </w: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Amounts due to related parties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(10,399)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30,445</w:t>
            </w:r>
          </w:p>
        </w:tc>
      </w:tr>
      <w:tr>
        <w:trPr>
          <w:trHeight w:val="41"/>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(127,196)</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(5,995)</w:t>
            </w:r>
          </w:p>
        </w:tc>
      </w:tr>
      <w:tr>
        <w:trPr>
          <w:trHeight w:val="257"/>
        </w:trPr>
        <w:tc>
          <w:tcPr>
            <w:tcW w:w="564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249,052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54,678</w:t>
            </w:r>
          </w:p>
        </w:tc>
      </w:tr>
      <w:tr>
        <w:trPr>
          <w:trHeight w:val="27"/>
        </w:trPr>
        <w:tc>
          <w:tcPr>
            <w:tcW w:w="5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(609,946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244,100</w:t>
            </w:r>
          </w:p>
        </w:tc>
      </w:tr>
      <w:tr>
        <w:trPr>
          <w:trHeight w:val="277"/>
        </w:trPr>
        <w:tc>
          <w:tcPr>
            <w:tcW w:w="5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5640" w:type="dxa"/>
            <w:vAlign w:val="bottom"/>
          </w:tcPr>
          <w:p>
            <w:pPr>
              <w:ind w:left="36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(73,885)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(53,313)</w:t>
            </w:r>
          </w:p>
        </w:tc>
      </w:tr>
      <w:tr>
        <w:trPr>
          <w:trHeight w:val="27"/>
        </w:trPr>
        <w:tc>
          <w:tcPr>
            <w:tcW w:w="5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(73,885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r>
      <w:tr>
        <w:trPr>
          <w:trHeight w:val="277"/>
        </w:trPr>
        <w:tc>
          <w:tcPr>
            <w:tcW w:w="5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Subscription fees advance from a shareholder</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524,560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 distribution</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(229,201)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Proceeds from long-term bank loans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652,789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48,370</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Repayments of long-term bank loans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(79,067)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(4,665)</w:t>
            </w: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Loans from related parties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748,533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44,650</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Repayment of loans from related parties</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(239,357)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(22,325)</w:t>
            </w: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1,378,257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66,030</w:t>
            </w:r>
          </w:p>
        </w:tc>
        <w:tc>
          <w:tcPr>
            <w:tcW w:w="140" w:type="dxa"/>
            <w:vAlign w:val="bottom"/>
          </w:tcPr>
          <w:p>
            <w:pPr>
              <w:spacing w:after="0"/>
              <w:rPr>
                <w:sz w:val="20"/>
                <w:szCs w:val="20"/>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77"/>
        </w:trPr>
        <w:tc>
          <w:tcPr>
            <w:tcW w:w="5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(22,754)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(861)</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Net increase in cash</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671,672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255,956</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beginning of year</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273,593</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17,637</w:t>
            </w:r>
          </w:p>
        </w:tc>
      </w:tr>
      <w:tr>
        <w:trPr>
          <w:trHeight w:val="284"/>
        </w:trPr>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at end of year</w:t>
            </w:r>
          </w:p>
        </w:tc>
        <w:tc>
          <w:tcPr>
            <w:tcW w:w="1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945,265</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273,593</w:t>
            </w:r>
          </w:p>
        </w:tc>
        <w:tc>
          <w:tcPr>
            <w:tcW w:w="140" w:type="dxa"/>
            <w:vAlign w:val="bottom"/>
            <w:tcBorders>
              <w:bottom w:val="single" w:sz="8" w:color="CCEEFF"/>
            </w:tcBorders>
          </w:tcPr>
          <w:p>
            <w:pPr>
              <w:spacing w:after="0"/>
              <w:rPr>
                <w:sz w:val="24"/>
                <w:szCs w:val="24"/>
                <w:color w:val="auto"/>
              </w:rPr>
            </w:pPr>
          </w:p>
        </w:tc>
      </w:tr>
      <w:tr>
        <w:trPr>
          <w:trHeight w:val="270"/>
        </w:trPr>
        <w:tc>
          <w:tcPr>
            <w:tcW w:w="5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48,978</w:t>
            </w:r>
          </w:p>
        </w:tc>
        <w:tc>
          <w:tcPr>
            <w:tcW w:w="3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Interest paid</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17,813</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745</w:t>
            </w:r>
          </w:p>
        </w:tc>
      </w:tr>
      <w:tr>
        <w:trPr>
          <w:trHeight w:val="41"/>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activities: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Obtaining right-of-use assets in exchange for operating lease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1,561,203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42,510</w:t>
            </w: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Contribution from shareholder (Note 11)</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(36,266)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470" w:gutter="0" w:footer="0" w:header="0"/>
        </w:sectPr>
      </w:pPr>
    </w:p>
    <w:bookmarkStart w:id="138" w:name="page139"/>
    <w:bookmarkEnd w:id="13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1260"/>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4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Trident Digital Tech Holdings Ltd (the “Company”) and its subsidiaries (collectively referred to as the “Group”) are principally engaged in the provision of business consulting service and IT customization solutions in the Republic of Singapore (the “Singapore”).</w:t>
      </w:r>
    </w:p>
    <w:p>
      <w:pPr>
        <w:spacing w:after="0" w:line="116"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The Company was incorporated under the law of Cayman Islands as an exempted company with limited liability on June 12, 2023.</w:t>
      </w:r>
    </w:p>
    <w:p>
      <w:pPr>
        <w:spacing w:after="0" w:line="103"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Quality Zone Technologies Pte. Ltd. (“QZT”), was incorporated on December 3, 2014 in Singapore. It is engaged in providing branding &amp; marketing consulting service, IT customization development service and CRM product sale.</w:t>
      </w:r>
    </w:p>
    <w:p>
      <w:pPr>
        <w:spacing w:after="0" w:line="103"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Trident Digital Tech Pte. Ltd. (“Trident”) was incorporated on May 10, 2022 in Singapore. It has not started business as of December 31, 2022.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Reorganization</w:t>
      </w:r>
    </w:p>
    <w:p>
      <w:pPr>
        <w:spacing w:after="0" w:line="158"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In anticipation of an initial public offering (“IPO”) of its equity securities, the Company undertook a reorganization (the “Reorganization”), which involved in following steps:</w:t>
      </w:r>
    </w:p>
    <w:p>
      <w:pPr>
        <w:spacing w:after="0" w:line="103" w:lineRule="exact"/>
        <w:rPr>
          <w:sz w:val="20"/>
          <w:szCs w:val="20"/>
          <w:color w:val="auto"/>
        </w:rPr>
      </w:pPr>
    </w:p>
    <w:p>
      <w:pPr>
        <w:ind w:left="880" w:right="479"/>
        <w:spacing w:after="0" w:line="466" w:lineRule="auto"/>
        <w:rPr>
          <w:sz w:val="20"/>
          <w:szCs w:val="20"/>
          <w:color w:val="auto"/>
        </w:rPr>
      </w:pPr>
      <w:r>
        <w:rPr>
          <w:rFonts w:ascii="Arial" w:cs="Arial" w:eastAsia="Arial" w:hAnsi="Arial"/>
          <w:sz w:val="16"/>
          <w:szCs w:val="16"/>
          <w:color w:val="auto"/>
        </w:rPr>
        <w:t>On July 3, 2023, the Company acquired 100% of the equity interests in QZT from its original shareholder; On July 4, 2023, QZT acquired 100% of the equity interests in Trident from its original shareholder;</w:t>
      </w:r>
    </w:p>
    <w:p>
      <w:pPr>
        <w:spacing w:after="0" w:line="1"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Effective on July 4, 2023, the Company became the ultimate holding company of QZT and Trident, which were all controlled by the same shareholder before and after the Reorganization.</w:t>
      </w:r>
    </w:p>
    <w:p>
      <w:pPr>
        <w:spacing w:after="0" w:line="103" w:lineRule="exact"/>
        <w:rPr>
          <w:sz w:val="20"/>
          <w:szCs w:val="20"/>
          <w:color w:val="auto"/>
        </w:rPr>
      </w:pPr>
    </w:p>
    <w:p>
      <w:pPr>
        <w:ind w:left="460" w:right="699" w:firstLine="432"/>
        <w:spacing w:after="0" w:line="275" w:lineRule="auto"/>
        <w:rPr>
          <w:sz w:val="20"/>
          <w:szCs w:val="20"/>
          <w:color w:val="auto"/>
        </w:rPr>
      </w:pPr>
      <w:r>
        <w:rPr>
          <w:rFonts w:ascii="Arial" w:cs="Arial" w:eastAsia="Arial" w:hAnsi="Arial"/>
          <w:sz w:val="17"/>
          <w:szCs w:val="17"/>
          <w:color w:val="auto"/>
        </w:rPr>
        <w:t>The consolidation of the Company and its subsidiaries has been accounted for at historical cost and prepared on the basis as if the Reorganization had become effective as of the beginning of the first period presented in the accompanying consolidated financial statements. Results of operations for the periods presented comprise those of the previously separate entities combined from the beginning of the period to the end of the period, eliminating the effects of intra-entity transactions.</w:t>
      </w:r>
    </w:p>
    <w:p>
      <w:pPr>
        <w:spacing w:after="0" w:line="172" w:lineRule="exact"/>
        <w:rPr>
          <w:sz w:val="20"/>
          <w:szCs w:val="20"/>
          <w:color w:val="auto"/>
        </w:rPr>
      </w:pPr>
    </w:p>
    <w:p>
      <w:pPr>
        <w:ind w:left="860" w:hanging="406"/>
        <w:spacing w:after="0"/>
        <w:tabs>
          <w:tab w:leader="none" w:pos="8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8" w:lineRule="exact"/>
        <w:rPr>
          <w:rFonts w:ascii="Arial" w:cs="Arial" w:eastAsia="Arial" w:hAnsi="Arial"/>
          <w:sz w:val="18"/>
          <w:szCs w:val="18"/>
          <w:b w:val="1"/>
          <w:bCs w:val="1"/>
          <w:color w:val="auto"/>
        </w:rPr>
      </w:pPr>
    </w:p>
    <w:p>
      <w:pPr>
        <w:ind w:left="1280" w:hanging="394"/>
        <w:spacing w:after="0"/>
        <w:tabs>
          <w:tab w:leader="none" w:pos="1280" w:val="left"/>
        </w:tabs>
        <w:numPr>
          <w:ilvl w:val="1"/>
          <w:numId w:val="1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 and principles of consolidation</w:t>
      </w:r>
    </w:p>
    <w:p>
      <w:pPr>
        <w:spacing w:after="0" w:line="15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w:t>
      </w:r>
    </w:p>
    <w:p>
      <w:pPr>
        <w:spacing w:after="0" w:line="120"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Use of estimates</w:t>
      </w:r>
    </w:p>
    <w:p>
      <w:pPr>
        <w:spacing w:after="0" w:line="144"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 and expenses during the reported periods in the consolidated financial statements and accompanying notes. Significant accounting estimates include, but not limited to, the allowance for receivable, the recoverability of long-lived assets and accounting for deferred income taxes and valuation allowance for deferred tax assets. Changes in facts and circumstances may result in revised estimates. Actual results could differ from those estimates, and as such, differences may be material to the consolidated financial statements.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9" w:name="page140"/>
    <w:bookmarkEnd w:id="13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1320" w:hanging="434"/>
        <w:spacing w:after="0"/>
        <w:tabs>
          <w:tab w:leader="none" w:pos="1320" w:val="left"/>
        </w:tabs>
        <w:numPr>
          <w:ilvl w:val="0"/>
          <w:numId w:val="1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w:t>
      </w:r>
    </w:p>
    <w:p>
      <w:pPr>
        <w:spacing w:after="0" w:line="158"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Cash consist of cash in bank and cash on hand. The Group’s demand deposits are held at financial institutions, which have original maturities of less than three months and are unrestricted as to withdrawal and use.</w:t>
      </w:r>
    </w:p>
    <w:p>
      <w:pPr>
        <w:spacing w:after="0" w:line="103"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Accounts receivable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Accounts receivable is stated at the original amount less an allowance for doubtful receivable.</w:t>
      </w:r>
    </w:p>
    <w:p>
      <w:pPr>
        <w:spacing w:after="0" w:line="158"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Accounts receivable is recognized in the period when the Group has rendered services to its customers and when its right to consideration is unconditional. The amounts due are stated at their net estimated realizable value. The Group reviews the accounts receivable on a periodic basis and makes general and specific allowances when there is doubt as to the collectability of individual balances. The Group considers factors in assessing the collectability of its receivables, such as historical bad debts, changes in customers’ payment patterns, credit-worthiness and financial condition of the customers, current economic trends and other specific circumstances related to the accounts. An allowance for doubtful accounts is recorded in the period in which a loss is determined to be probable. Accounts receivable balances are written off after all collection efforts have been exhausted.</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 was no provision of allowance for doubtful accounts as of December 31,2022 and 2021.</w:t>
      </w:r>
    </w:p>
    <w:p>
      <w:pPr>
        <w:spacing w:after="0" w:line="158" w:lineRule="exact"/>
        <w:rPr>
          <w:sz w:val="20"/>
          <w:szCs w:val="20"/>
          <w:color w:val="auto"/>
        </w:rPr>
      </w:pPr>
    </w:p>
    <w:p>
      <w:pPr>
        <w:ind w:left="1320" w:hanging="434"/>
        <w:spacing w:after="0"/>
        <w:tabs>
          <w:tab w:leader="none" w:pos="1320" w:val="left"/>
        </w:tabs>
        <w:numPr>
          <w:ilvl w:val="0"/>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 net</w:t>
      </w:r>
    </w:p>
    <w:p>
      <w:pPr>
        <w:spacing w:after="0" w:line="158"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Property and equipment are stated at cost less accumulated depreciation and impairment, if any, and depreciated on a straight-line basis over the estimated useful lives of the assets. Cost represents the purchase price of the asset and other costs incurred to bring the asset into its intended use. Estimated useful lives are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800" w:type="dxa"/>
            <w:vAlign w:val="bottom"/>
            <w:gridSpan w:val="2"/>
          </w:tcPr>
          <w:p>
            <w:pPr>
              <w:spacing w:after="0"/>
              <w:rPr>
                <w:sz w:val="20"/>
                <w:szCs w:val="20"/>
                <w:color w:val="auto"/>
              </w:rPr>
            </w:pPr>
            <w:r>
              <w:rPr>
                <w:rFonts w:ascii="Arial" w:cs="Arial" w:eastAsia="Arial" w:hAnsi="Arial"/>
                <w:sz w:val="16"/>
                <w:szCs w:val="16"/>
                <w:b w:val="1"/>
                <w:bCs w:val="1"/>
                <w:color w:val="auto"/>
              </w:rPr>
              <w:t>Category</w:t>
            </w:r>
          </w:p>
        </w:tc>
        <w:tc>
          <w:tcPr>
            <w:tcW w:w="3300" w:type="dxa"/>
            <w:vAlign w:val="bottom"/>
          </w:tcPr>
          <w:p>
            <w:pPr>
              <w:jc w:val="center"/>
              <w:spacing w:after="0"/>
              <w:rPr>
                <w:sz w:val="20"/>
                <w:szCs w:val="20"/>
                <w:color w:val="auto"/>
              </w:rPr>
            </w:pPr>
            <w:r>
              <w:rPr>
                <w:rFonts w:ascii="Arial" w:cs="Arial" w:eastAsia="Arial" w:hAnsi="Arial"/>
                <w:sz w:val="16"/>
                <w:szCs w:val="16"/>
                <w:b w:val="1"/>
                <w:bCs w:val="1"/>
                <w:color w:val="auto"/>
                <w:w w:val="89"/>
              </w:rPr>
              <w:t>Estimated useful lives</w:t>
            </w:r>
          </w:p>
        </w:tc>
      </w:tr>
      <w:tr>
        <w:trPr>
          <w:trHeight w:val="47"/>
        </w:trPr>
        <w:tc>
          <w:tcPr>
            <w:tcW w:w="4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43"/>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w:t>
            </w:r>
          </w:p>
        </w:tc>
        <w:tc>
          <w:tcPr>
            <w:tcW w:w="10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Office and electric equipment</w:t>
            </w:r>
          </w:p>
        </w:tc>
        <w:tc>
          <w:tcPr>
            <w:tcW w:w="3300" w:type="dxa"/>
            <w:vAlign w:val="bottom"/>
          </w:tcPr>
          <w:p>
            <w:pPr>
              <w:jc w:val="center"/>
              <w:spacing w:after="0"/>
              <w:rPr>
                <w:sz w:val="20"/>
                <w:szCs w:val="20"/>
                <w:color w:val="auto"/>
              </w:rPr>
            </w:pPr>
            <w:r>
              <w:rPr>
                <w:rFonts w:ascii="Arial" w:cs="Arial" w:eastAsia="Arial" w:hAnsi="Arial"/>
                <w:sz w:val="18"/>
                <w:szCs w:val="18"/>
                <w:color w:val="auto"/>
                <w:w w:val="88"/>
              </w:rPr>
              <w:t>3 years</w:t>
            </w:r>
          </w:p>
        </w:tc>
      </w:tr>
      <w:tr>
        <w:trPr>
          <w:trHeight w:val="53"/>
        </w:trPr>
        <w:tc>
          <w:tcPr>
            <w:tcW w:w="4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300" w:type="dxa"/>
            <w:vAlign w:val="bottom"/>
          </w:tcPr>
          <w:p>
            <w:pPr>
              <w:spacing w:after="0"/>
              <w:rPr>
                <w:sz w:val="4"/>
                <w:szCs w:val="4"/>
                <w:color w:val="auto"/>
              </w:rPr>
            </w:pPr>
          </w:p>
        </w:tc>
      </w:tr>
      <w:tr>
        <w:trPr>
          <w:trHeight w:val="230"/>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w:t>
            </w: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53"/>
        </w:trPr>
        <w:tc>
          <w:tcPr>
            <w:tcW w:w="4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300" w:type="dxa"/>
            <w:vAlign w:val="bottom"/>
            <w:shd w:val="clear" w:color="auto" w:fill="CCEEFF"/>
          </w:tcPr>
          <w:p>
            <w:pPr>
              <w:spacing w:after="0"/>
              <w:rPr>
                <w:sz w:val="4"/>
                <w:szCs w:val="4"/>
                <w:color w:val="auto"/>
              </w:rPr>
            </w:pPr>
          </w:p>
        </w:tc>
      </w:tr>
    </w:tbl>
    <w:p>
      <w:pPr>
        <w:spacing w:after="0" w:line="161"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color w:val="auto"/>
        </w:rPr>
        <w:t>Repair and maintenance costs are charged to expenses as incurred, whereas the cost of renewals and betterment that extends the useful lives of property and equipment are capitalized as additions to the related assets. Retirements, sales and disposals of assets are recorded by removing the costs, accumulated depreciation and impairment with any resulting gain or loss recognized in the consolidated statements of income.</w:t>
      </w:r>
    </w:p>
    <w:p>
      <w:pPr>
        <w:spacing w:after="0" w:line="90" w:lineRule="exact"/>
        <w:rPr>
          <w:sz w:val="20"/>
          <w:szCs w:val="20"/>
          <w:color w:val="auto"/>
        </w:rPr>
      </w:pPr>
    </w:p>
    <w:p>
      <w:pPr>
        <w:ind w:left="1300" w:hanging="414"/>
        <w:spacing w:after="0"/>
        <w:tabs>
          <w:tab w:leader="none" w:pos="1300" w:val="left"/>
        </w:tabs>
        <w:numPr>
          <w:ilvl w:val="0"/>
          <w:numId w:val="1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Group adopted ASC 842 on January 1, 2021.</w:t>
      </w:r>
    </w:p>
    <w:p>
      <w:pPr>
        <w:spacing w:after="0" w:line="144"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color w:val="auto"/>
        </w:rPr>
        <w:t>The adoption of Topic 842 resulted in the presentation of operating lease right-of-use (“ROU”) assets and operating lease liabilities on the consolidated balance sheet.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expired or existing leases as of the adoption date. Lastly, the Group elected the short-term lease exemption for all contracts with lease terms of 12 months or less. The Group recognizes lease expense for short-term leases on a straight-line basis over the lease term.</w:t>
      </w:r>
    </w:p>
    <w:p>
      <w:pPr>
        <w:spacing w:after="0" w:line="99"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Right-of-use assets represent the Group’s right to use an underlying asset for the lease term and lease liabilities represent the Group’s obligation to make lease payments arising from the lease. Right-of-use assets and lease liabilities are recognized at the commencement date based on the present value of the remaining future minimum lease payments. As the interest rate implicit in the Group’s leases is not readily determinable, the Group utilizes its incremental borrowing rate, determined by class of underlying asset, to discount the lease payments. The operating lease right-of-use assets also include lease payments made before commencement and exclude lease incentives.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0" w:name="page141"/>
    <w:bookmarkEnd w:id="14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1260"/>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99"/>
        <w:spacing w:after="0" w:line="275" w:lineRule="auto"/>
        <w:rPr>
          <w:sz w:val="20"/>
          <w:szCs w:val="20"/>
          <w:color w:val="auto"/>
        </w:rPr>
      </w:pPr>
      <w:r>
        <w:rPr>
          <w:rFonts w:ascii="Arial" w:cs="Arial" w:eastAsia="Arial" w:hAnsi="Arial"/>
          <w:sz w:val="17"/>
          <w:szCs w:val="17"/>
          <w:color w:val="auto"/>
        </w:rPr>
        <w:t>Some of the Group’s lease agreements contained renewal options; however, the Group did not recognize right-of-use assets or lease liabilities for renewal periods unless it was determined that the Group was reasonably certain of renewing the lease at inception or when a triggering event occurred. Lease expense for lease payments is recognized on a straight-line basis over the lease term. The Group’s lease agreements did not contain any material residual value guarantees or material restrictive covenants.</w:t>
      </w:r>
    </w:p>
    <w:p>
      <w:pPr>
        <w:spacing w:after="0" w:line="109"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The Group leases offices space under non-cancellable operating leases. The Group considers those renewal or termination options that are reasonably certain to be exercised in the determination of the lease term and initial measurement of right of use assets and lease liabilities.</w:t>
      </w:r>
    </w:p>
    <w:p>
      <w:pPr>
        <w:spacing w:after="0" w:line="103"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The Group determines whether a contract is or contains a lease at inception of the contract and whether that lease meets the classification criteria of a finance or operating lease.</w:t>
      </w:r>
    </w:p>
    <w:p>
      <w:pPr>
        <w:spacing w:after="0" w:line="103"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As of December 31, 2022 and 2021, the Group had no long-term leases that were classified as a financing lease, and the Group’s lease contracts only contain fixed lease payments and do not contain any residual value guarantee.</w:t>
      </w:r>
    </w:p>
    <w:p>
      <w:pPr>
        <w:spacing w:after="0" w:line="116"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Group’s lease agreements do not contain any material residual value guarantees or material restrictive covenants.</w:t>
      </w:r>
    </w:p>
    <w:p>
      <w:pPr>
        <w:spacing w:after="0" w:line="89"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5"/>
          <w:szCs w:val="15"/>
          <w:b w:val="1"/>
          <w:bCs w:val="1"/>
          <w:i w:val="1"/>
          <w:iCs w:val="1"/>
          <w:color w:val="auto"/>
        </w:rPr>
        <w:t>Impairment of long-lived assets</w:t>
      </w:r>
    </w:p>
    <w:p>
      <w:pPr>
        <w:spacing w:after="0" w:line="158"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spacing w:after="0" w:line="110" w:lineRule="exact"/>
        <w:rPr>
          <w:sz w:val="20"/>
          <w:szCs w:val="20"/>
          <w:color w:val="auto"/>
        </w:rPr>
      </w:pPr>
    </w:p>
    <w:p>
      <w:pPr>
        <w:ind w:left="880" w:right="799"/>
        <w:spacing w:after="0" w:line="414" w:lineRule="auto"/>
        <w:rPr>
          <w:sz w:val="20"/>
          <w:szCs w:val="20"/>
          <w:color w:val="auto"/>
        </w:rPr>
      </w:pPr>
      <w:r>
        <w:rPr>
          <w:rFonts w:ascii="Arial" w:cs="Arial" w:eastAsia="Arial" w:hAnsi="Arial"/>
          <w:sz w:val="18"/>
          <w:szCs w:val="18"/>
          <w:color w:val="auto"/>
        </w:rPr>
        <w:t xml:space="preserve">No impairment of long-lived assets was recognized for the years ended December 31, 2022 and 2021. </w:t>
      </w:r>
      <w:r>
        <w:rPr>
          <w:rFonts w:ascii="Arial" w:cs="Arial" w:eastAsia="Arial" w:hAnsi="Arial"/>
          <w:sz w:val="18"/>
          <w:szCs w:val="18"/>
          <w:b w:val="1"/>
          <w:bCs w:val="1"/>
          <w:i w:val="1"/>
          <w:iCs w:val="1"/>
          <w:color w:val="auto"/>
        </w:rPr>
        <w:t>(h) Fair value measurement</w:t>
      </w:r>
    </w:p>
    <w:p>
      <w:pPr>
        <w:spacing w:after="0" w:line="1"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20" w:lineRule="exact"/>
        <w:rPr>
          <w:sz w:val="20"/>
          <w:szCs w:val="20"/>
          <w:color w:val="auto"/>
        </w:rPr>
      </w:pPr>
    </w:p>
    <w:p>
      <w:pPr>
        <w:ind w:left="1320" w:right="499" w:hanging="434"/>
        <w:spacing w:after="0" w:line="277" w:lineRule="auto"/>
        <w:tabs>
          <w:tab w:leader="none" w:pos="131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prices (unadjusted) for identical assets or liabilities in active markets.</w:t>
      </w:r>
    </w:p>
    <w:p>
      <w:pPr>
        <w:spacing w:after="0" w:line="89" w:lineRule="exact"/>
        <w:rPr>
          <w:rFonts w:ascii="Arial" w:cs="Arial" w:eastAsia="Arial" w:hAnsi="Arial"/>
          <w:sz w:val="18"/>
          <w:szCs w:val="18"/>
          <w:color w:val="auto"/>
        </w:rPr>
      </w:pPr>
    </w:p>
    <w:p>
      <w:pPr>
        <w:ind w:left="1320" w:right="659" w:hanging="434"/>
        <w:spacing w:after="0" w:line="259" w:lineRule="auto"/>
        <w:tabs>
          <w:tab w:leader="none" w:pos="131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19" w:lineRule="exact"/>
        <w:rPr>
          <w:rFonts w:ascii="Arial" w:cs="Arial" w:eastAsia="Arial" w:hAnsi="Arial"/>
          <w:sz w:val="18"/>
          <w:szCs w:val="18"/>
          <w:color w:val="auto"/>
        </w:rPr>
      </w:pPr>
    </w:p>
    <w:p>
      <w:pPr>
        <w:ind w:left="1320" w:hanging="434"/>
        <w:spacing w:after="0"/>
        <w:tabs>
          <w:tab w:leader="none" w:pos="13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w:t>
      </w:r>
    </w:p>
    <w:p>
      <w:pPr>
        <w:spacing w:after="0" w:line="158"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level in the fair value hierarchy within which a fair value measurement in its entirety falls is based on the lowest level input that is significant to the fair value measurement in its entirety. In situations where there is little, if any, market activity for the asset or liability at the measurement date, the fair value measurement reflects management’s own judgments about the assumptions that market participants would use in pricing the asset or liability. Those judgments are developed by management based on the best information available in the circumstances.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1" w:name="page142"/>
    <w:bookmarkEnd w:id="14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1260"/>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Financial assets and liabilities of the Group primarily consist of cash, accounts receivable, advance to suppliers, amounts due from related parties, prepaid expenses and other current assets, accounts payable, borrowings, amounts due to related parties, accrued expenses and other current liabilities. The carrying amounts of the Group’s financial instruments, including cash, accounts receivable, accounts payable, borrowings, amounts due to related parties, other payables, approximate their fair values because of their short-term nature.</w:t>
      </w:r>
    </w:p>
    <w:p>
      <w:pPr>
        <w:spacing w:after="0" w:line="94" w:lineRule="exact"/>
        <w:rPr>
          <w:sz w:val="20"/>
          <w:szCs w:val="20"/>
          <w:color w:val="auto"/>
        </w:rPr>
      </w:pPr>
    </w:p>
    <w:p>
      <w:pPr>
        <w:ind w:left="1280" w:hanging="394"/>
        <w:spacing w:after="0"/>
        <w:tabs>
          <w:tab w:leader="none" w:pos="1280" w:val="left"/>
        </w:tabs>
        <w:numPr>
          <w:ilvl w:val="0"/>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spacing w:after="0" w:line="97"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spacing w:after="0" w:line="125" w:lineRule="exact"/>
        <w:rPr>
          <w:sz w:val="20"/>
          <w:szCs w:val="20"/>
          <w:color w:val="auto"/>
        </w:rPr>
      </w:pPr>
    </w:p>
    <w:p>
      <w:pPr>
        <w:ind w:left="460" w:right="1399" w:firstLine="432"/>
        <w:spacing w:after="0" w:line="277" w:lineRule="auto"/>
        <w:rPr>
          <w:sz w:val="20"/>
          <w:szCs w:val="20"/>
          <w:color w:val="auto"/>
        </w:rPr>
      </w:pPr>
      <w:r>
        <w:rPr>
          <w:rFonts w:ascii="Arial" w:cs="Arial" w:eastAsia="Arial" w:hAnsi="Arial"/>
          <w:sz w:val="18"/>
          <w:szCs w:val="18"/>
          <w:color w:val="auto"/>
        </w:rPr>
        <w:t>The Group derives its revenues principally from providing business consulting service and IT customization service.</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Revenue recognition policies for each type of revenue stream are as follows: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Business consulting</w:t>
      </w:r>
    </w:p>
    <w:p>
      <w:pPr>
        <w:spacing w:after="0" w:line="158"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spacing w:after="0" w:line="119"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Group provides a series of business consulting services which is interrelated as one promise to support the customers to achieve brand strategy and marketing strategy development.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IT customization</w:t>
      </w:r>
    </w:p>
    <w:p>
      <w:pPr>
        <w:spacing w:after="0" w:line="144"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IT consulting</w:t>
      </w:r>
    </w:p>
    <w:p>
      <w:pPr>
        <w:spacing w:after="0" w:line="158"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The Group provides a series of IT consulting service which is interrelated as one promise to develop customized software solutions.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2" w:name="page143"/>
    <w:bookmarkEnd w:id="14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The revenue is recognized at a point in time when the customized software solution is successfully completed, delivered and accepted by customers.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Management software</w:t>
      </w:r>
    </w:p>
    <w:p>
      <w:pPr>
        <w:spacing w:after="0" w:line="158"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Group offers a range of management software solutions to customers via an annual subscription-based model,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 a cloud-based infrastructure hosted by the Group, well set-up and implemented with a session of training, which is needed to allow the customer to access the software functionality, and has accounted for the promise as one combined performance obligation.</w:t>
      </w:r>
    </w:p>
    <w:p>
      <w:pPr>
        <w:spacing w:after="0" w:line="96" w:lineRule="exact"/>
        <w:rPr>
          <w:sz w:val="20"/>
          <w:szCs w:val="20"/>
          <w:color w:val="auto"/>
        </w:rPr>
      </w:pPr>
    </w:p>
    <w:p>
      <w:pPr>
        <w:ind w:left="460" w:right="659" w:firstLine="432"/>
        <w:spacing w:after="0" w:line="286" w:lineRule="auto"/>
        <w:rPr>
          <w:sz w:val="20"/>
          <w:szCs w:val="20"/>
          <w:color w:val="auto"/>
        </w:rPr>
      </w:pPr>
      <w:r>
        <w:rPr>
          <w:rFonts w:ascii="Arial" w:cs="Arial" w:eastAsia="Arial" w:hAnsi="Arial"/>
          <w:sz w:val="17"/>
          <w:szCs w:val="17"/>
          <w:color w:val="auto"/>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spacing w:after="0" w:line="98"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The contract payment is made by the customers in advance, and not subject to any variable consideration, refund, cancellation or termination provision. No significant financing component, noncash payment identified in the arrangements with customers.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Revenue by categories</w:t>
      </w:r>
    </w:p>
    <w:p>
      <w:pPr>
        <w:spacing w:after="0" w:line="158" w:lineRule="exact"/>
        <w:rPr>
          <w:sz w:val="20"/>
          <w:szCs w:val="20"/>
          <w:color w:val="auto"/>
        </w:rPr>
      </w:pPr>
    </w:p>
    <w:p>
      <w:pPr>
        <w:jc w:val="both"/>
        <w:ind w:left="460" w:right="539" w:firstLine="432"/>
        <w:spacing w:after="0" w:line="277" w:lineRule="auto"/>
        <w:rPr>
          <w:sz w:val="20"/>
          <w:szCs w:val="20"/>
          <w:color w:val="auto"/>
        </w:rPr>
      </w:pPr>
      <w:r>
        <w:rPr>
          <w:rFonts w:ascii="Arial" w:cs="Arial" w:eastAsia="Arial" w:hAnsi="Arial"/>
          <w:sz w:val="18"/>
          <w:szCs w:val="18"/>
          <w:color w:val="auto"/>
        </w:rPr>
        <w:t>The following table disaggregates the Group’s revenue categories for the years ended December 31, 2022 and 2021:</w:t>
      </w:r>
    </w:p>
    <w:p>
      <w:pPr>
        <w:spacing w:after="0" w:line="130"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For the 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Business consulting service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629,434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260,455</w:t>
            </w: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IT customization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633,465</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396,637</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 IT consulting</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522,013</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396,637</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(ii) Management software</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111,452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1,262,899</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657,092</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158" w:lineRule="exact"/>
        <w:rPr>
          <w:sz w:val="20"/>
          <w:szCs w:val="20"/>
          <w:color w:val="auto"/>
        </w:rPr>
      </w:pPr>
    </w:p>
    <w:p>
      <w:pPr>
        <w:ind w:left="460" w:right="579" w:firstLine="432"/>
        <w:spacing w:after="0" w:line="311" w:lineRule="auto"/>
        <w:rPr>
          <w:sz w:val="20"/>
          <w:szCs w:val="20"/>
          <w:color w:val="auto"/>
        </w:rPr>
      </w:pPr>
      <w:r>
        <w:rPr>
          <w:rFonts w:ascii="Arial" w:cs="Arial" w:eastAsia="Arial" w:hAnsi="Arial"/>
          <w:sz w:val="16"/>
          <w:szCs w:val="16"/>
          <w:color w:val="auto"/>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spacing w:after="0" w:line="68"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as a contract asset and amortized to cost in a pattern that matches the timing of the revenue recognition of the related contract. The Group’s contract assets were $268,509, nil and nil as of December 31, 2022, 2021 and January 1, 2021, respectively.</w:t>
      </w:r>
    </w:p>
    <w:p>
      <w:pPr>
        <w:spacing w:after="0" w:line="111"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contract liabilities consist of deferred revenue, which represents the billings or cash received for services in advance of revenue recognition and is recognized as revenue when all the Group’s revenue recognition criteria are met. Contract assets and contract liabilities are reported in a net position on an individual contract basis at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3" w:name="page144"/>
    <w:bookmarkEnd w:id="14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40" w:right="1220"/>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99"/>
        <w:spacing w:after="0" w:line="257" w:lineRule="auto"/>
        <w:rPr>
          <w:sz w:val="20"/>
          <w:szCs w:val="20"/>
          <w:color w:val="auto"/>
        </w:rPr>
      </w:pPr>
      <w:r>
        <w:rPr>
          <w:rFonts w:ascii="Arial" w:cs="Arial" w:eastAsia="Arial" w:hAnsi="Arial"/>
          <w:sz w:val="18"/>
          <w:szCs w:val="18"/>
          <w:color w:val="auto"/>
        </w:rPr>
        <w:t>end of each reporting period. The Group’s deferred revenue was $192,935 and nil as of January 1, 2022 and 2021, respectively. The revenue recognized for the year end December 31, 2022 and 2021 that was included in the contract liability balance at the beginning of the period were $173,852 and nil, respectively. All unsatisfied performance obligation will be performed within the next twelve months and no significant financing component is involved.</w:t>
      </w:r>
    </w:p>
    <w:p>
      <w:pPr>
        <w:spacing w:after="0" w:line="120" w:lineRule="exact"/>
        <w:rPr>
          <w:sz w:val="20"/>
          <w:szCs w:val="20"/>
          <w:color w:val="auto"/>
        </w:rPr>
      </w:pPr>
    </w:p>
    <w:p>
      <w:pPr>
        <w:ind w:left="460" w:right="679" w:firstLine="432"/>
        <w:spacing w:after="0" w:line="342" w:lineRule="auto"/>
        <w:rPr>
          <w:sz w:val="20"/>
          <w:szCs w:val="20"/>
          <w:color w:val="auto"/>
        </w:rPr>
      </w:pPr>
      <w:r>
        <w:rPr>
          <w:rFonts w:ascii="Arial" w:cs="Arial" w:eastAsia="Arial" w:hAnsi="Arial"/>
          <w:sz w:val="16"/>
          <w:szCs w:val="16"/>
          <w:color w:val="auto"/>
        </w:rPr>
        <w:t>Other than accounts receivable and deferred revenue, the Group had no other material contract assets or contract liabilities recorded on its consolidated balance sheets as of December 31, 2022 and 2021.</w:t>
      </w:r>
    </w:p>
    <w:p>
      <w:pPr>
        <w:spacing w:after="0" w:line="43" w:lineRule="exact"/>
        <w:rPr>
          <w:sz w:val="20"/>
          <w:szCs w:val="20"/>
          <w:color w:val="auto"/>
        </w:rPr>
      </w:pPr>
    </w:p>
    <w:p>
      <w:pPr>
        <w:ind w:left="1280" w:hanging="394"/>
        <w:spacing w:after="0"/>
        <w:tabs>
          <w:tab w:leader="none" w:pos="1280" w:val="left"/>
        </w:tabs>
        <w:numPr>
          <w:ilvl w:val="0"/>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Costs of revenue</w:t>
      </w:r>
    </w:p>
    <w:p>
      <w:pPr>
        <w:spacing w:after="0" w:line="158"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Cost of revenue mainly comprised of direct labor costs, service fee paid to service suppliers, commission cost and generic cost.</w:t>
      </w:r>
    </w:p>
    <w:p>
      <w:pPr>
        <w:spacing w:after="0" w:line="103"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(k)</w:t>
      </w:r>
      <w:r>
        <w:rPr>
          <w:sz w:val="20"/>
          <w:szCs w:val="20"/>
          <w:color w:val="auto"/>
        </w:rPr>
        <w:tab/>
      </w:r>
      <w:r>
        <w:rPr>
          <w:rFonts w:ascii="Arial" w:cs="Arial" w:eastAsia="Arial" w:hAnsi="Arial"/>
          <w:sz w:val="15"/>
          <w:szCs w:val="15"/>
          <w:b w:val="1"/>
          <w:bCs w:val="1"/>
          <w:i w:val="1"/>
          <w:iCs w:val="1"/>
          <w:color w:val="auto"/>
        </w:rPr>
        <w:t>Income taxes</w:t>
      </w:r>
    </w:p>
    <w:p>
      <w:pPr>
        <w:spacing w:after="0" w:line="144"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Group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116"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25"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December 31, 2022 and 2021. Thus, management decided to record all of the valuation allowance. Valuation allowance amounted to $238,081 and $30,974 as of December 31, 2022 and 2021, respectively. While the Group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spacing w:after="0" w:line="84"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spacing w:after="0" w:line="109"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The Group did not accrue any liability, interest or penalties related to uncertain tax positions in its provision for income taxes line of its consolidated statements of income for the years ended December 31, 2022 and 2021, respectively. The Company will recognize interest and penalties, if any, related to unrecognized tax benefits on the income tax expense line in the accompanying consolidated statement of operations. Accrued interest and penalties will be included on the related tax liability line in the consolidated balance sheet.</w:t>
      </w:r>
    </w:p>
    <w:p>
      <w:pPr>
        <w:spacing w:after="0" w:line="94" w:lineRule="exact"/>
        <w:rPr>
          <w:sz w:val="20"/>
          <w:szCs w:val="20"/>
          <w:color w:val="auto"/>
        </w:rPr>
      </w:pPr>
    </w:p>
    <w:p>
      <w:pPr>
        <w:ind w:left="460" w:right="999" w:firstLine="432"/>
        <w:spacing w:after="0" w:line="277" w:lineRule="auto"/>
        <w:rPr>
          <w:sz w:val="20"/>
          <w:szCs w:val="20"/>
          <w:color w:val="auto"/>
        </w:rPr>
      </w:pPr>
      <w:r>
        <w:rPr>
          <w:rFonts w:ascii="Arial" w:cs="Arial" w:eastAsia="Arial" w:hAnsi="Arial"/>
          <w:sz w:val="18"/>
          <w:szCs w:val="18"/>
          <w:color w:val="auto"/>
        </w:rPr>
        <w:t>The Group does not expect that its assessment regarding unrecognized tax positions will materially change over the next 12 months.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4" w:name="page145"/>
    <w:bookmarkEnd w:id="14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1280" w:hanging="394"/>
        <w:spacing w:after="0"/>
        <w:tabs>
          <w:tab w:leader="none" w:pos="1280" w:val="left"/>
        </w:tabs>
        <w:numPr>
          <w:ilvl w:val="0"/>
          <w:numId w:val="1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Goods and services taxes</w:t>
      </w:r>
    </w:p>
    <w:p>
      <w:pPr>
        <w:spacing w:after="0" w:line="158" w:lineRule="exact"/>
        <w:rPr>
          <w:sz w:val="20"/>
          <w:szCs w:val="20"/>
          <w:color w:val="auto"/>
        </w:rPr>
      </w:pPr>
    </w:p>
    <w:p>
      <w:pPr>
        <w:ind w:left="460" w:right="679" w:firstLine="432"/>
        <w:spacing w:after="0" w:line="255" w:lineRule="auto"/>
        <w:rPr>
          <w:sz w:val="20"/>
          <w:szCs w:val="20"/>
          <w:color w:val="auto"/>
        </w:rPr>
      </w:pPr>
      <w:r>
        <w:rPr>
          <w:rFonts w:ascii="Arial" w:cs="Arial" w:eastAsia="Arial" w:hAnsi="Arial"/>
          <w:sz w:val="18"/>
          <w:szCs w:val="18"/>
          <w:color w:val="auto"/>
        </w:rPr>
        <w:t>The products and services sold in the Singapore are subject to a goods and services tax (“GST”). The products and services sold to the customers outside of Singapore are not subject to a GST. GST taxes are presented as a reduction of revenue. The GST are based on gross sales price. GST rate is generally 7% in Singapore. Entities that are GST general taxpayers are allowed to offset qualified input GST paid to suppliers against their output GST liabilities. Net GST balance between input GST and output GST is recorded in tax payable.</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(m)  Employee benefits</w:t>
      </w:r>
    </w:p>
    <w:p>
      <w:pPr>
        <w:spacing w:after="0" w:line="158"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 full-time employees of the Group are entitled to the government mandated defined contribution plan. The Group is required to accrue and pay for these benefits based on certain percentages of the employees’ respective salaries, subject to certain ceilings, in accordance with the relevant government regulations, and make cash contributions to the government mandated defined contribution plan. Total expenses for the plans were $78,445 and $38,526 for the years ended December 31, 2022 and 2021, respectively.</w:t>
      </w:r>
    </w:p>
    <w:p>
      <w:pPr>
        <w:spacing w:after="0" w:line="94"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(n)</w:t>
      </w:r>
      <w:r>
        <w:rPr>
          <w:sz w:val="20"/>
          <w:szCs w:val="20"/>
          <w:color w:val="auto"/>
        </w:rPr>
        <w:tab/>
      </w:r>
      <w:r>
        <w:rPr>
          <w:rFonts w:ascii="Arial" w:cs="Arial" w:eastAsia="Arial" w:hAnsi="Arial"/>
          <w:sz w:val="15"/>
          <w:szCs w:val="15"/>
          <w:b w:val="1"/>
          <w:bCs w:val="1"/>
          <w:i w:val="1"/>
          <w:iCs w:val="1"/>
          <w:color w:val="auto"/>
        </w:rPr>
        <w:t>Foreign currency transactions and translations</w:t>
      </w:r>
    </w:p>
    <w:p>
      <w:pPr>
        <w:spacing w:after="0" w:line="144" w:lineRule="exact"/>
        <w:rPr>
          <w:sz w:val="20"/>
          <w:szCs w:val="20"/>
          <w:color w:val="auto"/>
        </w:rPr>
      </w:pPr>
    </w:p>
    <w:p>
      <w:pPr>
        <w:ind w:left="460" w:right="599" w:firstLine="432"/>
        <w:spacing w:after="0" w:line="275" w:lineRule="auto"/>
        <w:rPr>
          <w:sz w:val="20"/>
          <w:szCs w:val="20"/>
          <w:color w:val="auto"/>
        </w:rPr>
      </w:pPr>
      <w:r>
        <w:rPr>
          <w:rFonts w:ascii="Arial" w:cs="Arial" w:eastAsia="Arial" w:hAnsi="Arial"/>
          <w:sz w:val="17"/>
          <w:szCs w:val="17"/>
          <w:color w:val="auto"/>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income and comprehensive income.</w:t>
      </w:r>
    </w:p>
    <w:p>
      <w:pPr>
        <w:spacing w:after="0" w:line="109" w:lineRule="exact"/>
        <w:rPr>
          <w:sz w:val="20"/>
          <w:szCs w:val="20"/>
          <w:color w:val="auto"/>
        </w:rPr>
      </w:pPr>
    </w:p>
    <w:p>
      <w:pPr>
        <w:jc w:val="both"/>
        <w:ind w:left="460" w:right="759" w:firstLine="432"/>
        <w:spacing w:after="0" w:line="311" w:lineRule="auto"/>
        <w:rPr>
          <w:sz w:val="20"/>
          <w:szCs w:val="20"/>
          <w:color w:val="auto"/>
        </w:rPr>
      </w:pPr>
      <w:r>
        <w:rPr>
          <w:rFonts w:ascii="Arial" w:cs="Arial" w:eastAsia="Arial" w:hAnsi="Arial"/>
          <w:sz w:val="16"/>
          <w:szCs w:val="16"/>
          <w:color w:val="auto"/>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spacing w:after="0" w:line="81"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Cash flows are also translated at average translation rates for the periods; therefore, amounts reported on the statement of cash flows will not necessarily agree with changes in the corresponding balances on the consolidated balance sheets.</w:t>
      </w:r>
    </w:p>
    <w:p>
      <w:pPr>
        <w:spacing w:after="0" w:line="97"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Translation of foreign currencies into US$1 have been made at the following exchange rates for the respective periods: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As of December 31,</w:t>
            </w: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right"/>
              <w:ind w:right="316"/>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260" w:type="dxa"/>
            <w:vAlign w:val="bottom"/>
          </w:tcPr>
          <w:p>
            <w:pPr>
              <w:jc w:val="right"/>
              <w:ind w:right="395"/>
              <w:spacing w:after="0"/>
              <w:rPr>
                <w:sz w:val="20"/>
                <w:szCs w:val="20"/>
                <w:color w:val="auto"/>
              </w:rPr>
            </w:pPr>
            <w:r>
              <w:rPr>
                <w:rFonts w:ascii="Arial" w:cs="Arial" w:eastAsia="Arial" w:hAnsi="Arial"/>
                <w:sz w:val="16"/>
                <w:szCs w:val="16"/>
                <w:b w:val="1"/>
                <w:bCs w:val="1"/>
                <w:color w:val="auto"/>
              </w:rPr>
              <w:t>2021</w:t>
            </w: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sheet items, except for equity accounts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1.3520</w:t>
            </w:r>
          </w:p>
        </w:tc>
      </w:tr>
      <w:tr>
        <w:trPr>
          <w:trHeight w:val="364"/>
        </w:trPr>
        <w:tc>
          <w:tcPr>
            <w:tcW w:w="5600" w:type="dxa"/>
            <w:vAlign w:val="bottom"/>
          </w:tcPr>
          <w:p>
            <w:pPr>
              <w:spacing w:after="0"/>
              <w:rPr>
                <w:sz w:val="24"/>
                <w:szCs w:val="24"/>
                <w:color w:val="auto"/>
              </w:rPr>
            </w:pPr>
          </w:p>
        </w:tc>
        <w:tc>
          <w:tcPr>
            <w:tcW w:w="2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For the Years Ended</w:t>
            </w:r>
          </w:p>
        </w:tc>
      </w:tr>
      <w:tr>
        <w:trPr>
          <w:trHeight w:val="210"/>
        </w:trPr>
        <w:tc>
          <w:tcPr>
            <w:tcW w:w="560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right"/>
              <w:ind w:right="316"/>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260" w:type="dxa"/>
            <w:vAlign w:val="bottom"/>
          </w:tcPr>
          <w:p>
            <w:pPr>
              <w:jc w:val="right"/>
              <w:ind w:right="395"/>
              <w:spacing w:after="0"/>
              <w:rPr>
                <w:sz w:val="20"/>
                <w:szCs w:val="20"/>
                <w:color w:val="auto"/>
              </w:rPr>
            </w:pPr>
            <w:r>
              <w:rPr>
                <w:rFonts w:ascii="Arial" w:cs="Arial" w:eastAsia="Arial" w:hAnsi="Arial"/>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82"/>
        </w:trPr>
        <w:tc>
          <w:tcPr>
            <w:tcW w:w="5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Items in the statements of income and comprehensive income, and</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statements of cash flows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1.3438</w:t>
            </w:r>
          </w:p>
        </w:tc>
      </w:tr>
      <w:tr>
        <w:trPr>
          <w:trHeight w:val="391"/>
        </w:trPr>
        <w:tc>
          <w:tcPr>
            <w:tcW w:w="560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F-13</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45" w:name="page146"/>
    <w:bookmarkEnd w:id="14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(o)</w:t>
      </w:r>
      <w:r>
        <w:rPr>
          <w:sz w:val="20"/>
          <w:szCs w:val="20"/>
          <w:color w:val="auto"/>
        </w:rPr>
        <w:tab/>
      </w:r>
      <w:r>
        <w:rPr>
          <w:rFonts w:ascii="Arial" w:cs="Arial" w:eastAsia="Arial" w:hAnsi="Arial"/>
          <w:sz w:val="15"/>
          <w:szCs w:val="15"/>
          <w:b w:val="1"/>
          <w:bCs w:val="1"/>
          <w:i w:val="1"/>
          <w:iCs w:val="1"/>
          <w:color w:val="auto"/>
        </w:rPr>
        <w:t>Comprehensive income</w:t>
      </w:r>
    </w:p>
    <w:p>
      <w:pPr>
        <w:spacing w:after="0" w:line="15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Comprehensive income consists of two components, net income and other comprehensive income. The foreign currency translation gain or loss resulting from translation of the financial statements expressed in SGD to USD is reported in other comprehensive income in the consolidated statements of income and comprehensive income.</w:t>
      </w:r>
    </w:p>
    <w:p>
      <w:pPr>
        <w:spacing w:after="0" w:line="106"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(p)</w:t>
      </w:r>
      <w:r>
        <w:rPr>
          <w:sz w:val="20"/>
          <w:szCs w:val="20"/>
          <w:color w:val="auto"/>
        </w:rPr>
        <w:tab/>
      </w:r>
      <w:r>
        <w:rPr>
          <w:rFonts w:ascii="Arial" w:cs="Arial" w:eastAsia="Arial" w:hAnsi="Arial"/>
          <w:sz w:val="15"/>
          <w:szCs w:val="15"/>
          <w:b w:val="1"/>
          <w:bCs w:val="1"/>
          <w:i w:val="1"/>
          <w:iCs w:val="1"/>
          <w:color w:val="auto"/>
        </w:rPr>
        <w:t>Loss/income per share</w:t>
      </w:r>
    </w:p>
    <w:p>
      <w:pPr>
        <w:spacing w:after="0" w:line="158"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Basic loss/income per share is computed by dividing net loss/income attributable to ordinary shareholders, taking into consideration the deemed dividends to preferred shareholders (if any), by the weighted average number of ordinary shares outstanding during the year using the two-class method. Under the two-class method, net loss/income is allocated between ordinary shares and other participating securities based on their participating rights. Shares issuable for little to no consideration upon the satisfaction of certain conditions are considered as outstanding shares and included in the computation of basic loss/income per share as of the date that all necessary conditions have been satisfied. Net loss/income are not allocated to other participating securities if based on their contractual terms they are not obligated to share the losses.</w:t>
      </w:r>
    </w:p>
    <w:p>
      <w:pPr>
        <w:spacing w:after="0" w:line="9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Diluted loss/income per share is calculated by dividing net loss attributable to ordinary shareholders, as adjusted for the effect of dilutive ordinary equivalent shares, if any, by the weighted average number of ordinary and dilutive ordinary equivalent shares outstanding during the year. Ordinary equivalent shares are not included in the denominator of the diluted loss per share calculation when inclusion of such share would be anti-dilutive. There were no dilutive ordinary share equivalents outstanding during the fiscal years ended December 31, 2022 and 2021.</w:t>
      </w:r>
    </w:p>
    <w:p>
      <w:pPr>
        <w:spacing w:after="0" w:line="111"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5"/>
          <w:szCs w:val="15"/>
          <w:b w:val="1"/>
          <w:bCs w:val="1"/>
          <w:i w:val="1"/>
          <w:iCs w:val="1"/>
          <w:color w:val="auto"/>
        </w:rPr>
        <w:t>Segment reporting</w:t>
      </w:r>
    </w:p>
    <w:p>
      <w:pPr>
        <w:spacing w:after="0" w:line="158"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Group uses the management approach in determining its operating segments. The Group’s chief operating decision maker (“CODM”) identified as the Group’s Chief Executive Officer, relies upon the consolidated results of operations as a whole when making decisions about allocating resources and assessing the performance of the Group. As a result of the assessment made by CODM, the Group has only one reportable segment. The Group does not distinguish between markets or segments for the purpose of internal reporting. As all of the Group’s revenues were generated from customers in SG and all of the Group’s long-lived assets are located in the SG, no geographical segments are presented.</w:t>
      </w:r>
    </w:p>
    <w:p>
      <w:pPr>
        <w:spacing w:after="0" w:line="110" w:lineRule="exact"/>
        <w:rPr>
          <w:sz w:val="20"/>
          <w:szCs w:val="20"/>
          <w:color w:val="auto"/>
        </w:rPr>
      </w:pPr>
    </w:p>
    <w:p>
      <w:pPr>
        <w:ind w:left="1300" w:hanging="414"/>
        <w:spacing w:after="0"/>
        <w:tabs>
          <w:tab w:leader="none" w:pos="1300" w:val="left"/>
        </w:tabs>
        <w:numPr>
          <w:ilvl w:val="0"/>
          <w:numId w:val="1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44" w:lineRule="exact"/>
        <w:rPr>
          <w:sz w:val="20"/>
          <w:szCs w:val="20"/>
          <w:color w:val="auto"/>
        </w:rPr>
      </w:pPr>
    </w:p>
    <w:p>
      <w:pPr>
        <w:ind w:left="460" w:right="739" w:firstLine="432"/>
        <w:spacing w:after="0" w:line="273" w:lineRule="auto"/>
        <w:rPr>
          <w:sz w:val="20"/>
          <w:szCs w:val="20"/>
          <w:color w:val="auto"/>
        </w:rPr>
      </w:pPr>
      <w:r>
        <w:rPr>
          <w:rFonts w:ascii="Arial" w:cs="Arial" w:eastAsia="Arial" w:hAnsi="Arial"/>
          <w:sz w:val="17"/>
          <w:szCs w:val="17"/>
          <w:color w:val="auto"/>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spacing w:after="0" w:line="110" w:lineRule="exact"/>
        <w:rPr>
          <w:sz w:val="20"/>
          <w:szCs w:val="20"/>
          <w:color w:val="auto"/>
        </w:rPr>
      </w:pPr>
    </w:p>
    <w:p>
      <w:pPr>
        <w:ind w:left="1300" w:hanging="414"/>
        <w:spacing w:after="0"/>
        <w:tabs>
          <w:tab w:leader="none" w:pos="1300" w:val="left"/>
        </w:tabs>
        <w:numPr>
          <w:ilvl w:val="0"/>
          <w:numId w:val="1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 The Group does not opt out of extended transition period for complying with any new or revised financial accounting standards. Therefore, the Group’s financial statements may not be comparable to companies that comply with public company effective dates.</w:t>
      </w:r>
    </w:p>
    <w:p>
      <w:pPr>
        <w:spacing w:after="0" w:line="111" w:lineRule="exact"/>
        <w:rPr>
          <w:sz w:val="20"/>
          <w:szCs w:val="20"/>
          <w:color w:val="auto"/>
        </w:rPr>
      </w:pPr>
    </w:p>
    <w:p>
      <w:pPr>
        <w:ind w:left="460" w:right="559" w:firstLine="432"/>
        <w:spacing w:after="0" w:line="311" w:lineRule="auto"/>
        <w:rPr>
          <w:sz w:val="20"/>
          <w:szCs w:val="20"/>
          <w:color w:val="auto"/>
        </w:rPr>
      </w:pPr>
      <w:r>
        <w:rPr>
          <w:rFonts w:ascii="Arial" w:cs="Arial" w:eastAsia="Arial" w:hAnsi="Arial"/>
          <w:sz w:val="16"/>
          <w:szCs w:val="16"/>
          <w:color w:val="auto"/>
        </w:rPr>
        <w:t>In June 2016, the FASB issued ASU No. 2016-13, “Financial Instruments — Credit Losses (Topic 326)”, which will require the measurement of all expected credit losses for financial assets held at the reporting date based on historical experience, current conditions, and reasonable and supportable forecasts. Subsequently,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6" w:name="page147"/>
    <w:bookmarkEnd w:id="14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799"/>
        <w:spacing w:after="0" w:line="291" w:lineRule="auto"/>
        <w:rPr>
          <w:sz w:val="20"/>
          <w:szCs w:val="20"/>
          <w:color w:val="auto"/>
        </w:rPr>
      </w:pPr>
      <w:r>
        <w:rPr>
          <w:rFonts w:ascii="Arial" w:cs="Arial" w:eastAsia="Arial" w:hAnsi="Arial"/>
          <w:sz w:val="16"/>
          <w:szCs w:val="16"/>
          <w:color w:val="auto"/>
        </w:rPr>
        <w:t>FASB issued ASU No. 2018-19, Codification Improvements to Topic 326, to clarify that receivables arising from operating leases are within the scope of lease accounting standards. Further, the FASB issued ASU</w:t>
      </w:r>
    </w:p>
    <w:p>
      <w:pPr>
        <w:ind w:left="460" w:right="499"/>
        <w:spacing w:after="0" w:line="292" w:lineRule="auto"/>
        <w:rPr>
          <w:sz w:val="20"/>
          <w:szCs w:val="20"/>
          <w:color w:val="auto"/>
        </w:rPr>
      </w:pPr>
      <w:r>
        <w:rPr>
          <w:rFonts w:ascii="Arial" w:cs="Arial" w:eastAsia="Arial" w:hAnsi="Arial"/>
          <w:sz w:val="16"/>
          <w:szCs w:val="16"/>
          <w:color w:val="auto"/>
        </w:rPr>
        <w:t>No. 2020-04, ASU 2020-05, ASU 2020-10, ASU 2020-11 and ASU 2021-02 to provide additional guidance on the credit losses standard. For all other entities, the amendments for ASU 2016-13 are effective for fiscal years beginning after December 15, 2022, including interim periods within those fiscal years, with early adoption permitted. Adoption of the ASUs is on a modified retrospective basis. The Group will adopt ASU 2016-13 from January 1, 2023. The Group is in the process of evaluating the effect of the adoption of this ASU.</w:t>
      </w:r>
    </w:p>
    <w:p>
      <w:pPr>
        <w:spacing w:after="0" w:line="95"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Other accounting standards that have been issued by FASB that do not require adoption until a future date are not expected to have a material impact on the consolidated financial statements upon adoption. The Group does not discuss recent standards that are not anticipated to have an impact on or are unrelated to its consolidated balance sheets, statements of income and comprehensive income and statements of cash flows.</w:t>
      </w:r>
    </w:p>
    <w:p>
      <w:pPr>
        <w:spacing w:after="0" w:line="153" w:lineRule="exact"/>
        <w:rPr>
          <w:sz w:val="20"/>
          <w:szCs w:val="20"/>
          <w:color w:val="auto"/>
        </w:rPr>
      </w:pPr>
    </w:p>
    <w:p>
      <w:pPr>
        <w:ind w:left="860" w:hanging="406"/>
        <w:spacing w:after="0"/>
        <w:tabs>
          <w:tab w:leader="none" w:pos="8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Accounts receivable consisted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Arial" w:cs="Arial" w:eastAsia="Arial" w:hAnsi="Arial"/>
                <w:sz w:val="16"/>
                <w:szCs w:val="16"/>
                <w:b w:val="1"/>
                <w:bCs w:val="1"/>
                <w:color w:val="auto"/>
              </w:rPr>
              <w:t>As of December 31,</w:t>
            </w: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47,547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118,779</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47,547</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118,779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Group recorded nil bad debt expense for the years ended December 31, 2022 and 2021.</w:t>
      </w:r>
    </w:p>
    <w:p>
      <w:pPr>
        <w:spacing w:after="0" w:line="221" w:lineRule="exact"/>
        <w:rPr>
          <w:sz w:val="20"/>
          <w:szCs w:val="20"/>
          <w:color w:val="auto"/>
        </w:rPr>
      </w:pPr>
    </w:p>
    <w:p>
      <w:pPr>
        <w:ind w:left="880" w:right="3499" w:hanging="426"/>
        <w:spacing w:after="0" w:line="522" w:lineRule="auto"/>
        <w:tabs>
          <w:tab w:leader="none" w:pos="853"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PREPAID EXPENSES AND OTHER CURRENT ASSETS </w:t>
      </w:r>
      <w:r>
        <w:rPr>
          <w:rFonts w:ascii="Arial" w:cs="Arial" w:eastAsia="Arial" w:hAnsi="Arial"/>
          <w:sz w:val="16"/>
          <w:szCs w:val="16"/>
          <w:color w:val="auto"/>
        </w:rPr>
        <w:t>Prepayments and other current assets consisted of the following:</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160" w:type="dxa"/>
            <w:vAlign w:val="bottom"/>
          </w:tcPr>
          <w:p>
            <w:pPr>
              <w:spacing w:after="0"/>
              <w:rPr>
                <w:sz w:val="4"/>
                <w:szCs w:val="4"/>
                <w:color w:val="auto"/>
              </w:rPr>
            </w:pPr>
          </w:p>
        </w:tc>
        <w:tc>
          <w:tcPr>
            <w:tcW w:w="54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7"/>
        </w:trPr>
        <w:tc>
          <w:tcPr>
            <w:tcW w:w="160" w:type="dxa"/>
            <w:vAlign w:val="bottom"/>
            <w:tcBorders>
              <w:bottom w:val="single" w:sz="8" w:color="CCEEFF"/>
            </w:tcBorders>
          </w:tcPr>
          <w:p>
            <w:pPr>
              <w:spacing w:after="0"/>
              <w:rPr>
                <w:sz w:val="4"/>
                <w:szCs w:val="4"/>
                <w:color w:val="auto"/>
              </w:rPr>
            </w:pPr>
          </w:p>
        </w:tc>
        <w:tc>
          <w:tcPr>
            <w:tcW w:w="54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Deposit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Tax prepayment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32,538</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5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60" w:type="dxa"/>
            <w:vAlign w:val="bottom"/>
            <w:tcBorders>
              <w:bottom w:val="single" w:sz="8" w:color="CCEEFF"/>
            </w:tcBorders>
            <w:shd w:val="clear" w:color="auto" w:fill="CCEEFF"/>
          </w:tcPr>
          <w:p>
            <w:pPr>
              <w:spacing w:after="0"/>
              <w:rPr>
                <w:sz w:val="22"/>
                <w:szCs w:val="22"/>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42,594</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25,173</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Total prepaid expenses and other current assets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141,851</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29,870</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Arial" w:cs="Arial" w:eastAsia="Arial" w:hAnsi="Arial"/>
                <w:sz w:val="18"/>
                <w:szCs w:val="18"/>
                <w:b w:val="1"/>
                <w:bCs w:val="1"/>
                <w:color w:val="auto"/>
                <w:w w:val="92"/>
              </w:rPr>
              <w:t>5.</w:t>
            </w:r>
          </w:p>
        </w:tc>
        <w:tc>
          <w:tcPr>
            <w:tcW w:w="54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60" w:type="dxa"/>
            <w:vAlign w:val="bottom"/>
            <w:vMerge w:val="continue"/>
          </w:tcPr>
          <w:p>
            <w:pPr>
              <w:spacing w:after="0"/>
              <w:rPr>
                <w:sz w:val="24"/>
                <w:szCs w:val="24"/>
                <w:color w:val="auto"/>
              </w:rPr>
            </w:pPr>
          </w:p>
        </w:tc>
        <w:tc>
          <w:tcPr>
            <w:tcW w:w="5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60" w:type="dxa"/>
            <w:vAlign w:val="bottom"/>
          </w:tcPr>
          <w:p>
            <w:pPr>
              <w:spacing w:after="0"/>
              <w:rPr>
                <w:sz w:val="24"/>
                <w:szCs w:val="24"/>
                <w:color w:val="auto"/>
              </w:rPr>
            </w:pPr>
          </w:p>
        </w:tc>
        <w:tc>
          <w:tcPr>
            <w:tcW w:w="5440" w:type="dxa"/>
            <w:vAlign w:val="bottom"/>
          </w:tcPr>
          <w:p>
            <w:pPr>
              <w:ind w:left="260"/>
              <w:spacing w:after="0"/>
              <w:rPr>
                <w:sz w:val="20"/>
                <w:szCs w:val="20"/>
                <w:color w:val="auto"/>
              </w:rPr>
            </w:pPr>
            <w:r>
              <w:rPr>
                <w:rFonts w:ascii="Arial" w:cs="Arial" w:eastAsia="Arial" w:hAnsi="Arial"/>
                <w:sz w:val="18"/>
                <w:szCs w:val="18"/>
                <w:color w:val="auto"/>
              </w:rPr>
              <w:t>Property and equipment, net, consisted of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5"/>
          </w:tcPr>
          <w:p>
            <w:pPr>
              <w:jc w:val="right"/>
              <w:ind w:right="492"/>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160" w:type="dxa"/>
            <w:vAlign w:val="bottom"/>
          </w:tcPr>
          <w:p>
            <w:pPr>
              <w:spacing w:after="0"/>
              <w:rPr>
                <w:sz w:val="4"/>
                <w:szCs w:val="4"/>
                <w:color w:val="auto"/>
              </w:rPr>
            </w:pPr>
          </w:p>
        </w:tc>
        <w:tc>
          <w:tcPr>
            <w:tcW w:w="54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280" w:type="dxa"/>
            <w:vAlign w:val="bottom"/>
            <w:gridSpan w:val="2"/>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Vehicle</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21,901</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Office and electric equipment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47,531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41"/>
        </w:trPr>
        <w:tc>
          <w:tcPr>
            <w:tcW w:w="56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Leasehold improvement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59,822</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24,231</w:t>
            </w:r>
          </w:p>
        </w:tc>
        <w:tc>
          <w:tcPr>
            <w:tcW w:w="0" w:type="dxa"/>
            <w:vAlign w:val="bottom"/>
          </w:tcPr>
          <w:p>
            <w:pPr>
              <w:spacing w:after="0"/>
              <w:rPr>
                <w:sz w:val="1"/>
                <w:szCs w:val="1"/>
                <w:color w:val="auto"/>
              </w:rPr>
            </w:pPr>
          </w:p>
        </w:tc>
      </w:tr>
      <w:tr>
        <w:trPr>
          <w:trHeight w:val="256"/>
        </w:trPr>
        <w:tc>
          <w:tcPr>
            <w:tcW w:w="560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129,444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52,990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22,726</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106,718</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47,659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7" w:name="page148"/>
    <w:bookmarkEnd w:id="14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AND EQUIPMENT, NET </w:t>
      </w:r>
      <w:r>
        <w:rPr>
          <w:rFonts w:ascii="Arial" w:cs="Arial" w:eastAsia="Arial" w:hAnsi="Arial"/>
          <w:sz w:val="18"/>
          <w:szCs w:val="18"/>
          <w:color w:val="auto"/>
        </w:rPr>
        <w:t>(cont.)</w:t>
      </w:r>
    </w:p>
    <w:p>
      <w:pPr>
        <w:spacing w:after="0" w:line="189" w:lineRule="exact"/>
        <w:rPr>
          <w:sz w:val="20"/>
          <w:szCs w:val="20"/>
          <w:color w:val="auto"/>
        </w:rPr>
      </w:pPr>
    </w:p>
    <w:p>
      <w:pPr>
        <w:ind w:left="460" w:right="1079" w:firstLine="432"/>
        <w:spacing w:after="0" w:line="277" w:lineRule="auto"/>
        <w:rPr>
          <w:sz w:val="20"/>
          <w:szCs w:val="20"/>
          <w:color w:val="auto"/>
        </w:rPr>
      </w:pPr>
      <w:r>
        <w:rPr>
          <w:rFonts w:ascii="Arial" w:cs="Arial" w:eastAsia="Arial" w:hAnsi="Arial"/>
          <w:sz w:val="18"/>
          <w:szCs w:val="18"/>
          <w:color w:val="auto"/>
        </w:rPr>
        <w:t>Depreciation expense were $16,867 and $5,363 for the years ended December 31, 2022 and 2021, respectively.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Group did not record any impairment charge for the years ended December 31, 2022 and 2021.</w:t>
      </w:r>
    </w:p>
    <w:p>
      <w:pPr>
        <w:spacing w:after="0" w:line="221" w:lineRule="exact"/>
        <w:rPr>
          <w:sz w:val="20"/>
          <w:szCs w:val="20"/>
          <w:color w:val="auto"/>
        </w:rPr>
      </w:pPr>
    </w:p>
    <w:p>
      <w:pPr>
        <w:ind w:left="880" w:right="2879" w:hanging="426"/>
        <w:spacing w:after="0" w:line="522" w:lineRule="auto"/>
        <w:tabs>
          <w:tab w:leader="none" w:pos="853"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consisted of the following:</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GST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Payroll payable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120,185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30,904</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r>
              <w:rPr>
                <w:rFonts w:ascii="Arial" w:cs="Arial" w:eastAsia="Arial" w:hAnsi="Arial"/>
                <w:sz w:val="20"/>
                <w:szCs w:val="20"/>
                <w:color w:val="auto"/>
                <w:vertAlign w:val="superscript"/>
              </w:rPr>
              <w:t>(1)</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160,159</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303,730</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54,678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balance mainly consisted of reimbursement payable to employees and miscellaneous fees payable to third parties.</w:t>
      </w:r>
    </w:p>
    <w:p>
      <w:pPr>
        <w:spacing w:after="0" w:line="249" w:lineRule="exact"/>
        <w:rPr>
          <w:sz w:val="20"/>
          <w:szCs w:val="20"/>
          <w:color w:val="auto"/>
        </w:rPr>
      </w:pPr>
    </w:p>
    <w:p>
      <w:pPr>
        <w:ind w:left="860" w:hanging="406"/>
        <w:spacing w:after="0"/>
        <w:tabs>
          <w:tab w:leader="none" w:pos="8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SUBSCRIPTION FEES ADVANCE FROM A SHAREHOLDER</w:t>
      </w:r>
    </w:p>
    <w:p>
      <w:pPr>
        <w:spacing w:after="0" w:line="162"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On July 2022, Trident entered into a series of agreement with Stone Wealth Compound Fund SPC (“Stone Wealth”), a third-party investor, to sell 4.9590% of the Company’s total issued share capital prior to the initial public offering to Stone Wealth in exchange of $499,990 cash consideration. The Group has received $499,990 (reflected as $524,560 at year end due to exchange rate) from Stone Wealth in advance on July 5, 2022 and recognized as equity when the Group complete its reorganization and by issuing 24,795,000 Class B Ordinary Shares on July 4, 2023.</w:t>
      </w:r>
    </w:p>
    <w:p>
      <w:pPr>
        <w:spacing w:after="0" w:line="188" w:lineRule="exact"/>
        <w:rPr>
          <w:sz w:val="20"/>
          <w:szCs w:val="20"/>
          <w:color w:val="auto"/>
        </w:rPr>
      </w:pPr>
    </w:p>
    <w:p>
      <w:pPr>
        <w:ind w:left="860" w:hanging="406"/>
        <w:spacing w:after="0"/>
        <w:tabs>
          <w:tab w:leader="none" w:pos="8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A summary of lease cost recognized in the Group’s consolidated and combined statements of operations and comprehensive loss is as follows:</w:t>
      </w:r>
    </w:p>
    <w:p>
      <w:pPr>
        <w:spacing w:after="0" w:line="130" w:lineRule="exact"/>
        <w:rPr>
          <w:sz w:val="20"/>
          <w:szCs w:val="20"/>
          <w:color w:val="auto"/>
        </w:rPr>
      </w:pPr>
    </w:p>
    <w:p>
      <w:pPr>
        <w:ind w:left="6580"/>
        <w:spacing w:after="0"/>
        <w:rPr>
          <w:sz w:val="20"/>
          <w:szCs w:val="20"/>
          <w:color w:val="auto"/>
        </w:rPr>
      </w:pPr>
      <w:r>
        <w:rPr>
          <w:rFonts w:ascii="Arial" w:cs="Arial" w:eastAsia="Arial" w:hAnsi="Arial"/>
          <w:sz w:val="16"/>
          <w:szCs w:val="16"/>
          <w:b w:val="1"/>
          <w:bCs w:val="1"/>
          <w:color w:val="auto"/>
        </w:rPr>
        <w:t>For the 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 cost excluding short-term rental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151,752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8,335</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Short-term lease cost</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1,813</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14,883</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153,565</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spacing w:after="0" w:line="119"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As of December 31, 2022 and 2021, the weighted average remaining lease term was 4.53 years and 1.50 years, respectively, and the weighted average discount rate was 5.0% and 2.5% for the Group’s operating leases,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8" w:name="page149"/>
    <w:bookmarkEnd w:id="14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the maturity of lease liabilities under operating leases as of December 31,</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2022:</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12"/>
              <w:spacing w:after="0"/>
              <w:rPr>
                <w:sz w:val="20"/>
                <w:szCs w:val="20"/>
                <w:color w:val="auto"/>
              </w:rPr>
            </w:pPr>
            <w:r>
              <w:rPr>
                <w:rFonts w:ascii="Arial" w:cs="Arial" w:eastAsia="Arial" w:hAnsi="Arial"/>
                <w:sz w:val="16"/>
                <w:szCs w:val="16"/>
                <w:b w:val="1"/>
                <w:bCs w:val="1"/>
                <w:color w:val="auto"/>
              </w:rPr>
              <w:t>Operating</w:t>
            </w:r>
          </w:p>
        </w:tc>
      </w:t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For the year ending December 31,</w:t>
            </w:r>
          </w:p>
        </w:tc>
        <w:tc>
          <w:tcPr>
            <w:tcW w:w="160" w:type="dxa"/>
            <w:vAlign w:val="bottom"/>
          </w:tcPr>
          <w:p>
            <w:pPr>
              <w:spacing w:after="0"/>
              <w:rPr>
                <w:sz w:val="18"/>
                <w:szCs w:val="18"/>
                <w:color w:val="auto"/>
              </w:rPr>
            </w:pPr>
          </w:p>
        </w:tc>
        <w:tc>
          <w:tcPr>
            <w:tcW w:w="1080" w:type="dxa"/>
            <w:vAlign w:val="bottom"/>
          </w:tcPr>
          <w:p>
            <w:pPr>
              <w:jc w:val="right"/>
              <w:ind w:right="312"/>
              <w:spacing w:after="0"/>
              <w:rPr>
                <w:sz w:val="20"/>
                <w:szCs w:val="20"/>
                <w:color w:val="auto"/>
              </w:rPr>
            </w:pPr>
            <w:r>
              <w:rPr>
                <w:rFonts w:ascii="Arial" w:cs="Arial" w:eastAsia="Arial" w:hAnsi="Arial"/>
                <w:sz w:val="16"/>
                <w:szCs w:val="16"/>
                <w:b w:val="1"/>
                <w:bCs w:val="1"/>
                <w:color w:val="auto"/>
              </w:rPr>
              <w:t>Leases</w:t>
            </w: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345,255</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358,818</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358,818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358,818</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227,798</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 lease payments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1,649,507</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181,521</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1,467,986</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277,699</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Non-current portion</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1,190,287</w:t>
            </w:r>
          </w:p>
        </w:tc>
      </w:tr>
    </w:tbl>
    <w:p>
      <w:pPr>
        <w:spacing w:after="0" w:line="23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9.</w:t>
        <w:tab/>
        <w:t>TAXATION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Cayman Islands</w:t>
      </w:r>
    </w:p>
    <w:p>
      <w:pPr>
        <w:spacing w:after="0" w:line="158"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The Company is incorporated in the Cayman Islands. Under the current laws of the Cayman Islands, the Company is not subject to income or capital gains taxes. In addition, dividend payments are not subject to withholdings tax in the Cayman Islands.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58" w:lineRule="exact"/>
        <w:rPr>
          <w:sz w:val="20"/>
          <w:szCs w:val="20"/>
          <w:color w:val="auto"/>
        </w:rPr>
      </w:pPr>
    </w:p>
    <w:p>
      <w:pPr>
        <w:ind w:left="460" w:right="699" w:firstLine="432"/>
        <w:spacing w:after="0" w:line="308" w:lineRule="auto"/>
        <w:rPr>
          <w:sz w:val="20"/>
          <w:szCs w:val="20"/>
          <w:color w:val="auto"/>
        </w:rPr>
      </w:pPr>
      <w:r>
        <w:rPr>
          <w:rFonts w:ascii="Arial" w:cs="Arial" w:eastAsia="Arial" w:hAnsi="Arial"/>
          <w:sz w:val="17"/>
          <w:szCs w:val="17"/>
          <w:color w:val="auto"/>
        </w:rPr>
        <w:t>Trident Digital Tech Pte. Ltd. and Quality Zone Technologies Pte. Ltd. are located in Singapore and are subject to 17% statutory income tax rate with respect to the profit generated from Singapore.</w:t>
      </w:r>
    </w:p>
    <w:p>
      <w:pPr>
        <w:spacing w:after="0" w:line="6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income tax provision consisted of the following components:</w:t>
      </w:r>
    </w:p>
    <w:p>
      <w:pPr>
        <w:spacing w:after="0" w:line="199"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For the 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7"/>
        </w:trPr>
        <w:tc>
          <w:tcPr>
            <w:tcW w:w="336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income tax expenses</w:t>
            </w:r>
          </w:p>
        </w:tc>
        <w:tc>
          <w:tcPr>
            <w:tcW w:w="2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4,793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28,045</w:t>
            </w:r>
          </w:p>
        </w:tc>
      </w:tr>
      <w:tr>
        <w:trPr>
          <w:trHeight w:val="257"/>
        </w:trPr>
        <w:tc>
          <w:tcPr>
            <w:tcW w:w="3360" w:type="dxa"/>
            <w:vAlign w:val="bottom"/>
          </w:tcPr>
          <w:p>
            <w:pPr>
              <w:spacing w:after="0"/>
              <w:rPr>
                <w:sz w:val="20"/>
                <w:szCs w:val="20"/>
                <w:color w:val="auto"/>
              </w:rPr>
            </w:pPr>
            <w:r>
              <w:rPr>
                <w:rFonts w:ascii="Arial" w:cs="Arial" w:eastAsia="Arial" w:hAnsi="Arial"/>
                <w:sz w:val="18"/>
                <w:szCs w:val="18"/>
                <w:color w:val="auto"/>
              </w:rPr>
              <w:t>Deferred income tax (benefit) expenses</w:t>
            </w:r>
          </w:p>
        </w:tc>
        <w:tc>
          <w:tcPr>
            <w:tcW w:w="2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36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expenses</w:t>
            </w:r>
          </w:p>
        </w:tc>
        <w:tc>
          <w:tcPr>
            <w:tcW w:w="298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4,793</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28,045</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78"/>
        </w:trPr>
        <w:tc>
          <w:tcPr>
            <w:tcW w:w="33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jc w:val="right"/>
              <w:ind w:right="2030"/>
              <w:spacing w:after="0"/>
              <w:rPr>
                <w:sz w:val="20"/>
                <w:szCs w:val="20"/>
                <w:color w:val="auto"/>
              </w:rPr>
            </w:pPr>
            <w:r>
              <w:rPr>
                <w:rFonts w:ascii="Arial" w:cs="Arial" w:eastAsia="Arial" w:hAnsi="Arial"/>
                <w:sz w:val="18"/>
                <w:szCs w:val="18"/>
                <w:color w:val="auto"/>
              </w:rPr>
              <w:t>F-17</w:t>
            </w: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49" w:name="page150"/>
    <w:bookmarkEnd w:id="14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(cont.)</w:t>
      </w:r>
    </w:p>
    <w:p>
      <w:pPr>
        <w:spacing w:after="0" w:line="189"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A reconciliation between the Group’s actual provision for income taxes and the provision at the SG, mainland statutory rate is as follows:</w:t>
      </w:r>
    </w:p>
    <w:p>
      <w:pPr>
        <w:spacing w:after="0" w:line="130"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For the years ended</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(1,124,696)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58,012</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Income tax expenses computed at statutory EIT rate</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(191,198)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9,862</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Non-taxable income</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201,092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31,163</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Singapore tax rebate</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(12,967)</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Income tax expenses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580" w:type="dxa"/>
            <w:vAlign w:val="bottom"/>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4,793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28,045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Effective tax rates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6"/>
        </w:trPr>
        <w:tc>
          <w:tcPr>
            <w:tcW w:w="5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As of December 31, 2022 and 2021, the significant components of the deferred tax assets are summarized below:</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6"/>
          </w:tcPr>
          <w:p>
            <w:pPr>
              <w:jc w:val="right"/>
              <w:ind w:right="501"/>
              <w:spacing w:after="0"/>
              <w:rPr>
                <w:sz w:val="20"/>
                <w:szCs w:val="20"/>
                <w:color w:val="auto"/>
              </w:rPr>
            </w:pPr>
            <w:r>
              <w:rPr>
                <w:rFonts w:ascii="Arial" w:cs="Arial" w:eastAsia="Arial" w:hAnsi="Arial"/>
                <w:sz w:val="16"/>
                <w:szCs w:val="16"/>
                <w:b w:val="1"/>
                <w:bCs w:val="1"/>
                <w:color w:val="auto"/>
              </w:rPr>
              <w:t>As of December 31,</w:t>
            </w:r>
          </w:p>
        </w:tc>
      </w:tr>
      <w:tr>
        <w:trPr>
          <w:trHeight w:val="47"/>
        </w:trPr>
        <w:tc>
          <w:tcPr>
            <w:tcW w:w="56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operating loss carried forward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164,313</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249,558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6,214</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111,191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32,798</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 gross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525,062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39,012</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(238,081)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(30,974)</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 net of valuation allowance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286,981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8,038</w:t>
            </w:r>
          </w:p>
        </w:tc>
      </w:tr>
      <w:tr>
        <w:trPr>
          <w:trHeight w:val="283"/>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Contract cost assets</w:t>
            </w: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(22,686)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(253,994)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(6,214)</w:t>
            </w:r>
          </w:p>
        </w:tc>
      </w:tr>
      <w:tr>
        <w:trPr>
          <w:trHeight w:val="256"/>
        </w:trPr>
        <w:tc>
          <w:tcPr>
            <w:tcW w:w="5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22"/>
                <w:szCs w:val="22"/>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(10,301)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(1,824)</w:t>
            </w: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(286,981</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(8,038</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assets (liability)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roll forward of valuation allowances of deferred tax assets were as follows: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34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400" w:type="dxa"/>
            <w:vAlign w:val="bottom"/>
            <w:tcBorders>
              <w:bottom w:val="single" w:sz="8" w:color="CCEEFF"/>
            </w:tcBorders>
          </w:tcPr>
          <w:p>
            <w:pPr>
              <w:spacing w:after="0"/>
              <w:rPr>
                <w:sz w:val="4"/>
                <w:szCs w:val="4"/>
                <w:color w:val="auto"/>
              </w:rPr>
            </w:pPr>
          </w:p>
        </w:tc>
        <w:tc>
          <w:tcPr>
            <w:tcW w:w="2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beginning of year</w:t>
            </w:r>
          </w:p>
        </w:tc>
        <w:tc>
          <w:tcPr>
            <w:tcW w:w="2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30,974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Additions of valuation allowance</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201,092</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31,163</w:t>
            </w:r>
          </w:p>
        </w:tc>
        <w:tc>
          <w:tcPr>
            <w:tcW w:w="0" w:type="dxa"/>
            <w:vAlign w:val="bottom"/>
          </w:tcPr>
          <w:p>
            <w:pPr>
              <w:spacing w:after="0"/>
              <w:rPr>
                <w:sz w:val="1"/>
                <w:szCs w:val="1"/>
                <w:color w:val="auto"/>
              </w:rPr>
            </w:pPr>
          </w:p>
        </w:tc>
      </w:tr>
      <w:tr>
        <w:trPr>
          <w:trHeight w:val="41"/>
        </w:trPr>
        <w:tc>
          <w:tcPr>
            <w:tcW w:w="34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6,015</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end of year</w:t>
            </w:r>
          </w:p>
        </w:tc>
        <w:tc>
          <w:tcPr>
            <w:tcW w:w="2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400" w:type="dxa"/>
            <w:vAlign w:val="bottom"/>
            <w:vMerge w:val="continue"/>
          </w:tcPr>
          <w:p>
            <w:pPr>
              <w:spacing w:after="0"/>
              <w:rPr>
                <w:sz w:val="21"/>
                <w:szCs w:val="21"/>
                <w:color w:val="auto"/>
              </w:rPr>
            </w:pPr>
          </w:p>
        </w:tc>
        <w:tc>
          <w:tcPr>
            <w:tcW w:w="22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238,081</w:t>
            </w:r>
          </w:p>
        </w:tc>
        <w:tc>
          <w:tcPr>
            <w:tcW w:w="320" w:type="dxa"/>
            <w:vAlign w:val="bottom"/>
            <w:gridSpan w:val="2"/>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30,974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4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right"/>
              <w:ind w:right="1550"/>
              <w:spacing w:after="0"/>
              <w:rPr>
                <w:sz w:val="20"/>
                <w:szCs w:val="20"/>
                <w:color w:val="auto"/>
              </w:rPr>
            </w:pPr>
            <w:r>
              <w:rPr>
                <w:rFonts w:ascii="Arial" w:cs="Arial" w:eastAsia="Arial" w:hAnsi="Arial"/>
                <w:sz w:val="18"/>
                <w:szCs w:val="18"/>
                <w:color w:val="auto"/>
              </w:rPr>
              <w:t>F-18</w:t>
            </w: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50" w:name="page151"/>
    <w:bookmarkEnd w:id="15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Uncertain tax positions</w:t>
      </w:r>
    </w:p>
    <w:p>
      <w:pPr>
        <w:spacing w:after="0" w:line="144" w:lineRule="exact"/>
        <w:rPr>
          <w:sz w:val="20"/>
          <w:szCs w:val="20"/>
          <w:color w:val="auto"/>
        </w:rPr>
      </w:pPr>
    </w:p>
    <w:p>
      <w:pPr>
        <w:ind w:left="460" w:right="679" w:firstLine="432"/>
        <w:spacing w:after="0" w:line="273" w:lineRule="auto"/>
        <w:rPr>
          <w:sz w:val="20"/>
          <w:szCs w:val="20"/>
          <w:color w:val="auto"/>
        </w:rPr>
      </w:pPr>
      <w:r>
        <w:rPr>
          <w:rFonts w:ascii="Arial" w:cs="Arial" w:eastAsia="Arial" w:hAnsi="Arial"/>
          <w:sz w:val="17"/>
          <w:szCs w:val="17"/>
          <w:color w:val="auto"/>
        </w:rPr>
        <w:t>The Group evaluates each uncertain tax position (including the potential application of interest and penalties) based on the technical merits, and measure the unrecognized benefits associated with the tax positions. As of December 31, 2022 and 2021, the Group did not have any significant unrecognized uncertain tax positions. The Group did not incur interest and penalties tax for the years ended December 31, 2022 and 2021. As of December 31, 2022, the tax years ended December 31, 2018 to 2022 for the Group’s Singapore subsidiaries remain open for statutory examination by any applicable tax authorities.</w:t>
      </w:r>
    </w:p>
    <w:p>
      <w:pPr>
        <w:spacing w:after="0" w:line="14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tab/>
        <w:t>BORROWINGS</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December 31, 2022 and 2021, summary of the borrowings is as following:</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As of</w:t>
            </w:r>
          </w:p>
        </w:tc>
        <w:tc>
          <w:tcPr>
            <w:tcW w:w="11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6"/>
                <w:szCs w:val="16"/>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6"/>
              </w:rPr>
              <w:t>Annual</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Long-</w:t>
            </w:r>
          </w:p>
        </w:tc>
        <w:tc>
          <w:tcPr>
            <w:tcW w:w="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Long-</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Long-</w:t>
            </w: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term</w:t>
            </w:r>
          </w:p>
        </w:tc>
        <w:tc>
          <w:tcPr>
            <w:tcW w:w="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Long-</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term</w:t>
            </w:r>
          </w:p>
        </w:tc>
        <w:tc>
          <w:tcPr>
            <w:tcW w:w="0" w:type="dxa"/>
            <w:vAlign w:val="bottom"/>
          </w:tcPr>
          <w:p>
            <w:pPr>
              <w:spacing w:after="0"/>
              <w:rPr>
                <w:sz w:val="1"/>
                <w:szCs w:val="1"/>
                <w:color w:val="auto"/>
              </w:rPr>
            </w:pPr>
          </w:p>
        </w:tc>
      </w:tr>
      <w:tr>
        <w:trPr>
          <w:trHeight w:val="148"/>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Bank and other financial institution</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0"/>
              </w:rPr>
              <w:t>Interest</w:t>
            </w:r>
          </w:p>
        </w:tc>
        <w:tc>
          <w:tcPr>
            <w:tcW w:w="11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Start</w:t>
            </w:r>
          </w:p>
        </w:tc>
        <w:tc>
          <w:tcPr>
            <w:tcW w:w="11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Maturity</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Principal</w:t>
            </w:r>
          </w:p>
        </w:tc>
        <w:tc>
          <w:tcPr>
            <w:tcW w:w="600" w:type="dxa"/>
            <w:vAlign w:val="bottom"/>
            <w:gridSpan w:val="2"/>
            <w:vMerge w:val="continue"/>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(current</w:t>
            </w:r>
          </w:p>
        </w:tc>
        <w:tc>
          <w:tcPr>
            <w:tcW w:w="520" w:type="dxa"/>
            <w:vAlign w:val="bottom"/>
            <w:gridSpan w:val="2"/>
            <w:vMerge w:val="continue"/>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186"/>
        </w:trPr>
        <w:tc>
          <w:tcPr>
            <w:tcW w:w="2300" w:type="dxa"/>
            <w:vAlign w:val="bottom"/>
            <w:gridSpan w:val="2"/>
            <w:vMerge w:val="continue"/>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Rate</w:t>
            </w:r>
          </w:p>
        </w:tc>
        <w:tc>
          <w:tcPr>
            <w:tcW w:w="11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term</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portions)</w:t>
            </w:r>
          </w:p>
        </w:tc>
        <w:tc>
          <w:tcPr>
            <w:tcW w:w="5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term</w:t>
            </w: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portions)</w:t>
            </w:r>
          </w:p>
        </w:tc>
        <w:tc>
          <w:tcPr>
            <w:tcW w:w="0" w:type="dxa"/>
            <w:vAlign w:val="bottom"/>
          </w:tcPr>
          <w:p>
            <w:pPr>
              <w:spacing w:after="0"/>
              <w:rPr>
                <w:sz w:val="1"/>
                <w:szCs w:val="1"/>
                <w:color w:val="auto"/>
              </w:rPr>
            </w:pPr>
          </w:p>
        </w:tc>
      </w:tr>
      <w:tr>
        <w:trPr>
          <w:trHeight w:val="26"/>
        </w:trPr>
        <w:tc>
          <w:tcPr>
            <w:tcW w:w="2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USD</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USD</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USD</w:t>
            </w:r>
          </w:p>
        </w:tc>
        <w:tc>
          <w:tcPr>
            <w:tcW w:w="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USD</w:t>
            </w: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OCBC Bank</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2"/>
              </w:rPr>
              <w:t>March 2021</w:t>
            </w:r>
          </w:p>
        </w:tc>
        <w:tc>
          <w:tcPr>
            <w:tcW w:w="112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4"/>
              </w:rPr>
              <w:t>March 2026</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22,189</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10,043</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4,449 14,372</w:t>
            </w:r>
          </w:p>
        </w:tc>
        <w:tc>
          <w:tcPr>
            <w:tcW w:w="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300" w:type="dxa"/>
            <w:vAlign w:val="bottom"/>
            <w:gridSpan w:val="2"/>
          </w:tcPr>
          <w:p>
            <w:pPr>
              <w:spacing w:after="0"/>
              <w:rPr>
                <w:sz w:val="20"/>
                <w:szCs w:val="20"/>
                <w:color w:val="auto"/>
              </w:rPr>
            </w:pPr>
            <w:r>
              <w:rPr>
                <w:rFonts w:ascii="Arial" w:cs="Arial" w:eastAsia="Arial" w:hAnsi="Arial"/>
                <w:sz w:val="16"/>
                <w:szCs w:val="16"/>
                <w:color w:val="auto"/>
              </w:rPr>
              <w:t>OCBC Bank</w:t>
            </w:r>
          </w:p>
        </w:tc>
        <w:tc>
          <w:tcPr>
            <w:tcW w:w="2780" w:type="dxa"/>
            <w:vAlign w:val="bottom"/>
            <w:gridSpan w:val="6"/>
          </w:tcPr>
          <w:p>
            <w:pPr>
              <w:ind w:left="80"/>
              <w:spacing w:after="0"/>
              <w:rPr>
                <w:sz w:val="20"/>
                <w:szCs w:val="20"/>
                <w:color w:val="auto"/>
              </w:rPr>
            </w:pPr>
            <w:r>
              <w:rPr>
                <w:rFonts w:ascii="Arial" w:cs="Arial" w:eastAsia="Arial" w:hAnsi="Arial"/>
                <w:sz w:val="16"/>
                <w:szCs w:val="16"/>
                <w:color w:val="auto"/>
                <w:w w:val="92"/>
              </w:rPr>
              <w:t>4.25% September 2021 September 2026</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25,888</w:t>
            </w:r>
          </w:p>
        </w:tc>
        <w:tc>
          <w:tcPr>
            <w:tcW w:w="520" w:type="dxa"/>
            <w:vAlign w:val="bottom"/>
          </w:tcPr>
          <w:p>
            <w:pPr>
              <w:jc w:val="right"/>
              <w:spacing w:after="0"/>
              <w:rPr>
                <w:sz w:val="20"/>
                <w:szCs w:val="20"/>
                <w:color w:val="auto"/>
              </w:rPr>
            </w:pPr>
            <w:r>
              <w:rPr>
                <w:rFonts w:ascii="Arial" w:cs="Arial" w:eastAsia="Arial" w:hAnsi="Arial"/>
                <w:sz w:val="16"/>
                <w:szCs w:val="16"/>
                <w:color w:val="auto"/>
              </w:rPr>
              <w:t>15,094</w:t>
            </w:r>
          </w:p>
        </w:tc>
        <w:tc>
          <w:tcPr>
            <w:tcW w:w="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5,046 19,968</w:t>
            </w:r>
          </w:p>
        </w:tc>
        <w:tc>
          <w:tcPr>
            <w:tcW w:w="6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4,796</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UOB Bank</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3"/>
              </w:rPr>
              <w:t>May 2022</w:t>
            </w:r>
          </w:p>
        </w:tc>
        <w:tc>
          <w:tcPr>
            <w:tcW w:w="11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3"/>
              </w:rPr>
              <w:t>May 2027</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373,023</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256,862</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70,622</w:t>
            </w: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300" w:type="dxa"/>
            <w:vAlign w:val="bottom"/>
            <w:gridSpan w:val="2"/>
          </w:tcPr>
          <w:p>
            <w:pPr>
              <w:spacing w:after="0"/>
              <w:rPr>
                <w:sz w:val="20"/>
                <w:szCs w:val="20"/>
                <w:color w:val="auto"/>
              </w:rPr>
            </w:pPr>
            <w:r>
              <w:rPr>
                <w:rFonts w:ascii="Arial" w:cs="Arial" w:eastAsia="Arial" w:hAnsi="Arial"/>
                <w:sz w:val="16"/>
                <w:szCs w:val="16"/>
                <w:color w:val="auto"/>
              </w:rPr>
              <w:t>Maybank Singapore Limited</w:t>
            </w:r>
          </w:p>
        </w:tc>
        <w:tc>
          <w:tcPr>
            <w:tcW w:w="480" w:type="dxa"/>
            <w:vAlign w:val="bottom"/>
          </w:tcPr>
          <w:p>
            <w:pPr>
              <w:jc w:val="right"/>
              <w:spacing w:after="0"/>
              <w:rPr>
                <w:sz w:val="20"/>
                <w:szCs w:val="20"/>
                <w:color w:val="auto"/>
              </w:rPr>
            </w:pPr>
            <w:r>
              <w:rPr>
                <w:rFonts w:ascii="Arial" w:cs="Arial" w:eastAsia="Arial" w:hAnsi="Arial"/>
                <w:sz w:val="16"/>
                <w:szCs w:val="16"/>
                <w:color w:val="auto"/>
              </w:rPr>
              <w:t>5.00%</w:t>
            </w:r>
          </w:p>
        </w:tc>
        <w:tc>
          <w:tcPr>
            <w:tcW w:w="60" w:type="dxa"/>
            <w:vAlign w:val="bottom"/>
          </w:tcPr>
          <w:p>
            <w:pPr>
              <w:spacing w:after="0"/>
              <w:rPr>
                <w:sz w:val="21"/>
                <w:szCs w:val="21"/>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6"/>
                <w:szCs w:val="16"/>
                <w:color w:val="auto"/>
                <w:w w:val="93"/>
              </w:rPr>
              <w:t>July 2022</w:t>
            </w:r>
          </w:p>
        </w:tc>
        <w:tc>
          <w:tcPr>
            <w:tcW w:w="1120" w:type="dxa"/>
            <w:vAlign w:val="bottom"/>
            <w:gridSpan w:val="2"/>
          </w:tcPr>
          <w:p>
            <w:pPr>
              <w:jc w:val="center"/>
              <w:ind w:right="40"/>
              <w:spacing w:after="0"/>
              <w:rPr>
                <w:sz w:val="20"/>
                <w:szCs w:val="20"/>
                <w:color w:val="auto"/>
              </w:rPr>
            </w:pPr>
            <w:r>
              <w:rPr>
                <w:rFonts w:ascii="Arial" w:cs="Arial" w:eastAsia="Arial" w:hAnsi="Arial"/>
                <w:sz w:val="16"/>
                <w:szCs w:val="16"/>
                <w:color w:val="auto"/>
                <w:w w:val="93"/>
              </w:rPr>
              <w:t>July 2027</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298,418</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216,573</w:t>
            </w:r>
          </w:p>
        </w:tc>
        <w:tc>
          <w:tcPr>
            <w:tcW w:w="8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55,243</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96"/>
              </w:rPr>
              <w:t>719,518</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6"/>
              </w:rPr>
              <w:t>498,572</w:t>
            </w:r>
          </w:p>
        </w:tc>
        <w:tc>
          <w:tcPr>
            <w:tcW w:w="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135,360 34,340</w:t>
            </w: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Interest expenses were $17,813 and $745 for the years ended December 31, 2022 and 2021, respectively.</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borrowings above are guaranteed by the Group’s shareholder, Poh Kiong Tan.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Debt Maturities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contractual maturities of the Group’s borrowings as of December 31, 2022 were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47"/>
        </w:trPr>
        <w:tc>
          <w:tcPr>
            <w:tcW w:w="2420" w:type="dxa"/>
            <w:vAlign w:val="bottom"/>
            <w:tcBorders>
              <w:bottom w:val="single" w:sz="8" w:color="CCEEFF"/>
            </w:tcBorders>
          </w:tcPr>
          <w:p>
            <w:pPr>
              <w:spacing w:after="0"/>
              <w:rPr>
                <w:sz w:val="4"/>
                <w:szCs w:val="4"/>
                <w:color w:val="auto"/>
              </w:rPr>
            </w:pPr>
          </w:p>
        </w:tc>
        <w:tc>
          <w:tcPr>
            <w:tcW w:w="44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1 year</w:t>
            </w:r>
          </w:p>
        </w:tc>
        <w:tc>
          <w:tcPr>
            <w:tcW w:w="4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135,360</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auto"/>
              </w:rPr>
              <w:t>1 – 2 years</w:t>
            </w:r>
          </w:p>
        </w:tc>
        <w:tc>
          <w:tcPr>
            <w:tcW w:w="4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141,403</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4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 – 3 years</w:t>
            </w:r>
          </w:p>
        </w:tc>
        <w:tc>
          <w:tcPr>
            <w:tcW w:w="4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147,713</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auto"/>
              </w:rPr>
              <w:t>3 – 4 years</w:t>
            </w:r>
          </w:p>
        </w:tc>
        <w:tc>
          <w:tcPr>
            <w:tcW w:w="4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148,901</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4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 – 5 years</w:t>
            </w:r>
          </w:p>
        </w:tc>
        <w:tc>
          <w:tcPr>
            <w:tcW w:w="4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60,555</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vMerge w:val="continue"/>
          </w:tcPr>
          <w:p>
            <w:pPr>
              <w:spacing w:after="0"/>
              <w:rPr>
                <w:sz w:val="21"/>
                <w:szCs w:val="21"/>
                <w:color w:val="auto"/>
              </w:rPr>
            </w:pPr>
          </w:p>
        </w:tc>
        <w:tc>
          <w:tcPr>
            <w:tcW w:w="46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633,932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4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right"/>
              <w:ind w:right="2767"/>
              <w:spacing w:after="0"/>
              <w:rPr>
                <w:sz w:val="20"/>
                <w:szCs w:val="20"/>
                <w:color w:val="auto"/>
              </w:rPr>
            </w:pPr>
            <w:r>
              <w:rPr>
                <w:rFonts w:ascii="Arial" w:cs="Arial" w:eastAsia="Arial" w:hAnsi="Arial"/>
                <w:sz w:val="18"/>
                <w:szCs w:val="18"/>
                <w:color w:val="auto"/>
              </w:rPr>
              <w:t>F-19</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51" w:name="page152"/>
    <w:bookmarkEnd w:id="15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b w:val="1"/>
          <w:bCs w:val="1"/>
          <w:color w:val="auto"/>
        </w:rPr>
        <w:t>11.</w:t>
        <w:tab/>
        <w:t>OTHER INCOME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Other income consisted of the following:</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472"/>
              <w:spacing w:after="0"/>
              <w:rPr>
                <w:sz w:val="20"/>
                <w:szCs w:val="20"/>
                <w:color w:val="auto"/>
              </w:rPr>
            </w:pPr>
            <w:r>
              <w:rPr>
                <w:rFonts w:ascii="Arial" w:cs="Arial" w:eastAsia="Arial" w:hAnsi="Arial"/>
                <w:sz w:val="16"/>
                <w:szCs w:val="16"/>
                <w:b w:val="1"/>
                <w:bCs w:val="1"/>
                <w:color w:val="auto"/>
              </w:rPr>
              <w:t>For the years ended</w:t>
            </w: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92"/>
              <w:spacing w:after="0"/>
              <w:rPr>
                <w:sz w:val="20"/>
                <w:szCs w:val="20"/>
                <w:color w:val="auto"/>
              </w:rPr>
            </w:pPr>
            <w:r>
              <w:rPr>
                <w:rFonts w:ascii="Arial" w:cs="Arial" w:eastAsia="Arial" w:hAnsi="Arial"/>
                <w:sz w:val="16"/>
                <w:szCs w:val="16"/>
                <w:b w:val="1"/>
                <w:bCs w:val="1"/>
                <w:color w:val="auto"/>
              </w:rPr>
              <w:t>December 31,</w:t>
            </w: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Government subsidies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75,371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73,888</w:t>
            </w:r>
          </w:p>
        </w:tc>
      </w:tr>
      <w:tr>
        <w:trPr>
          <w:trHeight w:val="283"/>
        </w:trPr>
        <w:tc>
          <w:tcPr>
            <w:tcW w:w="5600" w:type="dxa"/>
            <w:vAlign w:val="bottom"/>
          </w:tcPr>
          <w:p>
            <w:pPr>
              <w:spacing w:after="0"/>
              <w:rPr>
                <w:sz w:val="20"/>
                <w:szCs w:val="20"/>
                <w:color w:val="auto"/>
              </w:rPr>
            </w:pPr>
            <w:r>
              <w:rPr>
                <w:rFonts w:ascii="Arial" w:cs="Arial" w:eastAsia="Arial" w:hAnsi="Arial"/>
                <w:sz w:val="18"/>
                <w:szCs w:val="18"/>
                <w:color w:val="auto"/>
              </w:rPr>
              <w:t>Non-refundable service fee from terminated consulting projects</w:t>
            </w:r>
            <w:r>
              <w:rPr>
                <w:rFonts w:ascii="Arial" w:cs="Arial" w:eastAsia="Arial" w:hAnsi="Arial"/>
                <w:sz w:val="20"/>
                <w:szCs w:val="20"/>
                <w:color w:val="auto"/>
                <w:vertAlign w:val="superscript"/>
              </w:rPr>
              <w:t>(1)</w:t>
            </w:r>
          </w:p>
        </w:tc>
        <w:tc>
          <w:tcPr>
            <w:tcW w:w="2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50,047</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Referral commission</w:t>
            </w:r>
            <w:r>
              <w:rPr>
                <w:rFonts w:ascii="Arial" w:cs="Arial" w:eastAsia="Arial" w:hAnsi="Arial"/>
                <w:sz w:val="20"/>
                <w:szCs w:val="20"/>
                <w:color w:val="auto"/>
                <w:vertAlign w:val="superscript"/>
              </w:rPr>
              <w:t>(2)</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4,243</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75,633</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Others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6,915</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6,699</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136,576</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156,220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619" w:hanging="426"/>
        <w:spacing w:after="0" w:line="303" w:lineRule="auto"/>
        <w:tabs>
          <w:tab w:leader="none" w:pos="8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Pursuant to sales contracts, the Group has the right to terminate the project in the situation of non-payment from customers for up to two or four weeks from the billed invoice due date and no refund will be provided to customers. The Group record the received projects fees as other income when the project has been determined as terminated.</w:t>
      </w:r>
    </w:p>
    <w:p>
      <w:pPr>
        <w:spacing w:after="0" w:line="1" w:lineRule="exact"/>
        <w:rPr>
          <w:rFonts w:ascii="Arial" w:cs="Arial" w:eastAsia="Arial" w:hAnsi="Arial"/>
          <w:sz w:val="14"/>
          <w:szCs w:val="14"/>
          <w:color w:val="auto"/>
        </w:rPr>
      </w:pPr>
    </w:p>
    <w:p>
      <w:pPr>
        <w:ind w:left="880" w:right="779" w:hanging="426"/>
        <w:spacing w:after="0" w:line="288" w:lineRule="auto"/>
        <w:tabs>
          <w:tab w:leader="none" w:pos="8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Group record referral fees as other income when other consulting services providers successfully engaged by customer and paid the Group referral fee.</w:t>
      </w:r>
    </w:p>
    <w:p>
      <w:pPr>
        <w:spacing w:after="0" w:line="12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20"/>
                <w:szCs w:val="20"/>
                <w:color w:val="auto"/>
              </w:rPr>
            </w:pPr>
          </w:p>
        </w:tc>
        <w:tc>
          <w:tcPr>
            <w:tcW w:w="3300" w:type="dxa"/>
            <w:vAlign w:val="bottom"/>
            <w:gridSpan w:val="3"/>
          </w:tcPr>
          <w:p>
            <w:pPr>
              <w:ind w:left="20"/>
              <w:spacing w:after="0"/>
              <w:rPr>
                <w:sz w:val="20"/>
                <w:szCs w:val="20"/>
                <w:color w:val="auto"/>
              </w:rPr>
            </w:pPr>
            <w:r>
              <w:rPr>
                <w:rFonts w:ascii="Arial" w:cs="Arial" w:eastAsia="Arial" w:hAnsi="Arial"/>
                <w:sz w:val="18"/>
                <w:szCs w:val="18"/>
                <w:b w:val="1"/>
                <w:bCs w:val="1"/>
                <w:color w:val="auto"/>
              </w:rPr>
              <w:t>RELATED PARTY TRANSACTIONS</w:t>
            </w: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20" w:type="dxa"/>
            <w:vAlign w:val="bottom"/>
            <w:gridSpan w:val="4"/>
          </w:tcPr>
          <w:p>
            <w:pPr>
              <w:ind w:left="40"/>
              <w:spacing w:after="0"/>
              <w:rPr>
                <w:sz w:val="20"/>
                <w:szCs w:val="20"/>
                <w:color w:val="auto"/>
              </w:rPr>
            </w:pPr>
            <w:r>
              <w:rPr>
                <w:rFonts w:ascii="Arial" w:cs="Arial" w:eastAsia="Arial" w:hAnsi="Arial"/>
                <w:sz w:val="18"/>
                <w:szCs w:val="18"/>
                <w:color w:val="auto"/>
              </w:rPr>
              <w:t>The following is a list of related parties which the Group has transactions with:</w:t>
            </w:r>
          </w:p>
        </w:tc>
        <w:tc>
          <w:tcPr>
            <w:tcW w:w="0" w:type="dxa"/>
            <w:vAlign w:val="bottom"/>
          </w:tcPr>
          <w:p>
            <w:pPr>
              <w:spacing w:after="0"/>
              <w:rPr>
                <w:sz w:val="1"/>
                <w:szCs w:val="1"/>
                <w:color w:val="auto"/>
              </w:rPr>
            </w:pPr>
          </w:p>
        </w:tc>
      </w:tr>
      <w:tr>
        <w:trPr>
          <w:trHeight w:val="412"/>
        </w:trPr>
        <w:tc>
          <w:tcPr>
            <w:tcW w:w="380" w:type="dxa"/>
            <w:vAlign w:val="bottom"/>
            <w:gridSpan w:val="2"/>
          </w:tcPr>
          <w:p>
            <w:pPr>
              <w:spacing w:after="0"/>
              <w:rPr>
                <w:sz w:val="20"/>
                <w:szCs w:val="20"/>
                <w:color w:val="auto"/>
              </w:rPr>
            </w:pPr>
            <w:r>
              <w:rPr>
                <w:rFonts w:ascii="Arial" w:cs="Arial" w:eastAsia="Arial" w:hAnsi="Arial"/>
                <w:sz w:val="16"/>
                <w:szCs w:val="16"/>
                <w:b w:val="1"/>
                <w:bCs w:val="1"/>
                <w:color w:val="auto"/>
              </w:rPr>
              <w:t>No.</w:t>
            </w:r>
          </w:p>
        </w:tc>
        <w:tc>
          <w:tcPr>
            <w:tcW w:w="3300" w:type="dxa"/>
            <w:vAlign w:val="bottom"/>
            <w:gridSpan w:val="3"/>
          </w:tcPr>
          <w:p>
            <w:pPr>
              <w:ind w:left="580"/>
              <w:spacing w:after="0"/>
              <w:rPr>
                <w:sz w:val="20"/>
                <w:szCs w:val="20"/>
                <w:color w:val="auto"/>
              </w:rPr>
            </w:pPr>
            <w:r>
              <w:rPr>
                <w:rFonts w:ascii="Arial" w:cs="Arial" w:eastAsia="Arial" w:hAnsi="Arial"/>
                <w:sz w:val="16"/>
                <w:szCs w:val="16"/>
                <w:b w:val="1"/>
                <w:bCs w:val="1"/>
                <w:color w:val="auto"/>
              </w:rPr>
              <w:t>Name of Related Parties</w:t>
            </w:r>
          </w:p>
        </w:tc>
        <w:tc>
          <w:tcPr>
            <w:tcW w:w="4420" w:type="dxa"/>
            <w:vAlign w:val="bottom"/>
          </w:tcPr>
          <w:p>
            <w:pPr>
              <w:jc w:val="center"/>
              <w:ind w:right="272"/>
              <w:spacing w:after="0"/>
              <w:rPr>
                <w:sz w:val="20"/>
                <w:szCs w:val="20"/>
                <w:color w:val="auto"/>
              </w:rPr>
            </w:pPr>
            <w:r>
              <w:rPr>
                <w:rFonts w:ascii="Arial" w:cs="Arial" w:eastAsia="Arial" w:hAnsi="Arial"/>
                <w:sz w:val="16"/>
                <w:szCs w:val="16"/>
                <w:b w:val="1"/>
                <w:bCs w:val="1"/>
                <w:color w:val="auto"/>
                <w:w w:val="92"/>
              </w:rPr>
              <w:t>Relationship with the Group</w:t>
            </w:r>
          </w:p>
        </w:tc>
        <w:tc>
          <w:tcPr>
            <w:tcW w:w="0" w:type="dxa"/>
            <w:vAlign w:val="bottom"/>
          </w:tcPr>
          <w:p>
            <w:pPr>
              <w:spacing w:after="0"/>
              <w:rPr>
                <w:sz w:val="1"/>
                <w:szCs w:val="1"/>
                <w:color w:val="auto"/>
              </w:rPr>
            </w:pPr>
          </w:p>
        </w:tc>
      </w:tr>
      <w:tr>
        <w:trPr>
          <w:trHeight w:val="47"/>
        </w:trPr>
        <w:tc>
          <w:tcPr>
            <w:tcW w:w="3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00" w:type="dxa"/>
            <w:vAlign w:val="bottom"/>
          </w:tcPr>
          <w:p>
            <w:pPr>
              <w:ind w:left="100"/>
              <w:spacing w:after="0"/>
              <w:rPr>
                <w:sz w:val="20"/>
                <w:szCs w:val="20"/>
                <w:color w:val="auto"/>
              </w:rPr>
            </w:pPr>
            <w:r>
              <w:rPr>
                <w:rFonts w:ascii="Arial" w:cs="Arial" w:eastAsia="Arial" w:hAnsi="Arial"/>
                <w:sz w:val="18"/>
                <w:szCs w:val="18"/>
                <w:color w:val="auto"/>
              </w:rPr>
              <w:t>a</w:t>
            </w:r>
          </w:p>
        </w:tc>
        <w:tc>
          <w:tcPr>
            <w:tcW w:w="80" w:type="dxa"/>
            <w:vAlign w:val="bottom"/>
            <w:vMerge w:val="continue"/>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Soon Huat Lim</w:t>
            </w:r>
          </w:p>
        </w:tc>
        <w:tc>
          <w:tcPr>
            <w:tcW w:w="1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4420" w:type="dxa"/>
            <w:vAlign w:val="bottom"/>
          </w:tcPr>
          <w:p>
            <w:pPr>
              <w:jc w:val="center"/>
              <w:ind w:right="292"/>
              <w:spacing w:after="0"/>
              <w:rPr>
                <w:sz w:val="20"/>
                <w:szCs w:val="20"/>
                <w:color w:val="auto"/>
              </w:rPr>
            </w:pPr>
            <w:r>
              <w:rPr>
                <w:rFonts w:ascii="Arial" w:cs="Arial" w:eastAsia="Arial" w:hAnsi="Arial"/>
                <w:sz w:val="18"/>
                <w:szCs w:val="18"/>
                <w:color w:val="auto"/>
                <w:w w:val="91"/>
              </w:rPr>
              <w:t>Founder, Chairman, Chief Executive Officer</w:t>
            </w:r>
          </w:p>
        </w:tc>
        <w:tc>
          <w:tcPr>
            <w:tcW w:w="0" w:type="dxa"/>
            <w:vAlign w:val="bottom"/>
          </w:tcPr>
          <w:p>
            <w:pPr>
              <w:spacing w:after="0"/>
              <w:rPr>
                <w:sz w:val="1"/>
                <w:szCs w:val="1"/>
                <w:color w:val="auto"/>
              </w:rPr>
            </w:pPr>
          </w:p>
        </w:tc>
      </w:tr>
      <w:tr>
        <w:trPr>
          <w:trHeight w:val="256"/>
        </w:trPr>
        <w:tc>
          <w:tcPr>
            <w:tcW w:w="380" w:type="dxa"/>
            <w:vAlign w:val="bottom"/>
            <w:gridSpan w:val="2"/>
          </w:tcPr>
          <w:p>
            <w:pPr>
              <w:ind w:left="100"/>
              <w:spacing w:after="0"/>
              <w:rPr>
                <w:sz w:val="20"/>
                <w:szCs w:val="20"/>
                <w:color w:val="auto"/>
              </w:rPr>
            </w:pPr>
            <w:r>
              <w:rPr>
                <w:rFonts w:ascii="Arial" w:cs="Arial" w:eastAsia="Arial" w:hAnsi="Arial"/>
                <w:sz w:val="18"/>
                <w:szCs w:val="18"/>
                <w:color w:val="auto"/>
              </w:rPr>
              <w:t>b</w:t>
            </w:r>
          </w:p>
        </w:tc>
        <w:tc>
          <w:tcPr>
            <w:tcW w:w="3300" w:type="dxa"/>
            <w:vAlign w:val="bottom"/>
            <w:gridSpan w:val="3"/>
          </w:tcPr>
          <w:p>
            <w:pPr>
              <w:spacing w:after="0"/>
              <w:rPr>
                <w:sz w:val="20"/>
                <w:szCs w:val="20"/>
                <w:color w:val="auto"/>
              </w:rPr>
            </w:pPr>
            <w:r>
              <w:rPr>
                <w:rFonts w:ascii="Arial" w:cs="Arial" w:eastAsia="Arial" w:hAnsi="Arial"/>
                <w:sz w:val="18"/>
                <w:szCs w:val="18"/>
                <w:color w:val="auto"/>
              </w:rPr>
              <w:t>Poh Kiong Tan</w:t>
            </w:r>
          </w:p>
        </w:tc>
        <w:tc>
          <w:tcPr>
            <w:tcW w:w="4420" w:type="dxa"/>
            <w:vAlign w:val="bottom"/>
          </w:tcPr>
          <w:p>
            <w:pPr>
              <w:jc w:val="center"/>
              <w:ind w:right="272"/>
              <w:spacing w:after="0"/>
              <w:rPr>
                <w:sz w:val="20"/>
                <w:szCs w:val="20"/>
                <w:color w:val="auto"/>
              </w:rPr>
            </w:pPr>
            <w:r>
              <w:rPr>
                <w:rFonts w:ascii="Arial" w:cs="Arial" w:eastAsia="Arial" w:hAnsi="Arial"/>
                <w:sz w:val="18"/>
                <w:szCs w:val="18"/>
                <w:color w:val="auto"/>
                <w:w w:val="93"/>
              </w:rPr>
              <w:t>Chief Technology Officer</w:t>
            </w:r>
          </w:p>
        </w:tc>
        <w:tc>
          <w:tcPr>
            <w:tcW w:w="0" w:type="dxa"/>
            <w:vAlign w:val="bottom"/>
          </w:tcPr>
          <w:p>
            <w:pPr>
              <w:spacing w:after="0"/>
              <w:rPr>
                <w:sz w:val="1"/>
                <w:szCs w:val="1"/>
                <w:color w:val="auto"/>
              </w:rPr>
            </w:pPr>
          </w:p>
        </w:tc>
      </w:tr>
      <w:tr>
        <w:trPr>
          <w:trHeight w:val="283"/>
        </w:trPr>
        <w:tc>
          <w:tcPr>
            <w:tcW w:w="380" w:type="dxa"/>
            <w:vAlign w:val="bottom"/>
            <w:gridSpan w:val="2"/>
          </w:tcPr>
          <w:p>
            <w:pPr>
              <w:ind w:left="100"/>
              <w:spacing w:after="0"/>
              <w:rPr>
                <w:sz w:val="20"/>
                <w:szCs w:val="20"/>
                <w:color w:val="auto"/>
              </w:rPr>
            </w:pPr>
            <w:r>
              <w:rPr>
                <w:rFonts w:ascii="Arial" w:cs="Arial" w:eastAsia="Arial" w:hAnsi="Arial"/>
                <w:sz w:val="18"/>
                <w:szCs w:val="18"/>
                <w:color w:val="auto"/>
              </w:rPr>
              <w:t>c</w:t>
            </w:r>
          </w:p>
        </w:tc>
        <w:tc>
          <w:tcPr>
            <w:tcW w:w="3300" w:type="dxa"/>
            <w:vAlign w:val="bottom"/>
            <w:gridSpan w:val="3"/>
          </w:tcPr>
          <w:p>
            <w:pPr>
              <w:spacing w:after="0"/>
              <w:rPr>
                <w:sz w:val="20"/>
                <w:szCs w:val="20"/>
                <w:color w:val="auto"/>
              </w:rPr>
            </w:pPr>
            <w:r>
              <w:rPr>
                <w:rFonts w:ascii="Arial" w:cs="Arial" w:eastAsia="Arial" w:hAnsi="Arial"/>
                <w:sz w:val="18"/>
                <w:szCs w:val="18"/>
                <w:color w:val="auto"/>
              </w:rPr>
              <w:t>Trident Consultancy Pte. Ltd.</w:t>
            </w:r>
          </w:p>
        </w:tc>
        <w:tc>
          <w:tcPr>
            <w:tcW w:w="4420" w:type="dxa"/>
            <w:vAlign w:val="bottom"/>
          </w:tcPr>
          <w:p>
            <w:pPr>
              <w:jc w:val="center"/>
              <w:ind w:right="272"/>
              <w:spacing w:after="0"/>
              <w:rPr>
                <w:sz w:val="20"/>
                <w:szCs w:val="20"/>
                <w:color w:val="auto"/>
              </w:rPr>
            </w:pPr>
            <w:r>
              <w:rPr>
                <w:rFonts w:ascii="Arial" w:cs="Arial" w:eastAsia="Arial" w:hAnsi="Arial"/>
                <w:sz w:val="18"/>
                <w:szCs w:val="18"/>
                <w:color w:val="auto"/>
                <w:w w:val="91"/>
              </w:rPr>
              <w:t>100% equity interests owned by Soon Huat Lim</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Amounts due to related parties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Amounts due to related parties consisted of the following for the periods indicated:</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Poh Kiong Tan</w:t>
            </w:r>
            <w:r>
              <w:rPr>
                <w:rFonts w:ascii="Arial" w:cs="Arial" w:eastAsia="Arial" w:hAnsi="Arial"/>
                <w:sz w:val="20"/>
                <w:szCs w:val="20"/>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63,753</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Arial" w:cs="Arial" w:eastAsia="Arial" w:hAnsi="Arial"/>
                <w:sz w:val="18"/>
                <w:szCs w:val="18"/>
                <w:color w:val="auto"/>
              </w:rPr>
              <w:t>Soon Huat Lim</w:t>
            </w:r>
            <w:r>
              <w:rPr>
                <w:rFonts w:ascii="Arial" w:cs="Arial" w:eastAsia="Arial" w:hAnsi="Arial"/>
                <w:sz w:val="20"/>
                <w:szCs w:val="20"/>
                <w:color w:val="auto"/>
                <w:vertAlign w:val="superscript"/>
              </w:rPr>
              <w:t>(2)</w:t>
            </w:r>
          </w:p>
        </w:tc>
        <w:tc>
          <w:tcPr>
            <w:tcW w:w="2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1,492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Trident Consultancy Pte. Ltd.</w:t>
            </w:r>
            <w:r>
              <w:rPr>
                <w:rFonts w:ascii="Arial" w:cs="Arial" w:eastAsia="Arial" w:hAnsi="Arial"/>
                <w:sz w:val="20"/>
                <w:szCs w:val="20"/>
                <w:color w:val="auto"/>
                <w:vertAlign w:val="superscript"/>
              </w:rPr>
              <w:t>(3)</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513,280</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526,263</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63,753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559" w:hanging="426"/>
        <w:spacing w:after="0" w:line="266" w:lineRule="auto"/>
        <w:tabs>
          <w:tab w:leader="none" w:pos="8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balance represented loan from this related party for the Group’s daily operation with no fixed term of repayment and interest, and expense paid on behalf of the Group.</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balance represented loan from this related party.</w:t>
      </w:r>
    </w:p>
    <w:p>
      <w:pPr>
        <w:spacing w:after="0" w:line="18" w:lineRule="exact"/>
        <w:rPr>
          <w:rFonts w:ascii="Arial" w:cs="Arial" w:eastAsia="Arial" w:hAnsi="Arial"/>
          <w:sz w:val="16"/>
          <w:szCs w:val="16"/>
          <w:color w:val="auto"/>
        </w:rPr>
      </w:pPr>
    </w:p>
    <w:p>
      <w:pPr>
        <w:ind w:left="880" w:right="679" w:hanging="426"/>
        <w:spacing w:after="0" w:line="288" w:lineRule="auto"/>
        <w:tabs>
          <w:tab w:leader="none" w:pos="8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balance represented interest-free loan from this related party for the Group’s daily operation at maturity within three months, offset by loan to this related party.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2" w:name="page153"/>
    <w:bookmarkEnd w:id="15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3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 xml:space="preserve">RELATED PARTY TRANSACTIONS </w:t>
      </w:r>
      <w:r>
        <w:rPr>
          <w:rFonts w:ascii="Arial" w:cs="Arial" w:eastAsia="Arial" w:hAnsi="Arial"/>
          <w:sz w:val="17"/>
          <w:szCs w:val="17"/>
          <w:color w:val="auto"/>
        </w:rPr>
        <w:t>(cont.)</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491"/>
              <w:spacing w:after="0"/>
              <w:rPr>
                <w:sz w:val="20"/>
                <w:szCs w:val="20"/>
                <w:color w:val="auto"/>
              </w:rPr>
            </w:pPr>
            <w:r>
              <w:rPr>
                <w:rFonts w:ascii="Arial" w:cs="Arial" w:eastAsia="Arial" w:hAnsi="Arial"/>
                <w:sz w:val="16"/>
                <w:szCs w:val="16"/>
                <w:b w:val="1"/>
                <w:bCs w:val="1"/>
                <w:color w:val="auto"/>
              </w:rPr>
              <w:t>For the years ended</w:t>
            </w: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Related party transactions</w:t>
            </w:r>
          </w:p>
        </w:tc>
        <w:tc>
          <w:tcPr>
            <w:tcW w:w="260" w:type="dxa"/>
            <w:vAlign w:val="bottom"/>
          </w:tcPr>
          <w:p>
            <w:pPr>
              <w:spacing w:after="0"/>
              <w:rPr>
                <w:sz w:val="18"/>
                <w:szCs w:val="18"/>
                <w:color w:val="auto"/>
              </w:rPr>
            </w:pPr>
          </w:p>
        </w:tc>
        <w:tc>
          <w:tcPr>
            <w:tcW w:w="2240" w:type="dxa"/>
            <w:vAlign w:val="bottom"/>
            <w:gridSpan w:val="5"/>
          </w:tcPr>
          <w:p>
            <w:pPr>
              <w:jc w:val="right"/>
              <w:ind w:right="691"/>
              <w:spacing w:after="0"/>
              <w:rPr>
                <w:sz w:val="20"/>
                <w:szCs w:val="20"/>
                <w:color w:val="auto"/>
              </w:rPr>
            </w:pPr>
            <w:r>
              <w:rPr>
                <w:rFonts w:ascii="Arial" w:cs="Arial" w:eastAsia="Arial" w:hAnsi="Arial"/>
                <w:sz w:val="16"/>
                <w:szCs w:val="16"/>
                <w:b w:val="1"/>
                <w:bCs w:val="1"/>
                <w:color w:val="auto"/>
              </w:rPr>
              <w:t>December 31,</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1"/>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Nature</w:t>
            </w: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2021</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Poh Kiong Tan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Loan from related parties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87,039</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44,650</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Repayment of loan from related party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87,039</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22,325</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Expenses paid on behalf of the Group</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26,897</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43,376</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83"/>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 from shareholder</w:t>
            </w:r>
            <w:r>
              <w:rPr>
                <w:rFonts w:ascii="Arial" w:cs="Arial" w:eastAsia="Arial" w:hAnsi="Arial"/>
                <w:sz w:val="20"/>
                <w:szCs w:val="20"/>
                <w:color w:val="auto"/>
                <w:vertAlign w:val="superscript"/>
              </w:rPr>
              <w:t>(1)</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36,266</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Soon Huat Lim</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83"/>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Deemed dividend</w:t>
            </w:r>
            <w:r>
              <w:rPr>
                <w:rFonts w:ascii="Arial" w:cs="Arial" w:eastAsia="Arial" w:hAnsi="Arial"/>
                <w:sz w:val="20"/>
                <w:szCs w:val="20"/>
                <w:color w:val="auto"/>
                <w:vertAlign w:val="superscript"/>
              </w:rPr>
              <w:t>(2)</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229,201</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Loan from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1,451</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Trident Consultancy Pte. Ltd.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Repayment of loan from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152,318</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Loan from related party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660,043</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Interest income from loan to a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21,760</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959" w:hanging="426"/>
        <w:spacing w:after="0" w:line="266" w:lineRule="auto"/>
        <w:tabs>
          <w:tab w:leader="none" w:pos="8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For the year ended December 31, 2022, QZT received contribution from Poh Kiong Tan. The contribution was implemented to reduce the outstanding balance due to Poh Kiong Tan by $36,266.</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For the year ended December 31, 2022, QZT declared dividend to Soon Huat Lim.</w:t>
      </w:r>
    </w:p>
    <w:p>
      <w:pPr>
        <w:spacing w:after="0" w:line="222"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ORDINARY SHARES</w:t>
      </w:r>
    </w:p>
    <w:p>
      <w:pPr>
        <w:spacing w:after="0" w:line="162"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The Company was established as an exempted company under the laws of Cayman Islands on June 12, 2023. The authorized number of Ordinary Shares was 5,000,000,000 with par value of $0.00001 per share, of which, 1,000,000,000 are designated as Class A Ordinary Shares and 4,000,000,000 are designated as Class B Ordinary Shares. The Company issued 410,205,000 shares to the shareholders at par value $0.00001 per share, among which, 50,000,000 Class A ordinary shares and 360,205,000 Class B ordinary shares issued and outstanding as of December 31, 2022 and 2021, respectively. The Company has retroactively restated all shares and per share data for all periods presented.</w:t>
      </w:r>
    </w:p>
    <w:p>
      <w:pPr>
        <w:spacing w:after="0" w:line="96"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Holders of Class A Ordinary Shares and Class B Ordinary Shares have the same rights except for voting and conversion rights. In respect of matters requiring a shareholder vote, each holder of Class A Ordinary Shares will be entitled to sixty votes per one Class A Ordinary Share and each holder of Class B Ordinary Shares will be entitled to one vote per one Class B Ordinary Share. Each Class A Ordinary Share shall be convertible into one fully paid and non-assessable Class B Ordinary Share at the option of the Class A Holder at any time upon written notice to the transfer agent of the Company. In no event shall Class B Ordinary Shares be convertible into Class A Ordinary Shares.</w:t>
      </w:r>
    </w:p>
    <w:p>
      <w:pPr>
        <w:spacing w:after="0" w:line="127" w:lineRule="exact"/>
        <w:rPr>
          <w:sz w:val="20"/>
          <w:szCs w:val="20"/>
          <w:color w:val="auto"/>
        </w:rPr>
      </w:pPr>
    </w:p>
    <w:p>
      <w:pPr>
        <w:ind w:left="460" w:right="659" w:firstLine="432"/>
        <w:spacing w:after="0" w:line="342" w:lineRule="auto"/>
        <w:rPr>
          <w:sz w:val="20"/>
          <w:szCs w:val="20"/>
          <w:color w:val="auto"/>
        </w:rPr>
      </w:pPr>
      <w:r>
        <w:rPr>
          <w:rFonts w:ascii="Arial" w:cs="Arial" w:eastAsia="Arial" w:hAnsi="Arial"/>
          <w:sz w:val="16"/>
          <w:szCs w:val="16"/>
          <w:color w:val="auto"/>
        </w:rPr>
        <w:t>As of December 31, 2022 and 2021, subscription receivable on the consolidated balance sheets represented the unrecovered consideration of the nil and 410,205,000 ordinary shares issued by the Company.</w:t>
      </w:r>
    </w:p>
    <w:p>
      <w:pPr>
        <w:spacing w:after="0" w:line="7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14.</w:t>
        <w:tab/>
        <w:t>CONCENTRATION OF CREDIT RISK</w:t>
      </w:r>
    </w:p>
    <w:p>
      <w:pPr>
        <w:spacing w:after="0" w:line="162"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3" w:name="page154"/>
    <w:bookmarkEnd w:id="15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3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 xml:space="preserve">CONCENTRATION OF CREDIT RISK </w:t>
      </w:r>
      <w:r>
        <w:rPr>
          <w:rFonts w:ascii="Arial" w:cs="Arial" w:eastAsia="Arial" w:hAnsi="Arial"/>
          <w:sz w:val="17"/>
          <w:szCs w:val="17"/>
          <w:color w:val="auto"/>
        </w:rPr>
        <w:t>(cont.)</w:t>
      </w:r>
    </w:p>
    <w:p>
      <w:pPr>
        <w:spacing w:after="0" w:line="189"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The following table sets forth a summary of single customers who represented 10% or more of the Group’s total revenue.</w:t>
      </w:r>
    </w:p>
    <w:p>
      <w:pPr>
        <w:spacing w:after="0" w:line="184"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46355</wp:posOffset>
            </wp:positionV>
            <wp:extent cx="159448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460" w:type="dxa"/>
            <w:vAlign w:val="bottom"/>
            <w:gridSpan w:val="2"/>
          </w:tcPr>
          <w:p>
            <w:pPr>
              <w:ind w:left="5980"/>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6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Percentage of the Group’s total revenue</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6460" w:type="dxa"/>
            <w:vAlign w:val="bottom"/>
            <w:gridSpan w:val="2"/>
          </w:tcPr>
          <w:p>
            <w:pPr>
              <w:spacing w:after="0"/>
              <w:rPr>
                <w:sz w:val="20"/>
                <w:szCs w:val="20"/>
                <w:color w:val="auto"/>
              </w:rPr>
            </w:pPr>
            <w:r>
              <w:rPr>
                <w:rFonts w:ascii="Arial" w:cs="Arial" w:eastAsia="Arial" w:hAnsi="Arial"/>
                <w:sz w:val="18"/>
                <w:szCs w:val="18"/>
                <w:color w:val="auto"/>
              </w:rPr>
              <w:t>Customer A</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41"/>
        </w:trPr>
        <w:tc>
          <w:tcPr>
            <w:tcW w:w="5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B</w:t>
            </w:r>
          </w:p>
        </w:tc>
        <w:tc>
          <w:tcPr>
            <w:tcW w:w="8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Represent percentage less than 10%</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a summary of single customers who represented 10% or more of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Group’s total accounts receivable: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46355</wp:posOffset>
            </wp:positionV>
            <wp:extent cx="16033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360" w:type="dxa"/>
            <w:vAlign w:val="bottom"/>
            <w:gridSpan w:val="2"/>
          </w:tcPr>
          <w:p>
            <w:pPr>
              <w:ind w:left="5980"/>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Percentage of the Group’s accounts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Customer A</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B</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Customer C</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D</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Customer 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4"/>
              </w:rPr>
              <w:t>45%</w:t>
            </w:r>
          </w:p>
        </w:tc>
        <w:tc>
          <w:tcPr>
            <w:tcW w:w="80" w:type="dxa"/>
            <w:vAlign w:val="bottom"/>
          </w:tcPr>
          <w:p>
            <w:pPr>
              <w:spacing w:after="0"/>
              <w:rPr>
                <w:sz w:val="21"/>
                <w:szCs w:val="21"/>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F</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30%</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15.</w:t>
        <w:tab/>
        <w:t>COMMITMENTS AND CONTINGENCIES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Contingencies</w:t>
      </w:r>
    </w:p>
    <w:p>
      <w:pPr>
        <w:spacing w:after="0" w:line="158"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spacing w:after="0" w:line="172"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SUBSEQUENT EVENTS</w:t>
      </w:r>
    </w:p>
    <w:p>
      <w:pPr>
        <w:spacing w:after="0" w:line="135" w:lineRule="exact"/>
        <w:rPr>
          <w:sz w:val="20"/>
          <w:szCs w:val="20"/>
          <w:color w:val="auto"/>
        </w:rPr>
      </w:pPr>
    </w:p>
    <w:p>
      <w:pPr>
        <w:ind w:left="460" w:right="599" w:firstLine="432"/>
        <w:spacing w:after="0" w:line="254" w:lineRule="auto"/>
        <w:rPr>
          <w:sz w:val="20"/>
          <w:szCs w:val="20"/>
          <w:color w:val="auto"/>
        </w:rPr>
      </w:pPr>
      <w:r>
        <w:rPr>
          <w:rFonts w:ascii="Arial" w:cs="Arial" w:eastAsia="Arial" w:hAnsi="Arial"/>
          <w:sz w:val="18"/>
          <w:szCs w:val="18"/>
          <w:color w:val="auto"/>
        </w:rPr>
        <w:t>On October 31 and November 1, 2022, the Group and Soon Huat Lim entered into a series of share sale agreement and supplemental agreements with Soon Tai Lee, a third-party investor. Pursuant to the agreements, the Group issues 45,000,000 shares of the Company to Soon Tai Lee in exchange of $3,000,000 cash consideration and Soon Huat Lim sold his 30,000,000 shares of the Company to Soon Tai Lee in exchange of $2,000,000 cash consideration. After this transaction, Soon Tai Lee became a shareholder of the Group and Soon Huat Lim still remain as ultimate controller of the Group. The Group has collected the consideration on January 26, 2023.</w:t>
      </w:r>
    </w:p>
    <w:p>
      <w:pPr>
        <w:spacing w:after="0" w:line="100"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On May 4 and May 5, 2023, the Group and Soon Huat Lim entered into a series of share sale agreement and supplemental agreements with Yat Hong Lo, a third-party investor. Pursuant to the agreements, the Group issues 20,000,000 shares of the Company to Yat Hong Lo in exchange of $4,000,000 cash consideration and Soon Huat Lim sold his 5,000,000 shares of the Company to Yat Hong Lo in exchange of $1,000,000 cash consideration. After this transaction, Yat Hong Lo became a shareholder of the Group and Soon Huat Lim still remain as ultimate controller of the Group. The Group has collected all the consideration on June 16, 2023.</w:t>
      </w:r>
    </w:p>
    <w:p>
      <w:pPr>
        <w:spacing w:after="0" w:line="83" w:lineRule="exact"/>
        <w:rPr>
          <w:sz w:val="20"/>
          <w:szCs w:val="20"/>
          <w:color w:val="auto"/>
        </w:rPr>
      </w:pPr>
    </w:p>
    <w:p>
      <w:pPr>
        <w:ind w:left="460" w:right="819" w:firstLine="432"/>
        <w:spacing w:after="0" w:line="286" w:lineRule="auto"/>
        <w:rPr>
          <w:sz w:val="20"/>
          <w:szCs w:val="20"/>
          <w:color w:val="auto"/>
        </w:rPr>
      </w:pPr>
      <w:r>
        <w:rPr>
          <w:rFonts w:ascii="Arial" w:cs="Arial" w:eastAsia="Arial" w:hAnsi="Arial"/>
          <w:sz w:val="17"/>
          <w:szCs w:val="17"/>
          <w:color w:val="auto"/>
        </w:rPr>
        <w:t>The Group has evaluated subsequent events through the date of issuance of the consolidated financial statements, except for the events mentioned above the Group did not identify any subsequent events with material financial impact on the Group’s consolidated financial statements.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118" w:gutter="0" w:footer="0" w:header="0"/>
        </w:sectPr>
      </w:pPr>
    </w:p>
    <w:bookmarkStart w:id="154" w:name="page155"/>
    <w:bookmarkEnd w:id="15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CONDENSED CONSOLIDATED BALANCE SHEETS (In U.S. dollars, except for share and per share data, or otherwise noted)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7"/>
          </w:tcPr>
          <w:p>
            <w:pPr>
              <w:jc w:val="right"/>
              <w:ind w:right="1080"/>
              <w:spacing w:after="0"/>
              <w:rPr>
                <w:sz w:val="20"/>
                <w:szCs w:val="20"/>
                <w:color w:val="auto"/>
              </w:rPr>
            </w:pPr>
            <w:r>
              <w:rPr>
                <w:rFonts w:ascii="Arial" w:cs="Arial" w:eastAsia="Arial" w:hAnsi="Arial"/>
                <w:sz w:val="16"/>
                <w:szCs w:val="16"/>
                <w:b w:val="1"/>
                <w:bCs w:val="1"/>
                <w:color w:val="auto"/>
                <w:w w:val="79"/>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1"/>
              <w:spacing w:after="0" w:line="182" w:lineRule="exact"/>
              <w:rPr>
                <w:sz w:val="20"/>
                <w:szCs w:val="20"/>
                <w:color w:val="auto"/>
              </w:rPr>
            </w:pPr>
            <w:r>
              <w:rPr>
                <w:rFonts w:ascii="Arial" w:cs="Arial" w:eastAsia="Arial" w:hAnsi="Arial"/>
                <w:sz w:val="16"/>
                <w:szCs w:val="16"/>
                <w:b w:val="1"/>
                <w:bCs w:val="1"/>
                <w:color w:val="auto"/>
                <w:w w:val="90"/>
              </w:rPr>
              <w:t>June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9"/>
              </w:rPr>
              <w:t>2023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3,965,607</w:t>
            </w:r>
          </w:p>
        </w:tc>
        <w:tc>
          <w:tcPr>
            <w:tcW w:w="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945,265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74,554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47,547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cost assets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540,496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268,509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Amounts due from related parties</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995,563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437,299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166,436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141,851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6,179,955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1,403,172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165,264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106,718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Right-of-use assets, net</w:t>
            </w:r>
          </w:p>
        </w:tc>
        <w:tc>
          <w:tcPr>
            <w:tcW w:w="12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1,521,638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1,494,082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1,686,902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1,600,800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7,866,857</w:t>
            </w:r>
          </w:p>
        </w:tc>
        <w:tc>
          <w:tcPr>
            <w:tcW w:w="2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3,003,972</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borrowings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137,130</w:t>
            </w:r>
          </w:p>
        </w:tc>
        <w:tc>
          <w:tcPr>
            <w:tcW w:w="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135,360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137,416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218,225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1,010,684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654,063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Amount due to related parties</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40,197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526,263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Subscription fees advance from shareholders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7,590,421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524,560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230,694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303,730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liabilities, current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378,056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277,699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9,524,598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2,639,900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Long-term borrowings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424,868</w:t>
            </w:r>
          </w:p>
        </w:tc>
        <w:tc>
          <w:tcPr>
            <w:tcW w:w="2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498,572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1,143,582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1,190,287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non-current liabilities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1,568,450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1,688,859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w w:val="95"/>
              </w:rPr>
              <w:t>11,093,048</w:t>
            </w:r>
          </w:p>
        </w:tc>
        <w:tc>
          <w:tcPr>
            <w:tcW w:w="2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4,328,759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Ordinary Shares (par value $0.00001 per share; 1,000,000,000 Class A</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ordinary shares authorized, 50,000,000 and 50,000,000 Class A</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ordinary shares issued and outstanding as of June 30, 2023 and</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December 31, 2022, respectively; 4,000,000,000 Class B ordinary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shares authorized, 360,205,000 and 360,205,000 Class B ordinary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shares issued and outstanding as of June 30, 2023 and December 31,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2022, respectively.)*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4,102</w:t>
            </w:r>
          </w:p>
        </w:tc>
        <w:tc>
          <w:tcPr>
            <w:tcW w:w="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32,240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32,240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(3,259,598)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(1,323,341)</w:t>
            </w: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(2,935)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(37,788)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(3,226,191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(1,324,787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7,866,857</w:t>
            </w:r>
          </w:p>
        </w:tc>
        <w:tc>
          <w:tcPr>
            <w:tcW w:w="2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3,003,972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The shares and per share information are presented on a retroactive basis to reflect the reorganization (Note 1).</w:t>
      </w:r>
    </w:p>
    <w:p>
      <w:pPr>
        <w:spacing w:after="0" w:line="160" w:lineRule="exact"/>
        <w:rPr>
          <w:rFonts w:ascii="Arial" w:cs="Arial" w:eastAsia="Arial" w:hAnsi="Arial"/>
          <w:sz w:val="15"/>
          <w:szCs w:val="15"/>
          <w:color w:val="auto"/>
        </w:rPr>
      </w:pPr>
    </w:p>
    <w:p>
      <w:pPr>
        <w:ind w:left="1360"/>
        <w:spacing w:after="0"/>
        <w:rPr>
          <w:rFonts w:ascii="Arial" w:cs="Arial" w:eastAsia="Arial" w:hAnsi="Arial"/>
          <w:sz w:val="15"/>
          <w:szCs w:val="15"/>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sectPr>
      </w:pPr>
    </w:p>
    <w:bookmarkStart w:id="155" w:name="page156"/>
    <w:bookmarkEnd w:id="15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TRIDENT DIGITAL TECH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and per share data, or otherwise noted)</w:t>
      </w:r>
    </w:p>
    <w:p>
      <w:pPr>
        <w:spacing w:after="0" w:line="171" w:lineRule="exact"/>
        <w:rPr>
          <w:sz w:val="20"/>
          <w:szCs w:val="20"/>
          <w:color w:val="auto"/>
        </w:rPr>
      </w:pPr>
    </w:p>
    <w:p>
      <w:pPr>
        <w:jc w:val="center"/>
        <w:ind w:left="5540"/>
        <w:spacing w:after="0"/>
        <w:rPr>
          <w:sz w:val="20"/>
          <w:szCs w:val="20"/>
          <w:color w:val="auto"/>
        </w:rPr>
      </w:pPr>
      <w:r>
        <w:rPr>
          <w:rFonts w:ascii="Arial" w:cs="Arial" w:eastAsia="Arial" w:hAnsi="Arial"/>
          <w:sz w:val="16"/>
          <w:szCs w:val="16"/>
          <w:b w:val="1"/>
          <w:bCs w:val="1"/>
          <w:color w:val="auto"/>
        </w:rPr>
        <w:t>For the six months Ended</w:t>
      </w:r>
    </w:p>
    <w:p>
      <w:pPr>
        <w:spacing w:after="0" w:line="26" w:lineRule="exact"/>
        <w:rPr>
          <w:sz w:val="20"/>
          <w:szCs w:val="20"/>
          <w:color w:val="auto"/>
        </w:rPr>
      </w:pPr>
    </w:p>
    <w:p>
      <w:pPr>
        <w:jc w:val="center"/>
        <w:ind w:left="558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1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481,165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475,123</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(389,569)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(378,896)</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91,596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96,227</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Selling expenses</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(253,343)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(71,530)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(1,551,710)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(170,817)</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(192,855)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(80,883)</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(1,997,908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(323,230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Financial income/(expenses), net</w:t>
            </w: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23,742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21,158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71,019</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Total other income, net</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44,900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70,300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(1,861,412)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(156,703)</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expenses</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(1,861,412</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(156,703</w:t>
            </w:r>
          </w:p>
        </w:tc>
        <w:tc>
          <w:tcPr>
            <w:tcW w:w="16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34,853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(1,826,559</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(153,220</w:t>
            </w:r>
          </w:p>
        </w:tc>
        <w:tc>
          <w:tcPr>
            <w:tcW w:w="160" w:type="dxa"/>
            <w:vAlign w:val="bottom"/>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Weighted average number of Ordinary Shares – basic and diluted*</w:t>
            </w: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410,205,000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w w:val="91"/>
              </w:rPr>
              <w:t>410,205,000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Basic and diluted earnings per ordinary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91"/>
        </w:trPr>
        <w:tc>
          <w:tcPr>
            <w:tcW w:w="5580" w:type="dxa"/>
            <w:vAlign w:val="bottom"/>
          </w:tcPr>
          <w:p>
            <w:pPr>
              <w:spacing w:after="0"/>
              <w:rPr>
                <w:sz w:val="20"/>
                <w:szCs w:val="20"/>
                <w:color w:val="auto"/>
              </w:rPr>
            </w:pPr>
            <w:r>
              <w:rPr>
                <w:rFonts w:ascii="Arial" w:cs="Arial" w:eastAsia="Arial" w:hAnsi="Arial"/>
                <w:sz w:val="16"/>
                <w:szCs w:val="16"/>
                <w:color w:val="auto"/>
              </w:rPr>
              <w:t>____________</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860" w:hanging="406"/>
        <w:spacing w:after="0"/>
        <w:tabs>
          <w:tab w:leader="none" w:pos="8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shares and per share information are presented on a retroactive basis to reflect the reorganization.</w:t>
      </w:r>
    </w:p>
    <w:p>
      <w:pPr>
        <w:spacing w:after="0" w:line="149"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6" w:name="page157"/>
    <w:bookmarkEnd w:id="15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TRIDENT DIGITAL TECH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and per share data, or otherwise noted)</w:t>
      </w:r>
    </w:p>
    <w:p>
      <w:pPr>
        <w:spacing w:after="0" w:line="29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rPr>
              <w:t>Ordinary share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Accumulated</w:t>
            </w:r>
          </w:p>
        </w:tc>
        <w:tc>
          <w:tcPr>
            <w:tcW w:w="940" w:type="dxa"/>
            <w:vAlign w:val="bottom"/>
            <w:gridSpan w:val="5"/>
          </w:tcPr>
          <w:p>
            <w:pPr>
              <w:ind w:left="80"/>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3"/>
        </w:trPr>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4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Subscription</w:t>
            </w:r>
          </w:p>
        </w:tc>
        <w:tc>
          <w:tcPr>
            <w:tcW w:w="100" w:type="dxa"/>
            <w:vAlign w:val="bottom"/>
          </w:tcPr>
          <w:p>
            <w:pPr>
              <w:spacing w:after="0"/>
              <w:rPr>
                <w:sz w:val="5"/>
                <w:szCs w:val="5"/>
                <w:color w:val="auto"/>
              </w:rPr>
            </w:pPr>
          </w:p>
        </w:tc>
        <w:tc>
          <w:tcPr>
            <w:tcW w:w="580" w:type="dxa"/>
            <w:vAlign w:val="bottom"/>
            <w:vMerge w:val="restart"/>
          </w:tcPr>
          <w:p>
            <w:pPr>
              <w:jc w:val="right"/>
              <w:ind w:right="60"/>
              <w:spacing w:after="0" w:line="149" w:lineRule="exact"/>
              <w:rPr>
                <w:sz w:val="20"/>
                <w:szCs w:val="20"/>
                <w:color w:val="auto"/>
              </w:rPr>
            </w:pPr>
            <w:r>
              <w:rPr>
                <w:rFonts w:ascii="Arial" w:cs="Arial" w:eastAsia="Arial" w:hAnsi="Arial"/>
                <w:sz w:val="14"/>
                <w:szCs w:val="14"/>
                <w:b w:val="1"/>
                <w:bCs w:val="1"/>
                <w:color w:val="auto"/>
                <w:w w:val="91"/>
              </w:rPr>
              <w:t>paid-in</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earnings/</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other</w:t>
            </w:r>
          </w:p>
        </w:tc>
        <w:tc>
          <w:tcPr>
            <w:tcW w:w="960" w:type="dxa"/>
            <w:vAlign w:val="bottom"/>
            <w:gridSpan w:val="3"/>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5"/>
                <w:szCs w:val="5"/>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94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receivable</w:t>
            </w:r>
          </w:p>
        </w:tc>
        <w:tc>
          <w:tcPr>
            <w:tcW w:w="100" w:type="dxa"/>
            <w:vAlign w:val="bottom"/>
          </w:tcPr>
          <w:p>
            <w:pPr>
              <w:spacing w:after="0"/>
              <w:rPr>
                <w:sz w:val="16"/>
                <w:szCs w:val="16"/>
                <w:color w:val="auto"/>
              </w:rPr>
            </w:pPr>
          </w:p>
        </w:tc>
        <w:tc>
          <w:tcPr>
            <w:tcW w:w="580" w:type="dxa"/>
            <w:vAlign w:val="bottom"/>
          </w:tcPr>
          <w:p>
            <w:pPr>
              <w:jc w:val="right"/>
              <w:ind w:right="60"/>
              <w:spacing w:after="0"/>
              <w:rPr>
                <w:sz w:val="20"/>
                <w:szCs w:val="20"/>
                <w:color w:val="auto"/>
              </w:rPr>
            </w:pPr>
            <w:r>
              <w:rPr>
                <w:rFonts w:ascii="Arial" w:cs="Arial" w:eastAsia="Arial" w:hAnsi="Arial"/>
                <w:sz w:val="14"/>
                <w:szCs w:val="14"/>
                <w:b w:val="1"/>
                <w:bCs w:val="1"/>
                <w:color w:val="auto"/>
              </w:rPr>
              <w:t>capita</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(deficit)</w:t>
            </w:r>
          </w:p>
        </w:tc>
        <w:tc>
          <w:tcPr>
            <w:tcW w:w="940" w:type="dxa"/>
            <w:vAlign w:val="bottom"/>
            <w:gridSpan w:val="5"/>
          </w:tcPr>
          <w:p>
            <w:pPr>
              <w:ind w:left="80"/>
              <w:spacing w:after="0"/>
              <w:rPr>
                <w:sz w:val="20"/>
                <w:szCs w:val="20"/>
                <w:color w:val="auto"/>
              </w:rPr>
            </w:pPr>
            <w:r>
              <w:rPr>
                <w:rFonts w:ascii="Arial" w:cs="Arial" w:eastAsia="Arial" w:hAnsi="Arial"/>
                <w:sz w:val="14"/>
                <w:szCs w:val="14"/>
                <w:b w:val="1"/>
                <w:bCs w:val="1"/>
                <w:color w:val="auto"/>
                <w:w w:val="93"/>
              </w:rPr>
              <w:t>(loss)/income</w:t>
            </w: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equity/(deficit)</w:t>
            </w:r>
          </w:p>
        </w:tc>
        <w:tc>
          <w:tcPr>
            <w:tcW w:w="0" w:type="dxa"/>
            <w:vAlign w:val="bottom"/>
          </w:tcPr>
          <w:p>
            <w:pPr>
              <w:spacing w:after="0"/>
              <w:rPr>
                <w:sz w:val="1"/>
                <w:szCs w:val="1"/>
                <w:color w:val="auto"/>
              </w:rPr>
            </w:pPr>
          </w:p>
        </w:tc>
      </w:tr>
      <w:tr>
        <w:trPr>
          <w:trHeight w:val="26"/>
        </w:trPr>
        <w:tc>
          <w:tcPr>
            <w:tcW w:w="1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8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w w:val="92"/>
              </w:rPr>
              <w:t>Balance as of December 31,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2021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410,205,000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4,102</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(4,102</w:t>
            </w:r>
            <w:r>
              <w:rPr>
                <w:rFonts w:ascii="Arial" w:cs="Arial" w:eastAsia="Arial" w:hAnsi="Arial"/>
                <w:sz w:val="16"/>
                <w:szCs w:val="16"/>
                <w:color w:val="auto"/>
              </w:rPr>
              <w:t>)</w:t>
            </w:r>
          </w:p>
        </w:tc>
        <w:tc>
          <w:tcPr>
            <w:tcW w:w="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35,349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(306</w:t>
            </w: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35,119</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Net loss</w:t>
            </w: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(156,703)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(156,703)</w:t>
            </w:r>
          </w:p>
        </w:tc>
        <w:tc>
          <w:tcPr>
            <w:tcW w:w="0" w:type="dxa"/>
            <w:vAlign w:val="bottom"/>
          </w:tcPr>
          <w:p>
            <w:pPr>
              <w:spacing w:after="0"/>
              <w:rPr>
                <w:sz w:val="1"/>
                <w:szCs w:val="1"/>
                <w:color w:val="auto"/>
              </w:rPr>
            </w:pPr>
          </w:p>
        </w:tc>
      </w:tr>
      <w:tr>
        <w:trPr>
          <w:trHeight w:val="46"/>
        </w:trPr>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Contribution from</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shareholders</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4,102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32,164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36,266</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Arial" w:cs="Arial" w:eastAsia="Arial" w:hAnsi="Arial"/>
                <w:sz w:val="16"/>
                <w:szCs w:val="16"/>
                <w:color w:val="auto"/>
              </w:rPr>
              <w:t>Dividend distribution</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(229,201)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(229,201)</w:t>
            </w:r>
          </w:p>
        </w:tc>
        <w:tc>
          <w:tcPr>
            <w:tcW w:w="0" w:type="dxa"/>
            <w:vAlign w:val="bottom"/>
          </w:tcPr>
          <w:p>
            <w:pPr>
              <w:spacing w:after="0"/>
              <w:rPr>
                <w:sz w:val="1"/>
                <w:szCs w:val="1"/>
                <w:color w:val="auto"/>
              </w:rPr>
            </w:pPr>
          </w:p>
        </w:tc>
      </w:tr>
      <w:tr>
        <w:trPr>
          <w:trHeight w:val="47"/>
        </w:trPr>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w w:val="98"/>
              </w:rPr>
              <w:t>Foreign currency translation</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980" w:type="dxa"/>
            <w:vAlign w:val="bottom"/>
          </w:tcPr>
          <w:p>
            <w:pPr>
              <w:spacing w:after="0"/>
              <w:rPr>
                <w:sz w:val="20"/>
                <w:szCs w:val="20"/>
                <w:color w:val="auto"/>
              </w:rPr>
            </w:pPr>
            <w:r>
              <w:rPr>
                <w:rFonts w:ascii="Arial" w:cs="Arial" w:eastAsia="Arial" w:hAnsi="Arial"/>
                <w:sz w:val="16"/>
                <w:szCs w:val="16"/>
                <w:b w:val="1"/>
                <w:bCs w:val="1"/>
                <w:color w:val="auto"/>
                <w:w w:val="92"/>
              </w:rPr>
              <w:t>Balance as of June 30, 2022</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410,205,000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4,102</w:t>
            </w:r>
          </w:p>
        </w:tc>
        <w:tc>
          <w:tcPr>
            <w:tcW w:w="80" w:type="dxa"/>
            <w:vAlign w:val="bottom"/>
          </w:tcPr>
          <w:p>
            <w:pPr>
              <w:spacing w:after="0"/>
              <w:rPr>
                <w:sz w:val="24"/>
                <w:szCs w:val="2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32,240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(350,555)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3,177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(311,036)</w:t>
            </w:r>
          </w:p>
        </w:tc>
        <w:tc>
          <w:tcPr>
            <w:tcW w:w="0" w:type="dxa"/>
            <w:vAlign w:val="bottom"/>
          </w:tcPr>
          <w:p>
            <w:pPr>
              <w:spacing w:after="0"/>
              <w:rPr>
                <w:sz w:val="1"/>
                <w:szCs w:val="1"/>
                <w:color w:val="auto"/>
              </w:rPr>
            </w:pPr>
          </w:p>
        </w:tc>
      </w:tr>
      <w:tr>
        <w:trPr>
          <w:trHeight w:val="271"/>
        </w:trPr>
        <w:tc>
          <w:tcPr>
            <w:tcW w:w="19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right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980" w:type="dxa"/>
            <w:vAlign w:val="bottom"/>
          </w:tcPr>
          <w:p>
            <w:pPr>
              <w:spacing w:after="0"/>
              <w:rPr>
                <w:sz w:val="20"/>
                <w:szCs w:val="20"/>
                <w:color w:val="auto"/>
              </w:rPr>
            </w:pPr>
            <w:r>
              <w:rPr>
                <w:rFonts w:ascii="Arial" w:cs="Arial" w:eastAsia="Arial" w:hAnsi="Arial"/>
                <w:sz w:val="16"/>
                <w:szCs w:val="16"/>
                <w:b w:val="1"/>
                <w:bCs w:val="1"/>
                <w:color w:val="auto"/>
                <w:w w:val="92"/>
              </w:rPr>
              <w:t>Balance as of December 31,</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980" w:type="dxa"/>
            <w:vAlign w:val="bottom"/>
          </w:tcPr>
          <w:p>
            <w:pPr>
              <w:ind w:left="180"/>
              <w:spacing w:after="0"/>
              <w:rPr>
                <w:sz w:val="20"/>
                <w:szCs w:val="20"/>
                <w:color w:val="auto"/>
              </w:rPr>
            </w:pPr>
            <w:r>
              <w:rPr>
                <w:rFonts w:ascii="Arial" w:cs="Arial" w:eastAsia="Arial" w:hAnsi="Arial"/>
                <w:sz w:val="16"/>
                <w:szCs w:val="16"/>
                <w:b w:val="1"/>
                <w:bCs w:val="1"/>
                <w:color w:val="auto"/>
              </w:rPr>
              <w:t>2022</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410,205,000</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4,102</w:t>
            </w:r>
          </w:p>
        </w:tc>
        <w:tc>
          <w:tcPr>
            <w:tcW w:w="80" w:type="dxa"/>
            <w:vAlign w:val="bottom"/>
          </w:tcPr>
          <w:p>
            <w:pPr>
              <w:spacing w:after="0"/>
              <w:rPr>
                <w:sz w:val="22"/>
                <w:szCs w:val="22"/>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32,240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2"/>
              </w:rPr>
              <w:t>(1,323,341</w:t>
            </w:r>
            <w:r>
              <w:rPr>
                <w:rFonts w:ascii="Arial" w:cs="Arial" w:eastAsia="Arial" w:hAnsi="Arial"/>
                <w:sz w:val="16"/>
                <w:szCs w:val="16"/>
                <w:color w:val="auto"/>
                <w:w w:val="92"/>
              </w:rPr>
              <w:t>)</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7"/>
              </w:rPr>
              <w:t>(37,788</w:t>
            </w:r>
            <w:r>
              <w:rPr>
                <w:rFonts w:ascii="Arial" w:cs="Arial" w:eastAsia="Arial" w:hAnsi="Arial"/>
                <w:sz w:val="16"/>
                <w:szCs w:val="16"/>
                <w:color w:val="auto"/>
                <w:w w:val="97"/>
              </w:rPr>
              <w:t>)</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0"/>
              </w:rPr>
              <w:t>(1,324,787)</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6"/>
                <w:szCs w:val="16"/>
                <w:color w:val="auto"/>
              </w:rPr>
              <w:t>Net loss</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8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(1,861,412)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(1,861,412)</w:t>
            </w: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Arial" w:cs="Arial" w:eastAsia="Arial" w:hAnsi="Arial"/>
                <w:sz w:val="16"/>
                <w:szCs w:val="16"/>
                <w:color w:val="auto"/>
              </w:rPr>
              <w:t>Dividend distribution</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(74,845)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(74,845)</w:t>
            </w:r>
          </w:p>
        </w:tc>
        <w:tc>
          <w:tcPr>
            <w:tcW w:w="0" w:type="dxa"/>
            <w:vAlign w:val="bottom"/>
          </w:tcPr>
          <w:p>
            <w:pPr>
              <w:spacing w:after="0"/>
              <w:rPr>
                <w:sz w:val="1"/>
                <w:szCs w:val="1"/>
                <w:color w:val="auto"/>
              </w:rPr>
            </w:pPr>
          </w:p>
        </w:tc>
      </w:tr>
      <w:tr>
        <w:trPr>
          <w:trHeight w:val="46"/>
        </w:trPr>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w w:val="98"/>
              </w:rPr>
              <w:t>Foreign currency translation</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34,853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34,853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6"/>
                <w:szCs w:val="16"/>
                <w:b w:val="1"/>
                <w:bCs w:val="1"/>
                <w:color w:val="auto"/>
                <w:w w:val="92"/>
              </w:rPr>
              <w:t>Balance as of June 30, 2023</w:t>
            </w: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980" w:type="dxa"/>
            <w:vAlign w:val="bottom"/>
            <w:vMerge w:val="continue"/>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410,205,000</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4,102</w:t>
            </w:r>
          </w:p>
        </w:tc>
        <w:tc>
          <w:tcPr>
            <w:tcW w:w="80" w:type="dxa"/>
            <w:vAlign w:val="bottom"/>
          </w:tcPr>
          <w:p>
            <w:pPr>
              <w:spacing w:after="0"/>
              <w:rPr>
                <w:sz w:val="21"/>
                <w:szCs w:val="21"/>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32,240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2"/>
              </w:rPr>
              <w:t>(3,259,598</w:t>
            </w:r>
            <w:r>
              <w:rPr>
                <w:rFonts w:ascii="Arial" w:cs="Arial" w:eastAsia="Arial" w:hAnsi="Arial"/>
                <w:sz w:val="16"/>
                <w:szCs w:val="16"/>
                <w:color w:val="auto"/>
                <w:w w:val="92"/>
              </w:rPr>
              <w:t>)</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(2,935</w:t>
            </w: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0"/>
              </w:rPr>
              <w:t>(3,226,191</w:t>
            </w:r>
            <w:r>
              <w:rPr>
                <w:rFonts w:ascii="Arial" w:cs="Arial" w:eastAsia="Arial" w:hAnsi="Arial"/>
                <w:sz w:val="16"/>
                <w:szCs w:val="16"/>
                <w:color w:val="auto"/>
                <w:w w:val="90"/>
              </w:rPr>
              <w:t>)</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6"/>
                <w:szCs w:val="16"/>
                <w:color w:val="auto"/>
              </w:rPr>
              <w:t>____________</w:t>
            </w: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4323080</wp:posOffset>
            </wp:positionH>
            <wp:positionV relativeFrom="paragraph">
              <wp:posOffset>-1701165</wp:posOffset>
            </wp:positionV>
            <wp:extent cx="285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-1710055</wp:posOffset>
            </wp:positionV>
            <wp:extent cx="285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-398145</wp:posOffset>
            </wp:positionV>
            <wp:extent cx="285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-407035</wp:posOffset>
            </wp:positionV>
            <wp:extent cx="285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71" w:lineRule="exact"/>
        <w:rPr>
          <w:sz w:val="20"/>
          <w:szCs w:val="20"/>
          <w:color w:val="auto"/>
        </w:rPr>
      </w:pPr>
    </w:p>
    <w:p>
      <w:pPr>
        <w:ind w:left="860" w:hanging="406"/>
        <w:spacing w:after="0"/>
        <w:tabs>
          <w:tab w:leader="none" w:pos="86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The shares and per share information are presented on a retroactive basis to reflect the reorganization (Note 1).</w:t>
      </w:r>
    </w:p>
    <w:p>
      <w:pPr>
        <w:spacing w:after="0" w:line="160" w:lineRule="exact"/>
        <w:rPr>
          <w:rFonts w:ascii="Arial" w:cs="Arial" w:eastAsia="Arial" w:hAnsi="Arial"/>
          <w:sz w:val="15"/>
          <w:szCs w:val="15"/>
          <w:color w:val="auto"/>
        </w:rPr>
      </w:pPr>
    </w:p>
    <w:p>
      <w:pPr>
        <w:ind w:left="1360"/>
        <w:spacing w:after="0"/>
        <w:rPr>
          <w:rFonts w:ascii="Arial" w:cs="Arial" w:eastAsia="Arial" w:hAnsi="Arial"/>
          <w:sz w:val="15"/>
          <w:szCs w:val="15"/>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7" w:name="page158"/>
    <w:bookmarkEnd w:id="15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60" w:right="459"/>
        <w:spacing w:after="0" w:line="266" w:lineRule="auto"/>
        <w:rPr>
          <w:sz w:val="20"/>
          <w:szCs w:val="20"/>
          <w:color w:val="auto"/>
        </w:rPr>
      </w:pPr>
      <w:r>
        <w:rPr>
          <w:rFonts w:ascii="Arial" w:cs="Arial" w:eastAsia="Arial" w:hAnsi="Arial"/>
          <w:sz w:val="18"/>
          <w:szCs w:val="18"/>
          <w:b w:val="1"/>
          <w:bCs w:val="1"/>
          <w:color w:val="auto"/>
        </w:rPr>
        <w:t>TRIDENT DIGITAL TECH HOLDINGS LTD UNAUDITED CONDENSED CONSOLIDATED STATEMENTS OF CASH FLOWS (In U.S. dollars, except for share and per share data, or otherwise noted)</w:t>
      </w:r>
    </w:p>
    <w:p>
      <w:pPr>
        <w:spacing w:after="0" w:line="140" w:lineRule="exact"/>
        <w:rPr>
          <w:sz w:val="20"/>
          <w:szCs w:val="20"/>
          <w:color w:val="auto"/>
        </w:rPr>
      </w:pPr>
    </w:p>
    <w:p>
      <w:pPr>
        <w:jc w:val="center"/>
        <w:ind w:left="5560"/>
        <w:spacing w:after="0"/>
        <w:rPr>
          <w:sz w:val="20"/>
          <w:szCs w:val="20"/>
          <w:color w:val="auto"/>
        </w:rPr>
      </w:pPr>
      <w:r>
        <w:rPr>
          <w:rFonts w:ascii="Arial" w:cs="Arial" w:eastAsia="Arial" w:hAnsi="Arial"/>
          <w:sz w:val="16"/>
          <w:szCs w:val="16"/>
          <w:b w:val="1"/>
          <w:bCs w:val="1"/>
          <w:color w:val="auto"/>
        </w:rPr>
        <w:t>For the six months Ended</w:t>
      </w:r>
    </w:p>
    <w:p>
      <w:pPr>
        <w:spacing w:after="0" w:line="26"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w w:val="95"/>
              </w:rPr>
              <w:t>(2,380,926)</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(27,514)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(79,043)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(79,043</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Subscription fees advance from shareholders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7,065,861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Repayments of long-term bank loans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(67,159)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(13,572)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from related parties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355,716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Repayment of loans from related parties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(845,200)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to related parties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(1,007,634)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Dividend distribution</w:t>
            </w: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(74,845)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(106,219)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5,426,739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(118,326</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53,572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32,401</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increase/(decrease) in cash</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3,020,342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(113,439)</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945,265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273,593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3,965,607</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160,154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w w:val="99"/>
              </w:rPr>
              <w:t>Obtaining right-of-use assets in exchange for operating lease liabilities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27,556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215,369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Contribution from shareholder (Note 12)</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(36,266)</w:t>
            </w:r>
          </w:p>
        </w:tc>
        <w:tc>
          <w:tcPr>
            <w:tcW w:w="0" w:type="dxa"/>
            <w:vAlign w:val="bottom"/>
          </w:tcPr>
          <w:p>
            <w:pPr>
              <w:spacing w:after="0"/>
              <w:rPr>
                <w:sz w:val="1"/>
                <w:szCs w:val="1"/>
                <w:color w:val="auto"/>
              </w:rPr>
            </w:pPr>
          </w:p>
        </w:tc>
      </w:tr>
      <w:tr>
        <w:trPr>
          <w:trHeight w:val="40"/>
        </w:trPr>
        <w:tc>
          <w:tcPr>
            <w:tcW w:w="56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8" w:name="page159"/>
    <w:bookmarkEnd w:id="15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20" w:right="52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4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Trident Digital Tech Holdings Ltd (the “Company”) and its subsidiaries (collectively referred to as the “Group”) are principally engaged in the provision of business consulting service and IT customization solutions in the Republic of Singapore (the “Singapore”).</w:t>
      </w:r>
    </w:p>
    <w:p>
      <w:pPr>
        <w:spacing w:after="0" w:line="180" w:lineRule="exact"/>
        <w:rPr>
          <w:sz w:val="20"/>
          <w:szCs w:val="20"/>
          <w:color w:val="auto"/>
        </w:rPr>
      </w:pPr>
    </w:p>
    <w:p>
      <w:pPr>
        <w:ind w:left="860" w:hanging="406"/>
        <w:spacing w:after="0"/>
        <w:tabs>
          <w:tab w:leader="none" w:pos="8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61" w:lineRule="exact"/>
        <w:rPr>
          <w:rFonts w:ascii="Arial" w:cs="Arial" w:eastAsia="Arial" w:hAnsi="Arial"/>
          <w:sz w:val="18"/>
          <w:szCs w:val="18"/>
          <w:b w:val="1"/>
          <w:bCs w:val="1"/>
          <w:color w:val="auto"/>
        </w:rPr>
      </w:pPr>
    </w:p>
    <w:p>
      <w:pPr>
        <w:ind w:left="1280" w:hanging="394"/>
        <w:spacing w:after="0"/>
        <w:tabs>
          <w:tab w:leader="none" w:pos="1280" w:val="left"/>
        </w:tabs>
        <w:numPr>
          <w:ilvl w:val="1"/>
          <w:numId w:val="1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 and principles of consolidation</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 Certain information and footnote disclosures, which are normally included in annual financial statements prepared in accordance with US GAAP, have been omitted pursuant to those rules and regulations. The unaudited interim financial information should be read in conjunction with the audited financial statements and the notes thereto, included in the registration statements for the fiscal years ended December 31, 2022 and 2021.</w:t>
      </w:r>
    </w:p>
    <w:p>
      <w:pPr>
        <w:spacing w:after="0" w:line="100"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In the opinion of the management, the accompanying unaudited condensed consolidated financial statements reflect all normal recurring adjustments, which are necessary for a fair statement of financial results for the interim periods presented. The Company believes that the disclosures are adequate to make the information presented not misleading. The accompanying unaudited condensed consolidated financial statements have been prepared using the same accounting policies as used in the preparation of the Company’s consolidated financial statements for the year ended December 31, 2022. The results of operations for the six months ended June 30, 2023 are not necessarily indicative of the results for the full year.</w:t>
      </w:r>
    </w:p>
    <w:p>
      <w:pPr>
        <w:spacing w:after="0" w:line="99"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Accounts receivable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Accounts receivable is stated at the original amount less an allowance for doubtful receivable.</w:t>
      </w:r>
    </w:p>
    <w:p>
      <w:pPr>
        <w:spacing w:after="0" w:line="144"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Accounts receivable are recognized in the period when the Group has provided services to its customers and when its right to consideration is unconditional. In January 1, 2023, the Group adopted ASU 2016-13, “Financial Instruments — Credit Losses (Topic 326): Measurement on Credit Losses on Financial Instruments”, including certain subsequent amendments, transitional guidance and other interpretive guidance within</w:t>
      </w:r>
    </w:p>
    <w:p>
      <w:pPr>
        <w:spacing w:after="0" w:line="1" w:lineRule="exact"/>
        <w:rPr>
          <w:sz w:val="20"/>
          <w:szCs w:val="20"/>
          <w:color w:val="auto"/>
        </w:rPr>
      </w:pPr>
    </w:p>
    <w:p>
      <w:pPr>
        <w:ind w:left="460" w:right="559"/>
        <w:spacing w:after="0" w:line="269" w:lineRule="auto"/>
        <w:rPr>
          <w:sz w:val="20"/>
          <w:szCs w:val="20"/>
          <w:color w:val="auto"/>
        </w:rPr>
      </w:pPr>
      <w:r>
        <w:rPr>
          <w:rFonts w:ascii="Arial" w:cs="Arial" w:eastAsia="Arial" w:hAnsi="Arial"/>
          <w:sz w:val="17"/>
          <w:szCs w:val="17"/>
          <w:color w:val="auto"/>
        </w:rPr>
        <w:t>ASU 2018-19, ASU 2019-04, ASU 2019-05, ASU 2019-11, ASU 2020-02 and ASU 2020-03 (collectively, including ASU 2016-13, “ASC 326”). ASC 326 introduces an approach based on expected losses to estimate the allowance for doubtful accounts, which replaces the previous incurred loss impairment model. The Group’s estimation of allowance for doubtful accounts considers factors such as historical credit loss experience, age of receivable balances, current market conditions, reasonable and supportable forecasts of future economic conditions, as well as an assessment of receivables due from specific identifiable counterparties to determine whether these receivables are considered at risk or uncollectible.</w:t>
      </w:r>
    </w:p>
    <w:p>
      <w:pPr>
        <w:spacing w:after="0" w:line="113"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Group reviews the accounts receivable on a periodic basis and makes general and specific allowances when there is doubt as to the collectability of individual balances. The Group considers factors in assessing the collectability of its receivables, such as the age of the amounts due, the customer’s payment history, credit-worthiness and other specific circumstances related to the accounts. An allowance for doubtful accounts is recorded in the period in which a loss is determined to be probable. Accounts receivable balances are written off after all collection efforts have been exhausted.</w:t>
      </w:r>
    </w:p>
    <w:p>
      <w:pPr>
        <w:spacing w:after="0" w:line="110" w:lineRule="exact"/>
        <w:rPr>
          <w:sz w:val="20"/>
          <w:szCs w:val="20"/>
          <w:color w:val="auto"/>
        </w:rPr>
      </w:pPr>
    </w:p>
    <w:p>
      <w:pPr>
        <w:jc w:val="center"/>
        <w:ind w:left="2160" w:right="160"/>
        <w:spacing w:after="0" w:line="481" w:lineRule="auto"/>
        <w:rPr>
          <w:sz w:val="20"/>
          <w:szCs w:val="20"/>
          <w:color w:val="auto"/>
        </w:rPr>
      </w:pPr>
      <w:r>
        <w:rPr>
          <w:rFonts w:ascii="Arial" w:cs="Arial" w:eastAsia="Arial" w:hAnsi="Arial"/>
          <w:sz w:val="18"/>
          <w:szCs w:val="18"/>
          <w:color w:val="auto"/>
        </w:rPr>
        <w:t>There was no provision of allowance for doubtful accounts as of June 30, 2023 and December 31, 2022. 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9" w:name="page160"/>
    <w:bookmarkEnd w:id="15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20" w:right="52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1320" w:hanging="434"/>
        <w:spacing w:after="0"/>
        <w:tabs>
          <w:tab w:leader="none" w:pos="1320" w:val="left"/>
        </w:tabs>
        <w:numPr>
          <w:ilvl w:val="0"/>
          <w:numId w:val="1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spacing w:after="0" w:line="83"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spacing w:after="0" w:line="125" w:lineRule="exact"/>
        <w:rPr>
          <w:sz w:val="20"/>
          <w:szCs w:val="20"/>
          <w:color w:val="auto"/>
        </w:rPr>
      </w:pPr>
    </w:p>
    <w:p>
      <w:pPr>
        <w:ind w:left="460" w:right="1399" w:firstLine="432"/>
        <w:spacing w:after="0" w:line="277" w:lineRule="auto"/>
        <w:rPr>
          <w:sz w:val="20"/>
          <w:szCs w:val="20"/>
          <w:color w:val="auto"/>
        </w:rPr>
      </w:pPr>
      <w:r>
        <w:rPr>
          <w:rFonts w:ascii="Arial" w:cs="Arial" w:eastAsia="Arial" w:hAnsi="Arial"/>
          <w:sz w:val="18"/>
          <w:szCs w:val="18"/>
          <w:color w:val="auto"/>
        </w:rPr>
        <w:t>The Group derives its revenues principally from providing business consulting service and IT customization service.</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Revenue recognition policies for each type of revenue stream are as follows: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Business consulting</w:t>
      </w:r>
    </w:p>
    <w:p>
      <w:pPr>
        <w:spacing w:after="0" w:line="14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spacing w:after="0" w:line="119"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Group provides a series of business consulting services which is interrelated as one promise to support the customers to achieve brand strategy and marketing strategy development.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IT customization</w:t>
      </w:r>
    </w:p>
    <w:p>
      <w:pPr>
        <w:spacing w:after="0" w:line="15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IT consulting</w:t>
      </w:r>
    </w:p>
    <w:p>
      <w:pPr>
        <w:spacing w:after="0" w:line="144"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The Group provides a series of IT consulting service which is interrelated as one promise to develop customized software solutions.</w:t>
      </w:r>
    </w:p>
    <w:p>
      <w:pPr>
        <w:spacing w:after="0" w:line="103"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The revenue is recognized at a point in time when the customized software solution is successfully completed, delivered and accepted by customers.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0" w:name="page161"/>
    <w:bookmarkEnd w:id="16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Management software</w:t>
      </w:r>
    </w:p>
    <w:p>
      <w:pPr>
        <w:spacing w:after="0" w:line="144"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The Group offers a range of management software solutions to customers via an annual subscription-based model, and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 a cloud-based infrastructure hosted by the Group, well set-up and implemented with a session of training, which is needed to allow the customer to access the software functionality, and has accounted for the promise as one combined performance obligation.</w:t>
      </w:r>
    </w:p>
    <w:p>
      <w:pPr>
        <w:spacing w:after="0" w:line="110" w:lineRule="exact"/>
        <w:rPr>
          <w:sz w:val="20"/>
          <w:szCs w:val="20"/>
          <w:color w:val="auto"/>
        </w:rPr>
      </w:pPr>
    </w:p>
    <w:p>
      <w:pPr>
        <w:ind w:left="460" w:right="659" w:firstLine="432"/>
        <w:spacing w:after="0" w:line="286" w:lineRule="auto"/>
        <w:rPr>
          <w:sz w:val="20"/>
          <w:szCs w:val="20"/>
          <w:color w:val="auto"/>
        </w:rPr>
      </w:pPr>
      <w:r>
        <w:rPr>
          <w:rFonts w:ascii="Arial" w:cs="Arial" w:eastAsia="Arial" w:hAnsi="Arial"/>
          <w:sz w:val="17"/>
          <w:szCs w:val="17"/>
          <w:color w:val="auto"/>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spacing w:after="0" w:line="98"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The contract payment is made by the customers in advance, and not subject to any variable consideration, refund, cancellation or termination provision. No significant financing component, noncash payment identified in the arrangements with customers.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Revenue by categories</w:t>
      </w:r>
    </w:p>
    <w:p>
      <w:pPr>
        <w:spacing w:after="0" w:line="144" w:lineRule="exact"/>
        <w:rPr>
          <w:sz w:val="20"/>
          <w:szCs w:val="20"/>
          <w:color w:val="auto"/>
        </w:rPr>
      </w:pPr>
    </w:p>
    <w:p>
      <w:pPr>
        <w:jc w:val="both"/>
        <w:ind w:left="460" w:right="539" w:firstLine="432"/>
        <w:spacing w:after="0" w:line="277" w:lineRule="auto"/>
        <w:rPr>
          <w:sz w:val="20"/>
          <w:szCs w:val="20"/>
          <w:color w:val="auto"/>
        </w:rPr>
      </w:pPr>
      <w:r>
        <w:rPr>
          <w:rFonts w:ascii="Arial" w:cs="Arial" w:eastAsia="Arial" w:hAnsi="Arial"/>
          <w:sz w:val="18"/>
          <w:szCs w:val="18"/>
          <w:color w:val="auto"/>
        </w:rPr>
        <w:t>The following table disaggregates the Group’s revenue categories for the six months ended June 30, 2023 and 2022:</w:t>
      </w:r>
    </w:p>
    <w:p>
      <w:pPr>
        <w:spacing w:after="0" w:line="144" w:lineRule="exact"/>
        <w:rPr>
          <w:sz w:val="20"/>
          <w:szCs w:val="20"/>
          <w:color w:val="auto"/>
        </w:rPr>
      </w:pPr>
    </w:p>
    <w:p>
      <w:pPr>
        <w:jc w:val="center"/>
        <w:ind w:left="5560"/>
        <w:spacing w:after="0"/>
        <w:rPr>
          <w:sz w:val="20"/>
          <w:szCs w:val="20"/>
          <w:color w:val="auto"/>
        </w:rPr>
      </w:pPr>
      <w:r>
        <w:rPr>
          <w:rFonts w:ascii="Arial" w:cs="Arial" w:eastAsia="Arial" w:hAnsi="Arial"/>
          <w:sz w:val="16"/>
          <w:szCs w:val="16"/>
          <w:b w:val="1"/>
          <w:bCs w:val="1"/>
          <w:color w:val="auto"/>
        </w:rPr>
        <w:t>For the six months Ended</w:t>
      </w:r>
    </w:p>
    <w:p>
      <w:pPr>
        <w:spacing w:after="0" w:line="26"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Business consulting service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113,764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192,513</w:t>
            </w: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IT customization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367,401</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282,610</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 IT consulting</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130,289</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272,874</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(ii) Management software</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237,112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9,736</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481,165</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475,123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144" w:lineRule="exact"/>
        <w:rPr>
          <w:sz w:val="20"/>
          <w:szCs w:val="20"/>
          <w:color w:val="auto"/>
        </w:rPr>
      </w:pPr>
    </w:p>
    <w:p>
      <w:pPr>
        <w:ind w:left="460" w:right="579" w:firstLine="432"/>
        <w:spacing w:after="0" w:line="311" w:lineRule="auto"/>
        <w:rPr>
          <w:sz w:val="20"/>
          <w:szCs w:val="20"/>
          <w:color w:val="auto"/>
        </w:rPr>
      </w:pPr>
      <w:r>
        <w:rPr>
          <w:rFonts w:ascii="Arial" w:cs="Arial" w:eastAsia="Arial" w:hAnsi="Arial"/>
          <w:sz w:val="16"/>
          <w:szCs w:val="16"/>
          <w:color w:val="auto"/>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spacing w:after="0" w:line="81"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and incurred costs to fulfill service contract before service is provided to a customer as contract asset and amortized to cost in a pattern that matches the timing of the revenue recognition of the related contract. The Group’s contract assets were $540,496 and $268,509 as of June 30, 2023 and December 31, 2022, respectively.</w:t>
      </w:r>
    </w:p>
    <w:p>
      <w:pPr>
        <w:spacing w:after="0" w:line="9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contract liabilities consist of deferred revenue, which represents the billings or cash received for services in advance of revenue recognition and is recognized as revenue when all the Group’s revenue recognition criteria are met. Contract assets and contract liabilities are reported in a net position on an individual contract basis at the end of each reporting period. The Group’s deferred revenue was $1,010,684 and $654,063 as of June 30, 2023 and December 31, 2022, respectively. The revenue recognized for the six months ended June 30, 2023 and for the year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1" w:name="page162"/>
    <w:bookmarkEnd w:id="16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539"/>
        <w:spacing w:after="0" w:line="263" w:lineRule="auto"/>
        <w:rPr>
          <w:sz w:val="20"/>
          <w:szCs w:val="20"/>
          <w:color w:val="auto"/>
        </w:rPr>
      </w:pPr>
      <w:r>
        <w:rPr>
          <w:rFonts w:ascii="Arial" w:cs="Arial" w:eastAsia="Arial" w:hAnsi="Arial"/>
          <w:sz w:val="18"/>
          <w:szCs w:val="18"/>
          <w:color w:val="auto"/>
        </w:rPr>
        <w:t>ended December 31, 2022 that was included in the contract liability balance at the beginning of the period were $292,778 and $173,852, respectively. All unsatisfied performance obligation will be performed within the next twelve months and no significant financing component is involved.</w:t>
      </w:r>
    </w:p>
    <w:p>
      <w:pPr>
        <w:spacing w:after="0" w:line="116" w:lineRule="exact"/>
        <w:rPr>
          <w:sz w:val="20"/>
          <w:szCs w:val="20"/>
          <w:color w:val="auto"/>
        </w:rPr>
      </w:pPr>
    </w:p>
    <w:p>
      <w:pPr>
        <w:ind w:left="460" w:right="679" w:firstLine="432"/>
        <w:spacing w:after="0" w:line="342" w:lineRule="auto"/>
        <w:rPr>
          <w:sz w:val="20"/>
          <w:szCs w:val="20"/>
          <w:color w:val="auto"/>
        </w:rPr>
      </w:pPr>
      <w:r>
        <w:rPr>
          <w:rFonts w:ascii="Arial" w:cs="Arial" w:eastAsia="Arial" w:hAnsi="Arial"/>
          <w:sz w:val="16"/>
          <w:szCs w:val="16"/>
          <w:color w:val="auto"/>
        </w:rPr>
        <w:t>Other than accounts receivable and deferred revenue, the Group had no other material contract assets or contract liabilities recorded on its consolidated balance sheets as of June 30, 2023 and December 31, 2022.</w:t>
      </w:r>
    </w:p>
    <w:p>
      <w:pPr>
        <w:spacing w:after="0" w:line="43"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Foreign currency transactions and translations</w:t>
      </w:r>
    </w:p>
    <w:p>
      <w:pPr>
        <w:spacing w:after="0" w:line="158" w:lineRule="exact"/>
        <w:rPr>
          <w:sz w:val="20"/>
          <w:szCs w:val="20"/>
          <w:color w:val="auto"/>
        </w:rPr>
      </w:pPr>
    </w:p>
    <w:p>
      <w:pPr>
        <w:ind w:left="460" w:right="599" w:firstLine="432"/>
        <w:spacing w:after="0" w:line="275" w:lineRule="auto"/>
        <w:rPr>
          <w:sz w:val="20"/>
          <w:szCs w:val="20"/>
          <w:color w:val="auto"/>
        </w:rPr>
      </w:pPr>
      <w:r>
        <w:rPr>
          <w:rFonts w:ascii="Arial" w:cs="Arial" w:eastAsia="Arial" w:hAnsi="Arial"/>
          <w:sz w:val="17"/>
          <w:szCs w:val="17"/>
          <w:color w:val="auto"/>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income and comprehensive income.</w:t>
      </w:r>
    </w:p>
    <w:p>
      <w:pPr>
        <w:spacing w:after="0" w:line="109" w:lineRule="exact"/>
        <w:rPr>
          <w:sz w:val="20"/>
          <w:szCs w:val="20"/>
          <w:color w:val="auto"/>
        </w:rPr>
      </w:pPr>
    </w:p>
    <w:p>
      <w:pPr>
        <w:jc w:val="both"/>
        <w:ind w:left="460" w:right="759" w:firstLine="432"/>
        <w:spacing w:after="0" w:line="311" w:lineRule="auto"/>
        <w:rPr>
          <w:sz w:val="20"/>
          <w:szCs w:val="20"/>
          <w:color w:val="auto"/>
        </w:rPr>
      </w:pPr>
      <w:r>
        <w:rPr>
          <w:rFonts w:ascii="Arial" w:cs="Arial" w:eastAsia="Arial" w:hAnsi="Arial"/>
          <w:sz w:val="16"/>
          <w:szCs w:val="16"/>
          <w:color w:val="auto"/>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spacing w:after="0" w:line="68"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Cash flows are also translated at average translation rates for the periods; therefore, amounts reported on the statement of cash flows will not necessarily agree with changes in the corresponding balances on the consolidated balance sheets.</w:t>
      </w:r>
    </w:p>
    <w:p>
      <w:pPr>
        <w:spacing w:after="0" w:line="111"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Translation of foreign currencies into US$1 have been made at the following exchange rates for the respective periods: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5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84"/>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240" w:type="dxa"/>
            <w:vAlign w:val="bottom"/>
            <w:gridSpan w:val="2"/>
          </w:tcPr>
          <w:p>
            <w:pPr>
              <w:jc w:val="center"/>
              <w:ind w:right="140"/>
              <w:spacing w:after="0" w:line="182" w:lineRule="exact"/>
              <w:rPr>
                <w:sz w:val="20"/>
                <w:szCs w:val="20"/>
                <w:color w:val="auto"/>
              </w:rPr>
            </w:pPr>
            <w:r>
              <w:rPr>
                <w:rFonts w:ascii="Arial" w:cs="Arial" w:eastAsia="Arial" w:hAnsi="Arial"/>
                <w:sz w:val="16"/>
                <w:szCs w:val="16"/>
                <w:b w:val="1"/>
                <w:bCs w:val="1"/>
                <w:color w:val="auto"/>
                <w:w w:val="90"/>
              </w:rPr>
              <w:t>June 30,</w:t>
            </w:r>
          </w:p>
        </w:tc>
        <w:tc>
          <w:tcPr>
            <w:tcW w:w="12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sheet items, except for equity accounts</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5600" w:type="dxa"/>
            <w:vAlign w:val="bottom"/>
          </w:tcPr>
          <w:p>
            <w:pPr>
              <w:spacing w:after="0"/>
              <w:rPr>
                <w:sz w:val="24"/>
                <w:szCs w:val="24"/>
                <w:color w:val="auto"/>
              </w:rPr>
            </w:pPr>
          </w:p>
        </w:tc>
        <w:tc>
          <w:tcPr>
            <w:tcW w:w="252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0"/>
              </w:rPr>
              <w:t>For the six months Ended</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5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Items in the statements of income and comprehensive income, and</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statements of cash flows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320" w:hanging="434"/>
        <w:spacing w:after="0"/>
        <w:tabs>
          <w:tab w:leader="none" w:pos="1320" w:val="left"/>
        </w:tabs>
        <w:numPr>
          <w:ilvl w:val="0"/>
          <w:numId w:val="1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58" w:lineRule="exact"/>
        <w:rPr>
          <w:sz w:val="20"/>
          <w:szCs w:val="20"/>
          <w:color w:val="auto"/>
        </w:rPr>
      </w:pPr>
    </w:p>
    <w:p>
      <w:pPr>
        <w:ind w:left="460" w:right="739" w:firstLine="432"/>
        <w:spacing w:after="0" w:line="273" w:lineRule="auto"/>
        <w:rPr>
          <w:sz w:val="20"/>
          <w:szCs w:val="20"/>
          <w:color w:val="auto"/>
        </w:rPr>
      </w:pPr>
      <w:r>
        <w:rPr>
          <w:rFonts w:ascii="Arial" w:cs="Arial" w:eastAsia="Arial" w:hAnsi="Arial"/>
          <w:sz w:val="17"/>
          <w:szCs w:val="17"/>
          <w:color w:val="auto"/>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2" w:name="page163"/>
    <w:bookmarkEnd w:id="16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1300" w:hanging="414"/>
        <w:spacing w:after="0"/>
        <w:tabs>
          <w:tab w:leader="none" w:pos="1300" w:val="left"/>
        </w:tabs>
        <w:numPr>
          <w:ilvl w:val="0"/>
          <w:numId w:val="1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offering costs</w:t>
      </w:r>
    </w:p>
    <w:p>
      <w:pPr>
        <w:spacing w:after="0" w:line="158"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Deferred offering costs consist of legal, consulting, underwriting fees and other costs incurred through the balance sheet date that are directly related to the proposed public offering and certain private equity financing transaction. These costs, together with the underwriting discounts and commissions, will be charged to additional paid-in capital, net against the gross proceeds, upon completion of the proposed public offering. Should the proposed public offering prove to be unsuccessful, these deferred costs, as well as additional expenses to be incurred, will be charged to operations.</w:t>
      </w:r>
    </w:p>
    <w:p>
      <w:pPr>
        <w:spacing w:after="0" w:line="97"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5"/>
          <w:szCs w:val="15"/>
          <w:b w:val="1"/>
          <w:bCs w:val="1"/>
          <w:i w:val="1"/>
          <w:iCs w:val="1"/>
          <w:color w:val="auto"/>
        </w:rPr>
        <w:t>Recent accounting pronouncements</w:t>
      </w:r>
    </w:p>
    <w:p>
      <w:pPr>
        <w:spacing w:after="0" w:line="15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w:t>
      </w:r>
    </w:p>
    <w:p>
      <w:pPr>
        <w:spacing w:after="0" w:line="119"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The Group does not discuss recent standards that are not anticipated to have an impact on or are unrelated to its consolidated financial condition, results of operations, cash flows or disclosures.</w:t>
      </w:r>
    </w:p>
    <w:p>
      <w:pPr>
        <w:spacing w:after="0" w:line="166" w:lineRule="exact"/>
        <w:rPr>
          <w:sz w:val="20"/>
          <w:szCs w:val="20"/>
          <w:color w:val="auto"/>
        </w:rPr>
      </w:pPr>
    </w:p>
    <w:p>
      <w:pPr>
        <w:ind w:left="860" w:hanging="406"/>
        <w:spacing w:after="0"/>
        <w:tabs>
          <w:tab w:leader="none" w:pos="8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Accounts receivable consisted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60"/>
              <w:spacing w:after="0" w:line="182" w:lineRule="exact"/>
              <w:rPr>
                <w:sz w:val="20"/>
                <w:szCs w:val="20"/>
                <w:color w:val="auto"/>
              </w:rPr>
            </w:pPr>
            <w:r>
              <w:rPr>
                <w:rFonts w:ascii="Arial" w:cs="Arial" w:eastAsia="Arial" w:hAnsi="Arial"/>
                <w:sz w:val="16"/>
                <w:szCs w:val="16"/>
                <w:b w:val="1"/>
                <w:bCs w:val="1"/>
                <w:color w:val="auto"/>
                <w:w w:val="99"/>
              </w:rPr>
              <w:t>June 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94"/>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5"/>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74,554</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74,554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Group recorded nil bad debt expense for the six months ended June 30, 2023 and 2022.</w:t>
      </w:r>
    </w:p>
    <w:p>
      <w:pPr>
        <w:spacing w:after="0" w:line="221" w:lineRule="exact"/>
        <w:rPr>
          <w:sz w:val="20"/>
          <w:szCs w:val="20"/>
          <w:color w:val="auto"/>
        </w:rPr>
      </w:pPr>
    </w:p>
    <w:p>
      <w:pPr>
        <w:ind w:left="880" w:right="3499" w:hanging="426"/>
        <w:spacing w:after="0" w:line="522" w:lineRule="auto"/>
        <w:tabs>
          <w:tab w:leader="none" w:pos="853"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PREPAID EXPENSES AND OTHER CURRENT ASSETS </w:t>
      </w:r>
      <w:r>
        <w:rPr>
          <w:rFonts w:ascii="Arial" w:cs="Arial" w:eastAsia="Arial" w:hAnsi="Arial"/>
          <w:sz w:val="16"/>
          <w:szCs w:val="16"/>
          <w:color w:val="auto"/>
        </w:rPr>
        <w:t>Prepayments and other current assets consisted of the following:</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7"/>
        </w:trPr>
        <w:tc>
          <w:tcPr>
            <w:tcW w:w="3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6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60"/>
              <w:spacing w:after="0" w:line="182" w:lineRule="exact"/>
              <w:rPr>
                <w:sz w:val="20"/>
                <w:szCs w:val="20"/>
                <w:color w:val="auto"/>
              </w:rPr>
            </w:pPr>
            <w:r>
              <w:rPr>
                <w:rFonts w:ascii="Arial" w:cs="Arial" w:eastAsia="Arial" w:hAnsi="Arial"/>
                <w:sz w:val="16"/>
                <w:szCs w:val="16"/>
                <w:b w:val="1"/>
                <w:bCs w:val="1"/>
                <w:color w:val="auto"/>
                <w:w w:val="99"/>
              </w:rPr>
              <w:t>June 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93"/>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Deposit</w:t>
            </w:r>
          </w:p>
        </w:tc>
        <w:tc>
          <w:tcPr>
            <w:tcW w:w="19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86,821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Tax prepayment</w:t>
            </w:r>
          </w:p>
        </w:tc>
        <w:tc>
          <w:tcPr>
            <w:tcW w:w="1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53,994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32,538</w:t>
            </w:r>
          </w:p>
        </w:tc>
        <w:tc>
          <w:tcPr>
            <w:tcW w:w="0" w:type="dxa"/>
            <w:vAlign w:val="bottom"/>
          </w:tcPr>
          <w:p>
            <w:pPr>
              <w:spacing w:after="0"/>
              <w:rPr>
                <w:sz w:val="1"/>
                <w:szCs w:val="1"/>
                <w:color w:val="auto"/>
              </w:rPr>
            </w:pPr>
          </w:p>
        </w:tc>
      </w:tr>
      <w:tr>
        <w:trPr>
          <w:trHeight w:val="40"/>
        </w:trPr>
        <w:tc>
          <w:tcPr>
            <w:tcW w:w="36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receivables</w:t>
            </w:r>
          </w:p>
        </w:tc>
        <w:tc>
          <w:tcPr>
            <w:tcW w:w="1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25,621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w w:val="93"/>
              </w:rPr>
              <w:t>Total prepaid expenses and other current assets</w:t>
            </w:r>
          </w:p>
        </w:tc>
        <w:tc>
          <w:tcPr>
            <w:tcW w:w="1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620" w:type="dxa"/>
            <w:vAlign w:val="bottom"/>
            <w:vMerge w:val="continue"/>
          </w:tcPr>
          <w:p>
            <w:pPr>
              <w:spacing w:after="0"/>
              <w:rPr>
                <w:sz w:val="21"/>
                <w:szCs w:val="21"/>
                <w:color w:val="auto"/>
              </w:rPr>
            </w:pPr>
          </w:p>
        </w:tc>
        <w:tc>
          <w:tcPr>
            <w:tcW w:w="19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166,436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141,851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ind w:right="1470"/>
              <w:spacing w:after="0"/>
              <w:rPr>
                <w:sz w:val="20"/>
                <w:szCs w:val="20"/>
                <w:color w:val="auto"/>
              </w:rPr>
            </w:pPr>
            <w:r>
              <w:rPr>
                <w:rFonts w:ascii="Arial" w:cs="Arial" w:eastAsia="Arial" w:hAnsi="Arial"/>
                <w:sz w:val="18"/>
                <w:szCs w:val="18"/>
                <w:color w:val="auto"/>
              </w:rPr>
              <w:t>F-31</w:t>
            </w: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63" w:name="page164"/>
    <w:bookmarkEnd w:id="16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Property and equipment, net, consisted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2" w:lineRule="exact"/>
              <w:rPr>
                <w:sz w:val="20"/>
                <w:szCs w:val="20"/>
                <w:color w:val="auto"/>
              </w:rPr>
            </w:pPr>
            <w:r>
              <w:rPr>
                <w:rFonts w:ascii="Arial" w:cs="Arial" w:eastAsia="Arial" w:hAnsi="Arial"/>
                <w:sz w:val="16"/>
                <w:szCs w:val="16"/>
                <w:b w:val="1"/>
                <w:bCs w:val="1"/>
                <w:color w:val="auto"/>
                <w:w w:val="99"/>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2"/>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Office and electric equipment</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62,635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47,531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121,869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Subtotal</w:t>
            </w: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206,400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129,444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165,264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106,718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1079" w:firstLine="432"/>
        <w:spacing w:after="0" w:line="277" w:lineRule="auto"/>
        <w:rPr>
          <w:sz w:val="20"/>
          <w:szCs w:val="20"/>
          <w:color w:val="auto"/>
        </w:rPr>
      </w:pPr>
      <w:r>
        <w:rPr>
          <w:rFonts w:ascii="Arial" w:cs="Arial" w:eastAsia="Arial" w:hAnsi="Arial"/>
          <w:sz w:val="18"/>
          <w:szCs w:val="18"/>
          <w:color w:val="auto"/>
        </w:rPr>
        <w:t>Depreciation expense were $18,837 and $5,663 for the six months ended June 30, 2023 and 2022, respectively.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Group did not record any impairment charge for the six months ended June 30, 2023 and 2022.</w:t>
      </w:r>
    </w:p>
    <w:p>
      <w:pPr>
        <w:spacing w:after="0" w:line="221" w:lineRule="exact"/>
        <w:rPr>
          <w:sz w:val="20"/>
          <w:szCs w:val="20"/>
          <w:color w:val="auto"/>
        </w:rPr>
      </w:pPr>
    </w:p>
    <w:p>
      <w:pPr>
        <w:ind w:left="880" w:right="2879" w:hanging="426"/>
        <w:spacing w:after="0" w:line="522" w:lineRule="auto"/>
        <w:tabs>
          <w:tab w:leader="none" w:pos="853"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consisted of the following:</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2" w:lineRule="exact"/>
              <w:rPr>
                <w:sz w:val="20"/>
                <w:szCs w:val="20"/>
                <w:color w:val="auto"/>
              </w:rPr>
            </w:pPr>
            <w:r>
              <w:rPr>
                <w:rFonts w:ascii="Arial" w:cs="Arial" w:eastAsia="Arial" w:hAnsi="Arial"/>
                <w:sz w:val="16"/>
                <w:szCs w:val="16"/>
                <w:b w:val="1"/>
                <w:bCs w:val="1"/>
                <w:color w:val="auto"/>
                <w:w w:val="99"/>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3"/>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GST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Payroll payable</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216,463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120,185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r>
              <w:rPr>
                <w:rFonts w:ascii="Arial" w:cs="Arial" w:eastAsia="Arial" w:hAnsi="Arial"/>
                <w:sz w:val="20"/>
                <w:szCs w:val="20"/>
                <w:color w:val="auto"/>
                <w:vertAlign w:val="superscript"/>
              </w:rPr>
              <w:t>(1)</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230,694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303,730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The balance mainly consisted of reimbursement payable to employees and miscellaneous fees payable to third parties.</w:t>
      </w:r>
    </w:p>
    <w:p>
      <w:pPr>
        <w:spacing w:after="0" w:line="249" w:lineRule="exact"/>
        <w:rPr>
          <w:sz w:val="20"/>
          <w:szCs w:val="20"/>
          <w:color w:val="auto"/>
        </w:rPr>
      </w:pPr>
    </w:p>
    <w:p>
      <w:pPr>
        <w:ind w:left="860" w:hanging="406"/>
        <w:spacing w:after="0"/>
        <w:tabs>
          <w:tab w:leader="none" w:pos="8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SUBSCRIPTION FEES ADVANCE FROM A SHAREHOLDER</w:t>
      </w:r>
    </w:p>
    <w:p>
      <w:pPr>
        <w:spacing w:after="0" w:line="162"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On July 2022, Trident entered into a series of agreement with Stone Wealth Compound Fund SPC (“Stone Wealth”), a third-party investor, to sell 4.9590% of the Company’s total issued share capital prior to the initial public offering to Stone Wealth in exchange of $499,990 cash consideration. The Group recognized the received $499,990 (reflected as $519,943 at period end due to exchange rate) from Stone Wealth in advance as equity when the Group complete its reorganization and by issuing 24,795,000 Class B Ordinary Shares on July 4, 2023.</w:t>
      </w:r>
    </w:p>
    <w:p>
      <w:pPr>
        <w:spacing w:after="0" w:line="125" w:lineRule="exact"/>
        <w:rPr>
          <w:sz w:val="20"/>
          <w:szCs w:val="20"/>
          <w:color w:val="auto"/>
        </w:rPr>
      </w:pPr>
    </w:p>
    <w:p>
      <w:pPr>
        <w:ind w:left="460" w:right="599" w:firstLine="432"/>
        <w:spacing w:after="0" w:line="291" w:lineRule="auto"/>
        <w:rPr>
          <w:sz w:val="20"/>
          <w:szCs w:val="20"/>
          <w:color w:val="auto"/>
        </w:rPr>
      </w:pPr>
      <w:r>
        <w:rPr>
          <w:rFonts w:ascii="Arial" w:cs="Arial" w:eastAsia="Arial" w:hAnsi="Arial"/>
          <w:sz w:val="16"/>
          <w:szCs w:val="16"/>
          <w:color w:val="auto"/>
        </w:rPr>
        <w:t>On October 31 and November 1, 2022, the Group and Soon Huat Lim entered into a series of share sale agreement and supplemental agreements with Soon Tai Lee, a third-party investor. Pursuant to the agreements, the Group issues 45,000,000 shares of the Company to Soon Tai Lee in exchange of $3,000,000 cash consideration and Soon Huat Lim sold his 30,000,000 shares of the Company to Soon Tai Lee in exchange of $2,000,000 cash consideration. The Group recognized the received $3,000,000 (reflected as $3,135,167 at period end due to exchange rate) subscription fees advance from a shareholder as equity when the Group complete its reorganization and by issuing 45,000,000 Class B Ordinary Shares on July 4, 2023.</w:t>
      </w:r>
    </w:p>
    <w:p>
      <w:pPr>
        <w:spacing w:after="0" w:line="85" w:lineRule="exact"/>
        <w:rPr>
          <w:sz w:val="20"/>
          <w:szCs w:val="20"/>
          <w:color w:val="auto"/>
        </w:rPr>
      </w:pPr>
    </w:p>
    <w:p>
      <w:pPr>
        <w:ind w:left="460" w:right="639" w:firstLine="432"/>
        <w:spacing w:after="0" w:line="291" w:lineRule="auto"/>
        <w:rPr>
          <w:sz w:val="20"/>
          <w:szCs w:val="20"/>
          <w:color w:val="auto"/>
        </w:rPr>
      </w:pPr>
      <w:r>
        <w:rPr>
          <w:rFonts w:ascii="Arial" w:cs="Arial" w:eastAsia="Arial" w:hAnsi="Arial"/>
          <w:sz w:val="16"/>
          <w:szCs w:val="16"/>
          <w:color w:val="auto"/>
        </w:rPr>
        <w:t>On May 4 and May 5, 2023, the Group and Soon Huat Lim entered into a series of share sale agreement and supplemental agreements with Yat Hong Lo, a third-party investor. Pursuant to the agreements, the Group issues 20,000,000 shares of the Company to Yat Hong Lo in exchange of $4,000,000 cash consideration and Soon Huat Lim sold his 5,000,000 shares of the Company to Yat Hong Lo in exchange of $1,000,000 cash consideration. The Group recognized received $4,000,000 (reflected as $3,935,311 at period end due to exchange rate) subscription fees advance from a shareholder as equity when the Group complete its reorganization and by issuing 20,000,000 Class B Ordinary Shares on July 4, 2023.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4" w:name="page165"/>
    <w:bookmarkEnd w:id="16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A summary of lease cost recognized in the Group’s consolidated and combined statements of operations and comprehensive loss is as follows:</w:t>
      </w:r>
    </w:p>
    <w:p>
      <w:pPr>
        <w:spacing w:after="0" w:line="144" w:lineRule="exact"/>
        <w:rPr>
          <w:sz w:val="20"/>
          <w:szCs w:val="20"/>
          <w:color w:val="auto"/>
        </w:rPr>
      </w:pPr>
    </w:p>
    <w:p>
      <w:pPr>
        <w:jc w:val="center"/>
        <w:ind w:left="5560"/>
        <w:spacing w:after="0"/>
        <w:rPr>
          <w:sz w:val="20"/>
          <w:szCs w:val="20"/>
          <w:color w:val="auto"/>
        </w:rPr>
      </w:pPr>
      <w:r>
        <w:rPr>
          <w:rFonts w:ascii="Arial" w:cs="Arial" w:eastAsia="Arial" w:hAnsi="Arial"/>
          <w:sz w:val="16"/>
          <w:szCs w:val="16"/>
          <w:b w:val="1"/>
          <w:bCs w:val="1"/>
          <w:color w:val="auto"/>
        </w:rPr>
        <w:t>For the six months Ended</w:t>
      </w:r>
    </w:p>
    <w:p>
      <w:pPr>
        <w:spacing w:after="0" w:line="26"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 cost excluding short-term rental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200,142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16,043</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Short-term lease cost</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1,831</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200,292</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17,874</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spacing w:after="0" w:line="119"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As of June 30, 2023 and December 31, 2022, the weighted average remaining lease term was 3.92 years and 4.53 years, respectively, and the weighted average discount rate was 5.0% and 5.0% for the Group’s operating leases,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summarizes the maturity of lease liabilities under operating leases as of June 30,</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2023:</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Operating</w:t>
            </w:r>
          </w:p>
        </w:tc>
      </w:tr>
      <w:tr>
        <w:trPr>
          <w:trHeight w:val="210"/>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4"/>
              </w:rPr>
              <w:t>Leases</w:t>
            </w:r>
          </w:p>
        </w:tc>
      </w:tr>
      <w:tr>
        <w:trPr>
          <w:trHeight w:val="47"/>
        </w:trPr>
        <w:tc>
          <w:tcPr>
            <w:tcW w:w="6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r>
      <w:tr>
        <w:trPr>
          <w:trHeight w:val="24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215,285</w:t>
            </w:r>
          </w:p>
        </w:tc>
        <w:tc>
          <w:tcPr>
            <w:tcW w:w="20" w:type="dxa"/>
            <w:vAlign w:val="bottom"/>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445,552</w:t>
            </w:r>
          </w:p>
        </w:tc>
      </w:tr>
      <w:tr>
        <w:trPr>
          <w:trHeight w:val="40"/>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427,228</w:t>
            </w:r>
          </w:p>
        </w:tc>
        <w:tc>
          <w:tcPr>
            <w:tcW w:w="20" w:type="dxa"/>
            <w:vAlign w:val="bottom"/>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364,534</w:t>
            </w:r>
          </w:p>
        </w:tc>
      </w:tr>
      <w:tr>
        <w:trPr>
          <w:trHeight w:val="40"/>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2027</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225,793</w:t>
            </w:r>
          </w:p>
        </w:tc>
        <w:tc>
          <w:tcPr>
            <w:tcW w:w="20" w:type="dxa"/>
            <w:vAlign w:val="bottom"/>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lease payments</w:t>
            </w: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1,678,392</w:t>
            </w:r>
          </w:p>
        </w:tc>
      </w:tr>
      <w:tr>
        <w:trPr>
          <w:trHeight w:val="40"/>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156,754</w:t>
            </w:r>
          </w:p>
        </w:tc>
        <w:tc>
          <w:tcPr>
            <w:tcW w:w="20" w:type="dxa"/>
            <w:vAlign w:val="bottom"/>
          </w:tcPr>
          <w:p>
            <w:pPr>
              <w:spacing w:after="0"/>
              <w:rPr>
                <w:sz w:val="24"/>
                <w:szCs w:val="24"/>
                <w:color w:val="auto"/>
              </w:rPr>
            </w:pPr>
          </w:p>
        </w:tc>
      </w:tr>
      <w:tr>
        <w:trPr>
          <w:trHeight w:val="228"/>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1,521,638</w:t>
            </w:r>
          </w:p>
        </w:tc>
        <w:tc>
          <w:tcPr>
            <w:tcW w:w="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378,056</w:t>
            </w:r>
          </w:p>
        </w:tc>
        <w:tc>
          <w:tcPr>
            <w:tcW w:w="20" w:type="dxa"/>
            <w:vAlign w:val="bottom"/>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Non-current portion</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1,143,582</w:t>
            </w:r>
          </w:p>
        </w:tc>
        <w:tc>
          <w:tcPr>
            <w:tcW w:w="20" w:type="dxa"/>
            <w:vAlign w:val="bottom"/>
            <w:tcBorders>
              <w:bottom w:val="single" w:sz="8" w:color="auto"/>
            </w:tcBorders>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9.</w:t>
        <w:tab/>
        <w:t>TAXATION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Cayman Islands</w:t>
      </w:r>
    </w:p>
    <w:p>
      <w:pPr>
        <w:spacing w:after="0" w:line="144"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The Company is incorporated in the Cayman Islands. Under the current laws of the Cayman Islands, the Company is not subject to income or capital gains taxes. In addition, dividend payments are not subject to withholdings tax in the Cayman Islands.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5" w:name="page166"/>
    <w:bookmarkEnd w:id="16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44" w:lineRule="exact"/>
        <w:rPr>
          <w:sz w:val="20"/>
          <w:szCs w:val="20"/>
          <w:color w:val="auto"/>
        </w:rPr>
      </w:pPr>
    </w:p>
    <w:p>
      <w:pPr>
        <w:ind w:left="460" w:right="699" w:firstLine="432"/>
        <w:spacing w:after="0" w:line="308" w:lineRule="auto"/>
        <w:rPr>
          <w:sz w:val="20"/>
          <w:szCs w:val="20"/>
          <w:color w:val="auto"/>
        </w:rPr>
      </w:pPr>
      <w:r>
        <w:rPr>
          <w:rFonts w:ascii="Arial" w:cs="Arial" w:eastAsia="Arial" w:hAnsi="Arial"/>
          <w:sz w:val="17"/>
          <w:szCs w:val="17"/>
          <w:color w:val="auto"/>
        </w:rPr>
        <w:t>Trident Digital Tech Pte. Ltd. and Quality Zone Technologies Pte. Ltd. are located in Singapore and are subject to 17% statutory income tax rate with respect to the profit generated from Singapore.</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income tax provision consisted of the following components:</w:t>
      </w:r>
    </w:p>
    <w:p>
      <w:pPr>
        <w:spacing w:after="0" w:line="185" w:lineRule="exact"/>
        <w:rPr>
          <w:sz w:val="20"/>
          <w:szCs w:val="20"/>
          <w:color w:val="auto"/>
        </w:rPr>
      </w:pPr>
    </w:p>
    <w:p>
      <w:pPr>
        <w:jc w:val="center"/>
        <w:ind w:left="5560"/>
        <w:spacing w:after="0"/>
        <w:rPr>
          <w:sz w:val="20"/>
          <w:szCs w:val="20"/>
          <w:color w:val="auto"/>
        </w:rPr>
      </w:pPr>
      <w:r>
        <w:rPr>
          <w:rFonts w:ascii="Arial" w:cs="Arial" w:eastAsia="Arial" w:hAnsi="Arial"/>
          <w:sz w:val="16"/>
          <w:szCs w:val="16"/>
          <w:b w:val="1"/>
          <w:bCs w:val="1"/>
          <w:color w:val="auto"/>
        </w:rPr>
        <w:t>For the six months ended</w:t>
      </w:r>
    </w:p>
    <w:p>
      <w:pPr>
        <w:spacing w:after="0" w:line="26"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income tax expenses</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Deferred income tax expenses</w:t>
            </w:r>
          </w:p>
        </w:tc>
        <w:tc>
          <w:tcPr>
            <w:tcW w:w="860" w:type="dxa"/>
            <w:vAlign w:val="bottom"/>
          </w:tcPr>
          <w:p>
            <w:pPr>
              <w:spacing w:after="0"/>
              <w:rPr>
                <w:sz w:val="22"/>
                <w:szCs w:val="22"/>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r>
      <w:tr>
        <w:trPr>
          <w:trHeight w:val="27"/>
        </w:trPr>
        <w:tc>
          <w:tcPr>
            <w:tcW w:w="56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expenses</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A reconciliation between the Group’s actual provision for income taxes and the provision at the SG, mainland statutory rate is as follows:</w:t>
      </w:r>
    </w:p>
    <w:p>
      <w:pPr>
        <w:spacing w:after="0" w:line="130" w:lineRule="exact"/>
        <w:rPr>
          <w:sz w:val="20"/>
          <w:szCs w:val="20"/>
          <w:color w:val="auto"/>
        </w:rPr>
      </w:pPr>
    </w:p>
    <w:p>
      <w:pPr>
        <w:jc w:val="center"/>
        <w:ind w:left="5540"/>
        <w:spacing w:after="0"/>
        <w:rPr>
          <w:sz w:val="20"/>
          <w:szCs w:val="20"/>
          <w:color w:val="auto"/>
        </w:rPr>
      </w:pPr>
      <w:r>
        <w:rPr>
          <w:rFonts w:ascii="Arial" w:cs="Arial" w:eastAsia="Arial" w:hAnsi="Arial"/>
          <w:sz w:val="16"/>
          <w:szCs w:val="16"/>
          <w:b w:val="1"/>
          <w:bCs w:val="1"/>
          <w:color w:val="auto"/>
        </w:rPr>
        <w:t>For the six months ended</w:t>
      </w:r>
    </w:p>
    <w:p>
      <w:pPr>
        <w:spacing w:after="0" w:line="26" w:lineRule="exact"/>
        <w:rPr>
          <w:sz w:val="20"/>
          <w:szCs w:val="20"/>
          <w:color w:val="auto"/>
        </w:rPr>
      </w:pPr>
    </w:p>
    <w:p>
      <w:pPr>
        <w:jc w:val="center"/>
        <w:ind w:left="558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(1,861,412)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(156,703)</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Income tax expenses computed at statutory EIT rate</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(316,440)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(26,639)</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Non-taxable income</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effect on 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391,848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26,772</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Effective tax rates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right="799" w:firstLine="432"/>
        <w:spacing w:after="0" w:line="277" w:lineRule="auto"/>
        <w:rPr>
          <w:sz w:val="20"/>
          <w:szCs w:val="20"/>
          <w:color w:val="auto"/>
        </w:rPr>
      </w:pPr>
      <w:r>
        <w:rPr>
          <w:rFonts w:ascii="Arial" w:cs="Arial" w:eastAsia="Arial" w:hAnsi="Arial"/>
          <w:sz w:val="18"/>
          <w:szCs w:val="18"/>
          <w:color w:val="auto"/>
        </w:rPr>
        <w:t>As of June 30, 2023 and December 31, 2022, the significant components of the deferred tax assets are summarized below:</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4"/>
          </w:tcPr>
          <w:p>
            <w:pPr>
              <w:jc w:val="right"/>
              <w:ind w:right="992"/>
              <w:spacing w:after="0"/>
              <w:rPr>
                <w:sz w:val="20"/>
                <w:szCs w:val="20"/>
                <w:color w:val="auto"/>
              </w:rPr>
            </w:pPr>
            <w:r>
              <w:rPr>
                <w:rFonts w:ascii="Arial" w:cs="Arial" w:eastAsia="Arial" w:hAnsi="Arial"/>
                <w:sz w:val="16"/>
                <w:szCs w:val="16"/>
                <w:b w:val="1"/>
                <w:bCs w:val="1"/>
                <w:color w:val="auto"/>
                <w:w w:val="79"/>
              </w:rPr>
              <w:t>As of</w:t>
            </w: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82"/>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52"/>
              <w:spacing w:after="0" w:line="182" w:lineRule="exact"/>
              <w:rPr>
                <w:sz w:val="20"/>
                <w:szCs w:val="20"/>
                <w:color w:val="auto"/>
              </w:rPr>
            </w:pPr>
            <w:r>
              <w:rPr>
                <w:rFonts w:ascii="Arial" w:cs="Arial" w:eastAsia="Arial" w:hAnsi="Arial"/>
                <w:sz w:val="16"/>
                <w:szCs w:val="16"/>
                <w:b w:val="1"/>
                <w:bCs w:val="1"/>
                <w:color w:val="auto"/>
                <w:w w:val="99"/>
              </w:rPr>
              <w:t>June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92"/>
              <w:spacing w:after="0" w:line="182" w:lineRule="exact"/>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operating loss carried forward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562,071</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164,313</w:t>
            </w: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261,815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249,558</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173,899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111,191</w:t>
            </w: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 gross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997,785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525,062</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Valuation allowance</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(630,695)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(238,081)</w:t>
            </w: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 net of valuation allowance</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367,090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286,981</w:t>
            </w:r>
          </w:p>
        </w:tc>
      </w:tr>
      <w:tr>
        <w:trPr>
          <w:trHeight w:val="41"/>
        </w:trPr>
        <w:tc>
          <w:tcPr>
            <w:tcW w:w="56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180340</wp:posOffset>
            </wp:positionV>
            <wp:extent cx="5143500"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tax liabilities:</w:t>
      </w:r>
    </w:p>
    <w:p>
      <w:pPr>
        <w:sectPr>
          <w:pgSz w:w="11900" w:h="16838" w:orient="portrait"/>
          <w:cols w:equalWidth="0" w:num="1">
            <w:col w:w="9019"/>
          </w:cols>
          <w:pgMar w:left="1440" w:top="274" w:right="1440" w:bottom="1440" w:gutter="0" w:footer="0" w:header="0"/>
        </w:sectPr>
      </w:pP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Contract cost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Right-of-use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tax liabilities</w:t>
      </w:r>
    </w:p>
    <w:p>
      <w:pPr>
        <w:spacing w:after="0" w:line="38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Net Deferred tax assets (liability)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left="2180"/>
        <w:spacing w:after="0"/>
        <w:tabs>
          <w:tab w:leader="none" w:pos="3500" w:val="left"/>
        </w:tabs>
        <w:rPr>
          <w:sz w:val="20"/>
          <w:szCs w:val="20"/>
          <w:color w:val="auto"/>
        </w:rPr>
      </w:pPr>
      <w:r>
        <w:rPr>
          <w:rFonts w:ascii="Arial" w:cs="Arial" w:eastAsia="Arial" w:hAnsi="Arial"/>
          <w:sz w:val="18"/>
          <w:szCs w:val="18"/>
          <w:color w:val="auto"/>
        </w:rPr>
        <w:t>(92,998)</w:t>
      </w:r>
      <w:r>
        <w:rPr>
          <w:sz w:val="20"/>
          <w:szCs w:val="20"/>
          <w:color w:val="auto"/>
        </w:rPr>
        <w:tab/>
      </w:r>
      <w:r>
        <w:rPr>
          <w:rFonts w:ascii="Arial" w:cs="Arial" w:eastAsia="Arial" w:hAnsi="Arial"/>
          <w:sz w:val="18"/>
          <w:szCs w:val="18"/>
          <w:color w:val="auto"/>
        </w:rPr>
        <w:t>(22,686)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40640</wp:posOffset>
            </wp:positionV>
            <wp:extent cx="5143500" cy="1803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jc w:val="both"/>
        <w:ind w:left="2080"/>
        <w:spacing w:after="0"/>
        <w:tabs>
          <w:tab w:leader="none" w:pos="3400" w:val="left"/>
        </w:tabs>
        <w:rPr>
          <w:sz w:val="20"/>
          <w:szCs w:val="20"/>
          <w:color w:val="auto"/>
        </w:rPr>
      </w:pPr>
      <w:r>
        <w:rPr>
          <w:rFonts w:ascii="Arial" w:cs="Arial" w:eastAsia="Arial" w:hAnsi="Arial"/>
          <w:sz w:val="18"/>
          <w:szCs w:val="18"/>
          <w:color w:val="auto"/>
        </w:rPr>
        <w:t>(261,815)</w:t>
      </w:r>
      <w:r>
        <w:rPr>
          <w:sz w:val="20"/>
          <w:szCs w:val="20"/>
          <w:color w:val="auto"/>
        </w:rPr>
        <w:tab/>
      </w:r>
      <w:r>
        <w:rPr>
          <w:rFonts w:ascii="Arial" w:cs="Arial" w:eastAsia="Arial" w:hAnsi="Arial"/>
          <w:sz w:val="18"/>
          <w:szCs w:val="18"/>
          <w:color w:val="auto"/>
        </w:rPr>
        <w:t>(253,994)</w:t>
      </w:r>
    </w:p>
    <w:p>
      <w:pPr>
        <w:spacing w:after="0" w:line="77" w:lineRule="exact"/>
        <w:rPr>
          <w:sz w:val="20"/>
          <w:szCs w:val="20"/>
          <w:color w:val="auto"/>
        </w:rPr>
      </w:pPr>
    </w:p>
    <w:p>
      <w:pPr>
        <w:jc w:val="right"/>
        <w:ind w:right="559"/>
        <w:spacing w:after="0"/>
        <w:tabs>
          <w:tab w:leader="none" w:pos="580" w:val="left"/>
        </w:tabs>
        <w:rPr>
          <w:sz w:val="20"/>
          <w:szCs w:val="20"/>
          <w:color w:val="auto"/>
        </w:rPr>
      </w:pPr>
      <w:r>
        <w:rPr>
          <w:rFonts w:ascii="Arial" w:cs="Arial" w:eastAsia="Arial" w:hAnsi="Arial"/>
          <w:sz w:val="18"/>
          <w:szCs w:val="18"/>
          <w:color w:val="auto"/>
        </w:rPr>
        <w:t>(12,277)</w:t>
      </w:r>
      <w:r>
        <w:rPr>
          <w:sz w:val="20"/>
          <w:szCs w:val="20"/>
          <w:color w:val="auto"/>
        </w:rPr>
        <w:tab/>
      </w:r>
      <w:r>
        <w:rPr>
          <w:rFonts w:ascii="Arial" w:cs="Arial" w:eastAsia="Arial" w:hAnsi="Arial"/>
          <w:sz w:val="16"/>
          <w:szCs w:val="16"/>
          <w:color w:val="auto"/>
        </w:rPr>
        <w:t>(10,301)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40640</wp:posOffset>
            </wp:positionV>
            <wp:extent cx="5143500" cy="1803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3" w:lineRule="exact"/>
        <w:rPr>
          <w:sz w:val="20"/>
          <w:szCs w:val="20"/>
          <w:color w:val="auto"/>
        </w:rPr>
      </w:pPr>
    </w:p>
    <w:p>
      <w:pPr>
        <w:jc w:val="both"/>
        <w:ind w:left="1740"/>
        <w:spacing w:after="0"/>
        <w:tabs>
          <w:tab w:leader="none" w:pos="2060" w:val="left"/>
          <w:tab w:leader="none" w:pos="2940" w:val="left"/>
          <w:tab w:leader="none" w:pos="3400" w:val="left"/>
        </w:tabs>
        <w:rPr>
          <w:sz w:val="20"/>
          <w:szCs w:val="20"/>
          <w:color w:val="auto"/>
        </w:rPr>
      </w:pPr>
      <w:r>
        <w:rPr>
          <w:rFonts w:ascii="Arial" w:cs="Arial" w:eastAsia="Arial" w:hAnsi="Arial"/>
          <w:sz w:val="18"/>
          <w:szCs w:val="18"/>
          <w:b w:val="1"/>
          <w:bCs w:val="1"/>
          <w:color w:val="auto"/>
        </w:rPr>
        <w:t>$</w:t>
        <w:tab/>
        <w:t>(367,090)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(286,981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240030</wp:posOffset>
            </wp:positionV>
            <wp:extent cx="5143500" cy="179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1098550</wp:posOffset>
            </wp:positionH>
            <wp:positionV relativeFrom="paragraph">
              <wp:posOffset>51435</wp:posOffset>
            </wp:positionV>
            <wp:extent cx="14827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381" w:lineRule="exact"/>
        <w:rPr>
          <w:sz w:val="20"/>
          <w:szCs w:val="20"/>
          <w:color w:val="auto"/>
        </w:rPr>
      </w:pPr>
    </w:p>
    <w:p>
      <w:pPr>
        <w:ind w:left="1740"/>
        <w:spacing w:after="0"/>
        <w:tabs>
          <w:tab w:leader="none" w:pos="2520" w:val="left"/>
          <w:tab w:leader="none" w:pos="2940" w:val="left"/>
          <w:tab w:leader="none" w:pos="38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tab/>
        <w:t>$</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43180</wp:posOffset>
            </wp:positionV>
            <wp:extent cx="14827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14605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2">
            <w:col w:w="3620" w:space="720"/>
            <w:col w:w="4679"/>
          </w:cols>
          <w:pgMar w:left="1440" w:top="274" w:right="1440" w:bottom="1440" w:gutter="0" w:footer="0" w:header="0"/>
          <w:type w:val="continuous"/>
        </w:sectPr>
      </w:pPr>
    </w:p>
    <w:bookmarkStart w:id="166" w:name="page167"/>
    <w:bookmarkEnd w:id="16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June 30, 2023 and December 31,2022. Thus, management decided to record all of the valuation allowance.</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roll forward of valuation allowances of deferred tax assets were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2" w:lineRule="exact"/>
              <w:rPr>
                <w:sz w:val="20"/>
                <w:szCs w:val="20"/>
                <w:color w:val="auto"/>
              </w:rPr>
            </w:pPr>
            <w:r>
              <w:rPr>
                <w:rFonts w:ascii="Arial" w:cs="Arial" w:eastAsia="Arial" w:hAnsi="Arial"/>
                <w:sz w:val="16"/>
                <w:szCs w:val="16"/>
                <w:b w:val="1"/>
                <w:bCs w:val="1"/>
                <w:color w:val="auto"/>
                <w:w w:val="99"/>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3"/>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beginning of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238,081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Additions of valuation allowance</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391,848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201,092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end of year</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630,695</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238,081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Uncertain tax positions</w:t>
      </w:r>
    </w:p>
    <w:p>
      <w:pPr>
        <w:spacing w:after="0" w:line="158"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The Group evaluates each uncertain tax position (including the potential application of interest and penalties) based on the technical merits, and measure the unrecognized benefits associated with the tax positions. As of June 30, 2023 and December 31, 2022, the Group did not have any significant unrecognized uncertain tax positions. The Group did not incur interest and penalties tax for the six months ended June 30, 2023 and 2022. As of June 30, 2023, the tax years ended December 31, 2018 to 2022 for the Group’s Singapore subsidiaries remain open for statutory examination by any applicable tax authorities.</w:t>
      </w:r>
    </w:p>
    <w:p>
      <w:pPr>
        <w:spacing w:after="0" w:line="160"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tab/>
        <w:t>BORROWINGS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June 30, 2023 and December 31, 2022, summary of the borrowings is as following:</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As of</w:t>
            </w:r>
          </w:p>
        </w:tc>
        <w:tc>
          <w:tcPr>
            <w:tcW w:w="100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w w:val="91"/>
              </w:rPr>
              <w:t>As of</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June 30,</w:t>
            </w:r>
          </w:p>
        </w:tc>
        <w:tc>
          <w:tcPr>
            <w:tcW w:w="172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1000" w:type="dxa"/>
            <w:vAlign w:val="bottom"/>
            <w:gridSpan w:val="3"/>
          </w:tcPr>
          <w:p>
            <w:pPr>
              <w:jc w:val="center"/>
              <w:ind w:left="608"/>
              <w:spacing w:after="0"/>
              <w:rPr>
                <w:sz w:val="20"/>
                <w:szCs w:val="20"/>
                <w:color w:val="auto"/>
              </w:rPr>
            </w:pPr>
            <w:r>
              <w:rPr>
                <w:rFonts w:ascii="Arial" w:cs="Arial" w:eastAsia="Arial" w:hAnsi="Arial"/>
                <w:sz w:val="14"/>
                <w:szCs w:val="14"/>
                <w:b w:val="1"/>
                <w:bCs w:val="1"/>
                <w:color w:val="auto"/>
                <w:w w:val="89"/>
              </w:rPr>
              <w:t>2022</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Annual</w:t>
            </w: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Long-term</w:t>
            </w:r>
          </w:p>
        </w:tc>
        <w:tc>
          <w:tcPr>
            <w:tcW w:w="1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Long-term</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Bank</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Interest</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Start</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Principal</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Long-term</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(current</w:t>
            </w:r>
          </w:p>
        </w:tc>
        <w:tc>
          <w:tcPr>
            <w:tcW w:w="1000" w:type="dxa"/>
            <w:vAlign w:val="bottom"/>
            <w:gridSpan w:val="3"/>
            <w:vMerge w:val="restart"/>
          </w:tcPr>
          <w:p>
            <w:pPr>
              <w:jc w:val="center"/>
              <w:ind w:right="113"/>
              <w:spacing w:after="0"/>
              <w:rPr>
                <w:sz w:val="20"/>
                <w:szCs w:val="20"/>
                <w:color w:val="auto"/>
              </w:rPr>
            </w:pPr>
            <w:r>
              <w:rPr>
                <w:rFonts w:ascii="Arial" w:cs="Arial" w:eastAsia="Arial" w:hAnsi="Arial"/>
                <w:sz w:val="14"/>
                <w:szCs w:val="14"/>
                <w:b w:val="1"/>
                <w:bCs w:val="1"/>
                <w:color w:val="auto"/>
                <w:w w:val="95"/>
              </w:rPr>
              <w:t>Long-term</w:t>
            </w: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(current</w:t>
            </w:r>
          </w:p>
        </w:tc>
        <w:tc>
          <w:tcPr>
            <w:tcW w:w="0" w:type="dxa"/>
            <w:vAlign w:val="bottom"/>
          </w:tcPr>
          <w:p>
            <w:pPr>
              <w:spacing w:after="0"/>
              <w:rPr>
                <w:sz w:val="1"/>
                <w:szCs w:val="1"/>
                <w:color w:val="auto"/>
              </w:rPr>
            </w:pPr>
          </w:p>
        </w:tc>
      </w:tr>
      <w:tr>
        <w:trPr>
          <w:trHeight w:val="186"/>
        </w:trPr>
        <w:tc>
          <w:tcPr>
            <w:tcW w:w="1340" w:type="dxa"/>
            <w:vAlign w:val="bottom"/>
            <w:gridSpan w:val="2"/>
            <w:vMerge w:val="continue"/>
          </w:tcPr>
          <w:p>
            <w:pPr>
              <w:spacing w:after="0"/>
              <w:rPr>
                <w:sz w:val="16"/>
                <w:szCs w:val="16"/>
                <w:color w:val="auto"/>
              </w:rPr>
            </w:pP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Rate</w:t>
            </w:r>
          </w:p>
        </w:tc>
        <w:tc>
          <w:tcPr>
            <w:tcW w:w="10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portions)</w:t>
            </w:r>
          </w:p>
        </w:tc>
        <w:tc>
          <w:tcPr>
            <w:tcW w:w="1000" w:type="dxa"/>
            <w:vAlign w:val="bottom"/>
            <w:gridSpan w:val="3"/>
            <w:vMerge w:val="continue"/>
          </w:tcPr>
          <w:p>
            <w:pPr>
              <w:spacing w:after="0"/>
              <w:rPr>
                <w:sz w:val="16"/>
                <w:szCs w:val="16"/>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portions)</w:t>
            </w:r>
          </w:p>
        </w:tc>
        <w:tc>
          <w:tcPr>
            <w:tcW w:w="0" w:type="dxa"/>
            <w:vAlign w:val="bottom"/>
          </w:tcPr>
          <w:p>
            <w:pPr>
              <w:spacing w:after="0"/>
              <w:rPr>
                <w:sz w:val="1"/>
                <w:szCs w:val="1"/>
                <w:color w:val="auto"/>
              </w:rPr>
            </w:pPr>
          </w:p>
        </w:tc>
      </w:tr>
      <w:tr>
        <w:trPr>
          <w:trHeight w:val="25"/>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USD</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USD</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USD</w:t>
            </w:r>
          </w:p>
        </w:tc>
        <w:tc>
          <w:tcPr>
            <w:tcW w:w="1000" w:type="dxa"/>
            <w:vAlign w:val="bottom"/>
            <w:gridSpan w:val="3"/>
          </w:tcPr>
          <w:p>
            <w:pPr>
              <w:jc w:val="center"/>
              <w:ind w:right="133"/>
              <w:spacing w:after="0"/>
              <w:rPr>
                <w:sz w:val="20"/>
                <w:szCs w:val="20"/>
                <w:color w:val="auto"/>
              </w:rPr>
            </w:pPr>
            <w:r>
              <w:rPr>
                <w:rFonts w:ascii="Arial" w:cs="Arial" w:eastAsia="Arial" w:hAnsi="Arial"/>
                <w:sz w:val="14"/>
                <w:szCs w:val="14"/>
                <w:b w:val="1"/>
                <w:bCs w:val="1"/>
                <w:color w:val="auto"/>
                <w:w w:val="94"/>
              </w:rPr>
              <w:t>USD</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OCBC Bank</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0"/>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March 2021</w:t>
            </w:r>
          </w:p>
        </w:tc>
        <w:tc>
          <w:tcPr>
            <w:tcW w:w="10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March 2026</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22,189</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7,705</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4,469</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10,043</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40" w:type="dxa"/>
            <w:vAlign w:val="bottom"/>
            <w:gridSpan w:val="2"/>
          </w:tcPr>
          <w:p>
            <w:pPr>
              <w:spacing w:after="0"/>
              <w:rPr>
                <w:sz w:val="20"/>
                <w:szCs w:val="20"/>
                <w:color w:val="auto"/>
              </w:rPr>
            </w:pPr>
            <w:r>
              <w:rPr>
                <w:rFonts w:ascii="Arial" w:cs="Arial" w:eastAsia="Arial" w:hAnsi="Arial"/>
                <w:sz w:val="14"/>
                <w:szCs w:val="14"/>
                <w:color w:val="auto"/>
              </w:rPr>
              <w:t>OCBC Bank</w:t>
            </w:r>
          </w:p>
        </w:tc>
        <w:tc>
          <w:tcPr>
            <w:tcW w:w="520" w:type="dxa"/>
            <w:vAlign w:val="bottom"/>
          </w:tcPr>
          <w:p>
            <w:pPr>
              <w:ind w:left="140"/>
              <w:spacing w:after="0"/>
              <w:rPr>
                <w:sz w:val="20"/>
                <w:szCs w:val="20"/>
                <w:color w:val="auto"/>
              </w:rPr>
            </w:pPr>
            <w:r>
              <w:rPr>
                <w:rFonts w:ascii="Arial" w:cs="Arial" w:eastAsia="Arial" w:hAnsi="Arial"/>
                <w:sz w:val="14"/>
                <w:szCs w:val="14"/>
                <w:color w:val="auto"/>
                <w:w w:val="90"/>
              </w:rPr>
              <w:t>4.25%</w:t>
            </w:r>
          </w:p>
        </w:tc>
        <w:tc>
          <w:tcPr>
            <w:tcW w:w="100" w:type="dxa"/>
            <w:vAlign w:val="bottom"/>
          </w:tcPr>
          <w:p>
            <w:pPr>
              <w:spacing w:after="0"/>
              <w:rPr>
                <w:sz w:val="22"/>
                <w:szCs w:val="22"/>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September 2021</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September 2026</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25,888</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12,379</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5,108</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15,095</w:t>
            </w:r>
          </w:p>
        </w:tc>
        <w:tc>
          <w:tcPr>
            <w:tcW w:w="8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5,046</w:t>
            </w: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UOB Bank</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0"/>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May 2022</w:t>
            </w:r>
          </w:p>
        </w:tc>
        <w:tc>
          <w:tcPr>
            <w:tcW w:w="10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May 2027</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373,023</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218,538</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71,413</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256,862</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70,622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1340" w:type="dxa"/>
            <w:vAlign w:val="bottom"/>
            <w:gridSpan w:val="2"/>
          </w:tcPr>
          <w:p>
            <w:pPr>
              <w:spacing w:after="0" w:line="130" w:lineRule="exact"/>
              <w:rPr>
                <w:sz w:val="20"/>
                <w:szCs w:val="20"/>
                <w:color w:val="auto"/>
              </w:rPr>
            </w:pPr>
            <w:r>
              <w:rPr>
                <w:rFonts w:ascii="Arial" w:cs="Arial" w:eastAsia="Arial" w:hAnsi="Arial"/>
                <w:sz w:val="14"/>
                <w:szCs w:val="14"/>
                <w:color w:val="auto"/>
              </w:rPr>
              <w:t>Maybank Singapore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Limited</w:t>
            </w:r>
          </w:p>
        </w:tc>
        <w:tc>
          <w:tcPr>
            <w:tcW w:w="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w w:val="90"/>
              </w:rPr>
              <w:t>5.00%</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3"/>
              </w:rPr>
              <w:t>July 2022</w:t>
            </w:r>
          </w:p>
        </w:tc>
        <w:tc>
          <w:tcPr>
            <w:tcW w:w="10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3"/>
              </w:rPr>
              <w:t>July 2027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298,418</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186,246</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56,140</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216,572</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34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Total</w:t>
            </w: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719,518</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424,868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137,130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498,572</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135,360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1399" w:firstLine="432"/>
        <w:spacing w:after="0" w:line="277" w:lineRule="auto"/>
        <w:rPr>
          <w:sz w:val="20"/>
          <w:szCs w:val="20"/>
          <w:color w:val="auto"/>
        </w:rPr>
      </w:pPr>
      <w:r>
        <w:rPr>
          <w:rFonts w:ascii="Arial" w:cs="Arial" w:eastAsia="Arial" w:hAnsi="Arial"/>
          <w:sz w:val="18"/>
          <w:szCs w:val="18"/>
          <w:color w:val="auto"/>
        </w:rPr>
        <w:t>Interest expenses were $13,394 and $3,143 for the six months ended June 30, 2023 and 2022, respectively.</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borrowings above are guaranteed by the Group’s shareholder, Poh Kiong Tan.</w:t>
      </w:r>
    </w:p>
    <w:p>
      <w:pPr>
        <w:spacing w:after="0" w:line="18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7" w:name="page168"/>
    <w:bookmarkEnd w:id="16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 xml:space="preserve">BORROWINGS </w:t>
      </w:r>
      <w:r>
        <w:rPr>
          <w:rFonts w:ascii="Arial" w:cs="Arial" w:eastAsia="Arial" w:hAnsi="Arial"/>
          <w:sz w:val="17"/>
          <w:szCs w:val="17"/>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Debt Maturities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contractual maturities of the Group’s borrowings as of June 30, 2023 were as follows: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1 year</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137,130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1 – 2 years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280,653</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 – 3 years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77,352</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3 – 4 years</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66,863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69"/>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561,998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11.  OTHER INCOME</w:t>
            </w: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00" w:type="dxa"/>
            <w:vAlign w:val="bottom"/>
          </w:tcPr>
          <w:p>
            <w:pPr>
              <w:ind w:left="420"/>
              <w:spacing w:after="0"/>
              <w:rPr>
                <w:sz w:val="20"/>
                <w:szCs w:val="20"/>
                <w:color w:val="auto"/>
              </w:rPr>
            </w:pPr>
            <w:r>
              <w:rPr>
                <w:rFonts w:ascii="Arial" w:cs="Arial" w:eastAsia="Arial" w:hAnsi="Arial"/>
                <w:sz w:val="18"/>
                <w:szCs w:val="18"/>
                <w:color w:val="auto"/>
              </w:rPr>
              <w:t>Other income consisted of the following:</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6"/>
          </w:tcPr>
          <w:p>
            <w:pPr>
              <w:jc w:val="right"/>
              <w:ind w:right="312"/>
              <w:spacing w:after="0"/>
              <w:rPr>
                <w:sz w:val="20"/>
                <w:szCs w:val="20"/>
                <w:color w:val="auto"/>
              </w:rPr>
            </w:pPr>
            <w:r>
              <w:rPr>
                <w:rFonts w:ascii="Arial" w:cs="Arial" w:eastAsia="Arial" w:hAnsi="Arial"/>
                <w:sz w:val="16"/>
                <w:szCs w:val="16"/>
                <w:b w:val="1"/>
                <w:bCs w:val="1"/>
                <w:color w:val="auto"/>
                <w:w w:val="95"/>
              </w:rPr>
              <w:t>For the six months ended</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5"/>
          </w:tcPr>
          <w:p>
            <w:pPr>
              <w:jc w:val="right"/>
              <w:spacing w:after="0"/>
              <w:rPr>
                <w:sz w:val="20"/>
                <w:szCs w:val="20"/>
                <w:color w:val="auto"/>
              </w:rPr>
            </w:pPr>
            <w:r>
              <w:rPr>
                <w:rFonts w:ascii="Arial" w:cs="Arial" w:eastAsia="Arial" w:hAnsi="Arial"/>
                <w:sz w:val="16"/>
                <w:szCs w:val="16"/>
                <w:b w:val="1"/>
                <w:bCs w:val="1"/>
                <w:color w:val="auto"/>
              </w:rPr>
              <w:t>June 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Government subsidies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58,598</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Arial" w:cs="Arial" w:eastAsia="Arial" w:hAnsi="Arial"/>
                <w:sz w:val="18"/>
                <w:szCs w:val="18"/>
                <w:color w:val="auto"/>
              </w:rPr>
              <w:t>Referral commission</w:t>
            </w:r>
            <w:r>
              <w:rPr>
                <w:rFonts w:ascii="Arial" w:cs="Arial" w:eastAsia="Arial" w:hAnsi="Arial"/>
                <w:sz w:val="20"/>
                <w:szCs w:val="20"/>
                <w:color w:val="auto"/>
                <w:vertAlign w:val="superscript"/>
              </w:rPr>
              <w:t>(1)</w:t>
            </w: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7,642</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21,158</w:t>
            </w:r>
          </w:p>
        </w:tc>
        <w:tc>
          <w:tcPr>
            <w:tcW w:w="320" w:type="dxa"/>
            <w:vAlign w:val="bottom"/>
            <w:gridSpan w:val="3"/>
          </w:tcPr>
          <w:p>
            <w:pPr>
              <w:jc w:val="right"/>
              <w:ind w:right="189"/>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71,019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619" w:hanging="426"/>
        <w:spacing w:after="0" w:line="293" w:lineRule="auto"/>
        <w:tabs>
          <w:tab w:leader="none" w:pos="8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Group recorded referral fees as other income when other consulting services providers successfully engaged by customer and paid the Group referral fee.</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rPr>
              <w:t>12.</w:t>
            </w:r>
          </w:p>
        </w:tc>
        <w:tc>
          <w:tcPr>
            <w:tcW w:w="7780" w:type="dxa"/>
            <w:vAlign w:val="bottom"/>
            <w:gridSpan w:val="5"/>
          </w:tcPr>
          <w:p>
            <w:pPr>
              <w:ind w:left="80"/>
              <w:spacing w:after="0"/>
              <w:rPr>
                <w:sz w:val="20"/>
                <w:szCs w:val="20"/>
                <w:color w:val="auto"/>
              </w:rPr>
            </w:pPr>
            <w:r>
              <w:rPr>
                <w:rFonts w:ascii="Arial" w:cs="Arial" w:eastAsia="Arial" w:hAnsi="Arial"/>
                <w:sz w:val="18"/>
                <w:szCs w:val="18"/>
                <w:b w:val="1"/>
                <w:bCs w:val="1"/>
                <w:color w:val="auto"/>
              </w:rPr>
              <w:t>RELATED PARTY TRANSACTIONS</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The following is a list of related parties which the Group has transactions with:</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6"/>
                <w:szCs w:val="16"/>
                <w:b w:val="1"/>
                <w:bCs w:val="1"/>
                <w:color w:val="auto"/>
              </w:rPr>
              <w:t>No.</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ind w:left="480"/>
              <w:spacing w:after="0"/>
              <w:rPr>
                <w:sz w:val="20"/>
                <w:szCs w:val="20"/>
                <w:color w:val="auto"/>
              </w:rPr>
            </w:pPr>
            <w:r>
              <w:rPr>
                <w:rFonts w:ascii="Arial" w:cs="Arial" w:eastAsia="Arial" w:hAnsi="Arial"/>
                <w:sz w:val="16"/>
                <w:szCs w:val="16"/>
                <w:b w:val="1"/>
                <w:bCs w:val="1"/>
                <w:color w:val="auto"/>
              </w:rPr>
              <w:t>Name of Related Parties</w:t>
            </w:r>
          </w:p>
        </w:tc>
        <w:tc>
          <w:tcPr>
            <w:tcW w:w="80" w:type="dxa"/>
            <w:vAlign w:val="bottom"/>
          </w:tcPr>
          <w:p>
            <w:pPr>
              <w:spacing w:after="0"/>
              <w:rPr>
                <w:sz w:val="24"/>
                <w:szCs w:val="24"/>
                <w:color w:val="auto"/>
              </w:rPr>
            </w:pPr>
          </w:p>
        </w:tc>
        <w:tc>
          <w:tcPr>
            <w:tcW w:w="4860" w:type="dxa"/>
            <w:vAlign w:val="bottom"/>
          </w:tcPr>
          <w:p>
            <w:pPr>
              <w:ind w:left="1440"/>
              <w:spacing w:after="0"/>
              <w:rPr>
                <w:sz w:val="20"/>
                <w:szCs w:val="20"/>
                <w:color w:val="auto"/>
              </w:rPr>
            </w:pPr>
            <w:r>
              <w:rPr>
                <w:rFonts w:ascii="Arial" w:cs="Arial" w:eastAsia="Arial" w:hAnsi="Arial"/>
                <w:sz w:val="16"/>
                <w:szCs w:val="16"/>
                <w:b w:val="1"/>
                <w:bCs w:val="1"/>
                <w:color w:val="auto"/>
              </w:rPr>
              <w:t>Relationship with the Group</w:t>
            </w:r>
          </w:p>
        </w:tc>
        <w:tc>
          <w:tcPr>
            <w:tcW w:w="0" w:type="dxa"/>
            <w:vAlign w:val="bottom"/>
          </w:tcPr>
          <w:p>
            <w:pPr>
              <w:spacing w:after="0"/>
              <w:rPr>
                <w:sz w:val="1"/>
                <w:szCs w:val="1"/>
                <w:color w:val="auto"/>
              </w:rPr>
            </w:pPr>
          </w:p>
        </w:tc>
      </w:tr>
      <w:tr>
        <w:trPr>
          <w:trHeight w:val="47"/>
        </w:trPr>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Soon Huat Lim</w:t>
            </w:r>
          </w:p>
        </w:tc>
        <w:tc>
          <w:tcPr>
            <w:tcW w:w="80" w:type="dxa"/>
            <w:vAlign w:val="bottom"/>
            <w:vMerge w:val="continue"/>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Founder, Chairman, Chief Executive Officer</w:t>
            </w:r>
          </w:p>
        </w:tc>
        <w:tc>
          <w:tcPr>
            <w:tcW w:w="0" w:type="dxa"/>
            <w:vAlign w:val="bottom"/>
          </w:tcPr>
          <w:p>
            <w:pPr>
              <w:spacing w:after="0"/>
              <w:rPr>
                <w:sz w:val="1"/>
                <w:szCs w:val="1"/>
                <w:color w:val="auto"/>
              </w:rPr>
            </w:pPr>
          </w:p>
        </w:tc>
      </w:tr>
      <w:tr>
        <w:trPr>
          <w:trHeight w:val="256"/>
        </w:trPr>
        <w:tc>
          <w:tcPr>
            <w:tcW w:w="320" w:type="dxa"/>
            <w:vAlign w:val="bottom"/>
          </w:tcPr>
          <w:p>
            <w:pPr>
              <w:spacing w:after="0"/>
              <w:rPr>
                <w:sz w:val="20"/>
                <w:szCs w:val="20"/>
                <w:color w:val="auto"/>
              </w:rPr>
            </w:pPr>
            <w:r>
              <w:rPr>
                <w:rFonts w:ascii="Arial" w:cs="Arial" w:eastAsia="Arial" w:hAnsi="Arial"/>
                <w:sz w:val="18"/>
                <w:szCs w:val="18"/>
                <w:color w:val="auto"/>
              </w:rPr>
              <w:t>b</w:t>
            </w:r>
          </w:p>
        </w:tc>
        <w:tc>
          <w:tcPr>
            <w:tcW w:w="120" w:type="dxa"/>
            <w:vAlign w:val="bottom"/>
          </w:tcPr>
          <w:p>
            <w:pPr>
              <w:spacing w:after="0"/>
              <w:rPr>
                <w:sz w:val="22"/>
                <w:szCs w:val="22"/>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Poh Kiong Tan</w:t>
            </w:r>
          </w:p>
        </w:tc>
        <w:tc>
          <w:tcPr>
            <w:tcW w:w="4940" w:type="dxa"/>
            <w:vAlign w:val="bottom"/>
            <w:gridSpan w:val="2"/>
          </w:tcPr>
          <w:p>
            <w:pPr>
              <w:ind w:left="80"/>
              <w:spacing w:after="0"/>
              <w:rPr>
                <w:sz w:val="20"/>
                <w:szCs w:val="20"/>
                <w:color w:val="auto"/>
              </w:rPr>
            </w:pPr>
            <w:r>
              <w:rPr>
                <w:rFonts w:ascii="Arial" w:cs="Arial" w:eastAsia="Arial" w:hAnsi="Arial"/>
                <w:sz w:val="18"/>
                <w:szCs w:val="18"/>
                <w:color w:val="auto"/>
              </w:rPr>
              <w:t>Chief Technology Officer</w:t>
            </w:r>
          </w:p>
        </w:tc>
        <w:tc>
          <w:tcPr>
            <w:tcW w:w="0" w:type="dxa"/>
            <w:vAlign w:val="bottom"/>
          </w:tcPr>
          <w:p>
            <w:pPr>
              <w:spacing w:after="0"/>
              <w:rPr>
                <w:sz w:val="1"/>
                <w:szCs w:val="1"/>
                <w:color w:val="auto"/>
              </w:rPr>
            </w:pPr>
          </w:p>
        </w:tc>
      </w:tr>
      <w:tr>
        <w:trPr>
          <w:trHeight w:val="283"/>
        </w:trPr>
        <w:tc>
          <w:tcPr>
            <w:tcW w:w="320" w:type="dxa"/>
            <w:vAlign w:val="bottom"/>
          </w:tcPr>
          <w:p>
            <w:pPr>
              <w:spacing w:after="0"/>
              <w:rPr>
                <w:sz w:val="20"/>
                <w:szCs w:val="20"/>
                <w:color w:val="auto"/>
              </w:rPr>
            </w:pPr>
            <w:r>
              <w:rPr>
                <w:rFonts w:ascii="Arial" w:cs="Arial" w:eastAsia="Arial" w:hAnsi="Arial"/>
                <w:sz w:val="18"/>
                <w:szCs w:val="18"/>
                <w:color w:val="auto"/>
              </w:rPr>
              <w:t>c</w:t>
            </w:r>
          </w:p>
        </w:tc>
        <w:tc>
          <w:tcPr>
            <w:tcW w:w="120" w:type="dxa"/>
            <w:vAlign w:val="bottom"/>
          </w:tcPr>
          <w:p>
            <w:pPr>
              <w:spacing w:after="0"/>
              <w:rPr>
                <w:sz w:val="24"/>
                <w:szCs w:val="24"/>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Trident Consultancy Pte. Ltd.</w:t>
            </w:r>
          </w:p>
        </w:tc>
        <w:tc>
          <w:tcPr>
            <w:tcW w:w="4940" w:type="dxa"/>
            <w:vAlign w:val="bottom"/>
            <w:gridSpan w:val="2"/>
          </w:tcPr>
          <w:p>
            <w:pPr>
              <w:ind w:left="80"/>
              <w:spacing w:after="0"/>
              <w:rPr>
                <w:sz w:val="20"/>
                <w:szCs w:val="20"/>
                <w:color w:val="auto"/>
              </w:rPr>
            </w:pPr>
            <w:r>
              <w:rPr>
                <w:rFonts w:ascii="Arial" w:cs="Arial" w:eastAsia="Arial" w:hAnsi="Arial"/>
                <w:sz w:val="18"/>
                <w:szCs w:val="18"/>
                <w:color w:val="auto"/>
              </w:rPr>
              <w:t>100% equity interests owned by Soon Huat Lim</w:t>
            </w:r>
          </w:p>
        </w:tc>
        <w:tc>
          <w:tcPr>
            <w:tcW w:w="0" w:type="dxa"/>
            <w:vAlign w:val="bottom"/>
          </w:tcPr>
          <w:p>
            <w:pPr>
              <w:spacing w:after="0"/>
              <w:rPr>
                <w:sz w:val="1"/>
                <w:szCs w:val="1"/>
                <w:color w:val="auto"/>
              </w:rPr>
            </w:pP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d</w:t>
            </w:r>
          </w:p>
        </w:tc>
        <w:tc>
          <w:tcPr>
            <w:tcW w:w="120" w:type="dxa"/>
            <w:vAlign w:val="bottom"/>
          </w:tcPr>
          <w:p>
            <w:pPr>
              <w:spacing w:after="0"/>
              <w:rPr>
                <w:sz w:val="24"/>
                <w:szCs w:val="24"/>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Trident Foodtech Pte. Ltd.</w:t>
            </w:r>
          </w:p>
        </w:tc>
        <w:tc>
          <w:tcPr>
            <w:tcW w:w="4940" w:type="dxa"/>
            <w:vAlign w:val="bottom"/>
            <w:gridSpan w:val="2"/>
          </w:tcPr>
          <w:p>
            <w:pPr>
              <w:ind w:left="80"/>
              <w:spacing w:after="0"/>
              <w:rPr>
                <w:sz w:val="20"/>
                <w:szCs w:val="20"/>
                <w:color w:val="auto"/>
              </w:rPr>
            </w:pPr>
            <w:r>
              <w:rPr>
                <w:rFonts w:ascii="Arial" w:cs="Arial" w:eastAsia="Arial" w:hAnsi="Arial"/>
                <w:sz w:val="18"/>
                <w:szCs w:val="18"/>
                <w:color w:val="auto"/>
              </w:rPr>
              <w:t>100% equity interests owned by Soon Huat Lim</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Amounts due from related parties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Amounts due from related parties consisted of the following for the periods indicated:</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5"/>
          </w:tcPr>
          <w:p>
            <w:pPr>
              <w:ind w:left="9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20"/>
              <w:spacing w:after="0" w:line="182" w:lineRule="exact"/>
              <w:rPr>
                <w:sz w:val="20"/>
                <w:szCs w:val="20"/>
                <w:color w:val="auto"/>
              </w:rPr>
            </w:pPr>
            <w:r>
              <w:rPr>
                <w:rFonts w:ascii="Arial" w:cs="Arial" w:eastAsia="Arial" w:hAnsi="Arial"/>
                <w:sz w:val="16"/>
                <w:szCs w:val="16"/>
                <w:b w:val="1"/>
                <w:bCs w:val="1"/>
                <w:color w:val="auto"/>
                <w:w w:val="90"/>
              </w:rPr>
              <w:t>June 30,</w:t>
            </w:r>
          </w:p>
        </w:tc>
        <w:tc>
          <w:tcPr>
            <w:tcW w:w="120" w:type="dxa"/>
            <w:vAlign w:val="bottom"/>
          </w:tcPr>
          <w:p>
            <w:pPr>
              <w:spacing w:after="0"/>
              <w:rPr>
                <w:sz w:val="15"/>
                <w:szCs w:val="15"/>
                <w:color w:val="auto"/>
              </w:rPr>
            </w:pPr>
          </w:p>
        </w:tc>
        <w:tc>
          <w:tcPr>
            <w:tcW w:w="1140" w:type="dxa"/>
            <w:vAlign w:val="bottom"/>
          </w:tcPr>
          <w:p>
            <w:pPr>
              <w:jc w:val="center"/>
              <w:ind w:right="75"/>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5"/>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5"/>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Soon Huat Lim</w:t>
            </w:r>
            <w:r>
              <w:rPr>
                <w:rFonts w:ascii="Arial" w:cs="Arial" w:eastAsia="Arial" w:hAnsi="Arial"/>
                <w:sz w:val="20"/>
                <w:szCs w:val="20"/>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995,563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995,563</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ind w:left="96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The balance represented loan to this related party with no fixed term of repayment and interest. The Group has</w:t>
      </w:r>
    </w:p>
    <w:p>
      <w:pPr>
        <w:spacing w:after="0" w:line="34" w:lineRule="exact"/>
        <w:rPr>
          <w:sz w:val="20"/>
          <w:szCs w:val="20"/>
          <w:color w:val="auto"/>
        </w:rPr>
      </w:pPr>
    </w:p>
    <w:tbl>
      <w:tblPr>
        <w:tblLayout w:type="fixed"/>
        <w:tblInd w:w="880" w:type="dxa"/>
        <w:tblCellMar>
          <w:top w:w="0" w:type="dxa"/>
          <w:left w:w="0" w:type="dxa"/>
          <w:bottom w:w="0" w:type="dxa"/>
          <w:right w:w="0" w:type="dxa"/>
        </w:tblCellMar>
      </w:tblPr>
      <w:tr>
        <w:trPr>
          <w:trHeight w:val="206"/>
        </w:trPr>
        <w:tc>
          <w:tcPr>
            <w:tcW w:w="2460" w:type="dxa"/>
            <w:vAlign w:val="bottom"/>
          </w:tcPr>
          <w:p>
            <w:pPr>
              <w:spacing w:after="0"/>
              <w:rPr>
                <w:sz w:val="20"/>
                <w:szCs w:val="20"/>
                <w:color w:val="auto"/>
              </w:rPr>
            </w:pPr>
            <w:r>
              <w:rPr>
                <w:rFonts w:ascii="Arial" w:cs="Arial" w:eastAsia="Arial" w:hAnsi="Arial"/>
                <w:sz w:val="16"/>
                <w:szCs w:val="16"/>
                <w:color w:val="auto"/>
                <w:w w:val="94"/>
              </w:rPr>
              <w:t>received the $995,563 in September</w:t>
            </w:r>
          </w:p>
        </w:tc>
        <w:tc>
          <w:tcPr>
            <w:tcW w:w="560" w:type="dxa"/>
            <w:vAlign w:val="bottom"/>
          </w:tcPr>
          <w:p>
            <w:pPr>
              <w:jc w:val="right"/>
              <w:spacing w:after="0"/>
              <w:rPr>
                <w:sz w:val="20"/>
                <w:szCs w:val="20"/>
                <w:color w:val="auto"/>
              </w:rPr>
            </w:pPr>
            <w:r>
              <w:rPr>
                <w:rFonts w:ascii="Arial" w:cs="Arial" w:eastAsia="Arial" w:hAnsi="Arial"/>
                <w:sz w:val="16"/>
                <w:szCs w:val="16"/>
                <w:color w:val="auto"/>
              </w:rPr>
              <w:t>, 2023.</w:t>
            </w:r>
          </w:p>
        </w:tc>
      </w:tr>
    </w:tbl>
    <w:p>
      <w:pPr>
        <w:spacing w:after="0" w:line="163"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8" w:name="page169"/>
    <w:bookmarkEnd w:id="16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 xml:space="preserve">RELATED PARTY TRANSACTIONS </w:t>
      </w:r>
      <w:r>
        <w:rPr>
          <w:rFonts w:ascii="Arial" w:cs="Arial" w:eastAsia="Arial" w:hAnsi="Arial"/>
          <w:sz w:val="17"/>
          <w:szCs w:val="17"/>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Amounts due to related parties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Amounts due to related parties consisted of the following for the periods indicated:</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2" w:lineRule="exact"/>
              <w:rPr>
                <w:sz w:val="20"/>
                <w:szCs w:val="20"/>
                <w:color w:val="auto"/>
              </w:rPr>
            </w:pPr>
            <w:r>
              <w:rPr>
                <w:rFonts w:ascii="Arial" w:cs="Arial" w:eastAsia="Arial" w:hAnsi="Arial"/>
                <w:sz w:val="16"/>
                <w:szCs w:val="16"/>
                <w:b w:val="1"/>
                <w:bCs w:val="1"/>
                <w:color w:val="auto"/>
                <w:w w:val="99"/>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3"/>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Poh Kiong Tan</w:t>
            </w:r>
            <w:r>
              <w:rPr>
                <w:rFonts w:ascii="Arial" w:cs="Arial" w:eastAsia="Arial" w:hAnsi="Arial"/>
                <w:sz w:val="20"/>
                <w:szCs w:val="20"/>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40,197</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0"/>
                <w:szCs w:val="20"/>
                <w:color w:val="auto"/>
              </w:rPr>
            </w:pPr>
            <w:r>
              <w:rPr>
                <w:rFonts w:ascii="Arial" w:cs="Arial" w:eastAsia="Arial" w:hAnsi="Arial"/>
                <w:sz w:val="18"/>
                <w:szCs w:val="18"/>
                <w:color w:val="auto"/>
              </w:rPr>
              <w:t>Soon Huat Lim</w:t>
            </w:r>
            <w:r>
              <w:rPr>
                <w:rFonts w:ascii="Arial" w:cs="Arial" w:eastAsia="Arial" w:hAnsi="Arial"/>
                <w:sz w:val="20"/>
                <w:szCs w:val="20"/>
                <w:color w:val="auto"/>
                <w:vertAlign w:val="superscript"/>
              </w:rPr>
              <w:t>(2)</w:t>
            </w:r>
          </w:p>
        </w:tc>
        <w:tc>
          <w:tcPr>
            <w:tcW w:w="1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Trident Consultancy Pte. Ltd.</w:t>
            </w:r>
            <w:r>
              <w:rPr>
                <w:rFonts w:ascii="Arial" w:cs="Arial" w:eastAsia="Arial" w:hAnsi="Arial"/>
                <w:sz w:val="20"/>
                <w:szCs w:val="20"/>
                <w:color w:val="auto"/>
                <w:vertAlign w:val="superscript"/>
              </w:rPr>
              <w:t>(3)</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40,197</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526,263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559" w:hanging="426"/>
        <w:spacing w:after="0" w:line="266" w:lineRule="auto"/>
        <w:tabs>
          <w:tab w:leader="none" w:pos="8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balance represented loan from this related party for the Group’s daily operation with no fixed term of repayment and interest, and expense paid on behalf of the Group.</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balance represented loan from this related party.</w:t>
      </w:r>
    </w:p>
    <w:p>
      <w:pPr>
        <w:spacing w:after="0" w:line="18" w:lineRule="exact"/>
        <w:rPr>
          <w:rFonts w:ascii="Arial" w:cs="Arial" w:eastAsia="Arial" w:hAnsi="Arial"/>
          <w:sz w:val="16"/>
          <w:szCs w:val="16"/>
          <w:color w:val="auto"/>
        </w:rPr>
      </w:pPr>
    </w:p>
    <w:p>
      <w:pPr>
        <w:ind w:left="880" w:right="679" w:hanging="426"/>
        <w:spacing w:after="0" w:line="288" w:lineRule="auto"/>
        <w:tabs>
          <w:tab w:leader="none" w:pos="8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balance represented interest-free loan from this related party for the Group’s daily operation at maturity within three months, offset by loan to this related party.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center"/>
              <w:ind w:right="171"/>
              <w:spacing w:after="0"/>
              <w:rPr>
                <w:sz w:val="20"/>
                <w:szCs w:val="20"/>
                <w:color w:val="auto"/>
              </w:rPr>
            </w:pPr>
            <w:r>
              <w:rPr>
                <w:rFonts w:ascii="Arial" w:cs="Arial" w:eastAsia="Arial" w:hAnsi="Arial"/>
                <w:sz w:val="16"/>
                <w:szCs w:val="16"/>
                <w:b w:val="1"/>
                <w:bCs w:val="1"/>
                <w:color w:val="auto"/>
                <w:w w:val="89"/>
              </w:rPr>
              <w:t>For the six months ended</w:t>
            </w: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4"/>
          </w:tcPr>
          <w:p>
            <w:pPr>
              <w:jc w:val="center"/>
              <w:ind w:left="572"/>
              <w:spacing w:after="0"/>
              <w:rPr>
                <w:sz w:val="20"/>
                <w:szCs w:val="20"/>
                <w:color w:val="auto"/>
              </w:rPr>
            </w:pPr>
            <w:r>
              <w:rPr>
                <w:rFonts w:ascii="Arial" w:cs="Arial" w:eastAsia="Arial" w:hAnsi="Arial"/>
                <w:sz w:val="16"/>
                <w:szCs w:val="16"/>
                <w:b w:val="1"/>
                <w:bCs w:val="1"/>
                <w:color w:val="auto"/>
                <w:w w:val="90"/>
              </w:rPr>
              <w:t>June 30,</w:t>
            </w:r>
          </w:p>
        </w:tc>
        <w:tc>
          <w:tcPr>
            <w:tcW w:w="880" w:type="dxa"/>
            <w:vAlign w:val="bottom"/>
          </w:tcPr>
          <w:p>
            <w:pPr>
              <w:spacing w:after="0"/>
              <w:rPr>
                <w:sz w:val="18"/>
                <w:szCs w:val="18"/>
                <w:color w:val="auto"/>
              </w:rPr>
            </w:pPr>
          </w:p>
        </w:tc>
      </w:tr>
      <w:tr>
        <w:trPr>
          <w:trHeight w:val="47"/>
        </w:trPr>
        <w:tc>
          <w:tcPr>
            <w:tcW w:w="5600" w:type="dxa"/>
            <w:vAlign w:val="bottom"/>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Nature</w:t>
            </w:r>
          </w:p>
        </w:tc>
        <w:tc>
          <w:tcPr>
            <w:tcW w:w="220" w:type="dxa"/>
            <w:vAlign w:val="bottom"/>
          </w:tcPr>
          <w:p>
            <w:pPr>
              <w:spacing w:after="0"/>
              <w:rPr>
                <w:sz w:val="20"/>
                <w:szCs w:val="20"/>
                <w:color w:val="auto"/>
              </w:rPr>
            </w:pPr>
          </w:p>
        </w:tc>
        <w:tc>
          <w:tcPr>
            <w:tcW w:w="920" w:type="dxa"/>
            <w:vAlign w:val="bottom"/>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91"/>
              <w:spacing w:after="0"/>
              <w:rPr>
                <w:sz w:val="20"/>
                <w:szCs w:val="20"/>
                <w:color w:val="auto"/>
              </w:rPr>
            </w:pPr>
            <w:r>
              <w:rPr>
                <w:rFonts w:ascii="Arial" w:cs="Arial" w:eastAsia="Arial" w:hAnsi="Arial"/>
                <w:sz w:val="16"/>
                <w:szCs w:val="16"/>
                <w:b w:val="1"/>
                <w:bCs w:val="1"/>
                <w:color w:val="auto"/>
              </w:rPr>
              <w:t>2022</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Poh Kiong Tan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Loan from related parties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56,337</w:t>
            </w: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Repayment of loan from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20,411</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Expenses paid on behalf of the Group</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1,464</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21,756</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4"/>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 from shareholder</w:t>
            </w:r>
            <w:r>
              <w:rPr>
                <w:rFonts w:ascii="Arial" w:cs="Arial" w:eastAsia="Arial" w:hAnsi="Arial"/>
                <w:sz w:val="20"/>
                <w:szCs w:val="20"/>
                <w:color w:val="auto"/>
                <w:vertAlign w:val="superscript"/>
              </w:rPr>
              <w:t>(1)</w:t>
            </w:r>
          </w:p>
        </w:tc>
        <w:tc>
          <w:tcPr>
            <w:tcW w:w="2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36,266</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Soon Huat Lim</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Loan from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Repayment of loan from related parties</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1,497</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Loan to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1,007,634</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Deemed dividend</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74,845</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229,201</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Trident Consultancy Pte. Ltd.</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Repayment of loan from related party</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823,292</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Loan from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299,379</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Interest income from loan to a related party</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15,717</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Trident Foodtech Pte. Ltd.</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Rental expense to related party</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4,491</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899" w:hanging="426"/>
        <w:spacing w:after="0" w:line="293" w:lineRule="auto"/>
        <w:tabs>
          <w:tab w:leader="none" w:pos="8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For the six months ended June 30, 2022, QZT received contribution from Poh Kiong Tan. The contribution was implemented to reduce the outstanding balance due to Poh Kiong Tan by $36,266.</w:t>
      </w:r>
    </w:p>
    <w:p>
      <w:pPr>
        <w:spacing w:after="0" w:line="163"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13.</w:t>
        <w:tab/>
        <w:t>CONCENTRATION OF CREDIT RISK</w:t>
      </w:r>
    </w:p>
    <w:p>
      <w:pPr>
        <w:spacing w:after="0" w:line="162"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9" w:name="page170"/>
    <w:bookmarkEnd w:id="16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60" w:right="459"/>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 xml:space="preserve">CONCENTRATION OF CREDIT RISK </w:t>
      </w:r>
      <w:r>
        <w:rPr>
          <w:rFonts w:ascii="Arial" w:cs="Arial" w:eastAsia="Arial" w:hAnsi="Arial"/>
          <w:sz w:val="17"/>
          <w:szCs w:val="17"/>
          <w:color w:val="auto"/>
        </w:rPr>
        <w:t>(cont.)</w:t>
      </w:r>
    </w:p>
    <w:p>
      <w:pPr>
        <w:spacing w:after="0" w:line="189"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The following table sets forth a summary of single customers who represented 10% or more of the Group’s total revenue.</w:t>
      </w:r>
    </w:p>
    <w:p>
      <w:pPr>
        <w:spacing w:after="0" w:line="130" w:lineRule="exact"/>
        <w:rPr>
          <w:sz w:val="20"/>
          <w:szCs w:val="20"/>
          <w:color w:val="auto"/>
        </w:rPr>
      </w:pPr>
    </w:p>
    <w:p>
      <w:pPr>
        <w:jc w:val="center"/>
        <w:ind w:left="5520"/>
        <w:spacing w:after="0"/>
        <w:rPr>
          <w:sz w:val="20"/>
          <w:szCs w:val="20"/>
          <w:color w:val="auto"/>
        </w:rPr>
      </w:pPr>
      <w:r>
        <w:rPr>
          <w:rFonts w:ascii="Arial" w:cs="Arial" w:eastAsia="Arial" w:hAnsi="Arial"/>
          <w:sz w:val="16"/>
          <w:szCs w:val="16"/>
          <w:b w:val="1"/>
          <w:bCs w:val="1"/>
          <w:color w:val="auto"/>
        </w:rPr>
        <w:t>For the six months ended</w:t>
      </w:r>
    </w:p>
    <w:p>
      <w:pPr>
        <w:spacing w:after="0" w:line="26" w:lineRule="exact"/>
        <w:rPr>
          <w:sz w:val="20"/>
          <w:szCs w:val="20"/>
          <w:color w:val="auto"/>
        </w:rPr>
      </w:pPr>
    </w:p>
    <w:p>
      <w:pPr>
        <w:jc w:val="center"/>
        <w:ind w:left="556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41275</wp:posOffset>
            </wp:positionV>
            <wp:extent cx="16033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360" w:type="dxa"/>
            <w:vAlign w:val="bottom"/>
            <w:gridSpan w:val="2"/>
          </w:tcPr>
          <w:p>
            <w:pPr>
              <w:ind w:left="5980"/>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ind w:left="480"/>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Percentage of the Group’s total revenue</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Customer A</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w w:val="94"/>
              </w:rPr>
              <w:t>19%</w:t>
            </w:r>
          </w:p>
        </w:tc>
        <w:tc>
          <w:tcPr>
            <w:tcW w:w="80" w:type="dxa"/>
            <w:vAlign w:val="bottom"/>
          </w:tcPr>
          <w:p>
            <w:pPr>
              <w:spacing w:after="0"/>
              <w:rPr>
                <w:sz w:val="21"/>
                <w:szCs w:val="21"/>
                <w:color w:val="auto"/>
              </w:rPr>
            </w:pPr>
          </w:p>
        </w:tc>
        <w:tc>
          <w:tcPr>
            <w:tcW w:w="1280" w:type="dxa"/>
            <w:vAlign w:val="bottom"/>
            <w:gridSpan w:val="3"/>
          </w:tcPr>
          <w:p>
            <w:pPr>
              <w:ind w:left="940"/>
              <w:spacing w:after="0"/>
              <w:rPr>
                <w:sz w:val="20"/>
                <w:szCs w:val="20"/>
                <w:color w:val="auto"/>
              </w:rPr>
            </w:pPr>
            <w:r>
              <w:rPr>
                <w:rFonts w:ascii="Arial" w:cs="Arial" w:eastAsia="Arial" w:hAnsi="Arial"/>
                <w:sz w:val="18"/>
                <w:szCs w:val="18"/>
                <w:color w:val="auto"/>
              </w:rPr>
              <w:t>—</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B</w:t>
            </w:r>
          </w:p>
        </w:tc>
        <w:tc>
          <w:tcPr>
            <w:tcW w:w="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4"/>
              </w:rPr>
              <w:t>12%</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Customer C</w:t>
            </w:r>
          </w:p>
        </w:tc>
        <w:tc>
          <w:tcPr>
            <w:tcW w:w="4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940"/>
              <w:spacing w:after="0"/>
              <w:rPr>
                <w:sz w:val="20"/>
                <w:szCs w:val="20"/>
                <w:color w:val="auto"/>
              </w:rPr>
            </w:pPr>
            <w:r>
              <w:rPr>
                <w:rFonts w:ascii="Arial" w:cs="Arial" w:eastAsia="Arial" w:hAnsi="Arial"/>
                <w:sz w:val="18"/>
                <w:szCs w:val="18"/>
                <w:color w:val="auto"/>
                <w:w w:val="88"/>
              </w:rPr>
              <w:t>15%</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D</w:t>
            </w:r>
          </w:p>
        </w:tc>
        <w:tc>
          <w:tcPr>
            <w:tcW w:w="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w w:val="88"/>
              </w:rPr>
              <w:t>14%</w:t>
            </w:r>
          </w:p>
        </w:tc>
      </w:tr>
      <w:tr>
        <w:trPr>
          <w:trHeight w:val="244"/>
        </w:trPr>
        <w:tc>
          <w:tcPr>
            <w:tcW w:w="5560" w:type="dxa"/>
            <w:vAlign w:val="bottom"/>
          </w:tcPr>
          <w:p>
            <w:pPr>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31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1"/>
                <w:szCs w:val="21"/>
                <w:color w:val="auto"/>
              </w:rPr>
            </w:pPr>
          </w:p>
        </w:tc>
        <w:tc>
          <w:tcPr>
            <w:tcW w:w="11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w w:val="79"/>
              </w:rPr>
              <w:t>29</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a summary of single customers who represented 10% or more of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Group’s total accounts receivable:</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gridSpan w:val="4"/>
          </w:tcPr>
          <w:p>
            <w:pPr>
              <w:jc w:val="right"/>
              <w:ind w:right="1010"/>
              <w:spacing w:after="0"/>
              <w:rPr>
                <w:sz w:val="20"/>
                <w:szCs w:val="20"/>
                <w:color w:val="auto"/>
              </w:rPr>
            </w:pPr>
            <w:r>
              <w:rPr>
                <w:rFonts w:ascii="Arial" w:cs="Arial" w:eastAsia="Arial" w:hAnsi="Arial"/>
                <w:sz w:val="16"/>
                <w:szCs w:val="16"/>
                <w:b w:val="1"/>
                <w:bCs w:val="1"/>
                <w:color w:val="auto"/>
              </w:rPr>
              <w:t>As of</w:t>
            </w:r>
          </w:p>
        </w:tc>
      </w:tr>
      <w:tr>
        <w:trPr>
          <w:trHeight w:val="46"/>
        </w:trPr>
        <w:tc>
          <w:tcPr>
            <w:tcW w:w="5560" w:type="dxa"/>
            <w:vAlign w:val="bottom"/>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r>
      <w:tr>
        <w:trPr>
          <w:trHeight w:val="182"/>
        </w:trPr>
        <w:tc>
          <w:tcPr>
            <w:tcW w:w="5560" w:type="dxa"/>
            <w:vAlign w:val="bottom"/>
          </w:tcPr>
          <w:p>
            <w:pPr>
              <w:spacing w:after="0"/>
              <w:rPr>
                <w:sz w:val="15"/>
                <w:szCs w:val="15"/>
                <w:color w:val="auto"/>
              </w:rPr>
            </w:pPr>
          </w:p>
        </w:tc>
        <w:tc>
          <w:tcPr>
            <w:tcW w:w="1260" w:type="dxa"/>
            <w:vAlign w:val="bottom"/>
            <w:gridSpan w:val="3"/>
          </w:tcPr>
          <w:p>
            <w:pPr>
              <w:jc w:val="center"/>
              <w:ind w:right="120"/>
              <w:spacing w:after="0" w:line="182" w:lineRule="exact"/>
              <w:rPr>
                <w:sz w:val="20"/>
                <w:szCs w:val="20"/>
                <w:color w:val="auto"/>
              </w:rPr>
            </w:pPr>
            <w:r>
              <w:rPr>
                <w:rFonts w:ascii="Arial" w:cs="Arial" w:eastAsia="Arial" w:hAnsi="Arial"/>
                <w:sz w:val="16"/>
                <w:szCs w:val="16"/>
                <w:b w:val="1"/>
                <w:bCs w:val="1"/>
                <w:color w:val="auto"/>
                <w:w w:val="90"/>
              </w:rPr>
              <w:t>June 30,</w:t>
            </w:r>
          </w:p>
        </w:tc>
        <w:tc>
          <w:tcPr>
            <w:tcW w:w="1280" w:type="dxa"/>
            <w:vAlign w:val="bottom"/>
            <w:gridSpan w:val="2"/>
          </w:tcPr>
          <w:p>
            <w:pPr>
              <w:ind w:left="140"/>
              <w:spacing w:after="0" w:line="182" w:lineRule="exact"/>
              <w:rPr>
                <w:sz w:val="20"/>
                <w:szCs w:val="20"/>
                <w:color w:val="auto"/>
              </w:rPr>
            </w:pPr>
            <w:r>
              <w:rPr>
                <w:rFonts w:ascii="Arial" w:cs="Arial" w:eastAsia="Arial" w:hAnsi="Arial"/>
                <w:sz w:val="16"/>
                <w:szCs w:val="16"/>
                <w:b w:val="1"/>
                <w:bCs w:val="1"/>
                <w:color w:val="auto"/>
              </w:rPr>
              <w:t>December 31,</w:t>
            </w:r>
          </w:p>
        </w:tc>
      </w:tr>
      <w:tr>
        <w:trPr>
          <w:trHeight w:val="210"/>
        </w:trPr>
        <w:tc>
          <w:tcPr>
            <w:tcW w:w="556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ind w:left="480"/>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Percentage of the Group’s accounts receivable</w:t>
            </w:r>
          </w:p>
        </w:tc>
        <w:tc>
          <w:tcPr>
            <w:tcW w:w="1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Customer 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40"/>
        </w:trPr>
        <w:tc>
          <w:tcPr>
            <w:tcW w:w="5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F</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w w:val="88"/>
              </w:rPr>
              <w:t>45%</w:t>
            </w:r>
          </w:p>
        </w:tc>
      </w:tr>
      <w:tr>
        <w:trPr>
          <w:trHeight w:val="257"/>
        </w:trPr>
        <w:tc>
          <w:tcPr>
            <w:tcW w:w="5560" w:type="dxa"/>
            <w:vAlign w:val="bottom"/>
          </w:tcPr>
          <w:p>
            <w:pPr>
              <w:spacing w:after="0"/>
              <w:rPr>
                <w:sz w:val="20"/>
                <w:szCs w:val="20"/>
                <w:color w:val="auto"/>
              </w:rPr>
            </w:pPr>
            <w:r>
              <w:rPr>
                <w:rFonts w:ascii="Arial" w:cs="Arial" w:eastAsia="Arial" w:hAnsi="Arial"/>
                <w:sz w:val="18"/>
                <w:szCs w:val="18"/>
                <w:color w:val="auto"/>
              </w:rPr>
              <w:t>Customer G</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2"/>
                <w:szCs w:val="22"/>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w w:val="88"/>
              </w:rPr>
              <w:t>30%</w:t>
            </w:r>
          </w:p>
        </w:tc>
      </w:tr>
      <w:tr>
        <w:trPr>
          <w:trHeight w:val="27"/>
        </w:trPr>
        <w:tc>
          <w:tcPr>
            <w:tcW w:w="55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79"/>
              </w:rPr>
              <w:t>75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14.</w:t>
        <w:tab/>
        <w:t>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Contingencies</w:t>
      </w:r>
    </w:p>
    <w:p>
      <w:pPr>
        <w:spacing w:after="0" w:line="158"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spacing w:after="0" w:line="172"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SUBSEQUENT EVENTS</w:t>
      </w:r>
    </w:p>
    <w:p>
      <w:pPr>
        <w:spacing w:after="0" w:line="148" w:lineRule="exact"/>
        <w:rPr>
          <w:sz w:val="20"/>
          <w:szCs w:val="20"/>
          <w:color w:val="auto"/>
        </w:rPr>
      </w:pPr>
    </w:p>
    <w:p>
      <w:pPr>
        <w:ind w:left="460" w:right="819" w:firstLine="432"/>
        <w:spacing w:after="0" w:line="263" w:lineRule="auto"/>
        <w:rPr>
          <w:sz w:val="20"/>
          <w:szCs w:val="20"/>
          <w:color w:val="auto"/>
        </w:rPr>
      </w:pPr>
      <w:r>
        <w:rPr>
          <w:rFonts w:ascii="Arial" w:cs="Arial" w:eastAsia="Arial" w:hAnsi="Arial"/>
          <w:sz w:val="18"/>
          <w:szCs w:val="18"/>
          <w:color w:val="auto"/>
        </w:rPr>
        <w:t>The Group has evaluated subsequent events through the date of issuance of the consolidated financial statements and did not identify any subsequent events with material financial impact on the Group’s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0" w:name="page171"/>
    <w:bookmarkEnd w:id="17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48"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Cayman Islands law does not limit the extent to which a company’s articles of association may provide indemnification of officers and directors, except to the extent any such provision may be held by the Cayman Islands courts to be contrary to the public interest, such as providing indemnification against civil fraud or the consequences of committing a crime. The post-offering memorandum and articles of association that we expect to adopt and to become effective immediately prior to the completion of this offering provide that we shall indemnify our directors and officers (each an indemnified person) against all actions, proceedings, costs, charges, expenses, losses, damages or liabilities incurred or sustained by such indemnified person, other than by reason of such person’s own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spacing w:after="0" w:line="119"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Pursuant to the form of indemnification agreements filed as Exhibit 10.2 to this registration statement, we will agree to indemnify our directors and executive officers against certain liabilities and expenses incurred by such persons in connection with claims made by reason of their being such a director or executive officer.</w:t>
      </w:r>
    </w:p>
    <w:p>
      <w:pPr>
        <w:spacing w:after="0" w:line="81"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The form of underwriting agreement to be filed as Exhibit 1.1 to this registration statement will also provide indemnification for us and our officers and directors for certain liabilities.</w:t>
      </w:r>
    </w:p>
    <w:p>
      <w:pPr>
        <w:spacing w:after="0" w:line="89"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62"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During the past three years, we have issued the following securities. We believe that each of the following issuances was exempt from registration under the Securities Act pursuant to Section 4(a)(2) of the Securities Act regarding transactions not involving a public offering or in reliance on Regulation S under the Securities Act regarding sales by an issuer in offshore transactions. No underwriters were involved in these issuances of securities.</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Date of</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Number of</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4160" w:type="dxa"/>
            <w:vAlign w:val="bottom"/>
            <w:gridSpan w:val="2"/>
          </w:tcPr>
          <w:p>
            <w:pPr>
              <w:spacing w:after="0"/>
              <w:rPr>
                <w:sz w:val="20"/>
                <w:szCs w:val="20"/>
                <w:color w:val="auto"/>
              </w:rPr>
            </w:pPr>
            <w:r>
              <w:rPr>
                <w:rFonts w:ascii="Arial" w:cs="Arial" w:eastAsia="Arial" w:hAnsi="Arial"/>
                <w:sz w:val="16"/>
                <w:szCs w:val="16"/>
                <w:b w:val="1"/>
                <w:bCs w:val="1"/>
                <w:color w:val="auto"/>
              </w:rPr>
              <w:t>Securities/Purchaser</w:t>
            </w:r>
          </w:p>
        </w:tc>
        <w:tc>
          <w:tcPr>
            <w:tcW w:w="1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Issuance</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Securities</w:t>
            </w: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Consideration</w:t>
            </w:r>
          </w:p>
        </w:tc>
      </w:tr>
      <w:tr>
        <w:trPr>
          <w:trHeight w:val="47"/>
        </w:trPr>
        <w:tc>
          <w:tcPr>
            <w:tcW w:w="4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57"/>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Class A Ordinary Shares</w:t>
            </w: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rPr>
              <w:t>Sertus Nominees (Cayman) Limited</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June 12, 2023</w:t>
            </w: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0.00001</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Trident Digital Tech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June 12,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49,999,999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499.99999</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Class B Ordinary Shares</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Trident Group Holdings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June 12,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150,000,000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rPr>
              <w:t>Tri Wealth Ltd</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June 12, 2023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125,705,000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1,257.05</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Soon Tai Lee</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75,000,000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3,000,000</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rPr>
              <w:t>Yat Hong Lo</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July 4, 2023</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25,000,000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4,000,000</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Stone Wealth Compound Fund SPC</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24,795,000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499,990</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w w:val="97"/>
              </w:rPr>
              <w:t>Alpha Plus Investment Consulting Company Pte. Ltd.</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July 4, 2023</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24,500,000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Poh Kiong Tan</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rPr>
              <w:t>Shisong Mai</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July 4, 2023</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10,000,000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1"/>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Trident Verse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rPr>
              <w:t>Choon How Liew</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October 3, 2023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446,429</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Vijai Dharamdas Parwani</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October 3,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357,143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rPr>
              <w:t>Low Yeun Ching@Kelly Tan</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October 3, 2023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267,857</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43"/>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 Fund Management Limited</w:t>
            </w:r>
          </w:p>
        </w:tc>
        <w:tc>
          <w:tcPr>
            <w:tcW w:w="14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October 3, 2023</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892,857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40"/>
        </w:trPr>
        <w:tc>
          <w:tcPr>
            <w:tcW w:w="4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1" w:name="page172"/>
    <w:bookmarkEnd w:id="17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148" w:lineRule="exact"/>
        <w:rPr>
          <w:sz w:val="20"/>
          <w:szCs w:val="20"/>
          <w:color w:val="auto"/>
        </w:rPr>
      </w:pPr>
    </w:p>
    <w:p>
      <w:pPr>
        <w:ind w:left="1320" w:hanging="434"/>
        <w:spacing w:after="0"/>
        <w:tabs>
          <w:tab w:leader="none" w:pos="13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See Exhibit Index beginning on page II-4 of this registration statement.</w:t>
      </w:r>
    </w:p>
    <w:p>
      <w:pPr>
        <w:spacing w:after="0" w:line="158"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84" w:lineRule="exact"/>
        <w:rPr>
          <w:sz w:val="20"/>
          <w:szCs w:val="20"/>
          <w:color w:val="auto"/>
        </w:rPr>
      </w:pPr>
    </w:p>
    <w:p>
      <w:pPr>
        <w:ind w:left="460" w:right="739" w:firstLine="432"/>
        <w:spacing w:after="0" w:line="311" w:lineRule="auto"/>
        <w:rPr>
          <w:sz w:val="20"/>
          <w:szCs w:val="20"/>
          <w:color w:val="auto"/>
        </w:rPr>
      </w:pPr>
      <w:r>
        <w:rPr>
          <w:rFonts w:ascii="Arial" w:cs="Arial" w:eastAsia="Arial" w:hAnsi="Arial"/>
          <w:sz w:val="16"/>
          <w:szCs w:val="16"/>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81"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5"/>
          <w:szCs w:val="15"/>
          <w:color w:val="auto"/>
        </w:rPr>
        <w:t>Financial Statement Schedules</w:t>
      </w:r>
    </w:p>
    <w:p>
      <w:pPr>
        <w:spacing w:after="0" w:line="15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consolidated financial statements and the related notes thereto.</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9. UNDERTAKINGS.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undersigned registrant hereby undertakes that:</w:t>
      </w:r>
    </w:p>
    <w:p>
      <w:pPr>
        <w:spacing w:after="0" w:line="158" w:lineRule="exact"/>
        <w:rPr>
          <w:sz w:val="20"/>
          <w:szCs w:val="20"/>
          <w:color w:val="auto"/>
        </w:rPr>
      </w:pPr>
    </w:p>
    <w:p>
      <w:pPr>
        <w:ind w:left="1320" w:right="559" w:hanging="434"/>
        <w:spacing w:after="0" w:line="257" w:lineRule="auto"/>
        <w:tabs>
          <w:tab w:leader="none" w:pos="127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6" w:lineRule="exact"/>
        <w:rPr>
          <w:rFonts w:ascii="Arial" w:cs="Arial" w:eastAsia="Arial" w:hAnsi="Arial"/>
          <w:sz w:val="18"/>
          <w:szCs w:val="18"/>
          <w:color w:val="auto"/>
        </w:rPr>
      </w:pPr>
    </w:p>
    <w:p>
      <w:pPr>
        <w:ind w:left="1320" w:right="479" w:hanging="434"/>
        <w:spacing w:after="0" w:line="259" w:lineRule="auto"/>
        <w:tabs>
          <w:tab w:leader="none" w:pos="127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9" w:lineRule="exact"/>
        <w:rPr>
          <w:sz w:val="20"/>
          <w:szCs w:val="20"/>
          <w:color w:val="auto"/>
        </w:rPr>
      </w:pPr>
    </w:p>
    <w:p>
      <w:pPr>
        <w:ind w:left="460" w:right="859" w:firstLine="432"/>
        <w:spacing w:after="0" w:line="263" w:lineRule="auto"/>
        <w:rPr>
          <w:sz w:val="20"/>
          <w:szCs w:val="20"/>
          <w:color w:val="auto"/>
        </w:rPr>
      </w:pPr>
      <w:r>
        <w:rPr>
          <w:rFonts w:ascii="Arial" w:cs="Arial" w:eastAsia="Arial" w:hAnsi="Arial"/>
          <w:sz w:val="18"/>
          <w:szCs w:val="18"/>
          <w:color w:val="auto"/>
        </w:rPr>
        <w:t>The undersigned registrant hereby undertakes to file a post-effective amendment to the registration statement to include any financial statements required by Item 8.A of Form 20-F at the start of any delayed offering or throughout a continuous offering.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2" w:name="page173"/>
    <w:bookmarkEnd w:id="17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0" w:lineRule="exact"/>
        <w:rPr>
          <w:sz w:val="20"/>
          <w:szCs w:val="20"/>
          <w:color w:val="auto"/>
        </w:rPr>
      </w:pPr>
    </w:p>
    <w:p>
      <w:pPr>
        <w:ind w:left="1320" w:right="859" w:hanging="434"/>
        <w:spacing w:after="0" w:line="277" w:lineRule="auto"/>
        <w:tabs>
          <w:tab w:leader="none" w:pos="128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2" w:lineRule="exact"/>
        <w:rPr>
          <w:rFonts w:ascii="Arial" w:cs="Arial" w:eastAsia="Arial" w:hAnsi="Arial"/>
          <w:sz w:val="18"/>
          <w:szCs w:val="18"/>
          <w:color w:val="auto"/>
        </w:rPr>
      </w:pPr>
    </w:p>
    <w:p>
      <w:pPr>
        <w:ind w:left="1320" w:right="1079" w:hanging="434"/>
        <w:spacing w:after="0" w:line="263" w:lineRule="auto"/>
        <w:tabs>
          <w:tab w:leader="none" w:pos="128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2" w:lineRule="exact"/>
        <w:rPr>
          <w:rFonts w:ascii="Arial" w:cs="Arial" w:eastAsia="Arial" w:hAnsi="Arial"/>
          <w:sz w:val="18"/>
          <w:szCs w:val="18"/>
          <w:color w:val="auto"/>
        </w:rPr>
      </w:pPr>
    </w:p>
    <w:p>
      <w:pPr>
        <w:ind w:left="1320" w:right="919" w:hanging="434"/>
        <w:spacing w:after="0" w:line="277" w:lineRule="auto"/>
        <w:tabs>
          <w:tab w:leader="none" w:pos="129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3" w:name="page174"/>
    <w:bookmarkEnd w:id="17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Trident Digital Tech Holdings Ltd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Exhibit</w:t>
      </w:r>
    </w:p>
    <w:p>
      <w:pPr>
        <w:spacing w:after="0" w:line="26" w:lineRule="exact"/>
        <w:rPr>
          <w:sz w:val="20"/>
          <w:szCs w:val="20"/>
          <w:color w:val="auto"/>
        </w:rPr>
      </w:pPr>
    </w:p>
    <w:p>
      <w:pPr>
        <w:ind w:left="460"/>
        <w:spacing w:after="0"/>
        <w:tabs>
          <w:tab w:leader="none" w:pos="40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Documents</w:t>
      </w:r>
    </w:p>
    <w:p>
      <w:pPr>
        <w:sectPr>
          <w:pgSz w:w="11900" w:h="16838" w:orient="portrait"/>
          <w:cols w:equalWidth="0" w:num="1">
            <w:col w:w="9019"/>
          </w:cols>
          <w:pgMar w:left="1440" w:top="274" w:right="1440" w:bottom="1440" w:gutter="0" w:footer="0" w:header="0"/>
        </w:sectPr>
      </w:pP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Form of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-139065</wp:posOffset>
            </wp:positionV>
            <wp:extent cx="5143500" cy="1797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r:id="rId241">
        <w:r>
          <w:rPr>
            <w:rFonts w:ascii="Arial" w:cs="Arial" w:eastAsia="Arial" w:hAnsi="Arial"/>
            <w:sz w:val="18"/>
            <w:szCs w:val="18"/>
            <w:u w:val="single" w:color="auto"/>
            <w:color w:val="0000EE"/>
          </w:rPr>
          <w:t>Memorandum and Articles of Association of the Registrant, as currently in effect</w:t>
        </w:r>
      </w:hyperlink>
    </w:p>
    <w:p>
      <w:pPr>
        <w:spacing w:after="0" w:line="50" w:lineRule="exact"/>
        <w:rPr>
          <w:sz w:val="20"/>
          <w:szCs w:val="20"/>
          <w:color w:val="auto"/>
        </w:rPr>
      </w:pPr>
    </w:p>
    <w:p>
      <w:pPr>
        <w:ind w:right="799"/>
        <w:spacing w:after="0" w:line="273" w:lineRule="auto"/>
        <w:rPr>
          <w:rFonts w:ascii="Arial" w:cs="Arial" w:eastAsia="Arial" w:hAnsi="Arial"/>
          <w:sz w:val="18"/>
          <w:szCs w:val="18"/>
          <w:u w:val="single" w:color="auto"/>
          <w:color w:val="0000EE"/>
        </w:rPr>
      </w:pPr>
      <w:hyperlink r:id="rId242">
        <w:r>
          <w:rPr>
            <w:rFonts w:ascii="Arial" w:cs="Arial" w:eastAsia="Arial" w:hAnsi="Arial"/>
            <w:sz w:val="18"/>
            <w:szCs w:val="18"/>
            <w:u w:val="single" w:color="auto"/>
            <w:color w:val="0000EE"/>
          </w:rPr>
          <w:t>Form of Amended and Restated Memorandum and Articles of Association of the Registrant, as</w:t>
        </w:r>
      </w:hyperlink>
      <w:r>
        <w:rPr>
          <w:rFonts w:ascii="Arial" w:cs="Arial" w:eastAsia="Arial" w:hAnsi="Arial"/>
          <w:sz w:val="18"/>
          <w:szCs w:val="18"/>
          <w:u w:val="single" w:color="auto"/>
          <w:color w:val="0000EE"/>
        </w:rPr>
        <w:t xml:space="preserve"> </w:t>
      </w:r>
      <w:hyperlink r:id="rId242">
        <w:r>
          <w:rPr>
            <w:rFonts w:ascii="Arial" w:cs="Arial" w:eastAsia="Arial" w:hAnsi="Arial"/>
            <w:sz w:val="18"/>
            <w:szCs w:val="18"/>
            <w:u w:val="single" w:color="auto"/>
            <w:color w:val="0000EE"/>
          </w:rPr>
          <w:t>effective immediately prior to the completion of this offering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-289560</wp:posOffset>
            </wp:positionV>
            <wp:extent cx="5143500" cy="3003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860" w:space="520"/>
            <w:col w:w="7639"/>
          </w:cols>
          <w:pgMar w:left="1440" w:top="274" w:right="1440"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4.1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4.3</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5.1</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215E9E"/>
        </w:rPr>
        <w:t>Form of Registrant’s Specimen American Depositary Receipt (included in 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40640</wp:posOffset>
            </wp:positionV>
            <wp:extent cx="5143500" cy="1803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Registrant’s Specimen Certificate for Class B ordinary shares</w:t>
      </w:r>
    </w:p>
    <w:p>
      <w:pPr>
        <w:spacing w:after="0" w:line="50" w:lineRule="exact"/>
        <w:rPr>
          <w:sz w:val="20"/>
          <w:szCs w:val="20"/>
          <w:color w:val="auto"/>
        </w:rPr>
      </w:pPr>
    </w:p>
    <w:p>
      <w:pPr>
        <w:ind w:right="719"/>
        <w:spacing w:after="0" w:line="273" w:lineRule="auto"/>
        <w:rPr>
          <w:sz w:val="20"/>
          <w:szCs w:val="20"/>
          <w:color w:val="auto"/>
        </w:rPr>
      </w:pPr>
      <w:r>
        <w:rPr>
          <w:rFonts w:ascii="Arial" w:cs="Arial" w:eastAsia="Arial" w:hAnsi="Arial"/>
          <w:sz w:val="18"/>
          <w:szCs w:val="18"/>
          <w:u w:val="single" w:color="auto"/>
          <w:color w:val="215E9E"/>
        </w:rPr>
        <w:t>Form of Deposit Agreement between the Registrant, the depositary and holders of the American Depositary Receipts</w:t>
      </w:r>
    </w:p>
    <w:p>
      <w:pPr>
        <w:spacing w:after="0" w:line="2" w:lineRule="exact"/>
        <w:rPr>
          <w:sz w:val="20"/>
          <w:szCs w:val="20"/>
          <w:color w:val="auto"/>
        </w:rPr>
      </w:pPr>
    </w:p>
    <w:p>
      <w:pPr>
        <w:ind w:right="779"/>
        <w:spacing w:after="0" w:line="273" w:lineRule="auto"/>
        <w:rPr>
          <w:sz w:val="20"/>
          <w:szCs w:val="20"/>
          <w:color w:val="auto"/>
        </w:rPr>
      </w:pPr>
      <w:r>
        <w:rPr>
          <w:rFonts w:ascii="Arial" w:cs="Arial" w:eastAsia="Arial" w:hAnsi="Arial"/>
          <w:sz w:val="18"/>
          <w:szCs w:val="18"/>
          <w:u w:val="single" w:color="auto"/>
          <w:color w:val="0000EE"/>
        </w:rPr>
        <w:t>Opinion of Maples and Calder (Hong Kong) LLP regarding the validity of the Class B ordinary shares being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-289560</wp:posOffset>
            </wp:positionV>
            <wp:extent cx="5143500" cy="3003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right="839"/>
        <w:spacing w:after="0" w:line="273" w:lineRule="auto"/>
        <w:rPr>
          <w:sz w:val="20"/>
          <w:szCs w:val="20"/>
          <w:color w:val="auto"/>
        </w:rPr>
      </w:pPr>
      <w:r>
        <w:rPr>
          <w:rFonts w:ascii="Arial" w:cs="Arial" w:eastAsia="Arial" w:hAnsi="Arial"/>
          <w:sz w:val="18"/>
          <w:szCs w:val="18"/>
          <w:u w:val="single" w:color="auto"/>
          <w:color w:val="0000EE"/>
        </w:rPr>
        <w:t>Opinion of Maples and Calder (Hong Kong) LLP regarding certain Cayman Island tax matters (included in Exhibit 5.1)</w:t>
      </w:r>
    </w:p>
    <w:p>
      <w:pPr>
        <w:spacing w:after="0" w:line="2" w:lineRule="exact"/>
        <w:rPr>
          <w:sz w:val="20"/>
          <w:szCs w:val="20"/>
          <w:color w:val="auto"/>
        </w:rPr>
      </w:pPr>
    </w:p>
    <w:p>
      <w:pPr>
        <w:ind w:right="919"/>
        <w:spacing w:after="0" w:line="273" w:lineRule="auto"/>
        <w:rPr>
          <w:rFonts w:ascii="Arial" w:cs="Arial" w:eastAsia="Arial" w:hAnsi="Arial"/>
          <w:sz w:val="18"/>
          <w:szCs w:val="18"/>
          <w:u w:val="single" w:color="auto"/>
          <w:color w:val="0000EE"/>
        </w:rPr>
      </w:pPr>
      <w:hyperlink r:id="rId246">
        <w:r>
          <w:rPr>
            <w:rFonts w:ascii="Arial" w:cs="Arial" w:eastAsia="Arial" w:hAnsi="Arial"/>
            <w:sz w:val="18"/>
            <w:szCs w:val="18"/>
            <w:u w:val="single" w:color="auto"/>
            <w:color w:val="0000EE"/>
          </w:rPr>
          <w:t>Opinion of Resource Law LLC (in alliance with Reed Smith) regarding certain Singapore tax</w:t>
        </w:r>
      </w:hyperlink>
      <w:r>
        <w:rPr>
          <w:rFonts w:ascii="Arial" w:cs="Arial" w:eastAsia="Arial" w:hAnsi="Arial"/>
          <w:sz w:val="18"/>
          <w:szCs w:val="18"/>
          <w:u w:val="single" w:color="auto"/>
          <w:color w:val="0000EE"/>
        </w:rPr>
        <w:t xml:space="preserve"> </w:t>
      </w:r>
      <w:hyperlink r:id="rId246">
        <w:r>
          <w:rPr>
            <w:rFonts w:ascii="Arial" w:cs="Arial" w:eastAsia="Arial" w:hAnsi="Arial"/>
            <w:sz w:val="18"/>
            <w:szCs w:val="18"/>
            <w:u w:val="single" w:color="auto"/>
            <w:color w:val="0000EE"/>
          </w:rPr>
          <w:t>matters (included in Exhibit 99.2)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-289560</wp:posOffset>
            </wp:positionV>
            <wp:extent cx="5143500" cy="3003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860" w:space="520"/>
            <w:col w:w="7639"/>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7"/>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7180" w:type="dxa"/>
            <w:vAlign w:val="bottom"/>
            <w:gridSpan w:val="7"/>
          </w:tcPr>
          <w:p>
            <w:pPr>
              <w:spacing w:after="0"/>
              <w:rPr>
                <w:rFonts w:ascii="Arial" w:cs="Arial" w:eastAsia="Arial" w:hAnsi="Arial"/>
                <w:sz w:val="18"/>
                <w:szCs w:val="18"/>
                <w:color w:val="0000EE"/>
                <w:w w:val="91"/>
              </w:rPr>
            </w:pPr>
            <w:hyperlink r:id="rId248">
              <w:r>
                <w:rPr>
                  <w:rFonts w:ascii="Arial" w:cs="Arial" w:eastAsia="Arial" w:hAnsi="Arial"/>
                  <w:sz w:val="18"/>
                  <w:szCs w:val="18"/>
                  <w:color w:val="0000EE"/>
                  <w:w w:val="91"/>
                </w:rPr>
                <w:t>Form of Indemnification Agreement between the Registrant and its directors and executive officers</w:t>
              </w:r>
            </w:hyperlink>
          </w:p>
        </w:tc>
      </w:tr>
      <w:tr>
        <w:trPr>
          <w:trHeight w:val="61"/>
        </w:trPr>
        <w:tc>
          <w:tcPr>
            <w:tcW w:w="920" w:type="dxa"/>
            <w:vAlign w:val="bottom"/>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5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03"/>
        </w:trPr>
        <w:tc>
          <w:tcPr>
            <w:tcW w:w="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10.2**</w:t>
            </w:r>
          </w:p>
        </w:tc>
        <w:tc>
          <w:tcPr>
            <w:tcW w:w="7180" w:type="dxa"/>
            <w:vAlign w:val="bottom"/>
            <w:gridSpan w:val="7"/>
            <w:shd w:val="clear" w:color="auto" w:fill="CCEEFF"/>
          </w:tcPr>
          <w:p>
            <w:pPr>
              <w:spacing w:after="0" w:line="202" w:lineRule="exact"/>
              <w:rPr>
                <w:rFonts w:ascii="Arial" w:cs="Arial" w:eastAsia="Arial" w:hAnsi="Arial"/>
                <w:sz w:val="18"/>
                <w:szCs w:val="18"/>
                <w:color w:val="0000EE"/>
              </w:rPr>
            </w:pPr>
            <w:hyperlink r:id="rId249">
              <w:r>
                <w:rPr>
                  <w:rFonts w:ascii="Arial" w:cs="Arial" w:eastAsia="Arial" w:hAnsi="Arial"/>
                  <w:sz w:val="18"/>
                  <w:szCs w:val="18"/>
                  <w:color w:val="0000EE"/>
                </w:rPr>
                <w:t>Form of Employment Agreement, between the Registrant and its executive officers</w:t>
              </w:r>
            </w:hyperlink>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25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10.3**</w:t>
            </w:r>
          </w:p>
        </w:tc>
        <w:tc>
          <w:tcPr>
            <w:tcW w:w="7180" w:type="dxa"/>
            <w:vAlign w:val="bottom"/>
            <w:gridSpan w:val="7"/>
          </w:tcPr>
          <w:p>
            <w:pPr>
              <w:spacing w:after="0" w:line="202" w:lineRule="exact"/>
              <w:rPr>
                <w:rFonts w:ascii="Arial" w:cs="Arial" w:eastAsia="Arial" w:hAnsi="Arial"/>
                <w:sz w:val="18"/>
                <w:szCs w:val="18"/>
                <w:color w:val="0000EE"/>
              </w:rPr>
            </w:pPr>
            <w:hyperlink r:id="rId250">
              <w:r>
                <w:rPr>
                  <w:rFonts w:ascii="Arial" w:cs="Arial" w:eastAsia="Arial" w:hAnsi="Arial"/>
                  <w:sz w:val="18"/>
                  <w:szCs w:val="18"/>
                  <w:color w:val="0000EE"/>
                </w:rPr>
                <w:t>2023 Equity Incentive Plan</w:t>
              </w:r>
            </w:hyperlink>
          </w:p>
        </w:tc>
      </w:tr>
      <w:tr>
        <w:trPr>
          <w:trHeight w:val="61"/>
        </w:trPr>
        <w:tc>
          <w:tcPr>
            <w:tcW w:w="920" w:type="dxa"/>
            <w:vAlign w:val="bottom"/>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03"/>
        </w:trPr>
        <w:tc>
          <w:tcPr>
            <w:tcW w:w="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21.1**</w:t>
            </w:r>
          </w:p>
        </w:tc>
        <w:tc>
          <w:tcPr>
            <w:tcW w:w="7180" w:type="dxa"/>
            <w:vAlign w:val="bottom"/>
            <w:gridSpan w:val="7"/>
            <w:shd w:val="clear" w:color="auto" w:fill="CCEEFF"/>
          </w:tcPr>
          <w:p>
            <w:pPr>
              <w:spacing w:after="0" w:line="202" w:lineRule="exact"/>
              <w:rPr>
                <w:rFonts w:ascii="Arial" w:cs="Arial" w:eastAsia="Arial" w:hAnsi="Arial"/>
                <w:sz w:val="18"/>
                <w:szCs w:val="18"/>
                <w:color w:val="0000EE"/>
              </w:rPr>
            </w:pPr>
            <w:hyperlink r:id="rId251">
              <w:r>
                <w:rPr>
                  <w:rFonts w:ascii="Arial" w:cs="Arial" w:eastAsia="Arial" w:hAnsi="Arial"/>
                  <w:sz w:val="18"/>
                  <w:szCs w:val="18"/>
                  <w:color w:val="0000EE"/>
                </w:rPr>
                <w:t>Principal Subsidiaries of the Registrant</w:t>
              </w:r>
            </w:hyperlink>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25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23.1</w:t>
            </w:r>
          </w:p>
        </w:tc>
        <w:tc>
          <w:tcPr>
            <w:tcW w:w="7180" w:type="dxa"/>
            <w:vAlign w:val="bottom"/>
            <w:gridSpan w:val="7"/>
          </w:tcPr>
          <w:p>
            <w:pPr>
              <w:spacing w:after="0" w:line="202" w:lineRule="exact"/>
              <w:rPr>
                <w:sz w:val="20"/>
                <w:szCs w:val="20"/>
                <w:color w:val="auto"/>
              </w:rPr>
            </w:pPr>
            <w:r>
              <w:rPr>
                <w:rFonts w:ascii="Arial" w:cs="Arial" w:eastAsia="Arial" w:hAnsi="Arial"/>
                <w:sz w:val="18"/>
                <w:szCs w:val="18"/>
                <w:color w:val="215E9E"/>
              </w:rPr>
              <w:t>Consent of Marcum Asia CPAs LLP, Independent Registered Public Accounting Firm</w:t>
            </w:r>
          </w:p>
        </w:tc>
      </w:tr>
      <w:tr>
        <w:trPr>
          <w:trHeight w:val="61"/>
        </w:trPr>
        <w:tc>
          <w:tcPr>
            <w:tcW w:w="920" w:type="dxa"/>
            <w:vAlign w:val="bottom"/>
          </w:tcPr>
          <w:p>
            <w:pPr>
              <w:spacing w:after="0"/>
              <w:rPr>
                <w:sz w:val="5"/>
                <w:szCs w:val="5"/>
                <w:color w:val="auto"/>
              </w:rPr>
            </w:pPr>
          </w:p>
        </w:tc>
        <w:tc>
          <w:tcPr>
            <w:tcW w:w="1960" w:type="dxa"/>
            <w:vAlign w:val="bottom"/>
            <w:tcBorders>
              <w:top w:val="single" w:sz="8" w:color="215E9E"/>
            </w:tcBorders>
          </w:tcPr>
          <w:p>
            <w:pPr>
              <w:spacing w:after="0"/>
              <w:rPr>
                <w:sz w:val="5"/>
                <w:szCs w:val="5"/>
                <w:color w:val="auto"/>
              </w:rPr>
            </w:pPr>
          </w:p>
        </w:tc>
        <w:tc>
          <w:tcPr>
            <w:tcW w:w="860" w:type="dxa"/>
            <w:vAlign w:val="bottom"/>
            <w:tcBorders>
              <w:top w:val="single" w:sz="8" w:color="215E9E"/>
            </w:tcBorders>
          </w:tcPr>
          <w:p>
            <w:pPr>
              <w:spacing w:after="0"/>
              <w:rPr>
                <w:sz w:val="5"/>
                <w:szCs w:val="5"/>
                <w:color w:val="auto"/>
              </w:rPr>
            </w:pPr>
          </w:p>
        </w:tc>
        <w:tc>
          <w:tcPr>
            <w:tcW w:w="2540" w:type="dxa"/>
            <w:vAlign w:val="bottom"/>
            <w:tcBorders>
              <w:top w:val="single" w:sz="8" w:color="215E9E"/>
            </w:tcBorders>
          </w:tcPr>
          <w:p>
            <w:pPr>
              <w:spacing w:after="0"/>
              <w:rPr>
                <w:sz w:val="5"/>
                <w:szCs w:val="5"/>
                <w:color w:val="auto"/>
              </w:rPr>
            </w:pPr>
          </w:p>
        </w:tc>
        <w:tc>
          <w:tcPr>
            <w:tcW w:w="620" w:type="dxa"/>
            <w:vAlign w:val="bottom"/>
            <w:tcBorders>
              <w:top w:val="single" w:sz="8" w:color="215E9E"/>
            </w:tcBorders>
          </w:tcPr>
          <w:p>
            <w:pPr>
              <w:spacing w:after="0"/>
              <w:rPr>
                <w:sz w:val="5"/>
                <w:szCs w:val="5"/>
                <w:color w:val="auto"/>
              </w:rPr>
            </w:pPr>
          </w:p>
        </w:tc>
        <w:tc>
          <w:tcPr>
            <w:tcW w:w="200" w:type="dxa"/>
            <w:vAlign w:val="bottom"/>
            <w:tcBorders>
              <w:top w:val="single" w:sz="8" w:color="215E9E"/>
            </w:tcBorders>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03"/>
        </w:trPr>
        <w:tc>
          <w:tcPr>
            <w:tcW w:w="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23.2</w:t>
            </w:r>
          </w:p>
        </w:tc>
        <w:tc>
          <w:tcPr>
            <w:tcW w:w="7180" w:type="dxa"/>
            <w:vAlign w:val="bottom"/>
            <w:gridSpan w:val="7"/>
            <w:shd w:val="clear" w:color="auto" w:fill="CCEEFF"/>
          </w:tcPr>
          <w:p>
            <w:pPr>
              <w:spacing w:after="0" w:line="202" w:lineRule="exact"/>
              <w:rPr>
                <w:sz w:val="20"/>
                <w:szCs w:val="20"/>
                <w:color w:val="auto"/>
              </w:rPr>
            </w:pPr>
            <w:r>
              <w:rPr>
                <w:rFonts w:ascii="Arial" w:cs="Arial" w:eastAsia="Arial" w:hAnsi="Arial"/>
                <w:sz w:val="18"/>
                <w:szCs w:val="18"/>
                <w:color w:val="0000EE"/>
              </w:rPr>
              <w:t>Consent of Maples and Calder (Hong Kong) LLP (included in Exhibit 5.1)</w:t>
            </w:r>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25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bl>
    <w:p>
      <w:pPr>
        <w:spacing w:after="0" w:line="1" w:lineRule="exact"/>
        <w:rPr>
          <w:sz w:val="20"/>
          <w:szCs w:val="20"/>
          <w:color w:val="auto"/>
        </w:rPr>
      </w:pPr>
    </w:p>
    <w:p>
      <w:pPr>
        <w:sectPr>
          <w:pgSz w:w="11900" w:h="16838" w:orient="portrait"/>
          <w:cols w:equalWidth="0" w:num="1">
            <w:col w:w="9019"/>
          </w:cols>
          <w:pgMar w:left="1440" w:top="274" w:right="1440"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23.3**</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24.1**</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99.1**</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99.2**</w:t>
      </w:r>
    </w:p>
    <w:p>
      <w:pPr>
        <w:spacing w:after="0" w:line="20" w:lineRule="exact"/>
        <w:rPr>
          <w:sz w:val="20"/>
          <w:szCs w:val="20"/>
          <w:color w:val="auto"/>
        </w:rPr>
      </w:pPr>
      <w:r>
        <w:rPr>
          <w:sz w:val="20"/>
          <w:szCs w:val="20"/>
          <w:color w:val="auto"/>
        </w:rPr>
        <w:br w:type="column"/>
      </w:r>
    </w:p>
    <w:p>
      <w:pPr>
        <w:ind w:right="1379"/>
        <w:spacing w:after="0" w:line="318" w:lineRule="auto"/>
        <w:rPr>
          <w:rFonts w:ascii="Arial" w:cs="Arial" w:eastAsia="Arial" w:hAnsi="Arial"/>
          <w:sz w:val="18"/>
          <w:szCs w:val="18"/>
          <w:u w:val="single" w:color="auto"/>
          <w:color w:val="0000EE"/>
        </w:rPr>
      </w:pPr>
      <w:hyperlink r:id="rId246">
        <w:r>
          <w:rPr>
            <w:rFonts w:ascii="Arial" w:cs="Arial" w:eastAsia="Arial" w:hAnsi="Arial"/>
            <w:sz w:val="18"/>
            <w:szCs w:val="18"/>
            <w:u w:val="single" w:color="auto"/>
            <w:color w:val="0000EE"/>
          </w:rPr>
          <w:t>Consent of Resource Law LLC (in alliance with Reed Smith)(included in Exhibit 99.2)</w:t>
        </w:r>
      </w:hyperlink>
      <w:r>
        <w:rPr>
          <w:rFonts w:ascii="Arial" w:cs="Arial" w:eastAsia="Arial" w:hAnsi="Arial"/>
          <w:sz w:val="18"/>
          <w:szCs w:val="18"/>
          <w:u w:val="single" w:color="auto"/>
          <w:color w:val="0000EE"/>
        </w:rPr>
        <w:t xml:space="preserve"> </w:t>
      </w:r>
      <w:hyperlink r:id="rId252">
        <w:r>
          <w:rPr>
            <w:rFonts w:ascii="Arial" w:cs="Arial" w:eastAsia="Arial" w:hAnsi="Arial"/>
            <w:sz w:val="18"/>
            <w:szCs w:val="18"/>
            <w:u w:val="single" w:color="auto"/>
            <w:color w:val="0000EE"/>
          </w:rPr>
          <w:t>Powers of Attorney (included on signature page)</w:t>
        </w:r>
      </w:hyperlink>
      <w:r>
        <w:rPr>
          <w:rFonts w:ascii="Arial" w:cs="Arial" w:eastAsia="Arial" w:hAnsi="Arial"/>
          <w:sz w:val="18"/>
          <w:szCs w:val="18"/>
          <w:u w:val="single" w:color="auto"/>
          <w:color w:val="0000EE"/>
        </w:rPr>
        <w:t xml:space="preserve"> </w:t>
      </w:r>
      <w:hyperlink r:id="rId253">
        <w:r>
          <w:rPr>
            <w:rFonts w:ascii="Arial" w:cs="Arial" w:eastAsia="Arial" w:hAnsi="Arial"/>
            <w:sz w:val="18"/>
            <w:szCs w:val="18"/>
            <w:u w:val="single" w:color="auto"/>
            <w:color w:val="0000EE"/>
          </w:rPr>
          <w:t>Code of Business Conduct and Ethics of the Registrant</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-587375</wp:posOffset>
            </wp:positionH>
            <wp:positionV relativeFrom="paragraph">
              <wp:posOffset>-349885</wp:posOffset>
            </wp:positionV>
            <wp:extent cx="5143500" cy="179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right="879"/>
        <w:spacing w:after="0" w:line="273" w:lineRule="auto"/>
        <w:rPr>
          <w:rFonts w:ascii="Arial" w:cs="Arial" w:eastAsia="Arial" w:hAnsi="Arial"/>
          <w:sz w:val="18"/>
          <w:szCs w:val="18"/>
          <w:u w:val="single" w:color="auto"/>
          <w:color w:val="0000EE"/>
        </w:rPr>
      </w:pPr>
      <w:hyperlink r:id="rId246">
        <w:r>
          <w:rPr>
            <w:rFonts w:ascii="Arial" w:cs="Arial" w:eastAsia="Arial" w:hAnsi="Arial"/>
            <w:sz w:val="18"/>
            <w:szCs w:val="18"/>
            <w:u w:val="single" w:color="auto"/>
            <w:color w:val="0000EE"/>
          </w:rPr>
          <w:t>Opinion of Resource Law LLC (in alliance with Reed Smith) regarding certain Singapore law</w:t>
        </w:r>
      </w:hyperlink>
      <w:r>
        <w:rPr>
          <w:rFonts w:ascii="Arial" w:cs="Arial" w:eastAsia="Arial" w:hAnsi="Arial"/>
          <w:sz w:val="18"/>
          <w:szCs w:val="18"/>
          <w:u w:val="single" w:color="auto"/>
          <w:color w:val="0000EE"/>
        </w:rPr>
        <w:t xml:space="preserve"> </w:t>
      </w:r>
      <w:hyperlink r:id="rId246">
        <w:r>
          <w:rPr>
            <w:rFonts w:ascii="Arial" w:cs="Arial" w:eastAsia="Arial" w:hAnsi="Arial"/>
            <w:sz w:val="18"/>
            <w:szCs w:val="18"/>
            <w:u w:val="single" w:color="auto"/>
            <w:color w:val="0000EE"/>
          </w:rPr>
          <w:t>matters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-289560</wp:posOffset>
            </wp:positionV>
            <wp:extent cx="5143500" cy="3003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5">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940" w:space="440"/>
            <w:col w:w="7639"/>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7"/>
        </w:trPr>
        <w:tc>
          <w:tcPr>
            <w:tcW w:w="920" w:type="dxa"/>
            <w:vAlign w:val="bottom"/>
          </w:tcPr>
          <w:p>
            <w:pPr>
              <w:spacing w:after="0"/>
              <w:rPr>
                <w:sz w:val="20"/>
                <w:szCs w:val="20"/>
                <w:color w:val="auto"/>
              </w:rPr>
            </w:pPr>
            <w:r>
              <w:rPr>
                <w:rFonts w:ascii="Arial" w:cs="Arial" w:eastAsia="Arial" w:hAnsi="Arial"/>
                <w:sz w:val="18"/>
                <w:szCs w:val="18"/>
                <w:color w:val="auto"/>
              </w:rPr>
              <w:t>99.3**</w:t>
            </w:r>
          </w:p>
        </w:tc>
        <w:tc>
          <w:tcPr>
            <w:tcW w:w="7180" w:type="dxa"/>
            <w:vAlign w:val="bottom"/>
            <w:gridSpan w:val="6"/>
          </w:tcPr>
          <w:p>
            <w:pPr>
              <w:spacing w:after="0"/>
              <w:rPr>
                <w:rFonts w:ascii="Arial" w:cs="Arial" w:eastAsia="Arial" w:hAnsi="Arial"/>
                <w:sz w:val="18"/>
                <w:szCs w:val="18"/>
                <w:color w:val="0000EE"/>
              </w:rPr>
            </w:pPr>
            <w:hyperlink r:id="rId256">
              <w:r>
                <w:rPr>
                  <w:rFonts w:ascii="Arial" w:cs="Arial" w:eastAsia="Arial" w:hAnsi="Arial"/>
                  <w:sz w:val="18"/>
                  <w:szCs w:val="18"/>
                  <w:color w:val="0000EE"/>
                </w:rPr>
                <w:t>Consent of Frost &amp; Sullivan</w:t>
              </w:r>
            </w:hyperlink>
          </w:p>
        </w:tc>
      </w:tr>
      <w:tr>
        <w:trPr>
          <w:trHeight w:val="61"/>
        </w:trPr>
        <w:tc>
          <w:tcPr>
            <w:tcW w:w="920" w:type="dxa"/>
            <w:vAlign w:val="bottom"/>
          </w:tcPr>
          <w:p>
            <w:pPr>
              <w:spacing w:after="0"/>
              <w:rPr>
                <w:sz w:val="5"/>
                <w:szCs w:val="5"/>
                <w:color w:val="auto"/>
              </w:rPr>
            </w:pPr>
          </w:p>
        </w:tc>
        <w:tc>
          <w:tcPr>
            <w:tcW w:w="11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5080" w:type="dxa"/>
            <w:vAlign w:val="bottom"/>
          </w:tcPr>
          <w:p>
            <w:pPr>
              <w:spacing w:after="0"/>
              <w:rPr>
                <w:sz w:val="5"/>
                <w:szCs w:val="5"/>
                <w:color w:val="auto"/>
              </w:rPr>
            </w:pPr>
          </w:p>
        </w:tc>
      </w:tr>
      <w:tr>
        <w:trPr>
          <w:trHeight w:val="203"/>
        </w:trPr>
        <w:tc>
          <w:tcPr>
            <w:tcW w:w="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99.4**</w:t>
            </w:r>
          </w:p>
        </w:tc>
        <w:tc>
          <w:tcPr>
            <w:tcW w:w="7180" w:type="dxa"/>
            <w:vAlign w:val="bottom"/>
            <w:gridSpan w:val="6"/>
            <w:shd w:val="clear" w:color="auto" w:fill="CCEEFF"/>
          </w:tcPr>
          <w:p>
            <w:pPr>
              <w:spacing w:after="0" w:line="202" w:lineRule="exact"/>
              <w:rPr>
                <w:rFonts w:ascii="Arial" w:cs="Arial" w:eastAsia="Arial" w:hAnsi="Arial"/>
                <w:sz w:val="18"/>
                <w:szCs w:val="18"/>
                <w:color w:val="0000EE"/>
              </w:rPr>
            </w:pPr>
            <w:hyperlink r:id="rId257">
              <w:r>
                <w:rPr>
                  <w:rFonts w:ascii="Arial" w:cs="Arial" w:eastAsia="Arial" w:hAnsi="Arial"/>
                  <w:sz w:val="18"/>
                  <w:szCs w:val="18"/>
                  <w:color w:val="0000EE"/>
                </w:rPr>
                <w:t>Consent of Poh Kiong Tan</w:t>
              </w:r>
            </w:hyperlink>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80" w:type="dxa"/>
            <w:vAlign w:val="bottom"/>
            <w:tcBorders>
              <w:top w:val="single" w:sz="8" w:color="CCEEFF"/>
            </w:tcBorders>
            <w:shd w:val="clear" w:color="auto" w:fill="CCEEFF"/>
          </w:tcPr>
          <w:p>
            <w:pPr>
              <w:spacing w:after="0"/>
              <w:rPr>
                <w:sz w:val="5"/>
                <w:szCs w:val="5"/>
                <w:color w:val="auto"/>
              </w:rPr>
            </w:pP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99.5**</w:t>
            </w:r>
          </w:p>
        </w:tc>
        <w:tc>
          <w:tcPr>
            <w:tcW w:w="7180" w:type="dxa"/>
            <w:vAlign w:val="bottom"/>
            <w:gridSpan w:val="6"/>
          </w:tcPr>
          <w:p>
            <w:pPr>
              <w:spacing w:after="0" w:line="202" w:lineRule="exact"/>
              <w:rPr>
                <w:rFonts w:ascii="Arial" w:cs="Arial" w:eastAsia="Arial" w:hAnsi="Arial"/>
                <w:sz w:val="18"/>
                <w:szCs w:val="18"/>
                <w:color w:val="0000EE"/>
              </w:rPr>
            </w:pPr>
            <w:hyperlink r:id="rId258">
              <w:r>
                <w:rPr>
                  <w:rFonts w:ascii="Arial" w:cs="Arial" w:eastAsia="Arial" w:hAnsi="Arial"/>
                  <w:sz w:val="18"/>
                  <w:szCs w:val="18"/>
                  <w:color w:val="0000EE"/>
                </w:rPr>
                <w:t>Consent of How Teck Lim</w:t>
              </w:r>
            </w:hyperlink>
          </w:p>
        </w:tc>
      </w:tr>
      <w:tr>
        <w:trPr>
          <w:trHeight w:val="61"/>
        </w:trPr>
        <w:tc>
          <w:tcPr>
            <w:tcW w:w="920" w:type="dxa"/>
            <w:vAlign w:val="bottom"/>
          </w:tcPr>
          <w:p>
            <w:pPr>
              <w:spacing w:after="0"/>
              <w:rPr>
                <w:sz w:val="5"/>
                <w:szCs w:val="5"/>
                <w:color w:val="auto"/>
              </w:rPr>
            </w:pPr>
          </w:p>
        </w:tc>
        <w:tc>
          <w:tcPr>
            <w:tcW w:w="11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80" w:type="dxa"/>
            <w:vAlign w:val="bottom"/>
          </w:tcPr>
          <w:p>
            <w:pPr>
              <w:spacing w:after="0"/>
              <w:rPr>
                <w:sz w:val="5"/>
                <w:szCs w:val="5"/>
                <w:color w:val="auto"/>
              </w:rPr>
            </w:pPr>
          </w:p>
        </w:tc>
      </w:tr>
      <w:tr>
        <w:trPr>
          <w:trHeight w:val="203"/>
        </w:trPr>
        <w:tc>
          <w:tcPr>
            <w:tcW w:w="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99.6**</w:t>
            </w:r>
          </w:p>
        </w:tc>
        <w:tc>
          <w:tcPr>
            <w:tcW w:w="7180" w:type="dxa"/>
            <w:vAlign w:val="bottom"/>
            <w:gridSpan w:val="6"/>
            <w:shd w:val="clear" w:color="auto" w:fill="CCEEFF"/>
          </w:tcPr>
          <w:p>
            <w:pPr>
              <w:spacing w:after="0" w:line="202" w:lineRule="exact"/>
              <w:rPr>
                <w:rFonts w:ascii="Arial" w:cs="Arial" w:eastAsia="Arial" w:hAnsi="Arial"/>
                <w:sz w:val="18"/>
                <w:szCs w:val="18"/>
                <w:color w:val="0000EE"/>
              </w:rPr>
            </w:pPr>
            <w:hyperlink r:id="rId259">
              <w:r>
                <w:rPr>
                  <w:rFonts w:ascii="Arial" w:cs="Arial" w:eastAsia="Arial" w:hAnsi="Arial"/>
                  <w:sz w:val="18"/>
                  <w:szCs w:val="18"/>
                  <w:color w:val="0000EE"/>
                </w:rPr>
                <w:t>Consent of Noi Keng Koh</w:t>
              </w:r>
            </w:hyperlink>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80" w:type="dxa"/>
            <w:vAlign w:val="bottom"/>
            <w:tcBorders>
              <w:top w:val="single" w:sz="8" w:color="CCEEFF"/>
            </w:tcBorders>
            <w:shd w:val="clear" w:color="auto" w:fill="CCEEFF"/>
          </w:tcPr>
          <w:p>
            <w:pPr>
              <w:spacing w:after="0"/>
              <w:rPr>
                <w:sz w:val="5"/>
                <w:szCs w:val="5"/>
                <w:color w:val="auto"/>
              </w:rPr>
            </w:pP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99.7**</w:t>
            </w:r>
          </w:p>
        </w:tc>
        <w:tc>
          <w:tcPr>
            <w:tcW w:w="7180" w:type="dxa"/>
            <w:vAlign w:val="bottom"/>
            <w:gridSpan w:val="6"/>
          </w:tcPr>
          <w:p>
            <w:pPr>
              <w:spacing w:after="0" w:line="202" w:lineRule="exact"/>
              <w:rPr>
                <w:rFonts w:ascii="Arial" w:cs="Arial" w:eastAsia="Arial" w:hAnsi="Arial"/>
                <w:sz w:val="18"/>
                <w:szCs w:val="18"/>
                <w:color w:val="0000EE"/>
              </w:rPr>
            </w:pPr>
            <w:hyperlink r:id="rId260">
              <w:r>
                <w:rPr>
                  <w:rFonts w:ascii="Arial" w:cs="Arial" w:eastAsia="Arial" w:hAnsi="Arial"/>
                  <w:sz w:val="18"/>
                  <w:szCs w:val="18"/>
                  <w:color w:val="0000EE"/>
                </w:rPr>
                <w:t>Consent of Chwee Koh Chua</w:t>
              </w:r>
            </w:hyperlink>
          </w:p>
        </w:tc>
      </w:tr>
      <w:tr>
        <w:trPr>
          <w:trHeight w:val="61"/>
        </w:trPr>
        <w:tc>
          <w:tcPr>
            <w:tcW w:w="920" w:type="dxa"/>
            <w:vAlign w:val="bottom"/>
          </w:tcPr>
          <w:p>
            <w:pPr>
              <w:spacing w:after="0"/>
              <w:rPr>
                <w:sz w:val="5"/>
                <w:szCs w:val="5"/>
                <w:color w:val="auto"/>
              </w:rPr>
            </w:pPr>
          </w:p>
        </w:tc>
        <w:tc>
          <w:tcPr>
            <w:tcW w:w="11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080" w:type="dxa"/>
            <w:vAlign w:val="bottom"/>
          </w:tcPr>
          <w:p>
            <w:pPr>
              <w:spacing w:after="0"/>
              <w:rPr>
                <w:sz w:val="5"/>
                <w:szCs w:val="5"/>
                <w:color w:val="auto"/>
              </w:rPr>
            </w:pPr>
          </w:p>
        </w:tc>
      </w:tr>
      <w:tr>
        <w:trPr>
          <w:trHeight w:val="203"/>
        </w:trPr>
        <w:tc>
          <w:tcPr>
            <w:tcW w:w="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107**</w:t>
            </w:r>
          </w:p>
        </w:tc>
        <w:tc>
          <w:tcPr>
            <w:tcW w:w="7180" w:type="dxa"/>
            <w:vAlign w:val="bottom"/>
            <w:gridSpan w:val="6"/>
            <w:shd w:val="clear" w:color="auto" w:fill="CCEEFF"/>
          </w:tcPr>
          <w:p>
            <w:pPr>
              <w:spacing w:after="0" w:line="202" w:lineRule="exact"/>
              <w:rPr>
                <w:rFonts w:ascii="Arial" w:cs="Arial" w:eastAsia="Arial" w:hAnsi="Arial"/>
                <w:sz w:val="18"/>
                <w:szCs w:val="18"/>
                <w:color w:val="0000EE"/>
              </w:rPr>
            </w:pPr>
            <w:hyperlink r:id="rId261">
              <w:r>
                <w:rPr>
                  <w:rFonts w:ascii="Arial" w:cs="Arial" w:eastAsia="Arial" w:hAnsi="Arial"/>
                  <w:sz w:val="18"/>
                  <w:szCs w:val="18"/>
                  <w:color w:val="0000EE"/>
                </w:rPr>
                <w:t>Filing Fee Table</w:t>
              </w:r>
            </w:hyperlink>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80" w:type="dxa"/>
            <w:vAlign w:val="bottom"/>
            <w:tcBorders>
              <w:top w:val="single" w:sz="8" w:color="CCEEFF"/>
            </w:tcBorders>
            <w:shd w:val="clear" w:color="auto" w:fill="CCEEFF"/>
          </w:tcPr>
          <w:p>
            <w:pPr>
              <w:spacing w:after="0"/>
              <w:rPr>
                <w:sz w:val="5"/>
                <w:szCs w:val="5"/>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460" w:right="6419" w:hanging="6"/>
        <w:spacing w:after="0" w:line="328" w:lineRule="auto"/>
        <w:tabs>
          <w:tab w:leader="none" w:pos="865" w:val="left"/>
        </w:tabs>
        <w:numPr>
          <w:ilvl w:val="0"/>
          <w:numId w:val="167"/>
        </w:numPr>
        <w:rPr>
          <w:rFonts w:ascii="Arial" w:cs="Arial" w:eastAsia="Arial" w:hAnsi="Arial"/>
          <w:sz w:val="15"/>
          <w:szCs w:val="15"/>
          <w:color w:val="auto"/>
        </w:rPr>
      </w:pPr>
      <w:r>
        <w:rPr>
          <w:rFonts w:ascii="Arial" w:cs="Arial" w:eastAsia="Arial" w:hAnsi="Arial"/>
          <w:sz w:val="15"/>
          <w:szCs w:val="15"/>
          <w:color w:val="auto"/>
        </w:rPr>
        <w:t>To be filed by amendment. ** Previously filed.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4" w:name="page175"/>
    <w:bookmarkEnd w:id="17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Singapore, on October 19, 2023.</w:t>
      </w:r>
    </w:p>
    <w:p>
      <w:pPr>
        <w:spacing w:after="0" w:line="29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Trident Digital Tech Holdings Ltd</w:t>
      </w:r>
    </w:p>
    <w:p>
      <w:pPr>
        <w:spacing w:after="0" w:line="20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48895</wp:posOffset>
            </wp:positionV>
            <wp:extent cx="22459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7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Name: Soon Huat Lim</w:t>
      </w:r>
    </w:p>
    <w:p>
      <w:pPr>
        <w:spacing w:after="0" w:line="7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Title: Chairman and Chief Executive Officer</w:t>
      </w:r>
    </w:p>
    <w:p>
      <w:pPr>
        <w:spacing w:after="0" w:line="225"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20" w:type="dxa"/>
            <w:vAlign w:val="bottom"/>
          </w:tcPr>
          <w:p>
            <w:pPr>
              <w:spacing w:after="0"/>
              <w:rPr>
                <w:sz w:val="18"/>
                <w:szCs w:val="18"/>
                <w:color w:val="auto"/>
              </w:rPr>
            </w:pPr>
          </w:p>
        </w:tc>
        <w:tc>
          <w:tcPr>
            <w:tcW w:w="2080" w:type="dxa"/>
            <w:vAlign w:val="bottom"/>
            <w:gridSpan w:val="2"/>
          </w:tcPr>
          <w:p>
            <w:pPr>
              <w:ind w:left="420"/>
              <w:spacing w:after="0"/>
              <w:rPr>
                <w:sz w:val="20"/>
                <w:szCs w:val="20"/>
                <w:color w:val="auto"/>
              </w:rPr>
            </w:pPr>
            <w:r>
              <w:rPr>
                <w:rFonts w:ascii="Arial" w:cs="Arial" w:eastAsia="Arial" w:hAnsi="Arial"/>
                <w:sz w:val="16"/>
                <w:szCs w:val="16"/>
                <w:b w:val="1"/>
                <w:bCs w:val="1"/>
                <w:color w:val="auto"/>
              </w:rPr>
              <w:t>Signature</w:t>
            </w:r>
          </w:p>
        </w:tc>
        <w:tc>
          <w:tcPr>
            <w:tcW w:w="100" w:type="dxa"/>
            <w:vAlign w:val="bottom"/>
          </w:tcPr>
          <w:p>
            <w:pPr>
              <w:spacing w:after="0"/>
              <w:rPr>
                <w:sz w:val="18"/>
                <w:szCs w:val="18"/>
                <w:color w:val="auto"/>
              </w:rPr>
            </w:pPr>
          </w:p>
        </w:tc>
        <w:tc>
          <w:tcPr>
            <w:tcW w:w="36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Title</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47"/>
        </w:trPr>
        <w:tc>
          <w:tcPr>
            <w:tcW w:w="52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600" w:type="dxa"/>
            <w:vAlign w:val="bottom"/>
            <w:gridSpan w:val="3"/>
          </w:tcPr>
          <w:p>
            <w:pPr>
              <w:spacing w:after="0"/>
              <w:rPr>
                <w:sz w:val="20"/>
                <w:szCs w:val="20"/>
                <w:color w:val="auto"/>
              </w:rPr>
            </w:pPr>
            <w:r>
              <w:rPr>
                <w:rFonts w:ascii="Arial" w:cs="Arial" w:eastAsia="Arial" w:hAnsi="Arial"/>
                <w:sz w:val="18"/>
                <w:szCs w:val="18"/>
                <w:color w:val="auto"/>
              </w:rPr>
              <w:t>/s/ Soon Huat Lim</w:t>
            </w:r>
          </w:p>
        </w:tc>
        <w:tc>
          <w:tcPr>
            <w:tcW w:w="10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Chairman and Chief Executive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October 19, 2023</w:t>
            </w:r>
          </w:p>
        </w:tc>
        <w:tc>
          <w:tcPr>
            <w:tcW w:w="0" w:type="dxa"/>
            <w:vAlign w:val="bottom"/>
          </w:tcPr>
          <w:p>
            <w:pPr>
              <w:spacing w:after="0"/>
              <w:rPr>
                <w:sz w:val="1"/>
                <w:szCs w:val="1"/>
                <w:color w:val="auto"/>
              </w:rPr>
            </w:pPr>
          </w:p>
        </w:tc>
      </w:tr>
      <w:tr>
        <w:trPr>
          <w:trHeight w:val="40"/>
        </w:trPr>
        <w:tc>
          <w:tcPr>
            <w:tcW w:w="5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6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4"/>
              </w:rPr>
              <w:t>(principal executive officer)</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600" w:type="dxa"/>
            <w:vAlign w:val="bottom"/>
            <w:gridSpan w:val="3"/>
          </w:tcPr>
          <w:p>
            <w:pPr>
              <w:spacing w:after="0"/>
              <w:rPr>
                <w:sz w:val="20"/>
                <w:szCs w:val="20"/>
                <w:color w:val="auto"/>
              </w:rPr>
            </w:pPr>
            <w:r>
              <w:rPr>
                <w:rFonts w:ascii="Arial" w:cs="Arial" w:eastAsia="Arial" w:hAnsi="Arial"/>
                <w:sz w:val="18"/>
                <w:szCs w:val="18"/>
                <w:color w:val="auto"/>
              </w:rPr>
              <w:t>Name: Soon Huat Lim</w:t>
            </w:r>
          </w:p>
        </w:tc>
        <w:tc>
          <w:tcPr>
            <w:tcW w:w="100" w:type="dxa"/>
            <w:vAlign w:val="bottom"/>
            <w:vMerge w:val="continue"/>
          </w:tcPr>
          <w:p>
            <w:pPr>
              <w:spacing w:after="0"/>
              <w:rPr>
                <w:sz w:val="19"/>
                <w:szCs w:val="19"/>
                <w:color w:val="auto"/>
              </w:rPr>
            </w:pPr>
          </w:p>
        </w:tc>
        <w:tc>
          <w:tcPr>
            <w:tcW w:w="366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20" w:type="dxa"/>
            <w:vAlign w:val="bottom"/>
            <w:vMerge w:val="restart"/>
          </w:tcPr>
          <w:p>
            <w:pPr>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3"/>
              </w:rPr>
              <w:t>Chief Financial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October 19, 2023</w:t>
            </w:r>
          </w:p>
        </w:tc>
        <w:tc>
          <w:tcPr>
            <w:tcW w:w="0" w:type="dxa"/>
            <w:vAlign w:val="bottom"/>
          </w:tcPr>
          <w:p>
            <w:pPr>
              <w:spacing w:after="0"/>
              <w:rPr>
                <w:sz w:val="1"/>
                <w:szCs w:val="1"/>
                <w:color w:val="auto"/>
              </w:rPr>
            </w:pPr>
          </w:p>
        </w:tc>
      </w:tr>
      <w:tr>
        <w:trPr>
          <w:trHeight w:val="148"/>
        </w:trPr>
        <w:tc>
          <w:tcPr>
            <w:tcW w:w="520" w:type="dxa"/>
            <w:vAlign w:val="bottom"/>
            <w:vMerge w:val="continue"/>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6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5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66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4"/>
              </w:rPr>
              <w:t>(principal financial officer and</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600" w:type="dxa"/>
            <w:vAlign w:val="bottom"/>
            <w:gridSpan w:val="3"/>
          </w:tcPr>
          <w:p>
            <w:pPr>
              <w:spacing w:after="0" w:line="182" w:lineRule="exact"/>
              <w:rPr>
                <w:sz w:val="20"/>
                <w:szCs w:val="20"/>
                <w:color w:val="auto"/>
              </w:rPr>
            </w:pPr>
            <w:r>
              <w:rPr>
                <w:rFonts w:ascii="Arial" w:cs="Arial" w:eastAsia="Arial" w:hAnsi="Arial"/>
                <w:sz w:val="18"/>
                <w:szCs w:val="18"/>
                <w:color w:val="auto"/>
              </w:rPr>
              <w:t>Name: Haiyan Huang</w:t>
            </w:r>
          </w:p>
        </w:tc>
        <w:tc>
          <w:tcPr>
            <w:tcW w:w="100" w:type="dxa"/>
            <w:vAlign w:val="bottom"/>
            <w:vMerge w:val="continue"/>
          </w:tcPr>
          <w:p>
            <w:pPr>
              <w:spacing w:after="0"/>
              <w:rPr>
                <w:sz w:val="15"/>
                <w:szCs w:val="15"/>
                <w:color w:val="auto"/>
              </w:rPr>
            </w:pPr>
          </w:p>
        </w:tc>
        <w:tc>
          <w:tcPr>
            <w:tcW w:w="3660" w:type="dxa"/>
            <w:vAlign w:val="bottom"/>
            <w:gridSpan w:val="2"/>
            <w:vMerge w:val="continue"/>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principal accounting officer)</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600" w:type="dxa"/>
            <w:vAlign w:val="bottom"/>
            <w:gridSpan w:val="3"/>
          </w:tcPr>
          <w:p>
            <w:pPr>
              <w:spacing w:after="0"/>
              <w:rPr>
                <w:sz w:val="20"/>
                <w:szCs w:val="20"/>
                <w:color w:val="auto"/>
              </w:rPr>
            </w:pPr>
            <w:r>
              <w:rPr>
                <w:rFonts w:ascii="Arial" w:cs="Arial" w:eastAsia="Arial" w:hAnsi="Arial"/>
                <w:sz w:val="18"/>
                <w:szCs w:val="18"/>
                <w:color w:val="auto"/>
              </w:rPr>
              <w:t>*By:  /s/ Soon Huat Lim</w:t>
            </w:r>
          </w:p>
        </w:tc>
        <w:tc>
          <w:tcPr>
            <w:tcW w:w="1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20" w:type="dxa"/>
            <w:vAlign w:val="bottom"/>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3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Name: Soon Huat Lim</w:t>
            </w:r>
          </w:p>
        </w:tc>
        <w:tc>
          <w:tcPr>
            <w:tcW w:w="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20" w:type="dxa"/>
            <w:vAlign w:val="bottom"/>
          </w:tcPr>
          <w:p>
            <w:pPr>
              <w:spacing w:after="0"/>
              <w:rPr>
                <w:sz w:val="22"/>
                <w:szCs w:val="22"/>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Attorney-in-fact</w:t>
            </w:r>
          </w:p>
        </w:tc>
        <w:tc>
          <w:tcPr>
            <w:tcW w:w="1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5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2"/>
          </w:tcPr>
          <w:p>
            <w:pPr>
              <w:ind w:left="1200"/>
              <w:spacing w:after="0"/>
              <w:rPr>
                <w:sz w:val="20"/>
                <w:szCs w:val="20"/>
                <w:color w:val="auto"/>
              </w:rPr>
            </w:pPr>
            <w:r>
              <w:rPr>
                <w:rFonts w:ascii="Arial" w:cs="Arial" w:eastAsia="Arial" w:hAnsi="Arial"/>
                <w:sz w:val="18"/>
                <w:szCs w:val="18"/>
                <w:color w:val="auto"/>
              </w:rPr>
              <w:t>II-5</w:t>
            </w: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75" w:name="page176"/>
    <w:bookmarkEnd w:id="17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148"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Pursuant to the Securities Act of 1933, as amended, the undersigned, the duly authorized representative in the United States of Trident Digital Tech Holdings Ltd, has signed this registration statement or amendment thereto in New York, United States on October 19, 2023.</w:t>
      </w:r>
    </w:p>
    <w:p>
      <w:pPr>
        <w:spacing w:after="0" w:line="28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Authorized U.S. Representative</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48895</wp:posOffset>
            </wp:positionV>
            <wp:extent cx="161988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7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Colleen A. De Vries</w:t>
      </w:r>
    </w:p>
    <w:p>
      <w:pPr>
        <w:spacing w:after="0" w:line="7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Senior Vice 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6" w:name="page177"/>
    <w:bookmarkEnd w:id="176"/>
    <w:p>
      <w:pPr>
        <w:ind w:left="10240"/>
        <w:spacing w:after="0"/>
        <w:rPr>
          <w:sz w:val="20"/>
          <w:szCs w:val="20"/>
          <w:color w:val="auto"/>
        </w:rPr>
      </w:pPr>
      <w:r>
        <w:rPr>
          <w:rFonts w:ascii="Arial" w:cs="Arial" w:eastAsia="Arial" w:hAnsi="Arial"/>
          <w:sz w:val="19"/>
          <w:szCs w:val="19"/>
          <w:b w:val="1"/>
          <w:bCs w:val="1"/>
          <w:color w:val="auto"/>
        </w:rPr>
        <w:t>Exhibit 4.2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Trident Digital Tech Holdings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Number 400725)</w:t>
      </w:r>
    </w:p>
    <w:p>
      <w:pPr>
        <w:spacing w:after="0" w:line="225" w:lineRule="exact"/>
        <w:rPr>
          <w:sz w:val="20"/>
          <w:szCs w:val="20"/>
          <w:color w:val="auto"/>
        </w:rPr>
      </w:pPr>
    </w:p>
    <w:p>
      <w:pPr>
        <w:spacing w:after="0"/>
        <w:tabs>
          <w:tab w:leader="none" w:pos="9320" w:val="left"/>
        </w:tabs>
        <w:rPr>
          <w:sz w:val="20"/>
          <w:szCs w:val="20"/>
          <w:color w:val="auto"/>
        </w:rPr>
      </w:pPr>
      <w:r>
        <w:rPr>
          <w:rFonts w:ascii="Arial" w:cs="Arial" w:eastAsia="Arial" w:hAnsi="Arial"/>
          <w:sz w:val="16"/>
          <w:szCs w:val="16"/>
          <w:color w:val="auto"/>
        </w:rPr>
        <w:t>Number</w:t>
      </w:r>
      <w:r>
        <w:rPr>
          <w:sz w:val="20"/>
          <w:szCs w:val="20"/>
          <w:color w:val="auto"/>
        </w:rPr>
        <w:tab/>
      </w:r>
      <w:r>
        <w:rPr>
          <w:rFonts w:ascii="Arial" w:cs="Arial" w:eastAsia="Arial" w:hAnsi="Arial"/>
          <w:sz w:val="16"/>
          <w:szCs w:val="16"/>
          <w:color w:val="auto"/>
        </w:rPr>
        <w:t>Class B Ordinary Share(s)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under the laws of the Cayman Islands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Share capital is </w:t>
      </w:r>
      <w:r>
        <w:rPr>
          <w:rFonts w:ascii="Arial" w:cs="Arial" w:eastAsia="Arial" w:hAnsi="Arial"/>
          <w:sz w:val="18"/>
          <w:szCs w:val="18"/>
          <w:b w:val="1"/>
          <w:bCs w:val="1"/>
          <w:color w:val="auto"/>
        </w:rPr>
        <w:t>US$50,000</w:t>
      </w:r>
      <w:r>
        <w:rPr>
          <w:rFonts w:ascii="Arial" w:cs="Arial" w:eastAsia="Arial" w:hAnsi="Arial"/>
          <w:sz w:val="18"/>
          <w:szCs w:val="18"/>
          <w:color w:val="auto"/>
        </w:rPr>
        <w:t xml:space="preserve"> divided into </w:t>
      </w:r>
      <w:r>
        <w:rPr>
          <w:rFonts w:ascii="Arial" w:cs="Arial" w:eastAsia="Arial" w:hAnsi="Arial"/>
          <w:sz w:val="18"/>
          <w:szCs w:val="18"/>
          <w:b w:val="1"/>
          <w:bCs w:val="1"/>
          <w:color w:val="auto"/>
        </w:rPr>
        <w:t>5,000,000,000</w:t>
      </w:r>
      <w:r>
        <w:rPr>
          <w:rFonts w:ascii="Arial" w:cs="Arial" w:eastAsia="Arial" w:hAnsi="Arial"/>
          <w:sz w:val="18"/>
          <w:szCs w:val="18"/>
          <w:color w:val="auto"/>
        </w:rPr>
        <w:t xml:space="preserve"> shares of a par value of </w:t>
      </w:r>
      <w:r>
        <w:rPr>
          <w:rFonts w:ascii="Arial" w:cs="Arial" w:eastAsia="Arial" w:hAnsi="Arial"/>
          <w:sz w:val="18"/>
          <w:szCs w:val="18"/>
          <w:b w:val="1"/>
          <w:bCs w:val="1"/>
          <w:color w:val="auto"/>
        </w:rPr>
        <w:t>US$0.00001</w:t>
      </w:r>
      <w:r>
        <w:rPr>
          <w:rFonts w:ascii="Arial" w:cs="Arial" w:eastAsia="Arial" w:hAnsi="Arial"/>
          <w:sz w:val="18"/>
          <w:szCs w:val="18"/>
          <w:color w:val="auto"/>
        </w:rPr>
        <w:t xml:space="preserve"> each, comprising of</w:t>
      </w:r>
    </w:p>
    <w:p>
      <w:pPr>
        <w:spacing w:after="0" w:line="27" w:lineRule="exact"/>
        <w:rPr>
          <w:sz w:val="20"/>
          <w:szCs w:val="20"/>
          <w:color w:val="auto"/>
        </w:rPr>
      </w:pPr>
    </w:p>
    <w:p>
      <w:pPr>
        <w:ind w:left="2940" w:hanging="220"/>
        <w:spacing w:after="0"/>
        <w:tabs>
          <w:tab w:leader="none" w:pos="2940" w:val="left"/>
        </w:tabs>
        <w:numPr>
          <w:ilvl w:val="2"/>
          <w:numId w:val="168"/>
        </w:numPr>
        <w:rPr>
          <w:rFonts w:ascii="Arial" w:cs="Arial" w:eastAsia="Arial" w:hAnsi="Arial"/>
          <w:sz w:val="18"/>
          <w:szCs w:val="18"/>
          <w:color w:val="auto"/>
        </w:rPr>
      </w:pPr>
      <w:r>
        <w:rPr>
          <w:rFonts w:ascii="Arial" w:cs="Arial" w:eastAsia="Arial" w:hAnsi="Arial"/>
          <w:sz w:val="18"/>
          <w:szCs w:val="18"/>
          <w:b w:val="1"/>
          <w:bCs w:val="1"/>
          <w:color w:val="auto"/>
        </w:rPr>
        <w:t xml:space="preserve">1,000,000,000 Class A Ordinary Shares </w:t>
      </w:r>
      <w:r>
        <w:rPr>
          <w:rFonts w:ascii="Arial" w:cs="Arial" w:eastAsia="Arial" w:hAnsi="Arial"/>
          <w:sz w:val="18"/>
          <w:szCs w:val="18"/>
          <w:color w:val="auto"/>
        </w:rPr>
        <w:t>of a par value of</w:t>
      </w:r>
      <w:r>
        <w:rPr>
          <w:rFonts w:ascii="Arial" w:cs="Arial" w:eastAsia="Arial" w:hAnsi="Arial"/>
          <w:sz w:val="18"/>
          <w:szCs w:val="18"/>
          <w:b w:val="1"/>
          <w:bCs w:val="1"/>
          <w:color w:val="auto"/>
        </w:rPr>
        <w:t xml:space="preserve"> US$0.00001 </w:t>
      </w:r>
      <w:r>
        <w:rPr>
          <w:rFonts w:ascii="Arial" w:cs="Arial" w:eastAsia="Arial" w:hAnsi="Arial"/>
          <w:sz w:val="18"/>
          <w:szCs w:val="18"/>
          <w:color w:val="auto"/>
        </w:rPr>
        <w:t>each,</w:t>
      </w:r>
    </w:p>
    <w:p>
      <w:pPr>
        <w:spacing w:after="0" w:line="9" w:lineRule="exact"/>
        <w:rPr>
          <w:rFonts w:ascii="Arial" w:cs="Arial" w:eastAsia="Arial" w:hAnsi="Arial"/>
          <w:sz w:val="18"/>
          <w:szCs w:val="18"/>
          <w:color w:val="auto"/>
        </w:rPr>
      </w:pPr>
    </w:p>
    <w:p>
      <w:pPr>
        <w:ind w:left="2820" w:hanging="273"/>
        <w:spacing w:after="0"/>
        <w:tabs>
          <w:tab w:leader="none" w:pos="2820" w:val="left"/>
        </w:tabs>
        <w:numPr>
          <w:ilvl w:val="1"/>
          <w:numId w:val="169"/>
        </w:numPr>
        <w:rPr>
          <w:rFonts w:ascii="Arial" w:cs="Arial" w:eastAsia="Arial" w:hAnsi="Arial"/>
          <w:sz w:val="18"/>
          <w:szCs w:val="18"/>
          <w:color w:val="auto"/>
        </w:rPr>
      </w:pPr>
      <w:r>
        <w:rPr>
          <w:rFonts w:ascii="Arial" w:cs="Arial" w:eastAsia="Arial" w:hAnsi="Arial"/>
          <w:sz w:val="18"/>
          <w:szCs w:val="18"/>
          <w:b w:val="1"/>
          <w:bCs w:val="1"/>
          <w:color w:val="auto"/>
        </w:rPr>
        <w:t xml:space="preserve">3,000,000,000 Class B Ordinary Shares </w:t>
      </w:r>
      <w:r>
        <w:rPr>
          <w:rFonts w:ascii="Arial" w:cs="Arial" w:eastAsia="Arial" w:hAnsi="Arial"/>
          <w:sz w:val="18"/>
          <w:szCs w:val="18"/>
          <w:color w:val="auto"/>
        </w:rPr>
        <w:t>of a par value of</w:t>
      </w:r>
      <w:r>
        <w:rPr>
          <w:rFonts w:ascii="Arial" w:cs="Arial" w:eastAsia="Arial" w:hAnsi="Arial"/>
          <w:sz w:val="18"/>
          <w:szCs w:val="18"/>
          <w:b w:val="1"/>
          <w:bCs w:val="1"/>
          <w:color w:val="auto"/>
        </w:rPr>
        <w:t xml:space="preserve"> US$0.00001 </w:t>
      </w:r>
      <w:r>
        <w:rPr>
          <w:rFonts w:ascii="Arial" w:cs="Arial" w:eastAsia="Arial" w:hAnsi="Arial"/>
          <w:sz w:val="18"/>
          <w:szCs w:val="18"/>
          <w:color w:val="auto"/>
        </w:rPr>
        <w:t>each, and</w:t>
      </w:r>
    </w:p>
    <w:p>
      <w:pPr>
        <w:spacing w:after="0" w:line="9" w:lineRule="exact"/>
        <w:rPr>
          <w:rFonts w:ascii="Arial" w:cs="Arial" w:eastAsia="Arial" w:hAnsi="Arial"/>
          <w:sz w:val="18"/>
          <w:szCs w:val="18"/>
          <w:color w:val="auto"/>
        </w:rPr>
      </w:pPr>
    </w:p>
    <w:p>
      <w:pPr>
        <w:jc w:val="center"/>
        <w:ind w:left="4580" w:right="200" w:hanging="4381"/>
        <w:spacing w:after="0" w:line="260" w:lineRule="auto"/>
        <w:tabs>
          <w:tab w:leader="none" w:pos="519"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 xml:space="preserve">1,000,000,000 Shares </w:t>
      </w:r>
      <w:r>
        <w:rPr>
          <w:rFonts w:ascii="Arial" w:cs="Arial" w:eastAsia="Arial" w:hAnsi="Arial"/>
          <w:sz w:val="18"/>
          <w:szCs w:val="18"/>
          <w:color w:val="auto"/>
        </w:rPr>
        <w:t>of a par value of</w:t>
      </w:r>
      <w:r>
        <w:rPr>
          <w:rFonts w:ascii="Arial" w:cs="Arial" w:eastAsia="Arial" w:hAnsi="Arial"/>
          <w:sz w:val="18"/>
          <w:szCs w:val="18"/>
          <w:b w:val="1"/>
          <w:bCs w:val="1"/>
          <w:color w:val="auto"/>
        </w:rPr>
        <w:t xml:space="preserve"> US$0.00001 </w:t>
      </w:r>
      <w:r>
        <w:rPr>
          <w:rFonts w:ascii="Arial" w:cs="Arial" w:eastAsia="Arial" w:hAnsi="Arial"/>
          <w:sz w:val="18"/>
          <w:szCs w:val="18"/>
          <w:color w:val="auto"/>
        </w:rPr>
        <w:t>each of such class or classes (however designated) as the board of directors may determine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Articles.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THIS IS TO CERTIFY THAT</w:t>
            </w:r>
          </w:p>
        </w:tc>
        <w:tc>
          <w:tcPr>
            <w:tcW w:w="2780" w:type="dxa"/>
            <w:vAlign w:val="bottom"/>
            <w:gridSpan w:val="2"/>
          </w:tcPr>
          <w:p>
            <w:pPr>
              <w:ind w:left="560"/>
              <w:spacing w:after="0"/>
              <w:rPr>
                <w:sz w:val="20"/>
                <w:szCs w:val="20"/>
                <w:color w:val="auto"/>
              </w:rPr>
            </w:pPr>
            <w:r>
              <w:rPr>
                <w:rFonts w:ascii="Arial" w:cs="Arial" w:eastAsia="Arial" w:hAnsi="Arial"/>
                <w:sz w:val="18"/>
                <w:szCs w:val="18"/>
                <w:color w:val="auto"/>
              </w:rPr>
              <w:t>is the registered holder of</w:t>
            </w:r>
          </w:p>
        </w:tc>
        <w:tc>
          <w:tcPr>
            <w:tcW w:w="4260" w:type="dxa"/>
            <w:vAlign w:val="bottom"/>
          </w:tcPr>
          <w:p>
            <w:pPr>
              <w:ind w:left="880"/>
              <w:spacing w:after="0"/>
              <w:rPr>
                <w:sz w:val="20"/>
                <w:szCs w:val="20"/>
                <w:color w:val="auto"/>
              </w:rPr>
            </w:pPr>
            <w:r>
              <w:rPr>
                <w:rFonts w:ascii="Arial" w:cs="Arial" w:eastAsia="Arial" w:hAnsi="Arial"/>
                <w:sz w:val="18"/>
                <w:szCs w:val="18"/>
                <w:color w:val="auto"/>
                <w:w w:val="89"/>
              </w:rPr>
              <w:t>Class B Ordinary Share(s) in the above-named</w:t>
            </w:r>
          </w:p>
        </w:tc>
      </w:tr>
      <w:tr>
        <w:trPr>
          <w:trHeight w:val="230"/>
        </w:trPr>
        <w:tc>
          <w:tcPr>
            <w:tcW w:w="6980" w:type="dxa"/>
            <w:vAlign w:val="bottom"/>
            <w:gridSpan w:val="4"/>
          </w:tcPr>
          <w:p>
            <w:pPr>
              <w:spacing w:after="0"/>
              <w:rPr>
                <w:sz w:val="20"/>
                <w:szCs w:val="20"/>
                <w:color w:val="auto"/>
              </w:rPr>
            </w:pPr>
            <w:r>
              <w:rPr>
                <w:rFonts w:ascii="Arial" w:cs="Arial" w:eastAsia="Arial" w:hAnsi="Arial"/>
                <w:sz w:val="18"/>
                <w:szCs w:val="18"/>
                <w:color w:val="auto"/>
              </w:rPr>
              <w:t>Company subject to the Memorandum and Articles of Association thereof.</w:t>
            </w:r>
          </w:p>
        </w:tc>
        <w:tc>
          <w:tcPr>
            <w:tcW w:w="4260" w:type="dxa"/>
            <w:vAlign w:val="bottom"/>
          </w:tcPr>
          <w:p>
            <w:pPr>
              <w:spacing w:after="0"/>
              <w:rPr>
                <w:sz w:val="20"/>
                <w:szCs w:val="20"/>
                <w:color w:val="auto"/>
              </w:rPr>
            </w:pPr>
          </w:p>
        </w:tc>
      </w:tr>
      <w:tr>
        <w:trPr>
          <w:trHeight w:val="432"/>
        </w:trPr>
        <w:tc>
          <w:tcPr>
            <w:tcW w:w="4200" w:type="dxa"/>
            <w:vAlign w:val="bottom"/>
            <w:gridSpan w:val="2"/>
          </w:tcPr>
          <w:p>
            <w:pPr>
              <w:spacing w:after="0"/>
              <w:rPr>
                <w:sz w:val="20"/>
                <w:szCs w:val="20"/>
                <w:color w:val="auto"/>
              </w:rPr>
            </w:pPr>
            <w:r>
              <w:rPr>
                <w:rFonts w:ascii="Arial" w:cs="Arial" w:eastAsia="Arial" w:hAnsi="Arial"/>
                <w:sz w:val="18"/>
                <w:szCs w:val="18"/>
                <w:color w:val="auto"/>
              </w:rPr>
              <w:t>EXECUTED on behalf of the said Company on the</w:t>
            </w:r>
          </w:p>
        </w:tc>
        <w:tc>
          <w:tcPr>
            <w:tcW w:w="2780" w:type="dxa"/>
            <w:vAlign w:val="bottom"/>
            <w:gridSpan w:val="2"/>
          </w:tcPr>
          <w:p>
            <w:pPr>
              <w:ind w:left="500"/>
              <w:spacing w:after="0"/>
              <w:rPr>
                <w:sz w:val="20"/>
                <w:szCs w:val="20"/>
                <w:color w:val="auto"/>
              </w:rPr>
            </w:pPr>
            <w:r>
              <w:rPr>
                <w:rFonts w:ascii="Arial" w:cs="Arial" w:eastAsia="Arial" w:hAnsi="Arial"/>
                <w:sz w:val="18"/>
                <w:szCs w:val="18"/>
                <w:color w:val="auto"/>
              </w:rPr>
              <w:t>day of</w:t>
            </w:r>
          </w:p>
        </w:tc>
        <w:tc>
          <w:tcPr>
            <w:tcW w:w="4260" w:type="dxa"/>
            <w:vAlign w:val="bottom"/>
          </w:tcPr>
          <w:p>
            <w:pPr>
              <w:ind w:left="380"/>
              <w:spacing w:after="0"/>
              <w:rPr>
                <w:sz w:val="20"/>
                <w:szCs w:val="20"/>
                <w:color w:val="auto"/>
              </w:rPr>
            </w:pPr>
            <w:r>
              <w:rPr>
                <w:rFonts w:ascii="Arial" w:cs="Arial" w:eastAsia="Arial" w:hAnsi="Arial"/>
                <w:sz w:val="18"/>
                <w:szCs w:val="18"/>
                <w:color w:val="auto"/>
              </w:rPr>
              <w:t>by:</w:t>
            </w:r>
          </w:p>
        </w:tc>
      </w:tr>
      <w:tr>
        <w:trPr>
          <w:trHeight w:val="439"/>
        </w:trPr>
        <w:tc>
          <w:tcPr>
            <w:tcW w:w="1700" w:type="dxa"/>
            <w:vAlign w:val="bottom"/>
          </w:tcPr>
          <w:p>
            <w:pPr>
              <w:spacing w:after="0"/>
              <w:rPr>
                <w:sz w:val="20"/>
                <w:szCs w:val="20"/>
                <w:color w:val="auto"/>
              </w:rPr>
            </w:pPr>
            <w:r>
              <w:rPr>
                <w:rFonts w:ascii="Arial" w:cs="Arial" w:eastAsia="Arial" w:hAnsi="Arial"/>
                <w:sz w:val="18"/>
                <w:szCs w:val="18"/>
                <w:color w:val="auto"/>
              </w:rPr>
              <w:t>DIRECTOR</w:t>
            </w:r>
          </w:p>
        </w:tc>
        <w:tc>
          <w:tcPr>
            <w:tcW w:w="25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4260" w:type="dxa"/>
            <w:vAlign w:val="bottom"/>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TRIDENT DIGITAL TECH HOLDINGS LTD,</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Depositary,</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ALL HOLDERS AND BENEFICIAL OWNERS OF</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AMERICAN DEPOSITARY SHARES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Dated as of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20" w:type="dxa"/>
            <w:vAlign w:val="bottom"/>
            <w:gridSpan w:val="13"/>
          </w:tcPr>
          <w:p>
            <w:pPr>
              <w:ind w:left="200"/>
              <w:spacing w:after="0"/>
              <w:rPr>
                <w:sz w:val="20"/>
                <w:szCs w:val="20"/>
                <w:color w:val="auto"/>
              </w:rPr>
            </w:pPr>
            <w:r>
              <w:rPr>
                <w:rFonts w:ascii="Arial" w:cs="Arial" w:eastAsia="Arial" w:hAnsi="Arial"/>
                <w:sz w:val="18"/>
                <w:szCs w:val="18"/>
                <w:color w:val="auto"/>
              </w:rPr>
              <w:t>TABLE OF CONTENTS</w:t>
            </w:r>
          </w:p>
        </w:tc>
        <w:tc>
          <w:tcPr>
            <w:tcW w:w="800" w:type="dxa"/>
            <w:vAlign w:val="bottom"/>
          </w:tcPr>
          <w:p>
            <w:pPr>
              <w:spacing w:after="0"/>
              <w:rPr>
                <w:sz w:val="20"/>
                <w:szCs w:val="20"/>
                <w:color w:val="auto"/>
              </w:rPr>
            </w:pPr>
          </w:p>
        </w:tc>
      </w:tr>
      <w:tr>
        <w:trPr>
          <w:trHeight w:val="216"/>
        </w:trPr>
        <w:tc>
          <w:tcPr>
            <w:tcW w:w="144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0440" w:type="dxa"/>
            <w:vAlign w:val="bottom"/>
            <w:gridSpan w:val="54"/>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w:t>
            </w: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1.1</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“ADS Record Date”</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1</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1.2</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“Affiliate”</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1</w:t>
            </w: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1.3</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 xml:space="preserve">“American Depositary Receipt(s)”, “ADR(s)” </w:t>
            </w:r>
            <w:r>
              <w:rPr>
                <w:rFonts w:ascii="Arial" w:cs="Arial" w:eastAsia="Arial" w:hAnsi="Arial"/>
                <w:sz w:val="18"/>
                <w:szCs w:val="18"/>
                <w:color w:val="auto"/>
              </w:rPr>
              <w:t>and</w:t>
            </w:r>
            <w:r>
              <w:rPr>
                <w:rFonts w:ascii="Arial" w:cs="Arial" w:eastAsia="Arial" w:hAnsi="Arial"/>
                <w:sz w:val="18"/>
                <w:szCs w:val="18"/>
                <w:b w:val="1"/>
                <w:bCs w:val="1"/>
                <w:color w:val="auto"/>
              </w:rPr>
              <w:t xml:space="preserve"> “Receipt(s)”</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1</w:t>
            </w:r>
          </w:p>
        </w:tc>
      </w:tr>
      <w:tr>
        <w:trPr>
          <w:trHeight w:val="21"/>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1.4</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 xml:space="preserve">“American Depositary Share(s)” </w:t>
            </w:r>
            <w:r>
              <w:rPr>
                <w:rFonts w:ascii="Arial" w:cs="Arial" w:eastAsia="Arial" w:hAnsi="Arial"/>
                <w:sz w:val="18"/>
                <w:szCs w:val="18"/>
                <w:color w:val="auto"/>
              </w:rPr>
              <w:t>and</w:t>
            </w:r>
            <w:r>
              <w:rPr>
                <w:rFonts w:ascii="Arial" w:cs="Arial" w:eastAsia="Arial" w:hAnsi="Arial"/>
                <w:sz w:val="18"/>
                <w:szCs w:val="18"/>
                <w:b w:val="1"/>
                <w:bCs w:val="1"/>
                <w:color w:val="auto"/>
              </w:rPr>
              <w:t xml:space="preserve"> “ADS(s)”</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2</w:t>
            </w: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1.5</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“Articles of Association”</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2</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1.6</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“Beneficial Owner”</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2</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1.7</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“Certificated ADS(s)”</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3</w:t>
            </w:r>
          </w:p>
        </w:tc>
      </w:tr>
      <w:tr>
        <w:trPr>
          <w:trHeight w:val="21"/>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1.8</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“Citibank”</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3</w:t>
            </w: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1.9</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“Commission”</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3</w:t>
            </w:r>
          </w:p>
        </w:tc>
      </w:tr>
      <w:tr>
        <w:trPr>
          <w:trHeight w:val="21"/>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1.10</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“Company”</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3</w:t>
            </w: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1.11</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“Custodian”</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3</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1.12</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 xml:space="preserve">“Deliver”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“Delivery”</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3</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1.13</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“Deposit Agreement”</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3</w:t>
            </w:r>
          </w:p>
        </w:tc>
      </w:tr>
      <w:tr>
        <w:trPr>
          <w:trHeight w:val="21"/>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1.14</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“Depositary”</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3</w:t>
            </w: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1.15</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“Deposited Property”</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4</w:t>
            </w:r>
          </w:p>
        </w:tc>
      </w:tr>
      <w:tr>
        <w:trPr>
          <w:trHeight w:val="21"/>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1.16</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“Deposited Securities”</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4</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1.17</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 xml:space="preserve">“Dollars”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4</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1.18</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“DTC”</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4</w:t>
            </w: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1.19</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“DTC Participant”</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4</w:t>
            </w:r>
          </w:p>
        </w:tc>
      </w:tr>
      <w:tr>
        <w:trPr>
          <w:trHeight w:val="21"/>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1.20</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“Exchange Act”</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4</w:t>
            </w: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1.21</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“Foreign Currency”</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4</w:t>
            </w:r>
          </w:p>
        </w:tc>
      </w:tr>
      <w:tr>
        <w:trPr>
          <w:trHeight w:val="21"/>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1.22</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 xml:space="preserve">“Full Entitlement ADR(s)”, “Full Entitlement ADS(s)” </w:t>
            </w:r>
            <w:r>
              <w:rPr>
                <w:rFonts w:ascii="Arial" w:cs="Arial" w:eastAsia="Arial" w:hAnsi="Arial"/>
                <w:sz w:val="18"/>
                <w:szCs w:val="18"/>
                <w:color w:val="auto"/>
              </w:rPr>
              <w:t>and</w:t>
            </w:r>
            <w:r>
              <w:rPr>
                <w:rFonts w:ascii="Arial" w:cs="Arial" w:eastAsia="Arial" w:hAnsi="Arial"/>
                <w:sz w:val="18"/>
                <w:szCs w:val="18"/>
                <w:b w:val="1"/>
                <w:bCs w:val="1"/>
                <w:color w:val="auto"/>
              </w:rPr>
              <w:t xml:space="preserve"> “Full Entitlement Share(s)”</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4</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1.23</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“Holder(s)”</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4</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1.24</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 xml:space="preserve">“Partial Entitlement ADR(s)”, “Partial Entitlement ADS(s)” </w:t>
            </w:r>
            <w:r>
              <w:rPr>
                <w:rFonts w:ascii="Arial" w:cs="Arial" w:eastAsia="Arial" w:hAnsi="Arial"/>
                <w:sz w:val="18"/>
                <w:szCs w:val="18"/>
                <w:color w:val="auto"/>
              </w:rPr>
              <w:t>and</w:t>
            </w:r>
            <w:r>
              <w:rPr>
                <w:rFonts w:ascii="Arial" w:cs="Arial" w:eastAsia="Arial" w:hAnsi="Arial"/>
                <w:sz w:val="18"/>
                <w:szCs w:val="18"/>
                <w:b w:val="1"/>
                <w:bCs w:val="1"/>
                <w:color w:val="auto"/>
              </w:rPr>
              <w:t xml:space="preserve"> “Partial Entitlement Share(s)”</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5</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1.25</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“Principal Office”</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5</w:t>
            </w:r>
          </w:p>
        </w:tc>
      </w:tr>
      <w:tr>
        <w:trPr>
          <w:trHeight w:val="21"/>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1.26</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“Registrar”</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5</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1.27</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“Restricted Securities”</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5</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1.28</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 xml:space="preserve">“Restricted ADR(s)”, “Restricted ADS(s)” </w:t>
            </w:r>
            <w:r>
              <w:rPr>
                <w:rFonts w:ascii="Arial" w:cs="Arial" w:eastAsia="Arial" w:hAnsi="Arial"/>
                <w:sz w:val="18"/>
                <w:szCs w:val="18"/>
                <w:color w:val="auto"/>
              </w:rPr>
              <w:t>and</w:t>
            </w:r>
            <w:r>
              <w:rPr>
                <w:rFonts w:ascii="Arial" w:cs="Arial" w:eastAsia="Arial" w:hAnsi="Arial"/>
                <w:sz w:val="18"/>
                <w:szCs w:val="18"/>
                <w:b w:val="1"/>
                <w:bCs w:val="1"/>
                <w:color w:val="auto"/>
              </w:rPr>
              <w:t xml:space="preserve"> “Restricted Shares”</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5</w:t>
            </w: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1.29</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“Securities Act”</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5</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1.30</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“Share Registrar”</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5</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1.31</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“Shares”</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6</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1.32</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“Uncertificated ADS(s)”</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6</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1.33</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“United States” and “U.S.”</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6</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6"/>
        </w:trPr>
        <w:tc>
          <w:tcPr>
            <w:tcW w:w="144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02"/>
        </w:trPr>
        <w:tc>
          <w:tcPr>
            <w:tcW w:w="10440" w:type="dxa"/>
            <w:vAlign w:val="bottom"/>
            <w:gridSpan w:val="54"/>
          </w:tcPr>
          <w:p>
            <w:pPr>
              <w:spacing w:after="0" w:line="201" w:lineRule="exact"/>
              <w:rPr>
                <w:sz w:val="20"/>
                <w:szCs w:val="20"/>
                <w:color w:val="auto"/>
              </w:rPr>
            </w:pPr>
            <w:r>
              <w:rPr>
                <w:rFonts w:ascii="Arial" w:cs="Arial" w:eastAsia="Arial" w:hAnsi="Arial"/>
                <w:sz w:val="18"/>
                <w:szCs w:val="18"/>
                <w:color w:val="auto"/>
              </w:rPr>
              <w:t>ARTICLE II APPOINTMENT OF DEPOSITARY; FORM OF RECEIPTS; DEPOSIT OF SHARES; EXECUTION AND DELIVERY,</w:t>
            </w:r>
          </w:p>
        </w:tc>
        <w:tc>
          <w:tcPr>
            <w:tcW w:w="80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6</w:t>
            </w:r>
          </w:p>
        </w:tc>
      </w:tr>
      <w:tr>
        <w:trPr>
          <w:trHeight w:val="230"/>
        </w:trPr>
        <w:tc>
          <w:tcPr>
            <w:tcW w:w="10440" w:type="dxa"/>
            <w:vAlign w:val="bottom"/>
            <w:gridSpan w:val="54"/>
          </w:tcPr>
          <w:p>
            <w:pPr>
              <w:spacing w:after="0"/>
              <w:rPr>
                <w:sz w:val="20"/>
                <w:szCs w:val="20"/>
                <w:color w:val="auto"/>
              </w:rPr>
            </w:pPr>
            <w:r>
              <w:rPr>
                <w:rFonts w:ascii="Arial" w:cs="Arial" w:eastAsia="Arial" w:hAnsi="Arial"/>
                <w:sz w:val="18"/>
                <w:szCs w:val="18"/>
                <w:color w:val="auto"/>
              </w:rPr>
              <w:t>TRANSFER AND SURRENDER OF RECEIPTS</w:t>
            </w:r>
          </w:p>
        </w:tc>
        <w:tc>
          <w:tcPr>
            <w:tcW w:w="800" w:type="dxa"/>
            <w:vAlign w:val="bottom"/>
          </w:tcPr>
          <w:p>
            <w:pPr>
              <w:spacing w:after="0"/>
              <w:rPr>
                <w:sz w:val="20"/>
                <w:szCs w:val="20"/>
                <w:color w:val="auto"/>
              </w:rPr>
            </w:pPr>
          </w:p>
        </w:tc>
      </w:tr>
      <w:tr>
        <w:trPr>
          <w:trHeight w:val="216"/>
        </w:trPr>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2.1</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w w:val="93"/>
              </w:rPr>
              <w:t xml:space="preserve">Appointment of Depositary. </w:t>
            </w:r>
            <w:r>
              <w:rPr>
                <w:rFonts w:ascii="Arial" w:cs="Arial" w:eastAsia="Arial" w:hAnsi="Arial"/>
                <w:sz w:val="18"/>
                <w:szCs w:val="18"/>
                <w:color w:val="auto"/>
                <w:w w:val="93"/>
              </w:rPr>
              <w:t>The Company hereby appoints the Depositary as depositary for the Deposited Property and</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6</w:t>
            </w:r>
          </w:p>
        </w:tc>
      </w:tr>
      <w:tr>
        <w:trPr>
          <w:trHeight w:val="20"/>
        </w:trPr>
        <w:tc>
          <w:tcPr>
            <w:tcW w:w="1360" w:type="dxa"/>
            <w:vAlign w:val="bottom"/>
          </w:tcPr>
          <w:p>
            <w:pPr>
              <w:spacing w:after="0" w:line="20" w:lineRule="exact"/>
              <w:rPr>
                <w:sz w:val="1"/>
                <w:szCs w:val="1"/>
                <w:color w:val="auto"/>
              </w:rPr>
            </w:pPr>
          </w:p>
        </w:tc>
        <w:tc>
          <w:tcPr>
            <w:tcW w:w="2100" w:type="dxa"/>
            <w:vAlign w:val="bottom"/>
            <w:gridSpan w:val="32"/>
            <w:shd w:val="clear" w:color="auto" w:fill="000000"/>
          </w:tcPr>
          <w:p>
            <w:pPr>
              <w:spacing w:after="0" w:line="20" w:lineRule="exact"/>
              <w:rPr>
                <w:sz w:val="1"/>
                <w:szCs w:val="1"/>
                <w:color w:val="auto"/>
              </w:rPr>
            </w:pPr>
          </w:p>
        </w:tc>
        <w:tc>
          <w:tcPr>
            <w:tcW w:w="6980" w:type="dxa"/>
            <w:vAlign w:val="bottom"/>
            <w:gridSpan w:val="2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080" w:type="dxa"/>
            <w:vAlign w:val="bottom"/>
            <w:gridSpan w:val="53"/>
          </w:tcPr>
          <w:p>
            <w:pPr>
              <w:spacing w:after="0"/>
              <w:rPr>
                <w:sz w:val="20"/>
                <w:szCs w:val="20"/>
                <w:color w:val="auto"/>
              </w:rPr>
            </w:pPr>
            <w:r>
              <w:rPr>
                <w:rFonts w:ascii="Arial" w:cs="Arial" w:eastAsia="Arial" w:hAnsi="Arial"/>
                <w:sz w:val="18"/>
                <w:szCs w:val="18"/>
                <w:color w:val="auto"/>
                <w:w w:val="95"/>
              </w:rPr>
              <w:t>hereby authorizes and directs the Depositary to act in accordance with the terms and conditions set forth in the Deposit</w:t>
            </w:r>
          </w:p>
        </w:tc>
        <w:tc>
          <w:tcPr>
            <w:tcW w:w="800" w:type="dxa"/>
            <w:vAlign w:val="bottom"/>
          </w:tcPr>
          <w:p>
            <w:pPr>
              <w:spacing w:after="0"/>
              <w:rPr>
                <w:sz w:val="19"/>
                <w:szCs w:val="19"/>
                <w:color w:val="auto"/>
              </w:rPr>
            </w:pPr>
          </w:p>
        </w:tc>
      </w:tr>
      <w:tr>
        <w:trPr>
          <w:trHeight w:val="230"/>
        </w:trPr>
        <w:tc>
          <w:tcPr>
            <w:tcW w:w="1360" w:type="dxa"/>
            <w:vAlign w:val="bottom"/>
          </w:tcPr>
          <w:p>
            <w:pPr>
              <w:spacing w:after="0"/>
              <w:rPr>
                <w:sz w:val="20"/>
                <w:szCs w:val="20"/>
                <w:color w:val="auto"/>
              </w:rPr>
            </w:pPr>
          </w:p>
        </w:tc>
        <w:tc>
          <w:tcPr>
            <w:tcW w:w="9080" w:type="dxa"/>
            <w:vAlign w:val="bottom"/>
            <w:gridSpan w:val="53"/>
          </w:tcPr>
          <w:p>
            <w:pPr>
              <w:spacing w:after="0"/>
              <w:rPr>
                <w:sz w:val="20"/>
                <w:szCs w:val="20"/>
                <w:color w:val="auto"/>
              </w:rPr>
            </w:pPr>
            <w:r>
              <w:rPr>
                <w:rFonts w:ascii="Arial" w:cs="Arial" w:eastAsia="Arial" w:hAnsi="Arial"/>
                <w:sz w:val="18"/>
                <w:szCs w:val="18"/>
                <w:color w:val="auto"/>
                <w:w w:val="97"/>
              </w:rPr>
              <w:t>Agreement and the applicable ADRs. Each Holder and each Beneficial Owner, upon acceptance of any ADSs (or any</w:t>
            </w:r>
          </w:p>
        </w:tc>
        <w:tc>
          <w:tcPr>
            <w:tcW w:w="800" w:type="dxa"/>
            <w:vAlign w:val="bottom"/>
          </w:tcPr>
          <w:p>
            <w:pPr>
              <w:spacing w:after="0"/>
              <w:rPr>
                <w:sz w:val="20"/>
                <w:szCs w:val="20"/>
                <w:color w:val="auto"/>
              </w:rPr>
            </w:pPr>
          </w:p>
        </w:tc>
      </w:tr>
    </w:tbl>
    <w:p>
      <w:pPr>
        <w:ind w:left="1360" w:right="1000"/>
        <w:spacing w:after="0" w:line="269" w:lineRule="auto"/>
        <w:rPr>
          <w:sz w:val="20"/>
          <w:szCs w:val="20"/>
          <w:color w:val="auto"/>
        </w:rPr>
      </w:pPr>
      <w:r>
        <w:rPr>
          <w:rFonts w:ascii="Arial" w:cs="Arial" w:eastAsia="Arial" w:hAnsi="Arial"/>
          <w:sz w:val="17"/>
          <w:szCs w:val="17"/>
          <w:color w:val="auto"/>
        </w:rPr>
        <w:t>interest therein) issued in accordance with the terms and conditions of the Deposit Agreement shall be deemed for all purposes to (a) be a party to and bound by the terms of the Deposit Agreement and the applicable ADR(s), and (b) appoint the Depositary as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27"/>
        </w:trPr>
        <w:tc>
          <w:tcPr>
            <w:tcW w:w="1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Section 2.2</w:t>
            </w:r>
          </w:p>
        </w:tc>
        <w:tc>
          <w:tcPr>
            <w:tcW w:w="26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1"/>
              </w:rPr>
              <w:t>Form and Transferability of ADSs</w:t>
            </w:r>
          </w:p>
        </w:tc>
        <w:tc>
          <w:tcPr>
            <w:tcW w:w="6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w:t>
            </w: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2.3</w:t>
            </w:r>
          </w:p>
        </w:tc>
        <w:tc>
          <w:tcPr>
            <w:tcW w:w="91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w w:val="91"/>
              </w:rPr>
              <w:t xml:space="preserve">Deposit of Shares. </w:t>
            </w:r>
            <w:r>
              <w:rPr>
                <w:rFonts w:ascii="Arial" w:cs="Arial" w:eastAsia="Arial" w:hAnsi="Arial"/>
                <w:sz w:val="18"/>
                <w:szCs w:val="18"/>
                <w:color w:val="auto"/>
                <w:w w:val="91"/>
              </w:rPr>
              <w:t>Subject to the terms and conditions of the Deposit Agreement and applicable law, Shares or evidence of</w:t>
            </w:r>
          </w:p>
        </w:tc>
        <w:tc>
          <w:tcPr>
            <w:tcW w:w="74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8</w:t>
            </w:r>
          </w:p>
        </w:tc>
      </w:tr>
      <w:tr>
        <w:trPr>
          <w:trHeight w:val="20"/>
        </w:trPr>
        <w:tc>
          <w:tcPr>
            <w:tcW w:w="1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3" w:lineRule="exact"/>
        <w:rPr>
          <w:sz w:val="20"/>
          <w:szCs w:val="20"/>
          <w:color w:val="auto"/>
        </w:rPr>
      </w:pPr>
    </w:p>
    <w:p>
      <w:pPr>
        <w:ind w:left="1360" w:right="920"/>
        <w:spacing w:after="0" w:line="283" w:lineRule="auto"/>
        <w:rPr>
          <w:sz w:val="20"/>
          <w:szCs w:val="20"/>
          <w:color w:val="auto"/>
        </w:rPr>
      </w:pPr>
      <w:r>
        <w:rPr>
          <w:rFonts w:ascii="Arial" w:cs="Arial" w:eastAsia="Arial" w:hAnsi="Arial"/>
          <w:sz w:val="16"/>
          <w:szCs w:val="16"/>
          <w:color w:val="auto"/>
        </w:rPr>
        <w:t xml:space="preserve">rights to 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Arial" w:cs="Arial" w:eastAsia="Arial" w:hAnsi="Arial"/>
          <w:sz w:val="16"/>
          <w:szCs w:val="16"/>
          <w:i w:val="1"/>
          <w:iCs w:val="1"/>
          <w:color w:val="auto"/>
        </w:rPr>
        <w:t>in the case of Shares represented</w:t>
      </w:r>
      <w:r>
        <w:rPr>
          <w:rFonts w:ascii="Arial" w:cs="Arial" w:eastAsia="Arial" w:hAnsi="Arial"/>
          <w:sz w:val="16"/>
          <w:szCs w:val="16"/>
          <w:color w:val="auto"/>
        </w:rPr>
        <w:t xml:space="preserve"> </w:t>
      </w:r>
      <w:r>
        <w:rPr>
          <w:rFonts w:ascii="Arial" w:cs="Arial" w:eastAsia="Arial" w:hAnsi="Arial"/>
          <w:sz w:val="16"/>
          <w:szCs w:val="16"/>
          <w:i w:val="1"/>
          <w:iCs w:val="1"/>
          <w:color w:val="auto"/>
        </w:rPr>
        <w:t>by certificates issued in registered form</w:t>
      </w:r>
      <w:r>
        <w:rPr>
          <w:rFonts w:ascii="Arial" w:cs="Arial" w:eastAsia="Arial" w:hAnsi="Arial"/>
          <w:sz w:val="16"/>
          <w:szCs w:val="16"/>
          <w:color w:val="auto"/>
        </w:rPr>
        <w:t>, appropriate instruments of transfer or endorsement, in a form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satisfactory to the Custodian, (ii) </w:t>
      </w:r>
      <w:r>
        <w:rPr>
          <w:rFonts w:ascii="Arial" w:cs="Arial" w:eastAsia="Arial" w:hAnsi="Arial"/>
          <w:sz w:val="16"/>
          <w:szCs w:val="16"/>
          <w:i w:val="1"/>
          <w:iCs w:val="1"/>
          <w:color w:val="auto"/>
        </w:rPr>
        <w:t>in the case of Shares represented by certificates in bearer form,</w:t>
      </w:r>
      <w:r>
        <w:rPr>
          <w:rFonts w:ascii="Arial" w:cs="Arial" w:eastAsia="Arial" w:hAnsi="Arial"/>
          <w:sz w:val="16"/>
          <w:szCs w:val="16"/>
          <w:color w:val="auto"/>
        </w:rPr>
        <w:t xml:space="preserve"> the requisite coupons and talons pertaining thereto, and (iii) </w:t>
      </w:r>
      <w:r>
        <w:rPr>
          <w:rFonts w:ascii="Arial" w:cs="Arial" w:eastAsia="Arial" w:hAnsi="Arial"/>
          <w:sz w:val="16"/>
          <w:szCs w:val="16"/>
          <w:i w:val="1"/>
          <w:iCs w:val="1"/>
          <w:color w:val="auto"/>
        </w:rPr>
        <w:t>in the case of Shares delivered by book-entry transfer and recordation</w:t>
      </w:r>
      <w:r>
        <w:rPr>
          <w:rFonts w:ascii="Arial" w:cs="Arial" w:eastAsia="Arial" w:hAnsi="Arial"/>
          <w:sz w:val="16"/>
          <w:szCs w:val="16"/>
          <w:color w:val="auto"/>
        </w:rPr>
        <w:t>, confirmation of such book-entry transfer and recordation in the books of the Share Registrar or of the applicable book-entry settlement entity, as applicable, to the Custodian or that irrevocable instructions have been given to cause such Shares to be so issued, transferred and recorded,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w:t>
      </w:r>
    </w:p>
    <w:p>
      <w:pPr>
        <w:spacing w:after="0" w:line="1" w:lineRule="exact"/>
        <w:rPr>
          <w:sz w:val="20"/>
          <w:szCs w:val="20"/>
          <w:color w:val="auto"/>
        </w:rPr>
      </w:pPr>
    </w:p>
    <w:p>
      <w:pPr>
        <w:ind w:left="1360" w:right="900"/>
        <w:spacing w:after="0" w:line="268" w:lineRule="auto"/>
        <w:rPr>
          <w:sz w:val="20"/>
          <w:szCs w:val="20"/>
          <w:color w:val="auto"/>
        </w:rPr>
      </w:pPr>
      <w:r>
        <w:rPr>
          <w:rFonts w:ascii="Arial" w:cs="Arial" w:eastAsia="Arial" w:hAnsi="Arial"/>
          <w:sz w:val="17"/>
          <w:szCs w:val="17"/>
          <w:color w:val="auto"/>
        </w:rPr>
        <w:t>(D) evidence reasonably satisfactory to the Depositary (which may be an opinion of counsel) that all necessary approvals have been granted by, or there has been compliance with the rules and regulations of, any applicable governmental agency in the Cayman Islands, and (E) if the Depositary so requires, (i) an agreement, assignment or instrument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80" w:name="page181"/>
    <w:bookmarkEnd w:id="180"/>
    <w:p>
      <w:pPr>
        <w:ind w:left="960" w:hanging="1349"/>
        <w:spacing w:after="0" w:line="276" w:lineRule="auto"/>
        <w:tabs>
          <w:tab w:leader="none" w:pos="94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7"/>
          <w:szCs w:val="17"/>
          <w:b w:val="1"/>
          <w:bCs w:val="1"/>
          <w:u w:val="single" w:color="auto"/>
          <w:color w:val="auto"/>
        </w:rPr>
        <w:t>Registration and Safekeeping of Deposited Securities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The Depositary shall instruct the Custodian upon each Delivery of 9</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registered Shares being deposited hereunder with the Custodian (or other Deposited Securities pursuant to 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132320" cy="28803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7132320" cy="2880360"/>
                    </a:xfrm>
                    <a:prstGeom prst="rect">
                      <a:avLst/>
                    </a:prstGeom>
                    <a:noFill/>
                  </pic:spPr>
                </pic:pic>
              </a:graphicData>
            </a:graphic>
          </wp:anchor>
        </w:drawing>
      </w:r>
    </w:p>
    <w:p>
      <w:pPr>
        <w:ind w:left="960" w:right="500"/>
        <w:spacing w:after="0" w:line="284" w:lineRule="auto"/>
        <w:rPr>
          <w:sz w:val="20"/>
          <w:szCs w:val="20"/>
          <w:color w:val="auto"/>
        </w:rPr>
      </w:pPr>
      <w:r>
        <w:rPr>
          <w:rFonts w:ascii="Arial" w:cs="Arial" w:eastAsia="Arial" w:hAnsi="Arial"/>
          <w:sz w:val="16"/>
          <w:szCs w:val="16"/>
          <w:color w:val="auto"/>
        </w:rPr>
        <w:t>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931" w:right="7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2.5</w:t>
            </w: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Issuance of ADSs</w:t>
            </w:r>
            <w:r>
              <w:rPr>
                <w:rFonts w:ascii="Arial" w:cs="Arial" w:eastAsia="Arial" w:hAnsi="Arial"/>
                <w:sz w:val="18"/>
                <w:szCs w:val="18"/>
                <w:color w:val="auto"/>
              </w:rPr>
              <w:t>. The Depositary has made arrangements with the Custodian for the Custodian to confirm to the</w:t>
            </w:r>
          </w:p>
        </w:tc>
        <w:tc>
          <w:tcPr>
            <w:tcW w:w="7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w:t>
            </w:r>
          </w:p>
        </w:tc>
      </w:tr>
      <w:tr>
        <w:trPr>
          <w:trHeight w:val="20"/>
        </w:trPr>
        <w:tc>
          <w:tcPr>
            <w:tcW w:w="136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4"/>
              </w:rPr>
              <w:t>Depositary upon receipt of a deposit of Shares (i) that a deposit of Shares has been made pursuant to Section 2.3, (ii) that</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4"/>
              </w:rPr>
              <w:t>such Deposited Securities have been recorded in the name of the Depositary, the Custodian or a nominee of either on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shareholders’ register maintained by or on behalf of the Company by the Share Registrar or on the books of the applicable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5"/>
              </w:rPr>
              <w:t>book-entry settlement entity, (iii) that all required documents have been received, and (iv) the person(s) to whom or upon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whose order ADSs are deliverable in respect thereof and the number of ADSs to be so delivered. Such notification may be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4"/>
              </w:rPr>
              <w:t>made by letter, cable, telex, SWIFT message or, at the risk and expense of the person making the deposit, by facsimile or</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2"/>
              </w:rPr>
              <w:t>other means of electronic transmission. Upon receiving such notice from the Custodian, the Depositary, subject to the terms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1"/>
              </w:rPr>
              <w:t>and conditions of the Deposit Agreement and applicable law, shall issue the ADSs representing the Shares so deposited to or</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upon the order of the person(s) named in the notice delivered to the Depositary and, if applicable, shall execute and deliver</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1"/>
              </w:rPr>
              <w:t>at its Principal Office Receipt(s) registered in the name(s) requested by such person(s) and evidencing the aggregate number</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2"/>
              </w:rPr>
              <w:t>of ADSs to which such person(s) is/are entitled, but, in each case, only upon payment to the Depositary of the ADS fees and</w:t>
            </w:r>
          </w:p>
        </w:tc>
        <w:tc>
          <w:tcPr>
            <w:tcW w:w="720" w:type="dxa"/>
            <w:vAlign w:val="bottom"/>
            <w:shd w:val="clear" w:color="auto" w:fill="CCEEFF"/>
          </w:tcPr>
          <w:p>
            <w:pPr>
              <w:spacing w:after="0"/>
              <w:rPr>
                <w:sz w:val="18"/>
                <w:szCs w:val="18"/>
                <w:color w:val="auto"/>
              </w:rPr>
            </w:pPr>
          </w:p>
        </w:tc>
      </w:tr>
      <w:tr>
        <w:trPr>
          <w:trHeight w:val="190"/>
        </w:trPr>
        <w:tc>
          <w:tcPr>
            <w:tcW w:w="1360" w:type="dxa"/>
            <w:vAlign w:val="bottom"/>
            <w:shd w:val="clear" w:color="auto" w:fill="CCEEFF"/>
          </w:tcPr>
          <w:p>
            <w:pPr>
              <w:spacing w:after="0"/>
              <w:rPr>
                <w:sz w:val="16"/>
                <w:szCs w:val="16"/>
                <w:color w:val="auto"/>
              </w:rPr>
            </w:pPr>
          </w:p>
        </w:tc>
        <w:tc>
          <w:tcPr>
            <w:tcW w:w="9160" w:type="dxa"/>
            <w:vAlign w:val="bottom"/>
            <w:gridSpan w:val="7"/>
            <w:shd w:val="clear" w:color="auto" w:fill="CCEEFF"/>
          </w:tcPr>
          <w:p>
            <w:pPr>
              <w:spacing w:after="0" w:line="190" w:lineRule="exact"/>
              <w:rPr>
                <w:sz w:val="20"/>
                <w:szCs w:val="20"/>
                <w:color w:val="auto"/>
              </w:rPr>
            </w:pPr>
            <w:r>
              <w:rPr>
                <w:rFonts w:ascii="Arial" w:cs="Arial" w:eastAsia="Arial" w:hAnsi="Arial"/>
                <w:sz w:val="18"/>
                <w:szCs w:val="18"/>
                <w:color w:val="auto"/>
                <w:w w:val="96"/>
              </w:rPr>
              <w:t>charges of the Depositary for accepting a deposit of Shares and issuing ADSs (as set forth in Section 5.9 and Exhibit B</w:t>
            </w:r>
          </w:p>
        </w:tc>
        <w:tc>
          <w:tcPr>
            <w:tcW w:w="720" w:type="dxa"/>
            <w:vAlign w:val="bottom"/>
            <w:shd w:val="clear" w:color="auto" w:fill="CCEEFF"/>
          </w:tcPr>
          <w:p>
            <w:pPr>
              <w:spacing w:after="0"/>
              <w:rPr>
                <w:sz w:val="16"/>
                <w:szCs w:val="16"/>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1980" w:type="dxa"/>
            <w:vAlign w:val="bottom"/>
            <w:gridSpan w:val="2"/>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5"/>
              </w:rPr>
              <w:t>hereto) and all taxes and governmental charges and fees payable in connection with such deposit and the transfer of the</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9"/>
              </w:rPr>
              <w:t>Shares and the issuance of the ADS(s). Upon receipt of satisfactory instructions from ADS Holders and payment of</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2"/>
              </w:rPr>
              <w:t>applicable taxes and the ADS fees and charges of the Depositary for the issuance, cancellation and conversion of ADSs (as</w:t>
            </w:r>
          </w:p>
        </w:tc>
        <w:tc>
          <w:tcPr>
            <w:tcW w:w="720" w:type="dxa"/>
            <w:vAlign w:val="bottom"/>
            <w:shd w:val="clear" w:color="auto" w:fill="CCEEFF"/>
          </w:tcPr>
          <w:p>
            <w:pPr>
              <w:spacing w:after="0"/>
              <w:rPr>
                <w:sz w:val="18"/>
                <w:szCs w:val="18"/>
                <w:color w:val="auto"/>
              </w:rPr>
            </w:pPr>
          </w:p>
        </w:tc>
      </w:tr>
      <w:tr>
        <w:trPr>
          <w:trHeight w:val="190"/>
        </w:trPr>
        <w:tc>
          <w:tcPr>
            <w:tcW w:w="1360" w:type="dxa"/>
            <w:vAlign w:val="bottom"/>
            <w:shd w:val="clear" w:color="auto" w:fill="CCEEFF"/>
          </w:tcPr>
          <w:p>
            <w:pPr>
              <w:spacing w:after="0"/>
              <w:rPr>
                <w:sz w:val="16"/>
                <w:szCs w:val="16"/>
                <w:color w:val="auto"/>
              </w:rPr>
            </w:pPr>
          </w:p>
        </w:tc>
        <w:tc>
          <w:tcPr>
            <w:tcW w:w="9160" w:type="dxa"/>
            <w:vAlign w:val="bottom"/>
            <w:gridSpan w:val="7"/>
            <w:shd w:val="clear" w:color="auto" w:fill="CCEEFF"/>
          </w:tcPr>
          <w:p>
            <w:pPr>
              <w:spacing w:after="0" w:line="190" w:lineRule="exact"/>
              <w:rPr>
                <w:sz w:val="20"/>
                <w:szCs w:val="20"/>
                <w:color w:val="auto"/>
              </w:rPr>
            </w:pPr>
            <w:r>
              <w:rPr>
                <w:rFonts w:ascii="Arial" w:cs="Arial" w:eastAsia="Arial" w:hAnsi="Arial"/>
                <w:sz w:val="18"/>
                <w:szCs w:val="18"/>
                <w:color w:val="auto"/>
                <w:w w:val="95"/>
              </w:rPr>
              <w:t>set forth in Section 5.9 and Exhibit B hereto), the Depositary shall also, subject to the applicable terms and conditions of,</w:t>
            </w:r>
          </w:p>
        </w:tc>
        <w:tc>
          <w:tcPr>
            <w:tcW w:w="720" w:type="dxa"/>
            <w:vAlign w:val="bottom"/>
            <w:shd w:val="clear" w:color="auto" w:fill="CCEEFF"/>
          </w:tcPr>
          <w:p>
            <w:pPr>
              <w:spacing w:after="0"/>
              <w:rPr>
                <w:sz w:val="16"/>
                <w:szCs w:val="16"/>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1980" w:type="dxa"/>
            <w:vAlign w:val="bottom"/>
            <w:gridSpan w:val="2"/>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720" w:type="dxa"/>
            <w:vAlign w:val="bottom"/>
            <w:gridSpan w:val="3"/>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7"/>
              </w:rPr>
              <w:t>and contemplated in, the Deposit Agreement and applicable law, issue new ADSs in connection with the conversion of</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7"/>
              </w:rPr>
              <w:t>existing ADSs of one series for ADSs of another series (e.g. in connection with the conversion of Restricted ADSs into</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6"/>
              </w:rPr>
              <w:t>freely transferable ADSs and the conversion of Partial Entitlement ADSs into Full Entitlement ADSs), in which case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Depositary shall (i) only issue such number of new ADSs of one series as equals the number of existing ADSs cancelled of</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1"/>
              </w:rPr>
              <w:t>the corresponding series, and (ii) only process such ADS conversion to the extent the Depositary has to the extent applicable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instructed the Custodian to transfer the corresponding Shares from and into the applicable custody accounts maintained for</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8"/>
              </w:rPr>
              <w:t>the applicable ADS series. The Depositary shall only issue ADSs in whole numbers and deliver, if applicable, ADR(s)</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evidencing whole numbers of ADSs</w:t>
            </w:r>
          </w:p>
        </w:tc>
        <w:tc>
          <w:tcPr>
            <w:tcW w:w="720" w:type="dxa"/>
            <w:vAlign w:val="bottom"/>
            <w:shd w:val="clear" w:color="auto" w:fill="CCEEFF"/>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2.6</w:t>
            </w:r>
          </w:p>
        </w:tc>
        <w:tc>
          <w:tcPr>
            <w:tcW w:w="916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Transfer, Combination and Split-up of ADRs</w:t>
            </w:r>
          </w:p>
        </w:tc>
        <w:tc>
          <w:tcPr>
            <w:tcW w:w="72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10</w:t>
            </w:r>
          </w:p>
        </w:tc>
      </w:tr>
      <w:tr>
        <w:trPr>
          <w:trHeight w:val="20"/>
        </w:trPr>
        <w:tc>
          <w:tcPr>
            <w:tcW w:w="13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2.7</w:t>
            </w: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w w:val="96"/>
              </w:rPr>
              <w:t xml:space="preserve">Surrender of ADSs and Withdrawal of Deposited Securities. </w:t>
            </w:r>
            <w:r>
              <w:rPr>
                <w:rFonts w:ascii="Arial" w:cs="Arial" w:eastAsia="Arial" w:hAnsi="Arial"/>
                <w:sz w:val="18"/>
                <w:szCs w:val="18"/>
                <w:color w:val="auto"/>
                <w:w w:val="96"/>
              </w:rPr>
              <w:t>The Holder of ADSs shall be entitled to Delivery (at the</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w:t>
            </w:r>
          </w:p>
        </w:tc>
      </w:tr>
      <w:tr>
        <w:trPr>
          <w:trHeight w:val="20"/>
        </w:trPr>
        <w:tc>
          <w:tcPr>
            <w:tcW w:w="13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Custodian’s designated office) of the Deposited Securities at the time represented by the ADSs upon satisfaction of each of</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the following conditions: (i) the Holder (or a duly-authorized attorney of the Holder) has duly Delivered ADSs to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5"/>
              </w:rPr>
              <w:t>Depositary at its Principal Office (and if applicable, the ADRs evidencing such ADSs) for the purpose of withdrawal of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5"/>
              </w:rPr>
              <w:t>Deposited Securities represented thereby, (ii) if applicable and so required by the Depositary, the ADRs Delivered to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Depositary for such purpose have been properly endorsed in blank or are accompanied by proper instruments of transfer in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6"/>
              </w:rPr>
              <w:t>blank (including signature guarantees in accordance with standard securities industry practice), (iii) if so required by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Depositary, the Holder of the ADSs has executed and delivered to the Depositary a written order directing the Depositary to</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cause the Deposited Securities being withdrawn to be Delivered to or upon the written order of the person(s) designated in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5"/>
              </w:rPr>
              <w:t>such order, and (iv) all applicable ADS fees and charges of, and expenses incurred by, the Depositary and all applicable</w:t>
            </w:r>
          </w:p>
        </w:tc>
        <w:tc>
          <w:tcPr>
            <w:tcW w:w="720" w:type="dxa"/>
            <w:vAlign w:val="bottom"/>
            <w:shd w:val="clear" w:color="auto" w:fill="CCEEFF"/>
          </w:tcPr>
          <w:p>
            <w:pPr>
              <w:spacing w:after="0"/>
              <w:rPr>
                <w:sz w:val="18"/>
                <w:szCs w:val="18"/>
                <w:color w:val="auto"/>
              </w:rPr>
            </w:pPr>
          </w:p>
        </w:tc>
      </w:tr>
      <w:tr>
        <w:trPr>
          <w:trHeight w:val="190"/>
        </w:trPr>
        <w:tc>
          <w:tcPr>
            <w:tcW w:w="1360" w:type="dxa"/>
            <w:vAlign w:val="bottom"/>
            <w:shd w:val="clear" w:color="auto" w:fill="CCEEFF"/>
          </w:tcPr>
          <w:p>
            <w:pPr>
              <w:spacing w:after="0"/>
              <w:rPr>
                <w:sz w:val="16"/>
                <w:szCs w:val="16"/>
                <w:color w:val="auto"/>
              </w:rPr>
            </w:pPr>
          </w:p>
        </w:tc>
        <w:tc>
          <w:tcPr>
            <w:tcW w:w="9160" w:type="dxa"/>
            <w:vAlign w:val="bottom"/>
            <w:gridSpan w:val="7"/>
            <w:shd w:val="clear" w:color="auto" w:fill="CCEEFF"/>
          </w:tcPr>
          <w:p>
            <w:pPr>
              <w:spacing w:after="0" w:line="190" w:lineRule="exact"/>
              <w:rPr>
                <w:sz w:val="20"/>
                <w:szCs w:val="20"/>
                <w:color w:val="auto"/>
              </w:rPr>
            </w:pPr>
            <w:r>
              <w:rPr>
                <w:rFonts w:ascii="Arial" w:cs="Arial" w:eastAsia="Arial" w:hAnsi="Arial"/>
                <w:sz w:val="18"/>
                <w:szCs w:val="18"/>
                <w:color w:val="auto"/>
                <w:w w:val="94"/>
              </w:rPr>
              <w:t xml:space="preserve">taxes and governmental charges (as are set forth in Section 5.9 and Exhibit B) have been paid, </w:t>
            </w:r>
            <w:r>
              <w:rPr>
                <w:rFonts w:ascii="Arial" w:cs="Arial" w:eastAsia="Arial" w:hAnsi="Arial"/>
                <w:sz w:val="18"/>
                <w:szCs w:val="18"/>
                <w:i w:val="1"/>
                <w:iCs w:val="1"/>
                <w:color w:val="auto"/>
                <w:w w:val="94"/>
              </w:rPr>
              <w:t>subject, however, in each</w:t>
            </w:r>
          </w:p>
        </w:tc>
        <w:tc>
          <w:tcPr>
            <w:tcW w:w="720" w:type="dxa"/>
            <w:vAlign w:val="bottom"/>
            <w:shd w:val="clear" w:color="auto" w:fill="CCEEFF"/>
          </w:tcPr>
          <w:p>
            <w:pPr>
              <w:spacing w:after="0"/>
              <w:rPr>
                <w:sz w:val="16"/>
                <w:szCs w:val="16"/>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3680" w:type="dxa"/>
            <w:vAlign w:val="bottom"/>
            <w:gridSpan w:val="2"/>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i w:val="1"/>
                <w:iCs w:val="1"/>
                <w:color w:val="auto"/>
                <w:w w:val="93"/>
              </w:rPr>
              <w:t>case</w:t>
            </w:r>
            <w:r>
              <w:rPr>
                <w:rFonts w:ascii="Arial" w:cs="Arial" w:eastAsia="Arial" w:hAnsi="Arial"/>
                <w:sz w:val="18"/>
                <w:szCs w:val="18"/>
                <w:color w:val="auto"/>
                <w:w w:val="93"/>
              </w:rPr>
              <w:t>, to the terms and conditions of the ADRs evidencing the surrendered ADSs, of the Deposit Agreement, of the Articles</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2"/>
              </w:rPr>
              <w:t>of Association, and of any applicable laws and the rules of the applicable book-entry settlement entity, and to any provisions</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of or governing the Deposited Securities, in each case as in effect at the time thereof</w:t>
            </w:r>
          </w:p>
        </w:tc>
        <w:tc>
          <w:tcPr>
            <w:tcW w:w="720" w:type="dxa"/>
            <w:vAlign w:val="bottom"/>
            <w:shd w:val="clear" w:color="auto" w:fill="CCEEFF"/>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2.8</w:t>
            </w:r>
          </w:p>
        </w:tc>
        <w:tc>
          <w:tcPr>
            <w:tcW w:w="916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Limitations on Execution and Delivery, Transfer, etc. of ADSs; Suspension of Delivery, Transfer, etc.</w:t>
            </w:r>
          </w:p>
        </w:tc>
        <w:tc>
          <w:tcPr>
            <w:tcW w:w="72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12</w:t>
            </w:r>
          </w:p>
        </w:tc>
      </w:tr>
      <w:tr>
        <w:trPr>
          <w:trHeight w:val="21"/>
        </w:trPr>
        <w:tc>
          <w:tcPr>
            <w:tcW w:w="136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34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72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2.9</w:t>
            </w:r>
          </w:p>
        </w:tc>
        <w:tc>
          <w:tcPr>
            <w:tcW w:w="916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4"/>
              </w:rPr>
              <w:t xml:space="preserve">Lost ADRs, etc. </w:t>
            </w:r>
            <w:r>
              <w:rPr>
                <w:rFonts w:ascii="Arial" w:cs="Arial" w:eastAsia="Arial" w:hAnsi="Arial"/>
                <w:sz w:val="18"/>
                <w:szCs w:val="18"/>
                <w:color w:val="auto"/>
                <w:w w:val="94"/>
              </w:rPr>
              <w:t>In case any ADR shall be mutilated, destroyed, lost, or stolen, the Depositary shall execute and deliver a</w:t>
            </w:r>
          </w:p>
        </w:tc>
        <w:tc>
          <w:tcPr>
            <w:tcW w:w="72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13</w:t>
            </w:r>
          </w:p>
        </w:tc>
      </w:tr>
      <w:tr>
        <w:trPr>
          <w:trHeight w:val="20"/>
        </w:trPr>
        <w:tc>
          <w:tcPr>
            <w:tcW w:w="13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780" w:type="dxa"/>
            <w:vAlign w:val="bottom"/>
            <w:gridSpan w:val="4"/>
            <w:shd w:val="clear" w:color="auto" w:fill="CCEEFF"/>
          </w:tcPr>
          <w:p>
            <w:pPr>
              <w:spacing w:after="0" w:line="20" w:lineRule="exact"/>
              <w:rPr>
                <w:sz w:val="1"/>
                <w:szCs w:val="1"/>
                <w:color w:val="auto"/>
              </w:rPr>
            </w:pPr>
          </w:p>
        </w:tc>
        <w:tc>
          <w:tcPr>
            <w:tcW w:w="3220" w:type="dxa"/>
            <w:vAlign w:val="bottom"/>
            <w:gridSpan w:val="2"/>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4"/>
              </w:rPr>
              <w:t xml:space="preserve">new ADR of like tenor at the expense of the Holder (a) </w:t>
            </w:r>
            <w:r>
              <w:rPr>
                <w:rFonts w:ascii="Arial" w:cs="Arial" w:eastAsia="Arial" w:hAnsi="Arial"/>
                <w:sz w:val="18"/>
                <w:szCs w:val="18"/>
                <w:i w:val="1"/>
                <w:iCs w:val="1"/>
                <w:color w:val="auto"/>
                <w:w w:val="94"/>
              </w:rPr>
              <w:t>in the case of a mutilated ADR,</w:t>
            </w:r>
            <w:r>
              <w:rPr>
                <w:rFonts w:ascii="Arial" w:cs="Arial" w:eastAsia="Arial" w:hAnsi="Arial"/>
                <w:sz w:val="18"/>
                <w:szCs w:val="18"/>
                <w:color w:val="auto"/>
                <w:w w:val="94"/>
              </w:rPr>
              <w:t xml:space="preserve"> in exchange of and substitution for</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9"/>
              </w:rPr>
              <w:t xml:space="preserve">such mutilated ADR upon cancellation thereof, or (b) </w:t>
            </w:r>
            <w:r>
              <w:rPr>
                <w:rFonts w:ascii="Arial" w:cs="Arial" w:eastAsia="Arial" w:hAnsi="Arial"/>
                <w:sz w:val="18"/>
                <w:szCs w:val="18"/>
                <w:i w:val="1"/>
                <w:iCs w:val="1"/>
                <w:color w:val="auto"/>
                <w:w w:val="99"/>
              </w:rPr>
              <w:t>in the case of a destroyed, lost or stolen ADR,</w:t>
            </w:r>
            <w:r>
              <w:rPr>
                <w:rFonts w:ascii="Arial" w:cs="Arial" w:eastAsia="Arial" w:hAnsi="Arial"/>
                <w:sz w:val="18"/>
                <w:szCs w:val="18"/>
                <w:color w:val="auto"/>
                <w:w w:val="99"/>
              </w:rPr>
              <w:t xml:space="preserve"> in lieu of and in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6"/>
              </w:rPr>
              <w:t>substitution for such destroyed, lost, or stolen ADR, after the Holder thereof (i) has submitted to the Depositary a written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2"/>
              </w:rPr>
              <w:t>request for such exchange and substitution before the Depositary has notice that the ADR has been acquired by a bona fide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purchaser, (ii) has provided such security or indemnity (including an indemnity bond) as may be required by the Depositary</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1"/>
              </w:rPr>
              <w:t>to save it and any of its agents harmless, and (iii) has satisfied any other reasonable requirements imposed by the Depositary,</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6"/>
              </w:rPr>
              <w:t>including, without limitation, evidence reasonably satisfactory to the Depositary of such destruction, loss or theft of such</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ADR, the authenticity thereof and the Holder’s ownership thereof</w:t>
            </w:r>
          </w:p>
        </w:tc>
        <w:tc>
          <w:tcPr>
            <w:tcW w:w="720" w:type="dxa"/>
            <w:vAlign w:val="bottom"/>
            <w:shd w:val="clear" w:color="auto" w:fill="CCEEFF"/>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2.10</w:t>
            </w:r>
          </w:p>
        </w:tc>
        <w:tc>
          <w:tcPr>
            <w:tcW w:w="916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w w:val="93"/>
              </w:rPr>
              <w:t xml:space="preserve">Cancellation and Destruction of Surrendered ADRs; Maintenance of Records. </w:t>
            </w:r>
            <w:r>
              <w:rPr>
                <w:rFonts w:ascii="Arial" w:cs="Arial" w:eastAsia="Arial" w:hAnsi="Arial"/>
                <w:sz w:val="18"/>
                <w:szCs w:val="18"/>
                <w:color w:val="auto"/>
                <w:w w:val="93"/>
              </w:rPr>
              <w:t>All ADRs surrendered to the Depositary</w:t>
            </w:r>
          </w:p>
        </w:tc>
        <w:tc>
          <w:tcPr>
            <w:tcW w:w="72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13</w:t>
            </w:r>
          </w:p>
        </w:tc>
      </w:tr>
      <w:tr>
        <w:trPr>
          <w:trHeight w:val="20"/>
        </w:trPr>
        <w:tc>
          <w:tcPr>
            <w:tcW w:w="1360" w:type="dxa"/>
            <w:vAlign w:val="bottom"/>
          </w:tcPr>
          <w:p>
            <w:pPr>
              <w:spacing w:after="0" w:line="20" w:lineRule="exact"/>
              <w:rPr>
                <w:sz w:val="1"/>
                <w:szCs w:val="1"/>
                <w:color w:val="auto"/>
              </w:rPr>
            </w:pPr>
          </w:p>
        </w:tc>
        <w:tc>
          <w:tcPr>
            <w:tcW w:w="5940" w:type="dxa"/>
            <w:vAlign w:val="bottom"/>
            <w:gridSpan w:val="5"/>
            <w:shd w:val="clear" w:color="auto" w:fill="000000"/>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p>
        </w:tc>
        <w:tc>
          <w:tcPr>
            <w:tcW w:w="9160" w:type="dxa"/>
            <w:vAlign w:val="bottom"/>
            <w:gridSpan w:val="7"/>
          </w:tcPr>
          <w:p>
            <w:pPr>
              <w:spacing w:after="0"/>
              <w:rPr>
                <w:sz w:val="20"/>
                <w:szCs w:val="20"/>
                <w:color w:val="auto"/>
              </w:rPr>
            </w:pPr>
            <w:r>
              <w:rPr>
                <w:rFonts w:ascii="Arial" w:cs="Arial" w:eastAsia="Arial" w:hAnsi="Arial"/>
                <w:sz w:val="18"/>
                <w:szCs w:val="18"/>
                <w:color w:val="auto"/>
                <w:w w:val="92"/>
              </w:rPr>
              <w:t>shall be canceled by the Depositary. Canceled ADRs shall not be entitled to any benefits under the Deposit Agreement or be</w:t>
            </w:r>
          </w:p>
        </w:tc>
        <w:tc>
          <w:tcPr>
            <w:tcW w:w="720" w:type="dxa"/>
            <w:vAlign w:val="bottom"/>
          </w:tcPr>
          <w:p>
            <w:pPr>
              <w:spacing w:after="0"/>
              <w:rPr>
                <w:sz w:val="20"/>
                <w:szCs w:val="20"/>
                <w:color w:val="auto"/>
              </w:rPr>
            </w:pPr>
          </w:p>
        </w:tc>
      </w:tr>
    </w:tbl>
    <w:p>
      <w:pPr>
        <w:ind w:left="1360" w:right="1260"/>
        <w:spacing w:after="0" w:line="253" w:lineRule="auto"/>
        <w:rPr>
          <w:sz w:val="20"/>
          <w:szCs w:val="20"/>
          <w:color w:val="auto"/>
        </w:rPr>
      </w:pPr>
      <w:r>
        <w:rPr>
          <w:rFonts w:ascii="Arial" w:cs="Arial" w:eastAsia="Arial" w:hAnsi="Arial"/>
          <w:sz w:val="18"/>
          <w:szCs w:val="18"/>
          <w:color w:val="auto"/>
        </w:rPr>
        <w:t>valid or enforceable against the Depositary for any purpose. The Depositary is authorized to destroy ADRs so canceled, provided the Depositary maintains a record of all destroyed ADRs. Any ADSs held in book-entry form (</w:t>
      </w:r>
      <w:r>
        <w:rPr>
          <w:rFonts w:ascii="Arial" w:cs="Arial" w:eastAsia="Arial" w:hAnsi="Arial"/>
          <w:sz w:val="18"/>
          <w:szCs w:val="18"/>
          <w:i w:val="1"/>
          <w:iCs w:val="1"/>
          <w:color w:val="auto"/>
        </w:rPr>
        <w:t>e.g.</w:t>
      </w:r>
      <w:r>
        <w:rPr>
          <w:rFonts w:ascii="Arial" w:cs="Arial" w:eastAsia="Arial" w:hAnsi="Arial"/>
          <w:sz w:val="18"/>
          <w:szCs w:val="18"/>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2.11</w:t>
            </w:r>
          </w:p>
        </w:tc>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9"/>
              </w:rPr>
              <w:t xml:space="preserve">Escheatment. </w:t>
            </w:r>
            <w:r>
              <w:rPr>
                <w:rFonts w:ascii="Arial" w:cs="Arial" w:eastAsia="Arial" w:hAnsi="Arial"/>
                <w:sz w:val="18"/>
                <w:szCs w:val="18"/>
                <w:color w:val="auto"/>
                <w:w w:val="99"/>
              </w:rPr>
              <w:t>In the event any unclaimed property relating to the ADSs, for any reason, is in the possession of the</w:t>
            </w: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w:t>
            </w:r>
          </w:p>
        </w:tc>
      </w:tr>
      <w:tr>
        <w:trPr>
          <w:trHeight w:val="20"/>
        </w:trPr>
        <w:tc>
          <w:tcPr>
            <w:tcW w:w="13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7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Depositary and has not been claimed by the Holder thereof or cannot be delivered to the Holder thereof through usual</w:t>
            </w:r>
          </w:p>
        </w:tc>
        <w:tc>
          <w:tcPr>
            <w:tcW w:w="76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channels, the Depositary shall, upon expiration of any applicable statutory period relating to abandoned property laws,</w:t>
            </w:r>
          </w:p>
        </w:tc>
        <w:tc>
          <w:tcPr>
            <w:tcW w:w="76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escheat such unclaimed property to the relevant authorities in accordance with the laws of each of the relevant States of the</w:t>
            </w:r>
          </w:p>
        </w:tc>
        <w:tc>
          <w:tcPr>
            <w:tcW w:w="76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60" w:type="dxa"/>
            <w:vAlign w:val="bottom"/>
            <w:shd w:val="clear" w:color="auto" w:fill="CCEEFF"/>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2.12</w:t>
            </w:r>
          </w:p>
        </w:tc>
        <w:tc>
          <w:tcPr>
            <w:tcW w:w="91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w w:val="92"/>
              </w:rPr>
              <w:t xml:space="preserve">Partial Entitlement ADSs. </w:t>
            </w:r>
            <w:r>
              <w:rPr>
                <w:rFonts w:ascii="Arial" w:cs="Arial" w:eastAsia="Arial" w:hAnsi="Arial"/>
                <w:sz w:val="18"/>
                <w:szCs w:val="18"/>
                <w:color w:val="auto"/>
                <w:w w:val="92"/>
              </w:rPr>
              <w:t>In the event any Shares are deposited which (i) entitle the holders thereof to receive a per-share</w:t>
            </w:r>
          </w:p>
        </w:tc>
        <w:tc>
          <w:tcPr>
            <w:tcW w:w="76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13</w:t>
            </w:r>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3" w:lineRule="exact"/>
        <w:rPr>
          <w:sz w:val="20"/>
          <w:szCs w:val="20"/>
          <w:color w:val="auto"/>
        </w:rPr>
      </w:pPr>
    </w:p>
    <w:p>
      <w:pPr>
        <w:ind w:left="1360" w:right="900"/>
        <w:spacing w:after="0" w:line="283" w:lineRule="auto"/>
        <w:rPr>
          <w:sz w:val="20"/>
          <w:szCs w:val="20"/>
          <w:color w:val="auto"/>
        </w:rPr>
      </w:pPr>
      <w:r>
        <w:rPr>
          <w:rFonts w:ascii="Arial" w:cs="Arial" w:eastAsia="Arial" w:hAnsi="Arial"/>
          <w:sz w:val="16"/>
          <w:szCs w:val="16"/>
          <w:color w:val="auto"/>
        </w:rPr>
        <w:t>distribution or other entitlement in an amount different from the Shares then on deposit or (ii) are not fully fungible (including, without limitation, as to settlement or trading) with the Shares then on deposit (the Shares then on deposit collectively, “</w:t>
      </w:r>
      <w:r>
        <w:rPr>
          <w:rFonts w:ascii="Arial" w:cs="Arial" w:eastAsia="Arial" w:hAnsi="Arial"/>
          <w:sz w:val="16"/>
          <w:szCs w:val="16"/>
          <w:u w:val="single" w:color="auto"/>
          <w:color w:val="auto"/>
        </w:rPr>
        <w:t>Full Entitlement Shares</w:t>
      </w:r>
      <w:r>
        <w:rPr>
          <w:rFonts w:ascii="Arial" w:cs="Arial" w:eastAsia="Arial" w:hAnsi="Arial"/>
          <w:sz w:val="16"/>
          <w:szCs w:val="16"/>
          <w:color w:val="auto"/>
        </w:rPr>
        <w:t>” and the Shares with different entitlement, “</w:t>
      </w:r>
      <w:r>
        <w:rPr>
          <w:rFonts w:ascii="Arial" w:cs="Arial" w:eastAsia="Arial" w:hAnsi="Arial"/>
          <w:sz w:val="16"/>
          <w:szCs w:val="16"/>
          <w:u w:val="single" w:color="auto"/>
          <w:color w:val="auto"/>
        </w:rPr>
        <w:t>Partial Entitlement Shares</w:t>
      </w:r>
      <w:r>
        <w:rPr>
          <w:rFonts w:ascii="Arial" w:cs="Arial" w:eastAsia="Arial" w:hAnsi="Arial"/>
          <w:sz w:val="16"/>
          <w:szCs w:val="16"/>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Arial" w:cs="Arial" w:eastAsia="Arial" w:hAnsi="Arial"/>
          <w:sz w:val="16"/>
          <w:szCs w:val="16"/>
          <w:u w:val="single" w:color="auto"/>
          <w:color w:val="auto"/>
        </w:rPr>
        <w:t>Partial Entitlement ADSs/ADRs</w:t>
      </w:r>
      <w:r>
        <w:rPr>
          <w:rFonts w:ascii="Arial" w:cs="Arial" w:eastAsia="Arial" w:hAnsi="Arial"/>
          <w:sz w:val="16"/>
          <w:szCs w:val="16"/>
          <w:color w:val="auto"/>
        </w:rPr>
        <w:t>” and “</w:t>
      </w:r>
      <w:r>
        <w:rPr>
          <w:rFonts w:ascii="Arial" w:cs="Arial" w:eastAsia="Arial" w:hAnsi="Arial"/>
          <w:sz w:val="16"/>
          <w:szCs w:val="16"/>
          <w:u w:val="single" w:color="auto"/>
          <w:color w:val="auto"/>
        </w:rPr>
        <w:t>Full Entitlement ADSs/ADRs</w:t>
      </w:r>
      <w:r>
        <w:rPr>
          <w:rFonts w:ascii="Arial" w:cs="Arial" w:eastAsia="Arial" w:hAnsi="Arial"/>
          <w:sz w:val="16"/>
          <w:szCs w:val="16"/>
          <w:color w:val="auto"/>
        </w:rPr>
        <w:t xml:space="preserve">”, respectively). If and when Partial Entitlement Shares become Full Entitlement Shares, the Depositary shall convert the Partial Entitlement ADSs for Full Entitlement ADSs only upon receipt of applicable and satisfactory instructions from ADS Holders (to the extent ADS Holder instructions are deemed necessary and appropriate by the Depositary) and payment of applicable taxes and the ADS fees and charges of the Depositary (as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for each of the issuance, cancellation, transfer and conversion processes undertaken in connection with the removal of distinctions between the Partial Entitlement ADRs, the Partial Entitlement ADSs and/or the Partial Entitlement Shares (on the one hand) and the Full Entitlement ADRs, the Full Entitlement ADSs and/or the Full Entitlement Shares (on the other hand), and subject to the applicable terms and conditions of, and contemplated in, the Deposit Agreement and applicable law, by (a) giving notice thereof to Holders of Partial Entitlement ADSs and giving Holders of Partial Entitlement ADRs the opportunity to exchange such Partial Entitlement ADRs for Full Entitlement ADRs, (b) causing the Custodian to transfer the Partial Entitlement Shares into the account of the Full Entitlement Shares, and (c) taking such actions as are necessary to convert the Partial Entitlement ADRs and ADSs, for the corresponding Full Entitlement ADRs and ADSs on the other, in which case, the number of Full Entitlement ADSs issued shall equal the number of Partial Entitlement ADSs cancelled.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84" w:name="page185"/>
    <w:bookmarkEnd w:id="184"/>
    <w:p>
      <w:pPr>
        <w:ind w:left="1000" w:hanging="1349"/>
        <w:spacing w:after="0" w:line="276" w:lineRule="auto"/>
        <w:tabs>
          <w:tab w:leader="none" w:pos="980" w:val="left"/>
        </w:tabs>
        <w:rPr>
          <w:sz w:val="20"/>
          <w:szCs w:val="20"/>
          <w:color w:val="auto"/>
        </w:rPr>
      </w:pPr>
      <w:r>
        <w:rPr>
          <w:rFonts w:ascii="Arial" w:cs="Arial" w:eastAsia="Arial" w:hAnsi="Arial"/>
          <w:sz w:val="18"/>
          <w:szCs w:val="18"/>
          <w:b w:val="1"/>
          <w:bCs w:val="1"/>
          <w:color w:val="auto"/>
        </w:rPr>
        <w:t>Section 2.13</w:t>
      </w:r>
      <w:r>
        <w:rPr>
          <w:sz w:val="20"/>
          <w:szCs w:val="20"/>
          <w:color w:val="auto"/>
        </w:rPr>
        <w:tab/>
      </w:r>
      <w:r>
        <w:rPr>
          <w:rFonts w:ascii="Arial" w:cs="Arial" w:eastAsia="Arial" w:hAnsi="Arial"/>
          <w:sz w:val="17"/>
          <w:szCs w:val="17"/>
          <w:b w:val="1"/>
          <w:bCs w:val="1"/>
          <w:u w:val="single" w:color="auto"/>
          <w:color w:val="auto"/>
        </w:rPr>
        <w:t>Certificated/Uncertificated ADSs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Notwithstanding any other provision of the Deposit Agreement, the Depositary may, at 14</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any time and from time to time, issue ADSs that are not evidenced by ADRs (such ADSs, the “</w:t>
      </w:r>
      <w:r>
        <w:rPr>
          <w:rFonts w:ascii="Arial" w:cs="Arial" w:eastAsia="Arial" w:hAnsi="Arial"/>
          <w:sz w:val="17"/>
          <w:szCs w:val="17"/>
          <w:u w:val="single" w:color="auto"/>
          <w:color w:val="auto"/>
        </w:rPr>
        <w:t>Uncertificated ADS(s)</w:t>
      </w:r>
      <w:r>
        <w:rPr>
          <w:rFonts w:ascii="Arial" w:cs="Arial" w:eastAsia="Arial" w:hAnsi="Arial"/>
          <w:sz w:val="17"/>
          <w:szCs w:val="17"/>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-273050</wp:posOffset>
            </wp:positionV>
            <wp:extent cx="7132320" cy="67208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7132320" cy="6720840"/>
                    </a:xfrm>
                    <a:prstGeom prst="rect">
                      <a:avLst/>
                    </a:prstGeom>
                    <a:noFill/>
                  </pic:spPr>
                </pic:pic>
              </a:graphicData>
            </a:graphic>
          </wp:anchor>
        </w:drawing>
      </w:r>
    </w:p>
    <w:p>
      <w:pPr>
        <w:ind w:left="1000" w:right="560"/>
        <w:spacing w:after="0" w:line="282" w:lineRule="auto"/>
        <w:rPr>
          <w:sz w:val="20"/>
          <w:szCs w:val="20"/>
          <w:color w:val="auto"/>
        </w:rPr>
      </w:pPr>
      <w:r>
        <w:rPr>
          <w:rFonts w:ascii="Arial" w:cs="Arial" w:eastAsia="Arial" w:hAnsi="Arial"/>
          <w:sz w:val="16"/>
          <w:szCs w:val="16"/>
          <w:color w:val="auto"/>
        </w:rPr>
        <w:t>the ADS(s) evidenced by ADR(s), the “</w:t>
      </w:r>
      <w:r>
        <w:rPr>
          <w:rFonts w:ascii="Arial" w:cs="Arial" w:eastAsia="Arial" w:hAnsi="Arial"/>
          <w:sz w:val="16"/>
          <w:szCs w:val="16"/>
          <w:u w:val="single" w:color="auto"/>
          <w:color w:val="auto"/>
        </w:rPr>
        <w:t>Certificated ADS(s)</w:t>
      </w:r>
      <w:r>
        <w:rPr>
          <w:rFonts w:ascii="Arial" w:cs="Arial" w:eastAsia="Arial" w:hAnsi="Arial"/>
          <w:sz w:val="16"/>
          <w:szCs w:val="16"/>
          <w:color w:val="auto"/>
        </w:rPr>
        <w:t>”). When issuing and maintaining Uncertificated ADS(s) under the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 (ii) 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680" w:top="931" w:right="69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2.14</w:t>
            </w: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w w:val="95"/>
              </w:rPr>
              <w:t xml:space="preserve">Restricted ADSs. </w:t>
            </w:r>
            <w:r>
              <w:rPr>
                <w:rFonts w:ascii="Arial" w:cs="Arial" w:eastAsia="Arial" w:hAnsi="Arial"/>
                <w:sz w:val="18"/>
                <w:szCs w:val="18"/>
                <w:color w:val="auto"/>
                <w:w w:val="95"/>
              </w:rPr>
              <w:t>The Depositary shall, at the request and expense of the Company, establish procedures enabling the</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w:t>
            </w:r>
          </w:p>
        </w:tc>
      </w:tr>
      <w:tr>
        <w:trPr>
          <w:trHeight w:val="20"/>
        </w:trPr>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4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2"/>
              </w:rPr>
              <w:t>deposit hereunder of Shares that are Restricted Securities in order to enable the holder of such Shares to hold its ownership</w:t>
            </w:r>
          </w:p>
        </w:tc>
        <w:tc>
          <w:tcPr>
            <w:tcW w:w="720" w:type="dxa"/>
            <w:vAlign w:val="bottom"/>
            <w:shd w:val="clear" w:color="auto" w:fill="CCEEFF"/>
          </w:tcPr>
          <w:p>
            <w:pPr>
              <w:spacing w:after="0"/>
              <w:rPr>
                <w:sz w:val="19"/>
                <w:szCs w:val="19"/>
                <w:color w:val="auto"/>
              </w:rPr>
            </w:pPr>
          </w:p>
        </w:tc>
      </w:tr>
      <w:tr>
        <w:trPr>
          <w:trHeight w:val="190"/>
        </w:trPr>
        <w:tc>
          <w:tcPr>
            <w:tcW w:w="1360" w:type="dxa"/>
            <w:vAlign w:val="bottom"/>
            <w:shd w:val="clear" w:color="auto" w:fill="CCEEFF"/>
          </w:tcPr>
          <w:p>
            <w:pPr>
              <w:spacing w:after="0"/>
              <w:rPr>
                <w:sz w:val="16"/>
                <w:szCs w:val="16"/>
                <w:color w:val="auto"/>
              </w:rPr>
            </w:pPr>
          </w:p>
        </w:tc>
        <w:tc>
          <w:tcPr>
            <w:tcW w:w="9160" w:type="dxa"/>
            <w:vAlign w:val="bottom"/>
            <w:gridSpan w:val="8"/>
            <w:shd w:val="clear" w:color="auto" w:fill="CCEEFF"/>
          </w:tcPr>
          <w:p>
            <w:pPr>
              <w:spacing w:after="0" w:line="190" w:lineRule="exact"/>
              <w:rPr>
                <w:sz w:val="20"/>
                <w:szCs w:val="20"/>
                <w:color w:val="auto"/>
              </w:rPr>
            </w:pPr>
            <w:r>
              <w:rPr>
                <w:rFonts w:ascii="Arial" w:cs="Arial" w:eastAsia="Arial" w:hAnsi="Arial"/>
                <w:sz w:val="18"/>
                <w:szCs w:val="18"/>
                <w:color w:val="auto"/>
                <w:w w:val="92"/>
              </w:rPr>
              <w:t>interests in such Restricted Securities in the form of ADSs issued under the terms hereof (such Shares, “Restricted Shares”).</w:t>
            </w:r>
          </w:p>
        </w:tc>
        <w:tc>
          <w:tcPr>
            <w:tcW w:w="720" w:type="dxa"/>
            <w:vAlign w:val="bottom"/>
            <w:shd w:val="clear" w:color="auto" w:fill="CCEEFF"/>
          </w:tcPr>
          <w:p>
            <w:pPr>
              <w:spacing w:after="0"/>
              <w:rPr>
                <w:sz w:val="16"/>
                <w:szCs w:val="16"/>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20" w:type="dxa"/>
            <w:vAlign w:val="bottom"/>
            <w:tcBorders>
              <w:right w:val="single" w:sz="8" w:color="CCEEFF"/>
            </w:tcBorders>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1"/>
              </w:rPr>
              <w:t>Upon receipt of a written request from the Company to accept Restricted Shares for deposit hereunder, the Depositary agrees</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to establish procedures permitting the deposit of such Restricted Shares and the issuance of ADSs representing the right to</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7"/>
              </w:rPr>
              <w:t>receive, subject to the terms of the Deposit Agreement and the applicable ADR (if issued as a Certificated ADS), such</w:t>
            </w:r>
          </w:p>
        </w:tc>
        <w:tc>
          <w:tcPr>
            <w:tcW w:w="720" w:type="dxa"/>
            <w:vAlign w:val="bottom"/>
            <w:shd w:val="clear" w:color="auto" w:fill="CCEEFF"/>
          </w:tcPr>
          <w:p>
            <w:pPr>
              <w:spacing w:after="0"/>
              <w:rPr>
                <w:sz w:val="18"/>
                <w:szCs w:val="18"/>
                <w:color w:val="auto"/>
              </w:rPr>
            </w:pPr>
          </w:p>
        </w:tc>
      </w:tr>
      <w:tr>
        <w:trPr>
          <w:trHeight w:val="190"/>
        </w:trPr>
        <w:tc>
          <w:tcPr>
            <w:tcW w:w="1360" w:type="dxa"/>
            <w:vAlign w:val="bottom"/>
            <w:shd w:val="clear" w:color="auto" w:fill="CCEEFF"/>
          </w:tcPr>
          <w:p>
            <w:pPr>
              <w:spacing w:after="0"/>
              <w:rPr>
                <w:sz w:val="16"/>
                <w:szCs w:val="16"/>
                <w:color w:val="auto"/>
              </w:rPr>
            </w:pPr>
          </w:p>
        </w:tc>
        <w:tc>
          <w:tcPr>
            <w:tcW w:w="9160" w:type="dxa"/>
            <w:vAlign w:val="bottom"/>
            <w:gridSpan w:val="8"/>
            <w:shd w:val="clear" w:color="auto" w:fill="CCEEFF"/>
          </w:tcPr>
          <w:p>
            <w:pPr>
              <w:spacing w:after="0" w:line="190" w:lineRule="exact"/>
              <w:rPr>
                <w:sz w:val="20"/>
                <w:szCs w:val="20"/>
                <w:color w:val="auto"/>
              </w:rPr>
            </w:pPr>
            <w:r>
              <w:rPr>
                <w:rFonts w:ascii="Arial" w:cs="Arial" w:eastAsia="Arial" w:hAnsi="Arial"/>
                <w:sz w:val="18"/>
                <w:szCs w:val="18"/>
                <w:color w:val="auto"/>
                <w:w w:val="97"/>
              </w:rPr>
              <w:t>deposited Restricted Shares (such ADSs, the “Restricted ADSs,” and the ADRs evidencing such Restricted ADSs, the</w:t>
            </w:r>
          </w:p>
        </w:tc>
        <w:tc>
          <w:tcPr>
            <w:tcW w:w="720" w:type="dxa"/>
            <w:vAlign w:val="bottom"/>
            <w:shd w:val="clear" w:color="auto" w:fill="CCEEFF"/>
          </w:tcPr>
          <w:p>
            <w:pPr>
              <w:spacing w:after="0"/>
              <w:rPr>
                <w:sz w:val="16"/>
                <w:szCs w:val="16"/>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20" w:type="dxa"/>
            <w:vAlign w:val="bottom"/>
            <w:tcBorders>
              <w:right w:val="single" w:sz="8" w:color="CCEEFF"/>
            </w:tcBorders>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2340" w:type="dxa"/>
            <w:vAlign w:val="bottom"/>
            <w:tcBorders>
              <w:right w:val="single" w:sz="8" w:color="CCEEFF"/>
            </w:tcBorders>
            <w:gridSpan w:val="2"/>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196"/>
        </w:trPr>
        <w:tc>
          <w:tcPr>
            <w:tcW w:w="1360" w:type="dxa"/>
            <w:vAlign w:val="bottom"/>
            <w:shd w:val="clear" w:color="auto" w:fill="CCEEFF"/>
          </w:tcPr>
          <w:p>
            <w:pPr>
              <w:spacing w:after="0"/>
              <w:rPr>
                <w:sz w:val="17"/>
                <w:szCs w:val="17"/>
                <w:color w:val="auto"/>
              </w:rPr>
            </w:pPr>
          </w:p>
        </w:tc>
        <w:tc>
          <w:tcPr>
            <w:tcW w:w="9160" w:type="dxa"/>
            <w:vAlign w:val="bottom"/>
            <w:gridSpan w:val="8"/>
            <w:shd w:val="clear" w:color="auto" w:fill="CCEEFF"/>
          </w:tcPr>
          <w:p>
            <w:pPr>
              <w:spacing w:after="0" w:line="196" w:lineRule="exact"/>
              <w:rPr>
                <w:sz w:val="20"/>
                <w:szCs w:val="20"/>
                <w:color w:val="auto"/>
              </w:rPr>
            </w:pPr>
            <w:r>
              <w:rPr>
                <w:rFonts w:ascii="Arial" w:cs="Arial" w:eastAsia="Arial" w:hAnsi="Arial"/>
                <w:sz w:val="18"/>
                <w:szCs w:val="18"/>
                <w:color w:val="auto"/>
                <w:w w:val="94"/>
              </w:rPr>
              <w:t>“Restricted ADRs”). Notwithstanding anything contained in this Section 2.14, the Depositary and the Company may, to the</w:t>
            </w:r>
          </w:p>
        </w:tc>
        <w:tc>
          <w:tcPr>
            <w:tcW w:w="720" w:type="dxa"/>
            <w:vAlign w:val="bottom"/>
            <w:shd w:val="clear" w:color="auto" w:fill="CCEEFF"/>
          </w:tcPr>
          <w:p>
            <w:pPr>
              <w:spacing w:after="0"/>
              <w:rPr>
                <w:sz w:val="17"/>
                <w:szCs w:val="17"/>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5100" w:type="dxa"/>
            <w:vAlign w:val="bottom"/>
            <w:gridSpan w:val="3"/>
            <w:shd w:val="clear" w:color="auto" w:fill="CCEEFF"/>
          </w:tcPr>
          <w:p>
            <w:pPr>
              <w:spacing w:after="0" w:line="20" w:lineRule="exact"/>
              <w:rPr>
                <w:sz w:val="1"/>
                <w:szCs w:val="1"/>
                <w:color w:val="auto"/>
              </w:rPr>
            </w:pPr>
          </w:p>
        </w:tc>
        <w:tc>
          <w:tcPr>
            <w:tcW w:w="2340" w:type="dxa"/>
            <w:vAlign w:val="bottom"/>
            <w:tcBorders>
              <w:right w:val="single" w:sz="8" w:color="CCEEFF"/>
            </w:tcBorders>
            <w:gridSpan w:val="2"/>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196"/>
        </w:trPr>
        <w:tc>
          <w:tcPr>
            <w:tcW w:w="1360" w:type="dxa"/>
            <w:vAlign w:val="bottom"/>
            <w:shd w:val="clear" w:color="auto" w:fill="CCEEFF"/>
          </w:tcPr>
          <w:p>
            <w:pPr>
              <w:spacing w:after="0"/>
              <w:rPr>
                <w:sz w:val="17"/>
                <w:szCs w:val="17"/>
                <w:color w:val="auto"/>
              </w:rPr>
            </w:pPr>
          </w:p>
        </w:tc>
        <w:tc>
          <w:tcPr>
            <w:tcW w:w="9160" w:type="dxa"/>
            <w:vAlign w:val="bottom"/>
            <w:gridSpan w:val="8"/>
            <w:shd w:val="clear" w:color="auto" w:fill="CCEEFF"/>
          </w:tcPr>
          <w:p>
            <w:pPr>
              <w:spacing w:after="0" w:line="196" w:lineRule="exact"/>
              <w:rPr>
                <w:sz w:val="20"/>
                <w:szCs w:val="20"/>
                <w:color w:val="auto"/>
              </w:rPr>
            </w:pPr>
            <w:r>
              <w:rPr>
                <w:rFonts w:ascii="Arial" w:cs="Arial" w:eastAsia="Arial" w:hAnsi="Arial"/>
                <w:sz w:val="18"/>
                <w:szCs w:val="18"/>
                <w:color w:val="auto"/>
                <w:w w:val="95"/>
              </w:rPr>
              <w:t>extent not prohibited by law, agree to issue the Restricted ADSs in uncertificated form (“Uncertificated Restricted ADSs”)</w:t>
            </w:r>
          </w:p>
        </w:tc>
        <w:tc>
          <w:tcPr>
            <w:tcW w:w="720" w:type="dxa"/>
            <w:vAlign w:val="bottom"/>
            <w:shd w:val="clear" w:color="auto" w:fill="CCEEFF"/>
          </w:tcPr>
          <w:p>
            <w:pPr>
              <w:spacing w:after="0"/>
              <w:rPr>
                <w:sz w:val="17"/>
                <w:szCs w:val="17"/>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6400" w:type="dxa"/>
            <w:vAlign w:val="bottom"/>
            <w:gridSpan w:val="5"/>
            <w:shd w:val="clear" w:color="auto" w:fill="CCEEFF"/>
          </w:tcPr>
          <w:p>
            <w:pPr>
              <w:spacing w:after="0" w:line="20" w:lineRule="exact"/>
              <w:rPr>
                <w:sz w:val="1"/>
                <w:szCs w:val="1"/>
                <w:color w:val="auto"/>
              </w:rPr>
            </w:pPr>
          </w:p>
        </w:tc>
        <w:tc>
          <w:tcPr>
            <w:tcW w:w="2340" w:type="dxa"/>
            <w:vAlign w:val="bottom"/>
            <w:tcBorders>
              <w:right w:val="single" w:sz="8" w:color="CCEEFF"/>
            </w:tcBorders>
            <w:gridSpan w:val="2"/>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upon such terms and conditions as the Company and the Depositary may deem necessary and appropriate. The Company</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6"/>
              </w:rPr>
              <w:t>shall assist the Depositary in the establishment of such procedures and agrees that it shall take all steps necessary and</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2"/>
              </w:rPr>
              <w:t>reasonably satisfactory to the Depositary to ensure that the establishment of such procedures does not violate the provisions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1"/>
              </w:rPr>
              <w:t>of the Securities Act or any other applicable laws. The depositors of such Restricted Shares and the Holders of the Restricted</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5"/>
              </w:rPr>
              <w:t>ADSs may be required prior to the deposit of such Restricted Shares, the transfer of the Restricted ADRs and Restricted</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5"/>
              </w:rPr>
              <w:t>ADSs or the withdrawal of the Restricted Shares represented by Restricted ADSs to provide such written certifications or</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6"/>
              </w:rPr>
              <w:t>agreements as the Depositary or the Company may require. The Company shall provide to the Depositary in writing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7"/>
              </w:rPr>
              <w:t>legend(s) to be affixed to the Restricted ADRs (if the Restricted ADSs are to be issued as Certificated ADSs), or to be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included in the statements issued from time to time to Holders of Uncertificated ADSs (if issued as Uncertificated Restricted</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ADSs), which legends shall (i) be in a form reasonably satisfactory to the Depositary and (ii) contain the specific</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4"/>
              </w:rPr>
              <w:t>circumstances under which the Restricted ADSs, and, if applicable, the Restricted ADRs evidencing the Restricted ADSs,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may be transferred or the Restricted Shares withdrawn. The Restricted ADSs issued upon the deposit of Restricted Shares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6"/>
              </w:rPr>
              <w:t>shall be separately identified on the books of the Depositary and the Restricted Shares so deposited shall, to the extent</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1"/>
              </w:rPr>
              <w:t>required by law, be held separate and distinct from the other Deposited Securities held hereunder. The Restricted ADSs shall</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6"/>
              </w:rPr>
              <w:t>not be eligible for inclusion in any book-entry settlement system, including, without limitation, DTC (unless (x) otherwise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5"/>
              </w:rPr>
              <w:t>agreed by the Company and the Depositary, (y) the inclusion of Restricted ADSs is acceptable to the applicable clearing</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2"/>
              </w:rPr>
              <w:t>system, and (z) the terms of such inclusion are generally accepted by the Commission for Restricted Securities of that type),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9"/>
              </w:rPr>
              <w:t>and shall not in any way be fungible with the ADSs issued under the terms hereof that are not Restricted ADSs.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Restricted ADSs, and, if applicable, the Restricted ADRs evidencing the Restricted ADSs, shall be transferable only by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4"/>
              </w:rPr>
              <w:t>Holder thereof upon delivery to the Depositary of (i) all documentation otherwise contemplated by the Deposit Agreement</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5"/>
              </w:rPr>
              <w:t xml:space="preserve">and (ii) an opinion of counsel reasonably satisfactory to the Depositary setting forth, </w:t>
            </w:r>
            <w:r>
              <w:rPr>
                <w:rFonts w:ascii="Arial" w:cs="Arial" w:eastAsia="Arial" w:hAnsi="Arial"/>
                <w:sz w:val="18"/>
                <w:szCs w:val="18"/>
                <w:i w:val="1"/>
                <w:iCs w:val="1"/>
                <w:color w:val="auto"/>
                <w:w w:val="95"/>
              </w:rPr>
              <w:t>inter alia</w:t>
            </w:r>
            <w:r>
              <w:rPr>
                <w:rFonts w:ascii="Arial" w:cs="Arial" w:eastAsia="Arial" w:hAnsi="Arial"/>
                <w:sz w:val="18"/>
                <w:szCs w:val="18"/>
                <w:color w:val="auto"/>
                <w:w w:val="95"/>
              </w:rPr>
              <w:t>, the conditions upon which</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2"/>
              </w:rPr>
              <w:t>the Restricted ADSs presented, and, if applicable, the Restricted ADRs evidencing the Restricted ADSs, are transferable by</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5"/>
              </w:rPr>
              <w:t>the Holder thereof under applicable securities laws and the transfer restrictions contained in the legend applicable to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2"/>
              </w:rPr>
              <w:t>Restricted ADSs presented for transfer. Except as set forth in this Section 2.14 and except as required by applicable law,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6"/>
              </w:rPr>
              <w:t>Restricted ADSs and the Restricted ADRs evidencing Restricted ADSs shall be treated as ADSs and ADRs issued and</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outstanding under the terms of the Deposit Agreement. In the event that, in determining the rights and obligations of parties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hereto with respect to any Restricted ADSs, any conflict arises between (a) the terms of the Deposit Agreement (other than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5"/>
              </w:rPr>
              <w:t>this Section 2.14) and (b) the terms of (i) this Section 2.14 or (ii) the applicable Restricted ADR, the terms and conditions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set forth in this Section 2.14 and of the Restricted ADR shall be controlling and shall govern the rights and obligations of the</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parties to the Deposit Agreement pertaining to the deposited Restricted Shares, the Restricted ADSs and Restricted ADRs</w:t>
            </w:r>
          </w:p>
        </w:tc>
        <w:tc>
          <w:tcPr>
            <w:tcW w:w="720" w:type="dxa"/>
            <w:vAlign w:val="bottom"/>
            <w:shd w:val="clear" w:color="auto" w:fill="CCEEFF"/>
          </w:tcPr>
          <w:p>
            <w:pPr>
              <w:spacing w:after="0"/>
              <w:rPr>
                <w:sz w:val="20"/>
                <w:szCs w:val="20"/>
                <w:color w:val="auto"/>
              </w:rPr>
            </w:pPr>
          </w:p>
        </w:tc>
      </w:tr>
      <w:tr>
        <w:trPr>
          <w:trHeight w:val="202"/>
        </w:trPr>
        <w:tc>
          <w:tcPr>
            <w:tcW w:w="1360" w:type="dxa"/>
            <w:vAlign w:val="bottom"/>
          </w:tcPr>
          <w:p>
            <w:pPr>
              <w:spacing w:after="0"/>
              <w:rPr>
                <w:sz w:val="17"/>
                <w:szCs w:val="17"/>
                <w:color w:val="auto"/>
              </w:rPr>
            </w:pPr>
          </w:p>
        </w:tc>
        <w:tc>
          <w:tcPr>
            <w:tcW w:w="9160" w:type="dxa"/>
            <w:vAlign w:val="bottom"/>
            <w:gridSpan w:val="8"/>
          </w:tcPr>
          <w:p>
            <w:pPr>
              <w:spacing w:after="0" w:line="201" w:lineRule="exact"/>
              <w:rPr>
                <w:sz w:val="20"/>
                <w:szCs w:val="20"/>
                <w:color w:val="auto"/>
              </w:rPr>
            </w:pPr>
            <w:r>
              <w:rPr>
                <w:rFonts w:ascii="Arial" w:cs="Arial" w:eastAsia="Arial" w:hAnsi="Arial"/>
                <w:sz w:val="18"/>
                <w:szCs w:val="18"/>
                <w:color w:val="auto"/>
                <w:w w:val="94"/>
              </w:rPr>
              <w:t>If the Restricted ADRs, the Restricted ADSs and the Restricted Shares cease to be Restricted Securities, the Depositary,</w:t>
            </w:r>
          </w:p>
        </w:tc>
        <w:tc>
          <w:tcPr>
            <w:tcW w:w="720" w:type="dxa"/>
            <w:vAlign w:val="bottom"/>
          </w:tcPr>
          <w:p>
            <w:pPr>
              <w:jc w:val="right"/>
              <w:ind w:right="270"/>
              <w:spacing w:after="0" w:line="201" w:lineRule="exact"/>
              <w:rPr>
                <w:sz w:val="20"/>
                <w:szCs w:val="20"/>
                <w:color w:val="auto"/>
              </w:rPr>
            </w:pPr>
            <w:r>
              <w:rPr>
                <w:rFonts w:ascii="Arial" w:cs="Arial" w:eastAsia="Arial" w:hAnsi="Arial"/>
                <w:sz w:val="18"/>
                <w:szCs w:val="18"/>
                <w:color w:val="auto"/>
              </w:rPr>
              <w:t>16</w:t>
            </w:r>
          </w:p>
        </w:tc>
      </w:tr>
      <w:tr>
        <w:trPr>
          <w:trHeight w:val="230"/>
        </w:trPr>
        <w:tc>
          <w:tcPr>
            <w:tcW w:w="1360" w:type="dxa"/>
            <w:vAlign w:val="bottom"/>
          </w:tcPr>
          <w:p>
            <w:pPr>
              <w:spacing w:after="0"/>
              <w:rPr>
                <w:sz w:val="20"/>
                <w:szCs w:val="20"/>
                <w:color w:val="auto"/>
              </w:rPr>
            </w:pPr>
          </w:p>
        </w:tc>
        <w:tc>
          <w:tcPr>
            <w:tcW w:w="9160" w:type="dxa"/>
            <w:vAlign w:val="bottom"/>
            <w:gridSpan w:val="8"/>
          </w:tcPr>
          <w:p>
            <w:pPr>
              <w:spacing w:after="0"/>
              <w:rPr>
                <w:sz w:val="20"/>
                <w:szCs w:val="20"/>
                <w:color w:val="auto"/>
              </w:rPr>
            </w:pPr>
            <w:r>
              <w:rPr>
                <w:rFonts w:ascii="Arial" w:cs="Arial" w:eastAsia="Arial" w:hAnsi="Arial"/>
                <w:sz w:val="18"/>
                <w:szCs w:val="18"/>
                <w:color w:val="auto"/>
              </w:rPr>
              <w:t xml:space="preserve">upon receipt of (x) an opinion of counsel reasonably satisfactory to the Depositary setting forth, </w:t>
            </w:r>
            <w:r>
              <w:rPr>
                <w:rFonts w:ascii="Arial" w:cs="Arial" w:eastAsia="Arial" w:hAnsi="Arial"/>
                <w:sz w:val="18"/>
                <w:szCs w:val="18"/>
                <w:i w:val="1"/>
                <w:iCs w:val="1"/>
                <w:color w:val="auto"/>
              </w:rPr>
              <w:t>inter alia</w:t>
            </w:r>
            <w:r>
              <w:rPr>
                <w:rFonts w:ascii="Arial" w:cs="Arial" w:eastAsia="Arial" w:hAnsi="Arial"/>
                <w:sz w:val="18"/>
                <w:szCs w:val="18"/>
                <w:color w:val="auto"/>
              </w:rPr>
              <w:t>, that the</w:t>
            </w:r>
          </w:p>
        </w:tc>
        <w:tc>
          <w:tcPr>
            <w:tcW w:w="720" w:type="dxa"/>
            <w:vAlign w:val="bottom"/>
          </w:tcPr>
          <w:p>
            <w:pPr>
              <w:spacing w:after="0"/>
              <w:rPr>
                <w:sz w:val="20"/>
                <w:szCs w:val="20"/>
                <w:color w:val="auto"/>
              </w:rPr>
            </w:pPr>
          </w:p>
        </w:tc>
      </w:tr>
    </w:tbl>
    <w:p>
      <w:pPr>
        <w:ind w:left="1360" w:right="900"/>
        <w:spacing w:after="0" w:line="284" w:lineRule="auto"/>
        <w:rPr>
          <w:sz w:val="20"/>
          <w:szCs w:val="20"/>
          <w:color w:val="auto"/>
        </w:rPr>
      </w:pPr>
      <w:r>
        <w:rPr>
          <w:rFonts w:ascii="Arial" w:cs="Arial" w:eastAsia="Arial" w:hAnsi="Arial"/>
          <w:sz w:val="16"/>
          <w:szCs w:val="16"/>
          <w:color w:val="auto"/>
        </w:rPr>
        <w:t xml:space="preserve">Restricted ADRs, the Restricted ADSs and the Restricted Shares are not as of such time, or in connection with a transaction, Restricted Securities, (y) instructions from the Company and/or the applicable ADS Holder to remove the restrictions applicable to the Restricted ADRs, the Restricted ADSs and the Restricted Shares, and (z) payment of applicable taxes and the ADS fees and charges of the Depositary (as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for each of the issuance, cancellation, transfer and conversion processes undertaken in connection with the removal of the restrictions applicable to the Restricted ADRs, Restricted ADSs and/or Restricted Shares (as the case may be), shall (i) eliminate the distinctions and separations that may have been established between the applicable Restricted Shares held on deposit under this Section 2.14 and the other Shares held on deposit under the terms of the Deposit Agreement that are not Restricted Shares by converting the Restricted ADSs into freely transferable ADSs (which shall entail, inter alia, the cancellation of the Restricted ADSs and the issuance of the corresponding freely transferable ADSs, and instructing the Custodian to transfer the corresponding Shares from and into the applicable custody accounts maintained for the applicable ADS series), (ii) 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16"/>
        </w:trPr>
        <w:tc>
          <w:tcPr>
            <w:tcW w:w="10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ARTICLE III CERTAIN OBLIGATIONS OF HOLDERS AND BENEFICIAL OWNERS OF ADSs</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w:t>
            </w:r>
          </w:p>
        </w:tc>
      </w:tr>
      <w:tr>
        <w:trPr>
          <w:trHeight w:val="216"/>
        </w:trPr>
        <w:tc>
          <w:tcPr>
            <w:tcW w:w="1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3.1</w:t>
            </w:r>
          </w:p>
        </w:tc>
        <w:tc>
          <w:tcPr>
            <w:tcW w:w="91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6"/>
              </w:rPr>
              <w:t xml:space="preserve">Proofs, Certificates and Other Information. </w:t>
            </w:r>
            <w:r>
              <w:rPr>
                <w:rFonts w:ascii="Arial" w:cs="Arial" w:eastAsia="Arial" w:hAnsi="Arial"/>
                <w:sz w:val="18"/>
                <w:szCs w:val="18"/>
                <w:color w:val="auto"/>
                <w:w w:val="96"/>
              </w:rPr>
              <w:t>Any person presenting Shares for deposit, any Holder and any Beneficial</w:t>
            </w:r>
          </w:p>
        </w:tc>
        <w:tc>
          <w:tcPr>
            <w:tcW w:w="72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16</w:t>
            </w:r>
          </w:p>
        </w:tc>
      </w:tr>
      <w:tr>
        <w:trPr>
          <w:trHeight w:val="20"/>
        </w:trPr>
        <w:tc>
          <w:tcPr>
            <w:tcW w:w="1360" w:type="dxa"/>
            <w:vAlign w:val="bottom"/>
            <w:shd w:val="clear" w:color="auto" w:fill="CCEEFF"/>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Owner may be required, and every Holder and Beneficial Owner agrees, from time to time to provide to the Depositary and</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the Custodian such proof of citizenship or residence, taxpayer status, payment of all applicable taxes or other governmental</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charges, exchange control approval, legal or beneficial ownership of ADSs and Deposited Property, compliance with</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applicable laws, the terms of the Deposit Agreement or the ADR(s) evidencing the ADSs and the provisions of, or</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governing, the Deposited Property, to execute such certifications and to make such representations and warranties, and to</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provide such other information and documentation (or, in the case of Shares in registered form presented for deposit, such</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information relating to the registration on the books of the Company or of the Share Registrar) as the Depositary or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Custodian may deem necessary or proper or as the Company may reasonably require by written request to the Depositary</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consistent with its obligations under the Deposit Agreement and the applicable ADR(s). The Depositary and the Registrar,</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as applicable may withhold the execution or delivery or registration of transfer of any ADR or ADS or the distribution or</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sale of any dividend or distribution of rights or of the proceeds thereof or, to the extent not limited by the terms of Section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7.8(a), the delivery of any Deposited Property until such proof or other information is filed or such certifications are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executed, or such representations and warranties are made, or such other documentation or information provided, in each</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case to the Depositary’s, the Registrar’s and the Company’s satisfaction. The Depositary shall provide the Company, in a</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timely manner, with copies or originals if necessary and appropriate of (i) any such proofs of citizenship or residence,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taxpayer status, or exchange control approval or copies of written representations and warranties which it receives from</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Holders and Beneficial Owners, and (ii) any other information or documents which the Company may reasonably request</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and which the Depositary shall request and receive from any Holder or Beneficial Owner or any person presenting Shares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for deposit or ADSs for cancellation, transfer or withdrawal. Nothing herein shall obligate the Depositary to (i) obtain any</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information for the Company if not provided by the Holders or Beneficial Owners, or (ii) verify or vouch for the accuracy of</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information so provided by the Holders or Beneficial Owners</w:t>
            </w:r>
          </w:p>
        </w:tc>
        <w:tc>
          <w:tcPr>
            <w:tcW w:w="720" w:type="dxa"/>
            <w:vAlign w:val="bottom"/>
            <w:shd w:val="clear" w:color="auto" w:fill="CCEEFF"/>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3.2</w:t>
            </w:r>
          </w:p>
        </w:tc>
        <w:tc>
          <w:tcPr>
            <w:tcW w:w="91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w w:val="99"/>
              </w:rPr>
              <w:t xml:space="preserve">Liability for Taxes and Other Charges. </w:t>
            </w:r>
            <w:r>
              <w:rPr>
                <w:rFonts w:ascii="Arial" w:cs="Arial" w:eastAsia="Arial" w:hAnsi="Arial"/>
                <w:sz w:val="18"/>
                <w:szCs w:val="18"/>
                <w:color w:val="auto"/>
                <w:w w:val="99"/>
              </w:rPr>
              <w:t>Any tax or other governmental charge payable by the Custodian or by the</w:t>
            </w:r>
          </w:p>
        </w:tc>
        <w:tc>
          <w:tcPr>
            <w:tcW w:w="72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17</w:t>
            </w:r>
          </w:p>
        </w:tc>
      </w:tr>
      <w:tr>
        <w:trPr>
          <w:trHeight w:val="20"/>
        </w:trPr>
        <w:tc>
          <w:tcPr>
            <w:tcW w:w="136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w w:val="94"/>
              </w:rPr>
              <w:t>Depositary with respect to any Deposited Property, ADSs or ADRs shall be payable by the Holders and Beneficial Owners</w:t>
            </w:r>
          </w:p>
        </w:tc>
        <w:tc>
          <w:tcPr>
            <w:tcW w:w="720" w:type="dxa"/>
            <w:vAlign w:val="bottom"/>
          </w:tcPr>
          <w:p>
            <w:pPr>
              <w:spacing w:after="0"/>
              <w:rPr>
                <w:sz w:val="19"/>
                <w:szCs w:val="19"/>
                <w:color w:val="auto"/>
              </w:rPr>
            </w:pPr>
          </w:p>
        </w:tc>
      </w:tr>
      <w:tr>
        <w:trPr>
          <w:trHeight w:val="230"/>
        </w:trPr>
        <w:tc>
          <w:tcPr>
            <w:tcW w:w="1360" w:type="dxa"/>
            <w:vAlign w:val="bottom"/>
          </w:tcPr>
          <w:p>
            <w:pPr>
              <w:spacing w:after="0"/>
              <w:rPr>
                <w:sz w:val="20"/>
                <w:szCs w:val="20"/>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w w:val="93"/>
              </w:rPr>
              <w:t>to the Depositary. The Company, the Custodian and/or the Depositary may withhold or deduct from any distributions made</w:t>
            </w:r>
          </w:p>
        </w:tc>
        <w:tc>
          <w:tcPr>
            <w:tcW w:w="720" w:type="dxa"/>
            <w:vAlign w:val="bottom"/>
          </w:tcPr>
          <w:p>
            <w:pPr>
              <w:spacing w:after="0"/>
              <w:rPr>
                <w:sz w:val="20"/>
                <w:szCs w:val="20"/>
                <w:color w:val="auto"/>
              </w:rPr>
            </w:pPr>
          </w:p>
        </w:tc>
      </w:tr>
    </w:tbl>
    <w:p>
      <w:pPr>
        <w:ind w:left="1360" w:right="900"/>
        <w:spacing w:after="0" w:line="267" w:lineRule="auto"/>
        <w:rPr>
          <w:sz w:val="20"/>
          <w:szCs w:val="20"/>
          <w:color w:val="auto"/>
        </w:rPr>
      </w:pPr>
      <w:r>
        <w:rPr>
          <w:rFonts w:ascii="Arial" w:cs="Arial" w:eastAsia="Arial" w:hAnsi="Arial"/>
          <w:sz w:val="17"/>
          <w:szCs w:val="17"/>
          <w:color w:val="auto"/>
        </w:rPr>
        <w:t>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3.3</w:t>
            </w: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1"/>
              </w:rPr>
              <w:t xml:space="preserve">Representations and Warranties on Deposit of Shares. </w:t>
            </w:r>
            <w:r>
              <w:rPr>
                <w:rFonts w:ascii="Arial" w:cs="Arial" w:eastAsia="Arial" w:hAnsi="Arial"/>
                <w:sz w:val="18"/>
                <w:szCs w:val="18"/>
                <w:color w:val="auto"/>
                <w:w w:val="91"/>
              </w:rPr>
              <w:t>Each person depositing Shares under the Deposit Agreement shall</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w:t>
            </w:r>
          </w:p>
        </w:tc>
      </w:tr>
      <w:tr>
        <w:trPr>
          <w:trHeight w:val="20"/>
        </w:trPr>
        <w:tc>
          <w:tcPr>
            <w:tcW w:w="1360" w:type="dxa"/>
            <w:vAlign w:val="bottom"/>
            <w:shd w:val="clear" w:color="auto" w:fill="CCEEFF"/>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be deemed thereby to represent and warrant that (i) such Shares and the certificates therefor are duly authorized, validly</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issued, fully paid, non-assessable and legally obtained by such person, (ii) all preemptive (and similar) rights, if any, with</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respect to such Shares have been validly waived or exercised, (iii) the person making such deposit is duly authorized so to</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do, (iv) the Shares presented for deposit are free and clear of any lien, encumbrance, security interest, charge, mortgage or</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rPr>
              <w:t>adverse claim, (v) the Shares presented for deposit are not, and the ADSs issuable upon such deposit will not be, Restricted</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rPr>
              <w:t>Securities (except as contemplated in Section 2.14), and (vi) the Shares presented for deposit have not been stripped of any</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rPr>
              <w:t>rights or entitlements. Such representations and warranties shall survive the deposit and withdrawal of Shares, the issuance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and cancellation of ADSs in respect thereof and the transfer of such ADSs. If any such representations or warranties are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false in any way, the Company and the Depositary shall be authorized, at the cost and expense of the person depositing</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Shares, to take any and all actions necessary to correct the consequences thereof</w:t>
            </w:r>
          </w:p>
        </w:tc>
        <w:tc>
          <w:tcPr>
            <w:tcW w:w="720" w:type="dxa"/>
            <w:vAlign w:val="bottom"/>
            <w:shd w:val="clear" w:color="auto" w:fill="CCEEFF"/>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3.4</w:t>
            </w:r>
          </w:p>
        </w:tc>
        <w:tc>
          <w:tcPr>
            <w:tcW w:w="91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w w:val="95"/>
              </w:rPr>
              <w:t>Compliance with Information Requests</w:t>
            </w:r>
            <w:r>
              <w:rPr>
                <w:rFonts w:ascii="Arial" w:cs="Arial" w:eastAsia="Arial" w:hAnsi="Arial"/>
                <w:sz w:val="18"/>
                <w:szCs w:val="18"/>
                <w:color w:val="auto"/>
                <w:w w:val="95"/>
              </w:rPr>
              <w:t>. Notwithstanding any other provision of the Deposit Agreement or any ADR(s),</w:t>
            </w:r>
          </w:p>
        </w:tc>
        <w:tc>
          <w:tcPr>
            <w:tcW w:w="72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18</w:t>
            </w:r>
          </w:p>
        </w:tc>
      </w:tr>
      <w:tr>
        <w:trPr>
          <w:trHeight w:val="20"/>
        </w:trPr>
        <w:tc>
          <w:tcPr>
            <w:tcW w:w="13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4"/>
              </w:rPr>
              <w:t>each Holder and Beneficial Owner agrees to comply with requests from the Company pursuant to applicable law, the rules</w:t>
            </w:r>
          </w:p>
        </w:tc>
        <w:tc>
          <w:tcPr>
            <w:tcW w:w="72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6"/>
              </w:rPr>
              <w:t>and requirements of any stock exchange on which the Shares or ADSs are, or will be, registered, traded or listed or the</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rPr>
              <w:t xml:space="preserve">Articles of Association, which are made to provide information, </w:t>
            </w:r>
            <w:r>
              <w:rPr>
                <w:rFonts w:ascii="Arial" w:cs="Arial" w:eastAsia="Arial" w:hAnsi="Arial"/>
                <w:sz w:val="18"/>
                <w:szCs w:val="18"/>
                <w:i w:val="1"/>
                <w:iCs w:val="1"/>
                <w:color w:val="auto"/>
              </w:rPr>
              <w:t>inter alia</w:t>
            </w:r>
            <w:r>
              <w:rPr>
                <w:rFonts w:ascii="Arial" w:cs="Arial" w:eastAsia="Arial" w:hAnsi="Arial"/>
                <w:sz w:val="18"/>
                <w:szCs w:val="18"/>
                <w:color w:val="auto"/>
              </w:rPr>
              <w:t>, as to the capacity in which such Holder or</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1"/>
              </w:rPr>
              <w:t>Beneficial Owner owns ADSs (and Shares as the case may be) and regarding the identity of any other person(s) interested in</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6"/>
              </w:rPr>
              <w:t>such ADSs and the nature of such interest and various other matters, whether or not they are Holders and/or Beneficial</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7"/>
              </w:rPr>
              <w:t>Owners at the time of such request. The Depositary shall use its reasonable efforts to forward, upon the request of the</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1"/>
              </w:rPr>
              <w:t>Company and at the Company’s expense, any such request from the Company to the Holders and to forward to the Company</w:t>
            </w:r>
          </w:p>
        </w:tc>
        <w:tc>
          <w:tcPr>
            <w:tcW w:w="720" w:type="dxa"/>
            <w:vAlign w:val="bottom"/>
          </w:tcPr>
          <w:p>
            <w:pPr>
              <w:spacing w:after="0"/>
              <w:rPr>
                <w:sz w:val="18"/>
                <w:szCs w:val="18"/>
                <w:color w:val="auto"/>
              </w:rPr>
            </w:pPr>
          </w:p>
        </w:tc>
      </w:tr>
      <w:tr>
        <w:trPr>
          <w:trHeight w:val="212"/>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rPr>
              <w:t>any such responses to such requests received by the Depositary</w:t>
            </w:r>
          </w:p>
        </w:tc>
        <w:tc>
          <w:tcPr>
            <w:tcW w:w="720" w:type="dxa"/>
            <w:vAlign w:val="bottom"/>
          </w:tcPr>
          <w:p>
            <w:pPr>
              <w:spacing w:after="0"/>
              <w:rPr>
                <w:sz w:val="18"/>
                <w:szCs w:val="18"/>
                <w:color w:val="auto"/>
              </w:rPr>
            </w:pPr>
          </w:p>
        </w:tc>
      </w:tr>
      <w:tr>
        <w:trPr>
          <w:trHeight w:val="194"/>
        </w:trPr>
        <w:tc>
          <w:tcPr>
            <w:tcW w:w="1360" w:type="dxa"/>
            <w:vAlign w:val="bottom"/>
          </w:tcPr>
          <w:p>
            <w:pPr>
              <w:spacing w:after="0" w:line="194" w:lineRule="exact"/>
              <w:rPr>
                <w:sz w:val="20"/>
                <w:szCs w:val="20"/>
                <w:color w:val="auto"/>
              </w:rPr>
            </w:pPr>
            <w:r>
              <w:rPr>
                <w:rFonts w:ascii="Arial" w:cs="Arial" w:eastAsia="Arial" w:hAnsi="Arial"/>
                <w:sz w:val="18"/>
                <w:szCs w:val="18"/>
                <w:b w:val="1"/>
                <w:bCs w:val="1"/>
                <w:color w:val="auto"/>
              </w:rPr>
              <w:t>Section 3.5</w:t>
            </w:r>
          </w:p>
        </w:tc>
        <w:tc>
          <w:tcPr>
            <w:tcW w:w="916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w w:val="95"/>
              </w:rPr>
              <w:t xml:space="preserve">Ownership Restrictions </w:t>
            </w:r>
            <w:r>
              <w:rPr>
                <w:rFonts w:ascii="Arial" w:cs="Arial" w:eastAsia="Arial" w:hAnsi="Arial"/>
                <w:sz w:val="18"/>
                <w:szCs w:val="18"/>
                <w:color w:val="auto"/>
                <w:w w:val="95"/>
              </w:rPr>
              <w:t>Notwithstanding any other provision contained in the Deposit Agreement or any ADR(s) to the</w:t>
            </w:r>
          </w:p>
        </w:tc>
        <w:tc>
          <w:tcPr>
            <w:tcW w:w="720" w:type="dxa"/>
            <w:vAlign w:val="bottom"/>
          </w:tcPr>
          <w:p>
            <w:pPr>
              <w:jc w:val="right"/>
              <w:ind w:right="270"/>
              <w:spacing w:after="0" w:line="194" w:lineRule="exact"/>
              <w:rPr>
                <w:sz w:val="20"/>
                <w:szCs w:val="20"/>
                <w:color w:val="auto"/>
              </w:rPr>
            </w:pPr>
            <w:r>
              <w:rPr>
                <w:rFonts w:ascii="Arial" w:cs="Arial" w:eastAsia="Arial" w:hAnsi="Arial"/>
                <w:sz w:val="18"/>
                <w:szCs w:val="18"/>
                <w:color w:val="auto"/>
              </w:rPr>
              <w:t>18</w:t>
            </w:r>
          </w:p>
        </w:tc>
      </w:tr>
      <w:tr>
        <w:trPr>
          <w:trHeight w:val="20"/>
        </w:trPr>
        <w:tc>
          <w:tcPr>
            <w:tcW w:w="13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9"/>
              </w:rPr>
              <w:t>contrary, the Company may restrict transfers of the Shares where such transfer might result in ownership of Shares</w:t>
            </w:r>
          </w:p>
        </w:tc>
        <w:tc>
          <w:tcPr>
            <w:tcW w:w="720" w:type="dxa"/>
            <w:vAlign w:val="bottom"/>
          </w:tcPr>
          <w:p>
            <w:pPr>
              <w:spacing w:after="0"/>
              <w:rPr>
                <w:sz w:val="19"/>
                <w:szCs w:val="19"/>
                <w:color w:val="auto"/>
              </w:rPr>
            </w:pPr>
          </w:p>
        </w:tc>
      </w:tr>
      <w:tr>
        <w:trPr>
          <w:trHeight w:val="230"/>
        </w:trPr>
        <w:tc>
          <w:tcPr>
            <w:tcW w:w="1360" w:type="dxa"/>
            <w:vAlign w:val="bottom"/>
          </w:tcPr>
          <w:p>
            <w:pPr>
              <w:spacing w:after="0"/>
              <w:rPr>
                <w:sz w:val="20"/>
                <w:szCs w:val="20"/>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4"/>
              </w:rPr>
              <w:t>exceeding limits imposed by applicable law or the Articles of Association of the Company. The Company may also restrict,</w:t>
            </w:r>
          </w:p>
        </w:tc>
        <w:tc>
          <w:tcPr>
            <w:tcW w:w="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6459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r>
    </w:p>
    <w:p>
      <w:pPr>
        <w:ind w:left="1360" w:right="920"/>
        <w:spacing w:after="0" w:line="286" w:lineRule="auto"/>
        <w:rPr>
          <w:sz w:val="20"/>
          <w:szCs w:val="20"/>
          <w:color w:val="auto"/>
        </w:rPr>
      </w:pPr>
      <w:r>
        <w:rPr>
          <w:rFonts w:ascii="Arial" w:cs="Arial" w:eastAsia="Arial" w:hAnsi="Arial"/>
          <w:sz w:val="16"/>
          <w:szCs w:val="16"/>
          <w:color w:val="auto"/>
        </w:rPr>
        <w:t>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shall be interpreted as obligating the Depositary or the Company to ensure compliance with the ownership restrictions described in this Section 3.5</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3.6</w:t>
            </w: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5"/>
              </w:rPr>
              <w:t xml:space="preserve">Reporting Obligations and Regulatory Approvals. </w:t>
            </w:r>
            <w:r>
              <w:rPr>
                <w:rFonts w:ascii="Arial" w:cs="Arial" w:eastAsia="Arial" w:hAnsi="Arial"/>
                <w:sz w:val="18"/>
                <w:szCs w:val="18"/>
                <w:color w:val="auto"/>
                <w:w w:val="95"/>
              </w:rPr>
              <w:t>Applicable laws and regulations may require holders and beneficial</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w:t>
            </w:r>
          </w:p>
        </w:tc>
      </w:tr>
      <w:tr>
        <w:trPr>
          <w:trHeight w:val="20"/>
        </w:trPr>
        <w:tc>
          <w:tcPr>
            <w:tcW w:w="13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owners of Shares, including the Holders and Beneficial Owners of ADSs, to satisfy reporting requirements and obtain</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regulatory approvals in certain circumstances. Holders and Beneficial Owners of ADSs are solely responsible for</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determining and complying with such reporting requirements and obtaining such approvals. Each Holder and each</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Beneficial Owner hereby agrees to make such determination, file such reports, and obtain such approvals to the extent and in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the form required by applicable laws and regulations as in effect from time to time. Neither the Depositary, the Custodian,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the Company or any of their respective agents or affiliates shall be required to take any actions whatsoever on behalf of</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Holders or Beneficial Owners to determine or satisfy such reporting requirements or obtain such regulatory approvals under</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applicable laws and regulations</w:t>
            </w:r>
          </w:p>
        </w:tc>
        <w:tc>
          <w:tcPr>
            <w:tcW w:w="720" w:type="dxa"/>
            <w:vAlign w:val="bottom"/>
            <w:shd w:val="clear" w:color="auto" w:fill="CCEEFF"/>
          </w:tcPr>
          <w:p>
            <w:pPr>
              <w:spacing w:after="0"/>
              <w:rPr>
                <w:sz w:val="20"/>
                <w:szCs w:val="20"/>
                <w:color w:val="auto"/>
              </w:rPr>
            </w:pPr>
          </w:p>
        </w:tc>
      </w:tr>
      <w:tr>
        <w:trPr>
          <w:trHeight w:val="216"/>
        </w:trPr>
        <w:tc>
          <w:tcPr>
            <w:tcW w:w="2800" w:type="dxa"/>
            <w:vAlign w:val="bottom"/>
            <w:gridSpan w:val="2"/>
          </w:tcPr>
          <w:p>
            <w:pPr>
              <w:spacing w:after="0"/>
              <w:rPr>
                <w:sz w:val="18"/>
                <w:szCs w:val="18"/>
                <w:color w:val="auto"/>
              </w:rPr>
            </w:pPr>
          </w:p>
        </w:tc>
        <w:tc>
          <w:tcPr>
            <w:tcW w:w="23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0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ARTICLE IV THE DEPOSITED SECURITIES</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w:t>
            </w:r>
          </w:p>
        </w:tc>
      </w:tr>
      <w:tr>
        <w:trPr>
          <w:trHeight w:val="392"/>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4.1</w:t>
            </w:r>
          </w:p>
        </w:tc>
        <w:tc>
          <w:tcPr>
            <w:tcW w:w="9160" w:type="dxa"/>
            <w:vAlign w:val="bottom"/>
            <w:gridSpan w:val="3"/>
          </w:tcPr>
          <w:p>
            <w:pPr>
              <w:spacing w:after="0"/>
              <w:rPr>
                <w:sz w:val="20"/>
                <w:szCs w:val="20"/>
                <w:color w:val="auto"/>
              </w:rPr>
            </w:pPr>
            <w:r>
              <w:rPr>
                <w:rFonts w:ascii="Arial" w:cs="Arial" w:eastAsia="Arial" w:hAnsi="Arial"/>
                <w:sz w:val="18"/>
                <w:szCs w:val="18"/>
                <w:b w:val="1"/>
                <w:bCs w:val="1"/>
                <w:color w:val="auto"/>
                <w:w w:val="93"/>
              </w:rPr>
              <w:t xml:space="preserve">Cash Distributions. </w:t>
            </w:r>
            <w:r>
              <w:rPr>
                <w:rFonts w:ascii="Arial" w:cs="Arial" w:eastAsia="Arial" w:hAnsi="Arial"/>
                <w:sz w:val="18"/>
                <w:szCs w:val="18"/>
                <w:color w:val="auto"/>
                <w:w w:val="93"/>
              </w:rPr>
              <w:t>Whenever the Company intends to make a distribution of a cash dividend or other cash distribution in</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19</w:t>
            </w:r>
          </w:p>
        </w:tc>
      </w:tr>
      <w:tr>
        <w:trPr>
          <w:trHeight w:val="20"/>
        </w:trPr>
        <w:tc>
          <w:tcPr>
            <w:tcW w:w="13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1148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ind w:left="1360" w:right="920"/>
        <w:spacing w:after="0" w:line="283" w:lineRule="auto"/>
        <w:rPr>
          <w:sz w:val="20"/>
          <w:szCs w:val="20"/>
          <w:color w:val="auto"/>
        </w:rPr>
      </w:pPr>
      <w:r>
        <w:rPr>
          <w:rFonts w:ascii="Arial" w:cs="Arial" w:eastAsia="Arial" w:hAnsi="Arial"/>
          <w:sz w:val="16"/>
          <w:szCs w:val="16"/>
          <w:color w:val="auto"/>
        </w:rPr>
        <w:t xml:space="preserve">respect of any Deposited Securities, the Company shall give notice thereof to the Depositary at least twenty (20) days (or such other number of days as the Depositary and the Company may agree in writing at such time)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record date applicable for determining the holders of Deposited Securities entitled to receive such distribution. Upon the timely receipt of such notice, the Depositary shall establish the ADS Record Date upon the terms described in Section 4.9. Upon confirmation of the receipt of (x) any cash dividend or other cash distribution on any Deposited Property (whether from the Company or otherwise), or (y) proceeds from the sale of any Deposited Property held in respect of the ADSs under the terms hereof, the Depositary will (i) if any amounts are received in a Foreign Currency, promptly convert or cause to be converted such cash dividend, distribution or proceeds into Dollars (subject to the terms and conditions of Section 4.8), (ii) if applicable and unless previously established, establish the ADS Record Date upon the terms described in Section 4.9, and (iii) distribute promptly the amount thus received (net of (a) the applicable fees and charges set forth in the Fee Schedule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shall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89" w:name="page190"/>
    <w:bookmarkEnd w:id="189"/>
    <w:p>
      <w:pPr>
        <w:ind w:left="1000" w:hanging="1349"/>
        <w:spacing w:after="0" w:line="261" w:lineRule="auto"/>
        <w:tabs>
          <w:tab w:leader="none" w:pos="98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8"/>
          <w:szCs w:val="18"/>
          <w:b w:val="1"/>
          <w:bCs w:val="1"/>
          <w:u w:val="single" w:color="auto"/>
          <w:color w:val="auto"/>
        </w:rPr>
        <w:t>Distribution in Shares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Whenever the Company intends to make a distribution that consists of a dividend in, or free 20</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distribution of, Shares, the Company shall give notice thereof to the Depositary at least twenty (20) days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-273685</wp:posOffset>
            </wp:positionV>
            <wp:extent cx="7132320" cy="39776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5">
                      <a:extLst>
                        <a:ext uri="{28A0092B-C50C-407E-A947-70E740481C1C}"/>
                      </a:extLst>
                    </a:blip>
                    <a:srcRect/>
                    <a:stretch>
                      <a:fillRect/>
                    </a:stretch>
                  </pic:blipFill>
                  <pic:spPr bwMode="auto">
                    <a:xfrm>
                      <a:off x="0" y="0"/>
                      <a:ext cx="7132320" cy="3977640"/>
                    </a:xfrm>
                    <a:prstGeom prst="rect">
                      <a:avLst/>
                    </a:prstGeom>
                    <a:noFill/>
                  </pic:spPr>
                </pic:pic>
              </a:graphicData>
            </a:graphic>
          </wp:anchor>
        </w:drawing>
      </w:r>
    </w:p>
    <w:p>
      <w:pPr>
        <w:ind w:left="1000" w:right="540"/>
        <w:spacing w:after="0" w:line="283" w:lineRule="auto"/>
        <w:rPr>
          <w:sz w:val="20"/>
          <w:szCs w:val="20"/>
          <w:color w:val="auto"/>
        </w:rPr>
      </w:pPr>
      <w:r>
        <w:rPr>
          <w:rFonts w:ascii="Arial" w:cs="Arial" w:eastAsia="Arial" w:hAnsi="Arial"/>
          <w:sz w:val="16"/>
          <w:szCs w:val="16"/>
          <w:color w:val="auto"/>
        </w:rPr>
        <w:t xml:space="preserve">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obligations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shall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680" w:top="931" w:right="699" w:bottom="1440" w:gutter="0" w:footer="0" w:header="0"/>
        </w:sectPr>
      </w:pPr>
    </w:p>
    <w:bookmarkStart w:id="190" w:name="page191"/>
    <w:bookmarkEnd w:id="190"/>
    <w:p>
      <w:pPr>
        <w:ind w:left="1000" w:hanging="1349"/>
        <w:spacing w:after="0" w:line="276" w:lineRule="auto"/>
        <w:tabs>
          <w:tab w:leader="none" w:pos="98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7"/>
          <w:szCs w:val="17"/>
          <w:b w:val="1"/>
          <w:bCs w:val="1"/>
          <w:u w:val="single" w:color="auto"/>
          <w:color w:val="auto"/>
        </w:rPr>
        <w:t>Elective Distributions in Cash or Shares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Whenever the Company intends to make a distribution payable at the election of 21</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the holders of Deposited Securities in cash or in additional Shares, the Company shall give notice thereof to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-273050</wp:posOffset>
            </wp:positionV>
            <wp:extent cx="7132320" cy="41148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7">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ind w:left="1000" w:right="540"/>
        <w:spacing w:after="0" w:line="281" w:lineRule="auto"/>
        <w:rPr>
          <w:sz w:val="20"/>
          <w:szCs w:val="20"/>
          <w:color w:val="auto"/>
        </w:rPr>
      </w:pPr>
      <w:r>
        <w:rPr>
          <w:rFonts w:ascii="Arial" w:cs="Arial" w:eastAsia="Arial" w:hAnsi="Arial"/>
          <w:sz w:val="16"/>
          <w:szCs w:val="16"/>
          <w:color w:val="auto"/>
        </w:rPr>
        <w:t xml:space="preserve">at least sixty (60) days (or such other number of days as the Depositary and the Company may agree in writing at such time)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reasonably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the Cayman Islands in respect of the Shares for which no election is made, either</w:t>
      </w:r>
    </w:p>
    <w:p>
      <w:pPr>
        <w:spacing w:after="0" w:line="8" w:lineRule="exact"/>
        <w:rPr>
          <w:sz w:val="20"/>
          <w:szCs w:val="20"/>
          <w:color w:val="auto"/>
        </w:rPr>
      </w:pPr>
    </w:p>
    <w:p>
      <w:pPr>
        <w:ind w:left="1000" w:right="540" w:hanging="2"/>
        <w:spacing w:after="0" w:line="267" w:lineRule="auto"/>
        <w:tabs>
          <w:tab w:leader="none" w:pos="129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shall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680" w:top="931" w:right="69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4.4</w:t>
            </w: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Distribution of Rights to Purchase Additional ADSs</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22</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3020" w:type="dxa"/>
            <w:vAlign w:val="bottom"/>
            <w:tcBorders>
              <w:top w:val="single" w:sz="8" w:color="auto"/>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4.5</w:t>
            </w:r>
          </w:p>
        </w:tc>
        <w:tc>
          <w:tcPr>
            <w:tcW w:w="916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Distributions Other Than Cash, Shares or Rights to Purchase Shares</w:t>
            </w:r>
          </w:p>
        </w:tc>
        <w:tc>
          <w:tcPr>
            <w:tcW w:w="72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23</w:t>
            </w:r>
          </w:p>
        </w:tc>
      </w:tr>
      <w:tr>
        <w:trPr>
          <w:trHeight w:val="21"/>
        </w:trPr>
        <w:tc>
          <w:tcPr>
            <w:tcW w:w="136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0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4.6</w:t>
            </w:r>
          </w:p>
        </w:tc>
        <w:tc>
          <w:tcPr>
            <w:tcW w:w="91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4"/>
              </w:rPr>
              <w:t xml:space="preserve">Distributions with Respect to Deposited Securities in Bearer Form. </w:t>
            </w:r>
            <w:r>
              <w:rPr>
                <w:rFonts w:ascii="Arial" w:cs="Arial" w:eastAsia="Arial" w:hAnsi="Arial"/>
                <w:sz w:val="18"/>
                <w:szCs w:val="18"/>
                <w:color w:val="auto"/>
                <w:w w:val="94"/>
              </w:rPr>
              <w:t>Subject to the terms of this Article IV, distributions</w:t>
            </w:r>
          </w:p>
        </w:tc>
        <w:tc>
          <w:tcPr>
            <w:tcW w:w="72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24</w:t>
            </w:r>
          </w:p>
        </w:tc>
      </w:tr>
      <w:tr>
        <w:trPr>
          <w:trHeight w:val="20"/>
        </w:trPr>
        <w:tc>
          <w:tcPr>
            <w:tcW w:w="13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140" w:type="dxa"/>
            <w:vAlign w:val="bottom"/>
            <w:gridSpan w:val="2"/>
            <w:shd w:val="clear" w:color="auto" w:fill="000000"/>
          </w:tcPr>
          <w:p>
            <w:pPr>
              <w:spacing w:after="0" w:line="20" w:lineRule="exact"/>
              <w:rPr>
                <w:sz w:val="1"/>
                <w:szCs w:val="1"/>
                <w:color w:val="auto"/>
              </w:rPr>
            </w:pPr>
          </w:p>
        </w:tc>
        <w:tc>
          <w:tcPr>
            <w:tcW w:w="4080" w:type="dxa"/>
            <w:vAlign w:val="bottom"/>
            <w:gridSpan w:val="2"/>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in respect of Deposited Securities that are held by the Depositary or the Custodian in bearer form shall be made to the</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Depositary for the account of the respective Holders of ADS(s) with respect to which any such distribution is made upon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due presentation by the Depositary or the Custodian to the Company of any relevant coupons, talons, or certificates.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Company shall promptly notify the Depositary of such distributions. The Depositary or the Custodian shall promptly present</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such coupons, talons or certificates, as the case may be, in connection with any such distribution</w:t>
            </w:r>
          </w:p>
        </w:tc>
        <w:tc>
          <w:tcPr>
            <w:tcW w:w="720" w:type="dxa"/>
            <w:vAlign w:val="bottom"/>
            <w:shd w:val="clear" w:color="auto" w:fill="CCEEFF"/>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4.7</w:t>
            </w:r>
          </w:p>
        </w:tc>
        <w:tc>
          <w:tcPr>
            <w:tcW w:w="916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w w:val="93"/>
              </w:rPr>
              <w:t xml:space="preserve">Redemption. </w:t>
            </w:r>
            <w:r>
              <w:rPr>
                <w:rFonts w:ascii="Arial" w:cs="Arial" w:eastAsia="Arial" w:hAnsi="Arial"/>
                <w:sz w:val="18"/>
                <w:szCs w:val="18"/>
                <w:color w:val="auto"/>
                <w:w w:val="93"/>
              </w:rPr>
              <w:t>If the Company intends to exercise any right of redemption in respect of any of the Deposited Securities, the</w:t>
            </w:r>
          </w:p>
        </w:tc>
        <w:tc>
          <w:tcPr>
            <w:tcW w:w="72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24</w:t>
            </w:r>
          </w:p>
        </w:tc>
      </w:tr>
      <w:tr>
        <w:trPr>
          <w:trHeight w:val="20"/>
        </w:trPr>
        <w:tc>
          <w:tcPr>
            <w:tcW w:w="1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3" w:lineRule="exact"/>
        <w:rPr>
          <w:sz w:val="20"/>
          <w:szCs w:val="20"/>
          <w:color w:val="auto"/>
        </w:rPr>
      </w:pPr>
    </w:p>
    <w:p>
      <w:pPr>
        <w:ind w:left="1360" w:right="940"/>
        <w:spacing w:after="0" w:line="285" w:lineRule="auto"/>
        <w:rPr>
          <w:sz w:val="20"/>
          <w:szCs w:val="20"/>
          <w:color w:val="auto"/>
        </w:rPr>
      </w:pPr>
      <w:r>
        <w:rPr>
          <w:rFonts w:ascii="Arial" w:cs="Arial" w:eastAsia="Arial" w:hAnsi="Arial"/>
          <w:sz w:val="16"/>
          <w:szCs w:val="16"/>
          <w:color w:val="auto"/>
        </w:rPr>
        <w:t>Company shall give notice thereof to the Depositary at least sixty (60) days prior to the intended date of redemption, which notice shall set forth the particulars of the proposed redemption. Upon timely receipt of (i) such notice and (ii) satisfactory documentation given by the Company to the Depositary within the terms of Section 5.7,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taxes) multiplied by the number of Deposited Securities represented by each ADS redeemed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4.8</w:t>
            </w: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4"/>
              </w:rPr>
              <w:t xml:space="preserve">Conversion of Foreign Currency. </w:t>
            </w:r>
            <w:r>
              <w:rPr>
                <w:rFonts w:ascii="Arial" w:cs="Arial" w:eastAsia="Arial" w:hAnsi="Arial"/>
                <w:sz w:val="18"/>
                <w:szCs w:val="18"/>
                <w:color w:val="auto"/>
                <w:w w:val="94"/>
              </w:rPr>
              <w:t>Whenever the Depositary or the Custodian shall receive Foreign Currency, by way of</w:t>
            </w:r>
          </w:p>
        </w:tc>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w:t>
            </w:r>
          </w:p>
        </w:tc>
      </w:tr>
      <w:tr>
        <w:trPr>
          <w:trHeight w:val="20"/>
        </w:trPr>
        <w:tc>
          <w:tcPr>
            <w:tcW w:w="1360" w:type="dxa"/>
            <w:vAlign w:val="bottom"/>
            <w:shd w:val="clear" w:color="auto" w:fill="CCEEFF"/>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8"/>
              </w:rPr>
              <w:t>dividends or other distributions or the net proceeds from the sale of Deposited Property, which in the judgment of the</w:t>
            </w:r>
          </w:p>
        </w:tc>
        <w:tc>
          <w:tcPr>
            <w:tcW w:w="78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Depositary can at such time be converted on a practicable basis, by sale or in any other manner that it may determine in</w:t>
            </w:r>
          </w:p>
        </w:tc>
        <w:tc>
          <w:tcPr>
            <w:tcW w:w="78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accordance with applicable law, into Dollars transferable to the United States and distributable to the Holders entitled</w:t>
            </w:r>
          </w:p>
        </w:tc>
        <w:tc>
          <w:tcPr>
            <w:tcW w:w="78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8"/>
              </w:rPr>
              <w:t>thereto, the Depositary shall convert or cause to be converted, by sale or in any other manner that it may reasonably</w:t>
            </w:r>
          </w:p>
        </w:tc>
        <w:tc>
          <w:tcPr>
            <w:tcW w:w="78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determine, such Foreign Currency into Dollars, and shall distribute such Dollars (net of the fees and charges set forth in the</w:t>
            </w:r>
          </w:p>
        </w:tc>
        <w:tc>
          <w:tcPr>
            <w:tcW w:w="780" w:type="dxa"/>
            <w:vAlign w:val="bottom"/>
            <w:shd w:val="clear" w:color="auto" w:fill="CCEEFF"/>
          </w:tcPr>
          <w:p>
            <w:pPr>
              <w:spacing w:after="0"/>
              <w:rPr>
                <w:sz w:val="18"/>
                <w:szCs w:val="18"/>
                <w:color w:val="auto"/>
              </w:rPr>
            </w:pPr>
          </w:p>
        </w:tc>
      </w:tr>
      <w:tr>
        <w:trPr>
          <w:trHeight w:val="190"/>
        </w:trPr>
        <w:tc>
          <w:tcPr>
            <w:tcW w:w="1360" w:type="dxa"/>
            <w:vAlign w:val="bottom"/>
            <w:shd w:val="clear" w:color="auto" w:fill="CCEEFF"/>
          </w:tcPr>
          <w:p>
            <w:pPr>
              <w:spacing w:after="0"/>
              <w:rPr>
                <w:sz w:val="16"/>
                <w:szCs w:val="16"/>
                <w:color w:val="auto"/>
              </w:rPr>
            </w:pPr>
          </w:p>
        </w:tc>
        <w:tc>
          <w:tcPr>
            <w:tcW w:w="9100" w:type="dxa"/>
            <w:vAlign w:val="bottom"/>
            <w:gridSpan w:val="5"/>
            <w:shd w:val="clear" w:color="auto" w:fill="CCEEFF"/>
          </w:tcPr>
          <w:p>
            <w:pPr>
              <w:spacing w:after="0" w:line="190" w:lineRule="exact"/>
              <w:rPr>
                <w:sz w:val="20"/>
                <w:szCs w:val="20"/>
                <w:color w:val="auto"/>
              </w:rPr>
            </w:pPr>
            <w:r>
              <w:rPr>
                <w:rFonts w:ascii="Arial" w:cs="Arial" w:eastAsia="Arial" w:hAnsi="Arial"/>
                <w:sz w:val="18"/>
                <w:szCs w:val="18"/>
                <w:color w:val="auto"/>
                <w:w w:val="94"/>
              </w:rPr>
              <w:t>Fee Schedule attached hereto as Exhibit B, and applicable taxes withheld) in accordance with the terms of the applicable</w:t>
            </w:r>
          </w:p>
        </w:tc>
        <w:tc>
          <w:tcPr>
            <w:tcW w:w="780" w:type="dxa"/>
            <w:vAlign w:val="bottom"/>
            <w:shd w:val="clear" w:color="auto" w:fill="CCEEFF"/>
          </w:tcPr>
          <w:p>
            <w:pPr>
              <w:spacing w:after="0"/>
              <w:rPr>
                <w:sz w:val="16"/>
                <w:szCs w:val="16"/>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sections of the Deposit Agreement. The Depositary and/or its agent (which may be a division, branch or Affiliate of the</w:t>
            </w:r>
          </w:p>
        </w:tc>
        <w:tc>
          <w:tcPr>
            <w:tcW w:w="78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4"/>
              </w:rPr>
              <w:t>Depositary) may act as principal for any conversion of Foreign Currency. If the Depositary shall have distributed warrants</w:t>
            </w:r>
          </w:p>
        </w:tc>
        <w:tc>
          <w:tcPr>
            <w:tcW w:w="78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or other instruments that entitle the holders thereof to such Dollars, the Depositary shall distribute such Dollars to the</w:t>
            </w:r>
          </w:p>
        </w:tc>
        <w:tc>
          <w:tcPr>
            <w:tcW w:w="78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holders of such warrants and/or instruments upon surrender thereof for cancellation, in either case without liability for</w:t>
            </w:r>
          </w:p>
        </w:tc>
        <w:tc>
          <w:tcPr>
            <w:tcW w:w="78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9"/>
              </w:rPr>
              <w:t>interest thereon. Such distribution may be made upon an averaged or other practicable basis without regard to any</w:t>
            </w:r>
          </w:p>
        </w:tc>
        <w:tc>
          <w:tcPr>
            <w:tcW w:w="78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distinctions among Holders on account of any application of exchange restrictions or otherwise</w:t>
            </w:r>
          </w:p>
        </w:tc>
        <w:tc>
          <w:tcPr>
            <w:tcW w:w="780" w:type="dxa"/>
            <w:vAlign w:val="bottom"/>
            <w:shd w:val="clear" w:color="auto" w:fill="CCEEFF"/>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4.9</w:t>
            </w:r>
          </w:p>
        </w:tc>
        <w:tc>
          <w:tcPr>
            <w:tcW w:w="910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w w:val="99"/>
              </w:rPr>
              <w:t xml:space="preserve">Fixing of ADS Record Date. </w:t>
            </w:r>
            <w:r>
              <w:rPr>
                <w:rFonts w:ascii="Arial" w:cs="Arial" w:eastAsia="Arial" w:hAnsi="Arial"/>
                <w:sz w:val="18"/>
                <w:szCs w:val="18"/>
                <w:color w:val="auto"/>
                <w:w w:val="99"/>
              </w:rPr>
              <w:t>Whenever (a) the Depositary shall receive notice of the fixing of a record date by the</w:t>
            </w:r>
          </w:p>
        </w:tc>
        <w:tc>
          <w:tcPr>
            <w:tcW w:w="78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26</w:t>
            </w:r>
          </w:p>
        </w:tc>
      </w:tr>
      <w:tr>
        <w:trPr>
          <w:trHeight w:val="20"/>
        </w:trPr>
        <w:tc>
          <w:tcPr>
            <w:tcW w:w="136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3" w:lineRule="exact"/>
        <w:rPr>
          <w:sz w:val="20"/>
          <w:szCs w:val="20"/>
          <w:color w:val="auto"/>
        </w:rPr>
      </w:pPr>
    </w:p>
    <w:p>
      <w:pPr>
        <w:ind w:left="1360" w:right="940"/>
        <w:spacing w:after="0" w:line="286" w:lineRule="auto"/>
        <w:rPr>
          <w:sz w:val="20"/>
          <w:szCs w:val="20"/>
          <w:color w:val="auto"/>
        </w:rPr>
      </w:pPr>
      <w:r>
        <w:rPr>
          <w:rFonts w:ascii="Arial" w:cs="Arial" w:eastAsia="Arial" w:hAnsi="Arial"/>
          <w:sz w:val="16"/>
          <w:szCs w:val="16"/>
          <w:color w:val="auto"/>
        </w:rPr>
        <w:t>Company for the 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Arial" w:cs="Arial" w:eastAsia="Arial" w:hAnsi="Arial"/>
          <w:sz w:val="16"/>
          <w:szCs w:val="16"/>
          <w:u w:val="single" w:color="auto"/>
          <w:color w:val="auto"/>
        </w:rPr>
        <w:t>ADS Record 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the Cayman Islands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4.10</w:t>
            </w: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7"/>
              </w:rPr>
              <w:t xml:space="preserve">Voting of Deposited Securities. </w:t>
            </w:r>
            <w:r>
              <w:rPr>
                <w:rFonts w:ascii="Arial" w:cs="Arial" w:eastAsia="Arial" w:hAnsi="Arial"/>
                <w:sz w:val="18"/>
                <w:szCs w:val="18"/>
                <w:color w:val="auto"/>
                <w:w w:val="97"/>
              </w:rPr>
              <w:t>As soon as practicable after receipt of notice of any meeting at which the holders of</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26</w:t>
            </w:r>
          </w:p>
        </w:tc>
      </w:tr>
      <w:tr>
        <w:trPr>
          <w:trHeight w:val="20"/>
        </w:trPr>
        <w:tc>
          <w:tcPr>
            <w:tcW w:w="1360" w:type="dxa"/>
            <w:vAlign w:val="bottom"/>
            <w:shd w:val="clear" w:color="auto" w:fill="CCEEFF"/>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Deposited Securities are entitled to vote, or of solicitation of consents or proxies from holders of Deposited Securities, the</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Depositary shall fix the ADS Record Date in respect of such meeting or solicitation of consent or proxy in accordance with</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Section 4.9. The Depositary shall, if requested by the Company in writing in a timely manner (the Depositary having no</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obligation to take any further action if the request shall not have been received by the Depositary at least thirty (30) days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prior to the date of such vote or meeting), at the Company’s expense and provided no U.S. legal prohibitions exist, distribute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to Holders as of the ADS Record Date: (a) such notice of meeting or solicitation of consent or proxy, (b) a statement that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Holders at the close of business on the ADS Record Date will be entitled, subject to any applicable law, the provisions of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 Agreement, the Articles of Association and the provisions of or governing the Deposited Securities (which</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provisions, if any, shall be summarized in pertinent part by the Company), to instruct the Depositary as to the exercise of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voting rights, if any, pertaining to the Deposited Securities represented by such Holder’s ADSs, and (c) a brief statement as</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 the manner in which such voting instructions may be given</w:t>
            </w:r>
          </w:p>
        </w:tc>
        <w:tc>
          <w:tcPr>
            <w:tcW w:w="720" w:type="dxa"/>
            <w:vAlign w:val="bottom"/>
            <w:shd w:val="clear" w:color="auto" w:fill="CCEEFF"/>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4.11</w:t>
            </w:r>
          </w:p>
        </w:tc>
        <w:tc>
          <w:tcPr>
            <w:tcW w:w="91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w w:val="92"/>
              </w:rPr>
              <w:t xml:space="preserve">Changes Affecting Deposited Securities. </w:t>
            </w:r>
            <w:r>
              <w:rPr>
                <w:rFonts w:ascii="Arial" w:cs="Arial" w:eastAsia="Arial" w:hAnsi="Arial"/>
                <w:sz w:val="18"/>
                <w:szCs w:val="18"/>
                <w:color w:val="auto"/>
                <w:w w:val="92"/>
              </w:rPr>
              <w:t>Upon any change in nominal or par value, split-up, cancellation, consolidation or</w:t>
            </w:r>
          </w:p>
        </w:tc>
        <w:tc>
          <w:tcPr>
            <w:tcW w:w="72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28</w:t>
            </w:r>
          </w:p>
        </w:tc>
      </w:tr>
      <w:tr>
        <w:trPr>
          <w:trHeight w:val="20"/>
        </w:trPr>
        <w:tc>
          <w:tcPr>
            <w:tcW w:w="136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3" w:lineRule="exact"/>
        <w:rPr>
          <w:sz w:val="20"/>
          <w:szCs w:val="20"/>
          <w:color w:val="auto"/>
        </w:rPr>
      </w:pPr>
    </w:p>
    <w:p>
      <w:pPr>
        <w:ind w:left="1360" w:right="900"/>
        <w:spacing w:after="0" w:line="284" w:lineRule="auto"/>
        <w:rPr>
          <w:sz w:val="20"/>
          <w:szCs w:val="20"/>
          <w:color w:val="auto"/>
        </w:rPr>
      </w:pPr>
      <w:r>
        <w:rPr>
          <w:rFonts w:ascii="Arial" w:cs="Arial" w:eastAsia="Arial" w:hAnsi="Arial"/>
          <w:sz w:val="16"/>
          <w:szCs w:val="16"/>
          <w:color w:val="auto"/>
        </w:rPr>
        <w:t>any 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4.12</w:t>
            </w: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 xml:space="preserve">Available Information. </w:t>
            </w:r>
            <w:r>
              <w:rPr>
                <w:rFonts w:ascii="Arial" w:cs="Arial" w:eastAsia="Arial" w:hAnsi="Arial"/>
                <w:sz w:val="18"/>
                <w:szCs w:val="18"/>
                <w:color w:val="auto"/>
              </w:rPr>
              <w:t>The Company is subject to the periodic reporting requirements of the Exchange Act and,</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w:t>
            </w:r>
          </w:p>
        </w:tc>
      </w:tr>
      <w:tr>
        <w:trPr>
          <w:trHeight w:val="20"/>
        </w:trPr>
        <w:tc>
          <w:tcPr>
            <w:tcW w:w="13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64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8"/>
              </w:rPr>
              <w:t>accordingly, is required to file or furnish certain reports with the Commission. These reports can be retrieved from the</w:t>
            </w:r>
          </w:p>
        </w:tc>
        <w:tc>
          <w:tcPr>
            <w:tcW w:w="740" w:type="dxa"/>
            <w:vAlign w:val="bottom"/>
            <w:shd w:val="clear" w:color="auto" w:fill="CCEEFF"/>
          </w:tcPr>
          <w:p>
            <w:pPr>
              <w:spacing w:after="0"/>
              <w:rPr>
                <w:sz w:val="19"/>
                <w:szCs w:val="19"/>
                <w:color w:val="auto"/>
              </w:rPr>
            </w:pPr>
          </w:p>
        </w:tc>
      </w:tr>
      <w:tr>
        <w:trPr>
          <w:trHeight w:val="190"/>
        </w:trPr>
        <w:tc>
          <w:tcPr>
            <w:tcW w:w="1360" w:type="dxa"/>
            <w:vAlign w:val="bottom"/>
            <w:shd w:val="clear" w:color="auto" w:fill="CCEEFF"/>
          </w:tcPr>
          <w:p>
            <w:pPr>
              <w:spacing w:after="0"/>
              <w:rPr>
                <w:sz w:val="16"/>
                <w:szCs w:val="16"/>
                <w:color w:val="auto"/>
              </w:rPr>
            </w:pPr>
          </w:p>
        </w:tc>
        <w:tc>
          <w:tcPr>
            <w:tcW w:w="9140" w:type="dxa"/>
            <w:vAlign w:val="bottom"/>
            <w:gridSpan w:val="6"/>
            <w:shd w:val="clear" w:color="auto" w:fill="CCEEFF"/>
          </w:tcPr>
          <w:p>
            <w:pPr>
              <w:spacing w:after="0" w:line="190" w:lineRule="exact"/>
              <w:rPr>
                <w:sz w:val="20"/>
                <w:szCs w:val="20"/>
                <w:color w:val="auto"/>
              </w:rPr>
            </w:pPr>
            <w:r>
              <w:rPr>
                <w:rFonts w:ascii="Arial" w:cs="Arial" w:eastAsia="Arial" w:hAnsi="Arial"/>
                <w:sz w:val="18"/>
                <w:szCs w:val="18"/>
                <w:color w:val="auto"/>
                <w:w w:val="94"/>
              </w:rPr>
              <w:t>Commission’s website (www.sec.gov) and can be inspected and copied at the public reference facilities maintained by the</w:t>
            </w:r>
          </w:p>
        </w:tc>
        <w:tc>
          <w:tcPr>
            <w:tcW w:w="740" w:type="dxa"/>
            <w:vAlign w:val="bottom"/>
            <w:shd w:val="clear" w:color="auto" w:fill="CCEEFF"/>
          </w:tcPr>
          <w:p>
            <w:pPr>
              <w:spacing w:after="0"/>
              <w:rPr>
                <w:sz w:val="16"/>
                <w:szCs w:val="16"/>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37"/>
        </w:trPr>
        <w:tc>
          <w:tcPr>
            <w:tcW w:w="1360" w:type="dxa"/>
            <w:vAlign w:val="bottom"/>
            <w:shd w:val="clear" w:color="auto" w:fill="CCEEFF"/>
          </w:tcPr>
          <w:p>
            <w:pPr>
              <w:spacing w:after="0"/>
              <w:rPr>
                <w:sz w:val="20"/>
                <w:szCs w:val="20"/>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Commission located (as of the date of the Deposit Agreement) at 100 F Street, N.E., Washington D.C. 20549</w:t>
            </w:r>
          </w:p>
        </w:tc>
        <w:tc>
          <w:tcPr>
            <w:tcW w:w="740" w:type="dxa"/>
            <w:vAlign w:val="bottom"/>
            <w:shd w:val="clear" w:color="auto" w:fill="CCEEFF"/>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4.13</w:t>
            </w:r>
          </w:p>
        </w:tc>
        <w:tc>
          <w:tcPr>
            <w:tcW w:w="914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 xml:space="preserve">Reports. </w:t>
            </w:r>
            <w:r>
              <w:rPr>
                <w:rFonts w:ascii="Arial" w:cs="Arial" w:eastAsia="Arial" w:hAnsi="Arial"/>
                <w:sz w:val="18"/>
                <w:szCs w:val="18"/>
                <w:color w:val="auto"/>
              </w:rPr>
              <w:t>The Depositary shall make available for inspection by Holders at its Principal Office any reports and</w:t>
            </w:r>
          </w:p>
        </w:tc>
        <w:tc>
          <w:tcPr>
            <w:tcW w:w="74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29</w:t>
            </w:r>
          </w:p>
        </w:tc>
      </w:tr>
      <w:tr>
        <w:trPr>
          <w:trHeight w:val="20"/>
        </w:trPr>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5"/>
              </w:rPr>
              <w:t>communications, including any proxy soliciting materials, received from the Company which are both (a) received by the</w:t>
            </w:r>
          </w:p>
        </w:tc>
        <w:tc>
          <w:tcPr>
            <w:tcW w:w="74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3"/>
              </w:rPr>
              <w:t>Depositary, the Custodian, or the nominee of either of them as the holder of the Deposited Property and (b) made generally</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2"/>
              </w:rPr>
              <w:t>available to the holders of such Deposited Property by the Company. The Depositary shall also provide or make available to</w:t>
            </w:r>
          </w:p>
        </w:tc>
        <w:tc>
          <w:tcPr>
            <w:tcW w:w="74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Holders copies of such reports when furnished by the Company pursuant to Section 5.6</w:t>
            </w:r>
          </w:p>
        </w:tc>
        <w:tc>
          <w:tcPr>
            <w:tcW w:w="740" w:type="dxa"/>
            <w:vAlign w:val="bottom"/>
          </w:tcPr>
          <w:p>
            <w:pPr>
              <w:spacing w:after="0"/>
              <w:rPr>
                <w:sz w:val="20"/>
                <w:szCs w:val="20"/>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4.14</w:t>
            </w:r>
          </w:p>
        </w:tc>
        <w:tc>
          <w:tcPr>
            <w:tcW w:w="91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3"/>
              </w:rPr>
              <w:t xml:space="preserve">List of Holders. </w:t>
            </w:r>
            <w:r>
              <w:rPr>
                <w:rFonts w:ascii="Arial" w:cs="Arial" w:eastAsia="Arial" w:hAnsi="Arial"/>
                <w:sz w:val="18"/>
                <w:szCs w:val="18"/>
                <w:color w:val="auto"/>
                <w:w w:val="93"/>
              </w:rPr>
              <w:t>Promptly upon written request by the Company, the Depositary shall furnish to it a list, as of a recent date,</w:t>
            </w:r>
          </w:p>
        </w:tc>
        <w:tc>
          <w:tcPr>
            <w:tcW w:w="74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29</w:t>
            </w:r>
          </w:p>
        </w:tc>
      </w:tr>
      <w:tr>
        <w:trPr>
          <w:trHeight w:val="20"/>
        </w:trPr>
        <w:tc>
          <w:tcPr>
            <w:tcW w:w="136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0" w:type="dxa"/>
            <w:vAlign w:val="bottom"/>
            <w:gridSpan w:val="3"/>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37"/>
        </w:trPr>
        <w:tc>
          <w:tcPr>
            <w:tcW w:w="1360" w:type="dxa"/>
            <w:vAlign w:val="bottom"/>
            <w:shd w:val="clear" w:color="auto" w:fill="CCEEFF"/>
          </w:tcPr>
          <w:p>
            <w:pPr>
              <w:spacing w:after="0"/>
              <w:rPr>
                <w:sz w:val="20"/>
                <w:szCs w:val="20"/>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of the names, addresses and holdings of ADSs of all Holders</w:t>
            </w:r>
          </w:p>
        </w:tc>
        <w:tc>
          <w:tcPr>
            <w:tcW w:w="740" w:type="dxa"/>
            <w:vAlign w:val="bottom"/>
            <w:shd w:val="clear" w:color="auto" w:fill="CCEEFF"/>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4.15</w:t>
            </w:r>
          </w:p>
        </w:tc>
        <w:tc>
          <w:tcPr>
            <w:tcW w:w="914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w w:val="96"/>
              </w:rPr>
              <w:t xml:space="preserve">Taxation. </w:t>
            </w:r>
            <w:r>
              <w:rPr>
                <w:rFonts w:ascii="Arial" w:cs="Arial" w:eastAsia="Arial" w:hAnsi="Arial"/>
                <w:sz w:val="18"/>
                <w:szCs w:val="18"/>
                <w:color w:val="auto"/>
                <w:w w:val="96"/>
              </w:rPr>
              <w:t>The Depositary will, and will instruct the Custodian to, forward to the Company or its agents such information</w:t>
            </w:r>
          </w:p>
        </w:tc>
        <w:tc>
          <w:tcPr>
            <w:tcW w:w="74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29</w:t>
            </w:r>
          </w:p>
        </w:tc>
      </w:tr>
      <w:tr>
        <w:trPr>
          <w:trHeight w:val="20"/>
        </w:trPr>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3" w:lineRule="exact"/>
        <w:rPr>
          <w:sz w:val="20"/>
          <w:szCs w:val="20"/>
          <w:color w:val="auto"/>
        </w:rPr>
      </w:pPr>
    </w:p>
    <w:p>
      <w:pPr>
        <w:ind w:left="1360" w:right="940"/>
        <w:spacing w:after="0" w:line="285" w:lineRule="auto"/>
        <w:rPr>
          <w:sz w:val="20"/>
          <w:szCs w:val="20"/>
          <w:color w:val="auto"/>
        </w:rPr>
      </w:pPr>
      <w:r>
        <w:rPr>
          <w:rFonts w:ascii="Arial" w:cs="Arial" w:eastAsia="Arial" w:hAnsi="Arial"/>
          <w:sz w:val="16"/>
          <w:szCs w:val="16"/>
          <w:color w:val="auto"/>
        </w:rPr>
        <w:t>from its 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16"/>
        </w:trPr>
        <w:tc>
          <w:tcPr>
            <w:tcW w:w="10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ARTICLE V THE DEPOSITARY, THE CUSTODIAN AND THE COMPANY</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30</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5.1</w:t>
            </w:r>
          </w:p>
        </w:tc>
        <w:tc>
          <w:tcPr>
            <w:tcW w:w="91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4"/>
              </w:rPr>
              <w:t xml:space="preserve">Maintenance of Office and Transfer Books by the Registrar. </w:t>
            </w:r>
            <w:r>
              <w:rPr>
                <w:rFonts w:ascii="Arial" w:cs="Arial" w:eastAsia="Arial" w:hAnsi="Arial"/>
                <w:sz w:val="18"/>
                <w:szCs w:val="18"/>
                <w:color w:val="auto"/>
                <w:w w:val="94"/>
              </w:rPr>
              <w:t>Until termination of the Deposit Agreement in accordance</w:t>
            </w:r>
          </w:p>
        </w:tc>
        <w:tc>
          <w:tcPr>
            <w:tcW w:w="72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30</w:t>
            </w:r>
          </w:p>
        </w:tc>
      </w:tr>
      <w:tr>
        <w:trPr>
          <w:trHeight w:val="20"/>
        </w:trPr>
        <w:tc>
          <w:tcPr>
            <w:tcW w:w="13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with its terms, the Registrar shall maintain in the Borough of Manhattan, the City of New York, an office and facilities for</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the issuance and delivery of ADSs, the acceptance for surrender of ADS(s) for the purpose of withdrawal of Deposited</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Securities, the registration of issuances, cancellations, transfers, combinations and split-ups of ADS(s) and, if applicable, to</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countersign ADRs evidencing the ADSs so issued, transferred, combined or split-up, in each case in accordance with the</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provisions of the Deposit Agreement</w:t>
            </w:r>
          </w:p>
        </w:tc>
        <w:tc>
          <w:tcPr>
            <w:tcW w:w="720" w:type="dxa"/>
            <w:vAlign w:val="bottom"/>
            <w:shd w:val="clear" w:color="auto" w:fill="CCEEFF"/>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5.2</w:t>
            </w:r>
          </w:p>
        </w:tc>
        <w:tc>
          <w:tcPr>
            <w:tcW w:w="91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w w:val="96"/>
              </w:rPr>
              <w:t xml:space="preserve">Exoneration. </w:t>
            </w:r>
            <w:r>
              <w:rPr>
                <w:rFonts w:ascii="Arial" w:cs="Arial" w:eastAsia="Arial" w:hAnsi="Arial"/>
                <w:sz w:val="18"/>
                <w:szCs w:val="18"/>
                <w:color w:val="auto"/>
                <w:w w:val="96"/>
              </w:rPr>
              <w:t>Notwithstanding anything contained in the Deposit Agreement or any ADR, neither the Depositary nor the</w:t>
            </w:r>
          </w:p>
        </w:tc>
        <w:tc>
          <w:tcPr>
            <w:tcW w:w="72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31</w:t>
            </w:r>
          </w:p>
        </w:tc>
      </w:tr>
      <w:tr>
        <w:trPr>
          <w:trHeight w:val="20"/>
        </w:trPr>
        <w:tc>
          <w:tcPr>
            <w:tcW w:w="1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9"/>
              </w:rPr>
              <w:t>Company shall be obligated to do or perform any act or thing which is inconsistent with the provisions of the Deposit</w:t>
            </w:r>
          </w:p>
        </w:tc>
        <w:tc>
          <w:tcPr>
            <w:tcW w:w="72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rPr>
              <w:t>Agreement or incur any liability (to the extent not limited by Section 7.8(b)) (i) if the Depositary, the Custodian, the</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4"/>
              </w:rPr>
              <w:t>Company or their respective agents shall be prevented or forbidden from, hindered or delayed in, doing or performing any</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4"/>
              </w:rPr>
              <w:t>act or thing required or contemplated by the terms of the Deposit Agreement, by reason of any provision of any present or</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9"/>
              </w:rPr>
              <w:t>future law or regulation of the United States, the Cayman Islands or any other country, or of any other governmental</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5"/>
              </w:rPr>
              <w:t>authority or regulatory authority or stock exchange, or on account of potential criminal or civil penalties or restraint, or by</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7"/>
              </w:rPr>
              <w:t>reason of any provision, present or future, of the Articles of Association or any provision of or governing any Deposited</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5"/>
              </w:rPr>
              <w:t>Securities, or by reason of any act of God or other event or circumstance beyond its control (including, without limitation,</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7"/>
              </w:rPr>
              <w:t>fire, flood, earthquake, tornado, hurricane, tsunami, explosion, or other natural disaster, nationalization, expropriation,</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9"/>
              </w:rPr>
              <w:t>currency restriction, work stoppage, strikes, civil unrest, act of war (whether declared or not) or terrorism, revolution,</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6"/>
              </w:rPr>
              <w:t>rebellion, embargo, computer failure, failure of public infrastructure (including communication or utility failure), failure of</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3"/>
              </w:rPr>
              <w:t>common carriers, nuclear, cyber or biochemical incident, any pandemic, epidemic or other prevalent disease or illness with</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3"/>
              </w:rPr>
              <w:t>an actual or probable threat to human life, any quarantine order or travel restriction imposed by a governmental authority or</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4"/>
              </w:rPr>
              <w:t>other competent public health authority, or the failure or unavailability of the United States Federal Reserve Bank (or other</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7"/>
              </w:rPr>
              <w:t>central banking system) or DTC (or other clearing system)), (ii) by reason of any exercise of, or failure to exercise, any</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5"/>
              </w:rPr>
              <w:t>discretion provided for in the Deposit Agreement or in the Articles of Association or provisions of or governing Deposited</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4"/>
              </w:rPr>
              <w:t>Securities, (iii) for any action or inaction in reliance upon the advice of or information from legal counsel, accountants, any</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4"/>
              </w:rPr>
              <w:t>person presenting Shares for deposit, any Holder, any Beneficial Owner or authorized representative thereof, or any other</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6"/>
              </w:rPr>
              <w:t>person believed by it in good faith to be competent to give such advice or information, (iv) for the inability by a Holder or</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9"/>
              </w:rPr>
              <w:t>Beneficial Owner to benefit from any distribution, offering, right or other benefit which is made available to holders of</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4"/>
              </w:rPr>
              <w:t>Deposited Securities but is not, under the terms of the Deposit Agreement, made available to Holders of ADSs, (v) for any</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3"/>
              </w:rPr>
              <w:t>action or inaction of any clearing or settlement system (and any participant thereof) for the Deposited Property or the ADSs,</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rPr>
              <w:t>or (vi) for any consequential or punitive damages (including lost profits) for any breach of the terms of the Deposit</w:t>
            </w:r>
          </w:p>
        </w:tc>
        <w:tc>
          <w:tcPr>
            <w:tcW w:w="72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rPr>
              <w:t>Agreement</w:t>
            </w:r>
          </w:p>
        </w:tc>
        <w:tc>
          <w:tcPr>
            <w:tcW w:w="720" w:type="dxa"/>
            <w:vAlign w:val="bottom"/>
          </w:tcPr>
          <w:p>
            <w:pPr>
              <w:spacing w:after="0"/>
              <w:rPr>
                <w:sz w:val="20"/>
                <w:szCs w:val="20"/>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5.3</w:t>
            </w:r>
          </w:p>
        </w:tc>
        <w:tc>
          <w:tcPr>
            <w:tcW w:w="91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 xml:space="preserve">Standard of Care. </w:t>
            </w:r>
            <w:r>
              <w:rPr>
                <w:rFonts w:ascii="Arial" w:cs="Arial" w:eastAsia="Arial" w:hAnsi="Arial"/>
                <w:sz w:val="18"/>
                <w:szCs w:val="18"/>
                <w:color w:val="auto"/>
                <w:w w:val="92"/>
              </w:rPr>
              <w:t>The Company and the Depositary assume no obligation and shall not be subject to any liability under the</w:t>
            </w:r>
          </w:p>
        </w:tc>
        <w:tc>
          <w:tcPr>
            <w:tcW w:w="72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32</w:t>
            </w:r>
          </w:p>
        </w:tc>
      </w:tr>
      <w:tr>
        <w:trPr>
          <w:trHeight w:val="20"/>
        </w:trPr>
        <w:tc>
          <w:tcPr>
            <w:tcW w:w="1360" w:type="dxa"/>
            <w:vAlign w:val="bottom"/>
            <w:shd w:val="clear" w:color="auto" w:fill="CCEEFF"/>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7820" w:type="dxa"/>
            <w:vAlign w:val="bottom"/>
            <w:gridSpan w:val="2"/>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Deposit Agreement or any ADRs to any Holder(s) or Beneficial Owner(s), except that the Company and the Depositary</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agree to perform their respective obligations specifically set forth in the Deposit Agreement or the applicable ADRs without</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negligence or bad faith</w:t>
            </w:r>
          </w:p>
        </w:tc>
        <w:tc>
          <w:tcPr>
            <w:tcW w:w="72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5.4</w:t>
            </w:r>
          </w:p>
        </w:tc>
        <w:tc>
          <w:tcPr>
            <w:tcW w:w="91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3"/>
              </w:rPr>
              <w:t xml:space="preserve">Resignation and Removal of the Depositary; Appointment of Successor Depositary. </w:t>
            </w:r>
            <w:r>
              <w:rPr>
                <w:rFonts w:ascii="Arial" w:cs="Arial" w:eastAsia="Arial" w:hAnsi="Arial"/>
                <w:sz w:val="18"/>
                <w:szCs w:val="18"/>
                <w:color w:val="auto"/>
                <w:w w:val="93"/>
              </w:rPr>
              <w:t>The Depositary may at any time</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33</w:t>
            </w:r>
          </w:p>
        </w:tc>
      </w:tr>
      <w:tr>
        <w:trPr>
          <w:trHeight w:val="20"/>
        </w:trPr>
        <w:tc>
          <w:tcPr>
            <w:tcW w:w="13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resign as Depositary hereunder by written notice of resignation delivered to the Company, such resignation to be effective</w:t>
            </w:r>
          </w:p>
        </w:tc>
        <w:tc>
          <w:tcPr>
            <w:tcW w:w="74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on the earlier of (i) the 90th day after delivery thereof to the Company (whereupon the Depositary shall be entitled to take</w:t>
            </w:r>
          </w:p>
        </w:tc>
        <w:tc>
          <w:tcPr>
            <w:tcW w:w="74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the actions contemplated in Section 6.2), or (ii) the appointment by the Company of a successor depositary and its</w:t>
            </w:r>
          </w:p>
        </w:tc>
        <w:tc>
          <w:tcPr>
            <w:tcW w:w="74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acceptance of such appointment as hereinafter provided</w:t>
            </w:r>
          </w:p>
        </w:tc>
        <w:tc>
          <w:tcPr>
            <w:tcW w:w="740" w:type="dxa"/>
            <w:vAlign w:val="bottom"/>
            <w:shd w:val="clear" w:color="auto" w:fill="CCEEFF"/>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5.5</w:t>
            </w:r>
          </w:p>
        </w:tc>
        <w:tc>
          <w:tcPr>
            <w:tcW w:w="914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w w:val="96"/>
              </w:rPr>
              <w:t xml:space="preserve">The Custodian. </w:t>
            </w:r>
            <w:r>
              <w:rPr>
                <w:rFonts w:ascii="Arial" w:cs="Arial" w:eastAsia="Arial" w:hAnsi="Arial"/>
                <w:sz w:val="18"/>
                <w:szCs w:val="18"/>
                <w:color w:val="auto"/>
                <w:w w:val="96"/>
              </w:rPr>
              <w:t>The Depositary has initially appointed Citibank, N.A. – Hong Kong as Custodian for the purpose of the</w:t>
            </w:r>
          </w:p>
        </w:tc>
        <w:tc>
          <w:tcPr>
            <w:tcW w:w="74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33</w:t>
            </w:r>
          </w:p>
        </w:tc>
      </w:tr>
      <w:tr>
        <w:trPr>
          <w:trHeight w:val="20"/>
        </w:trPr>
        <w:tc>
          <w:tcPr>
            <w:tcW w:w="1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7"/>
              </w:rPr>
              <w:t>Deposit Agreement. The Custodian or its successors in acting hereunder shall be authorized to act as custodian in the</w:t>
            </w:r>
          </w:p>
        </w:tc>
        <w:tc>
          <w:tcPr>
            <w:tcW w:w="74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6"/>
              </w:rPr>
              <w:t>Cayman Islands and shall be subject at all times and in all respects to the direction of the Depositary for the Deposited</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7"/>
              </w:rPr>
              <w:t>Property for which the Custodian acts as custodian and shall be responsible solely to it. If any Custodian resigns or is</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4"/>
              </w:rPr>
              <w:t>discharged from its duties hereunder with respect to any Deposited Property and no other Custodian has previously been</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8"/>
              </w:rPr>
              <w:t>appointed hereunder, the Depositary shall promptly appoint a substitute custodian. The Depositary shall require such</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4"/>
              </w:rPr>
              <w:t>resigning or discharged Custodian to Deliver, or cause the Delivery of, the Deposited Property held by it, together with all</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3"/>
              </w:rPr>
              <w:t>such records maintained by it as Custodian with respect to such Deposited Property as the Depositary may request, to the</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4"/>
              </w:rPr>
              <w:t>Custodian designated by the Depositary. Whenever the Depositary determines, in its discretion, that it is appropriate to do</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2"/>
              </w:rPr>
              <w:t>so, it may appoint an additional custodian with respect to any Deposited Property, or discharge the Custodian with respect to</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1"/>
              </w:rPr>
              <w:t>any Deposited Property and appoint a substitute custodian, which shall thereafter be Custodian hereunder with respect to the</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3"/>
              </w:rPr>
              <w:t>Deposited Property. Immediately upon any such change, the Depositary shall give notice thereof in writing to all Holders of</w:t>
            </w:r>
          </w:p>
        </w:tc>
        <w:tc>
          <w:tcPr>
            <w:tcW w:w="740" w:type="dxa"/>
            <w:vAlign w:val="bottom"/>
          </w:tcPr>
          <w:p>
            <w:pPr>
              <w:spacing w:after="0"/>
              <w:rPr>
                <w:sz w:val="18"/>
                <w:szCs w:val="18"/>
                <w:color w:val="auto"/>
              </w:rPr>
            </w:pPr>
          </w:p>
        </w:tc>
      </w:tr>
      <w:tr>
        <w:trPr>
          <w:trHeight w:val="212"/>
        </w:trPr>
        <w:tc>
          <w:tcPr>
            <w:tcW w:w="136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rPr>
              <w:t>ADSs, each other Custodian and the Company</w:t>
            </w:r>
          </w:p>
        </w:tc>
        <w:tc>
          <w:tcPr>
            <w:tcW w:w="740" w:type="dxa"/>
            <w:vAlign w:val="bottom"/>
          </w:tcPr>
          <w:p>
            <w:pPr>
              <w:spacing w:after="0"/>
              <w:rPr>
                <w:sz w:val="18"/>
                <w:szCs w:val="18"/>
                <w:color w:val="auto"/>
              </w:rPr>
            </w:pPr>
          </w:p>
        </w:tc>
      </w:tr>
      <w:tr>
        <w:trPr>
          <w:trHeight w:val="194"/>
        </w:trPr>
        <w:tc>
          <w:tcPr>
            <w:tcW w:w="1360" w:type="dxa"/>
            <w:vAlign w:val="bottom"/>
          </w:tcPr>
          <w:p>
            <w:pPr>
              <w:spacing w:after="0" w:line="194" w:lineRule="exact"/>
              <w:rPr>
                <w:sz w:val="20"/>
                <w:szCs w:val="20"/>
                <w:color w:val="auto"/>
              </w:rPr>
            </w:pPr>
            <w:r>
              <w:rPr>
                <w:rFonts w:ascii="Arial" w:cs="Arial" w:eastAsia="Arial" w:hAnsi="Arial"/>
                <w:sz w:val="18"/>
                <w:szCs w:val="18"/>
                <w:b w:val="1"/>
                <w:bCs w:val="1"/>
                <w:color w:val="auto"/>
              </w:rPr>
              <w:t>Section 5.6</w:t>
            </w:r>
          </w:p>
        </w:tc>
        <w:tc>
          <w:tcPr>
            <w:tcW w:w="914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w w:val="94"/>
              </w:rPr>
              <w:t xml:space="preserve">Notices and Reports. </w:t>
            </w:r>
            <w:r>
              <w:rPr>
                <w:rFonts w:ascii="Arial" w:cs="Arial" w:eastAsia="Arial" w:hAnsi="Arial"/>
                <w:sz w:val="18"/>
                <w:szCs w:val="18"/>
                <w:color w:val="auto"/>
                <w:w w:val="94"/>
              </w:rPr>
              <w:t>On or before the first date on which the Company gives notice, by publication or otherwise, of any</w:t>
            </w:r>
          </w:p>
        </w:tc>
        <w:tc>
          <w:tcPr>
            <w:tcW w:w="740" w:type="dxa"/>
            <w:vAlign w:val="bottom"/>
          </w:tcPr>
          <w:p>
            <w:pPr>
              <w:jc w:val="right"/>
              <w:ind w:right="270"/>
              <w:spacing w:after="0" w:line="194" w:lineRule="exact"/>
              <w:rPr>
                <w:sz w:val="20"/>
                <w:szCs w:val="20"/>
                <w:color w:val="auto"/>
              </w:rPr>
            </w:pPr>
            <w:r>
              <w:rPr>
                <w:rFonts w:ascii="Arial" w:cs="Arial" w:eastAsia="Arial" w:hAnsi="Arial"/>
                <w:sz w:val="18"/>
                <w:szCs w:val="18"/>
                <w:color w:val="auto"/>
              </w:rPr>
              <w:t>34</w:t>
            </w:r>
          </w:p>
        </w:tc>
      </w:tr>
      <w:tr>
        <w:trPr>
          <w:trHeight w:val="20"/>
        </w:trPr>
        <w:tc>
          <w:tcPr>
            <w:tcW w:w="136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76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3"/>
              </w:rPr>
              <w:t>meeting of holders of Shares or other Deposited Securities, or of any adjourned meeting of such holders, or of the taking of</w:t>
            </w:r>
          </w:p>
        </w:tc>
        <w:tc>
          <w:tcPr>
            <w:tcW w:w="740" w:type="dxa"/>
            <w:vAlign w:val="bottom"/>
          </w:tcPr>
          <w:p>
            <w:pPr>
              <w:spacing w:after="0"/>
              <w:rPr>
                <w:sz w:val="19"/>
                <w:szCs w:val="19"/>
                <w:color w:val="auto"/>
              </w:rPr>
            </w:pPr>
          </w:p>
        </w:tc>
      </w:tr>
      <w:tr>
        <w:trPr>
          <w:trHeight w:val="230"/>
        </w:trPr>
        <w:tc>
          <w:tcPr>
            <w:tcW w:w="1360" w:type="dxa"/>
            <w:vAlign w:val="bottom"/>
          </w:tcPr>
          <w:p>
            <w:pPr>
              <w:spacing w:after="0"/>
              <w:rPr>
                <w:sz w:val="20"/>
                <w:szCs w:val="20"/>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2"/>
              </w:rPr>
              <w:t>any action by such holders other than at a meeting, or of the taking of any action in respect of any cash or other distributions</w:t>
            </w:r>
          </w:p>
        </w:tc>
        <w:tc>
          <w:tcPr>
            <w:tcW w:w="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0972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4">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ind w:left="1360" w:right="920"/>
        <w:spacing w:after="0" w:line="253" w:lineRule="auto"/>
        <w:rPr>
          <w:sz w:val="20"/>
          <w:szCs w:val="20"/>
          <w:color w:val="auto"/>
        </w:rPr>
      </w:pPr>
      <w:r>
        <w:rPr>
          <w:rFonts w:ascii="Arial" w:cs="Arial" w:eastAsia="Arial" w:hAnsi="Arial"/>
          <w:sz w:val="18"/>
          <w:szCs w:val="18"/>
          <w:color w:val="auto"/>
        </w:rPr>
        <w:t>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that may be relevant or pertain to such notice of meeting or be the subject of a vote thereat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97" w:name="page198"/>
    <w:bookmarkEnd w:id="197"/>
    <w:p>
      <w:pPr>
        <w:ind w:left="1000" w:hanging="1349"/>
        <w:spacing w:after="0" w:line="276" w:lineRule="auto"/>
        <w:tabs>
          <w:tab w:leader="none" w:pos="980" w:val="left"/>
        </w:tabs>
        <w:rPr>
          <w:sz w:val="20"/>
          <w:szCs w:val="20"/>
          <w:color w:val="auto"/>
        </w:rPr>
      </w:pPr>
      <w:r>
        <w:rPr>
          <w:rFonts w:ascii="Arial" w:cs="Arial" w:eastAsia="Arial" w:hAnsi="Arial"/>
          <w:sz w:val="18"/>
          <w:szCs w:val="18"/>
          <w:b w:val="1"/>
          <w:bCs w:val="1"/>
          <w:color w:val="auto"/>
        </w:rPr>
        <w:t>Section 5.7</w:t>
      </w:r>
      <w:r>
        <w:rPr>
          <w:sz w:val="20"/>
          <w:szCs w:val="20"/>
          <w:color w:val="auto"/>
        </w:rPr>
        <w:tab/>
      </w:r>
      <w:r>
        <w:rPr>
          <w:rFonts w:ascii="Arial" w:cs="Arial" w:eastAsia="Arial" w:hAnsi="Arial"/>
          <w:sz w:val="17"/>
          <w:szCs w:val="17"/>
          <w:b w:val="1"/>
          <w:bCs w:val="1"/>
          <w:u w:val="single" w:color="auto"/>
          <w:color w:val="auto"/>
        </w:rPr>
        <w:t>Issuance of Additional Shares, ADSs etc</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The Company agrees that in the event it or any of its Affiliates proposes (i) an 35</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issuance, sale or distribution of additional Shares, (ii) an offering of rights to subscribe for Shares or other Deposited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-273050</wp:posOffset>
            </wp:positionV>
            <wp:extent cx="7132320" cy="41148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6">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ind w:left="1000" w:right="560"/>
        <w:spacing w:after="0" w:line="281" w:lineRule="auto"/>
        <w:rPr>
          <w:sz w:val="20"/>
          <w:szCs w:val="20"/>
          <w:color w:val="auto"/>
        </w:rPr>
      </w:pPr>
      <w:r>
        <w:rPr>
          <w:rFonts w:ascii="Arial" w:cs="Arial" w:eastAsia="Arial" w:hAnsi="Arial"/>
          <w:sz w:val="16"/>
          <w:szCs w:val="16"/>
          <w:color w:val="auto"/>
        </w:rPr>
        <w:t>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 (1) requires a registration statement under the Securities Act to be in effect or (2) is exempt from the registration requirements of the Securities Act and (b) an opinion of Cayman Islands counsel stating that (1) making the transaction available to Holders and Beneficial Owners does not violate the laws or regulations of the Cayman Islands and (2) all requisite regulatory consents and approvals have been obtained in the Cayman Islands.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w:t>
      </w:r>
    </w:p>
    <w:p>
      <w:pPr>
        <w:spacing w:after="0" w:line="12" w:lineRule="exact"/>
        <w:rPr>
          <w:sz w:val="20"/>
          <w:szCs w:val="20"/>
          <w:color w:val="auto"/>
        </w:rPr>
      </w:pPr>
    </w:p>
    <w:p>
      <w:pPr>
        <w:ind w:left="1000" w:right="680" w:hanging="2"/>
        <w:spacing w:after="0" w:line="250" w:lineRule="auto"/>
        <w:tabs>
          <w:tab w:leader="none" w:pos="121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3" w:lineRule="exact"/>
        <w:rPr>
          <w:sz w:val="20"/>
          <w:szCs w:val="20"/>
          <w:color w:val="auto"/>
        </w:rPr>
      </w:pPr>
    </w:p>
    <w:tbl>
      <w:tblPr>
        <w:tblLayout w:type="fixed"/>
        <w:tblInd w:w="1000" w:type="dxa"/>
        <w:tblCellMar>
          <w:top w:w="0" w:type="dxa"/>
          <w:left w:w="0" w:type="dxa"/>
          <w:bottom w:w="0" w:type="dxa"/>
          <w:right w:w="0" w:type="dxa"/>
        </w:tblCellMar>
      </w:tblPr>
      <w:tr>
        <w:trPr>
          <w:trHeight w:val="218"/>
        </w:trPr>
        <w:tc>
          <w:tcPr>
            <w:tcW w:w="9060" w:type="dxa"/>
            <w:vAlign w:val="bottom"/>
          </w:tcPr>
          <w:p>
            <w:pPr>
              <w:spacing w:after="0"/>
              <w:rPr>
                <w:sz w:val="20"/>
                <w:szCs w:val="20"/>
                <w:color w:val="auto"/>
              </w:rPr>
            </w:pPr>
            <w:r>
              <w:rPr>
                <w:rFonts w:ascii="Arial" w:cs="Arial" w:eastAsia="Arial" w:hAnsi="Arial"/>
                <w:sz w:val="18"/>
                <w:szCs w:val="18"/>
                <w:color w:val="auto"/>
                <w:w w:val="93"/>
              </w:rPr>
              <w:t>Notwithstanding anything else contained in the Deposit Agreement, nothing in the Deposit Agreement shall be deemed to</w:t>
            </w: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r>
    </w:tbl>
    <w:p>
      <w:pPr>
        <w:ind w:left="1000"/>
        <w:spacing w:after="0"/>
        <w:rPr>
          <w:sz w:val="20"/>
          <w:szCs w:val="20"/>
          <w:color w:val="auto"/>
        </w:rPr>
      </w:pPr>
      <w:r>
        <w:rPr>
          <w:rFonts w:ascii="Arial" w:cs="Arial" w:eastAsia="Arial" w:hAnsi="Arial"/>
          <w:sz w:val="18"/>
          <w:szCs w:val="18"/>
          <w:color w:val="auto"/>
        </w:rPr>
        <w:t>obligate the Company to file any registration statement in respect of any proposed transaction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680" w:top="931" w:right="69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5.8</w:t>
            </w: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7"/>
              </w:rPr>
              <w:t xml:space="preserve">Indemnification. </w:t>
            </w:r>
            <w:r>
              <w:rPr>
                <w:rFonts w:ascii="Arial" w:cs="Arial" w:eastAsia="Arial" w:hAnsi="Arial"/>
                <w:sz w:val="18"/>
                <w:szCs w:val="18"/>
                <w:color w:val="auto"/>
                <w:w w:val="97"/>
              </w:rPr>
              <w:t>The Depositary agrees to indemnify the Company and its directors, officers, employees, agents and</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35</w:t>
            </w:r>
          </w:p>
        </w:tc>
      </w:tr>
      <w:tr>
        <w:trPr>
          <w:trHeight w:val="20"/>
        </w:trPr>
        <w:tc>
          <w:tcPr>
            <w:tcW w:w="13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2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Affiliates against, and hold each of them harmless from, any direct loss, liability, tax, charge or expense of any kind</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9"/>
              </w:rPr>
              <w:t>whatsoever (including, but not limited to, the reasonable fees and expenses of counsel) which may arise out of acts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performed or omitted by the Depositary and/or the Custodian (for as long as the Custodian is a branch of Citibank) under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terms hereof due to the negligence or bad faith of the Depositary and/or the Custodian (for as long as the Custodian is a</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branch of Citibank)</w:t>
            </w:r>
          </w:p>
        </w:tc>
        <w:tc>
          <w:tcPr>
            <w:tcW w:w="720" w:type="dxa"/>
            <w:vAlign w:val="bottom"/>
            <w:shd w:val="clear" w:color="auto" w:fill="CCEEFF"/>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5.9</w:t>
            </w:r>
          </w:p>
        </w:tc>
        <w:tc>
          <w:tcPr>
            <w:tcW w:w="916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w w:val="95"/>
              </w:rPr>
              <w:t>ADS Fees and Charges</w:t>
            </w:r>
            <w:r>
              <w:rPr>
                <w:rFonts w:ascii="Arial" w:cs="Arial" w:eastAsia="Arial" w:hAnsi="Arial"/>
                <w:sz w:val="18"/>
                <w:szCs w:val="18"/>
                <w:color w:val="auto"/>
                <w:w w:val="95"/>
              </w:rPr>
              <w:t>. The Company, the Holders, the Beneficial Owners, persons depositing Shares or withdrawing</w:t>
            </w:r>
          </w:p>
        </w:tc>
        <w:tc>
          <w:tcPr>
            <w:tcW w:w="72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36</w:t>
            </w:r>
          </w:p>
        </w:tc>
      </w:tr>
      <w:tr>
        <w:trPr>
          <w:trHeight w:val="20"/>
        </w:trPr>
        <w:tc>
          <w:tcPr>
            <w:tcW w:w="1360" w:type="dxa"/>
            <w:vAlign w:val="bottom"/>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2"/>
              </w:rPr>
              <w:t>Deposited Securities in connection with the issuance and cancellation of ADSs, and persons receiving ADSs upon issuance</w:t>
            </w:r>
          </w:p>
        </w:tc>
        <w:tc>
          <w:tcPr>
            <w:tcW w:w="72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3"/>
              </w:rPr>
              <w:t>or whose ADSs are being cancelled shall be required to pay the Depositary’s fees and related charges (some of which may</w:t>
            </w:r>
          </w:p>
        </w:tc>
        <w:tc>
          <w:tcPr>
            <w:tcW w:w="720" w:type="dxa"/>
            <w:vAlign w:val="bottom"/>
          </w:tcPr>
          <w:p>
            <w:pPr>
              <w:spacing w:after="0"/>
              <w:rPr>
                <w:sz w:val="18"/>
                <w:szCs w:val="18"/>
                <w:color w:val="auto"/>
              </w:rPr>
            </w:pPr>
          </w:p>
        </w:tc>
      </w:tr>
      <w:tr>
        <w:trPr>
          <w:trHeight w:val="190"/>
        </w:trPr>
        <w:tc>
          <w:tcPr>
            <w:tcW w:w="1360" w:type="dxa"/>
            <w:vAlign w:val="bottom"/>
          </w:tcPr>
          <w:p>
            <w:pPr>
              <w:spacing w:after="0"/>
              <w:rPr>
                <w:sz w:val="16"/>
                <w:szCs w:val="16"/>
                <w:color w:val="auto"/>
              </w:rPr>
            </w:pPr>
          </w:p>
        </w:tc>
        <w:tc>
          <w:tcPr>
            <w:tcW w:w="9160" w:type="dxa"/>
            <w:vAlign w:val="bottom"/>
            <w:gridSpan w:val="5"/>
          </w:tcPr>
          <w:p>
            <w:pPr>
              <w:spacing w:after="0" w:line="190" w:lineRule="exact"/>
              <w:rPr>
                <w:sz w:val="20"/>
                <w:szCs w:val="20"/>
                <w:color w:val="auto"/>
              </w:rPr>
            </w:pPr>
            <w:r>
              <w:rPr>
                <w:rFonts w:ascii="Arial" w:cs="Arial" w:eastAsia="Arial" w:hAnsi="Arial"/>
                <w:sz w:val="18"/>
                <w:szCs w:val="18"/>
                <w:color w:val="auto"/>
                <w:w w:val="95"/>
              </w:rPr>
              <w:t>be cumulative) identified as payable by them respectively in the Fee Schedule attached hereto as Exhibit B. All ADS fees</w:t>
            </w:r>
          </w:p>
        </w:tc>
        <w:tc>
          <w:tcPr>
            <w:tcW w:w="720" w:type="dxa"/>
            <w:vAlign w:val="bottom"/>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2"/>
              </w:rPr>
              <w:t>and charges so payable may be deducted from distributions or must be remitted to the Depositary, or its designee, and may,</w:t>
            </w:r>
          </w:p>
        </w:tc>
        <w:tc>
          <w:tcPr>
            <w:tcW w:w="72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3"/>
              </w:rPr>
              <w:t>at any time and from time to time, be changed by agreement between the Depositary and the Company, but, in the case of</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6"/>
              </w:rPr>
              <w:t>ADS fees and charges payable by Holders and Beneficial Owners, only in the manner contemplated in Section 6.1. The</w:t>
            </w:r>
          </w:p>
        </w:tc>
        <w:tc>
          <w:tcPr>
            <w:tcW w:w="72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rPr>
              <w:t>Depositary shall provide, without charge, a copy of its latest ADS fee schedule to anyone upon request</w:t>
            </w:r>
          </w:p>
        </w:tc>
        <w:tc>
          <w:tcPr>
            <w:tcW w:w="720" w:type="dxa"/>
            <w:vAlign w:val="bottom"/>
          </w:tcPr>
          <w:p>
            <w:pPr>
              <w:spacing w:after="0"/>
              <w:rPr>
                <w:sz w:val="20"/>
                <w:szCs w:val="20"/>
                <w:color w:val="auto"/>
              </w:rPr>
            </w:pPr>
          </w:p>
        </w:tc>
      </w:tr>
      <w:tr>
        <w:trPr>
          <w:trHeight w:val="202"/>
        </w:trPr>
        <w:tc>
          <w:tcPr>
            <w:tcW w:w="1360" w:type="dxa"/>
            <w:vAlign w:val="bottom"/>
            <w:shd w:val="clear" w:color="auto" w:fill="CCEEFF"/>
          </w:tcPr>
          <w:p>
            <w:pPr>
              <w:spacing w:after="0"/>
              <w:rPr>
                <w:sz w:val="17"/>
                <w:szCs w:val="17"/>
                <w:color w:val="auto"/>
              </w:rPr>
            </w:pPr>
          </w:p>
        </w:tc>
        <w:tc>
          <w:tcPr>
            <w:tcW w:w="91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3"/>
              </w:rPr>
              <w:t>ADS fees and charges for (i) the issuance of ADSs and (ii) the cancellation of ADSs will be payable by the person for whom</w:t>
            </w:r>
          </w:p>
        </w:tc>
        <w:tc>
          <w:tcPr>
            <w:tcW w:w="720" w:type="dxa"/>
            <w:vAlign w:val="bottom"/>
            <w:shd w:val="clear" w:color="auto" w:fill="CCEEFF"/>
          </w:tcPr>
          <w:p>
            <w:pPr>
              <w:jc w:val="right"/>
              <w:ind w:right="270"/>
              <w:spacing w:after="0" w:line="201" w:lineRule="exact"/>
              <w:rPr>
                <w:sz w:val="20"/>
                <w:szCs w:val="20"/>
                <w:color w:val="auto"/>
              </w:rPr>
            </w:pPr>
            <w:r>
              <w:rPr>
                <w:rFonts w:ascii="Arial" w:cs="Arial" w:eastAsia="Arial" w:hAnsi="Arial"/>
                <w:sz w:val="18"/>
                <w:szCs w:val="18"/>
                <w:color w:val="auto"/>
              </w:rPr>
              <w:t>37</w:t>
            </w: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the ADSs are so issued by the Depositary (in the case of ADS issuances) and by the person for whom ADSs are being</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cancelled (in the case of ADS cancellations). In the case of ADSs issued by the Depositary into DTC or presented to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9"/>
              </w:rPr>
              <w:t>Depositary via DTC, the ADS issuance and cancellation fees and charges will be payable by the DTC Participant(s)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receiving the ADSs from the Depositary or the DTC Participant(s) holding the ADSs being cancelled, as the case may be, on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behalf of the Beneficial Owner(s) and will be charged by the DTC Participant(s) to the account(s) of the applicable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Beneficial Owner(s) in accordance with the procedures and practices of the DTC Participant(s) as in effect at the time. ADS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1"/>
              </w:rPr>
              <w:t>fees and charges in respect of distributions and the ADS service fee are payable by Holders as of the applicable ADS Record</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Date established by the Depositary. In the case of distributions of cash, the amount of the applicable ADS fees and charges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is deducted from the funds being distributed. In the case of (i) distributions other than cash and (ii) the ADS service fee,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applicable Holders as of the ADS Record Date established by the Depositary will be invoiced for the amount of the ADS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fees and charges and such ADS fees may be deducted from distributions made to Holders. For ADSs held through DTC,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4"/>
              </w:rPr>
              <w:t>ADS fees and charges for distributions other than cash and the ADS service fee may be deducted from distributions made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through DTC, and may be charged to the DTC Participants in accordance with the procedures and practices prescribed by</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DTC from time to time and the DTC Participants in turn charge the amount of such ADS fees and charges to the Beneficial</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Owners for whom they hold ADSs. In the case of (i) registration of ADS transfers, the ADS transfer fee will be payable by</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the ADS Holder whose ADSs are being transferred or by the person to whom the ADSs are transferred, and (ii) conversion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of ADSs of one series for ADSs of another series (which may entail the cancellation, issuance and transfer of ADSs and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conversion of ADSs from one series to another series), the applicable ADS issuance, cancellation, transfer and conversion</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fees will be payable by the Holder whose ADSs are converted or by the person to whom the converted ADSs are delivered</w:t>
            </w:r>
          </w:p>
        </w:tc>
        <w:tc>
          <w:tcPr>
            <w:tcW w:w="720" w:type="dxa"/>
            <w:vAlign w:val="bottom"/>
            <w:shd w:val="clear" w:color="auto" w:fill="CCEEFF"/>
          </w:tcPr>
          <w:p>
            <w:pPr>
              <w:spacing w:after="0"/>
              <w:rPr>
                <w:sz w:val="20"/>
                <w:szCs w:val="20"/>
                <w:color w:val="auto"/>
              </w:rPr>
            </w:pPr>
          </w:p>
        </w:tc>
      </w:tr>
      <w:tr>
        <w:trPr>
          <w:trHeight w:val="202"/>
        </w:trPr>
        <w:tc>
          <w:tcPr>
            <w:tcW w:w="1360" w:type="dxa"/>
            <w:vAlign w:val="bottom"/>
          </w:tcPr>
          <w:p>
            <w:pPr>
              <w:spacing w:after="0"/>
              <w:rPr>
                <w:sz w:val="17"/>
                <w:szCs w:val="17"/>
                <w:color w:val="auto"/>
              </w:rPr>
            </w:pPr>
          </w:p>
        </w:tc>
        <w:tc>
          <w:tcPr>
            <w:tcW w:w="9160" w:type="dxa"/>
            <w:vAlign w:val="bottom"/>
            <w:gridSpan w:val="5"/>
          </w:tcPr>
          <w:p>
            <w:pPr>
              <w:spacing w:after="0" w:line="201" w:lineRule="exact"/>
              <w:rPr>
                <w:sz w:val="20"/>
                <w:szCs w:val="20"/>
                <w:color w:val="auto"/>
              </w:rPr>
            </w:pPr>
            <w:r>
              <w:rPr>
                <w:rFonts w:ascii="Arial" w:cs="Arial" w:eastAsia="Arial" w:hAnsi="Arial"/>
                <w:sz w:val="18"/>
                <w:szCs w:val="18"/>
                <w:color w:val="auto"/>
                <w:w w:val="93"/>
              </w:rPr>
              <w:t>The Depositary may reimburse the Company for certain expenses incurred by the Company in respect of the ADR program</w:t>
            </w:r>
          </w:p>
        </w:tc>
        <w:tc>
          <w:tcPr>
            <w:tcW w:w="720" w:type="dxa"/>
            <w:vAlign w:val="bottom"/>
          </w:tcPr>
          <w:p>
            <w:pPr>
              <w:jc w:val="right"/>
              <w:ind w:right="270"/>
              <w:spacing w:after="0" w:line="201" w:lineRule="exact"/>
              <w:rPr>
                <w:sz w:val="20"/>
                <w:szCs w:val="20"/>
                <w:color w:val="auto"/>
              </w:rPr>
            </w:pPr>
            <w:r>
              <w:rPr>
                <w:rFonts w:ascii="Arial" w:cs="Arial" w:eastAsia="Arial" w:hAnsi="Arial"/>
                <w:sz w:val="18"/>
                <w:szCs w:val="18"/>
                <w:color w:val="auto"/>
              </w:rPr>
              <w:t>37</w:t>
            </w:r>
          </w:p>
        </w:tc>
      </w:tr>
      <w:tr>
        <w:trPr>
          <w:trHeight w:val="216"/>
        </w:trPr>
        <w:tc>
          <w:tcPr>
            <w:tcW w:w="1360" w:type="dxa"/>
            <w:vAlign w:val="bottom"/>
          </w:tcPr>
          <w:p>
            <w:pPr>
              <w:spacing w:after="0"/>
              <w:rPr>
                <w:sz w:val="18"/>
                <w:szCs w:val="18"/>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5"/>
              </w:rPr>
              <w:t>established pursuant to the Deposit Agreement, by making available a portion of the ADS fees charged in respect of the</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4"/>
              </w:rPr>
              <w:t>ADR program or otherwise, upon such terms and conditions as the Company and the Depositary agree from time to time.</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7"/>
              </w:rPr>
              <w:t>The Company shall pay to the Depositary such fees and charges, and reimburse the Depositary for such out-of-pocket</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8"/>
              </w:rPr>
              <w:t>expenses, as the Depositary and the Company may agree from time to time. Responsibility for payment of such fees,</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4"/>
              </w:rPr>
              <w:t>charges and reimbursements may from time to time be changed by agreement between the Company and the Depositary.</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7"/>
              </w:rPr>
              <w:t>Unless otherwise agreed, the Depositary shall present its statement for such fees, charges and reimbursements to the</w:t>
            </w:r>
          </w:p>
        </w:tc>
        <w:tc>
          <w:tcPr>
            <w:tcW w:w="72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3"/>
              </w:rPr>
              <w:t>Company once every three months. The charges and expenses of the Custodian are for the sole account of the Depositary</w:t>
            </w:r>
          </w:p>
        </w:tc>
        <w:tc>
          <w:tcPr>
            <w:tcW w:w="720" w:type="dxa"/>
            <w:vAlign w:val="bottom"/>
          </w:tcPr>
          <w:p>
            <w:pPr>
              <w:spacing w:after="0"/>
              <w:rPr>
                <w:sz w:val="20"/>
                <w:szCs w:val="20"/>
                <w:color w:val="auto"/>
              </w:rPr>
            </w:pPr>
          </w:p>
        </w:tc>
      </w:tr>
      <w:tr>
        <w:trPr>
          <w:trHeight w:val="202"/>
        </w:trPr>
        <w:tc>
          <w:tcPr>
            <w:tcW w:w="1360" w:type="dxa"/>
            <w:vAlign w:val="bottom"/>
            <w:shd w:val="clear" w:color="auto" w:fill="CCEEFF"/>
          </w:tcPr>
          <w:p>
            <w:pPr>
              <w:spacing w:after="0"/>
              <w:rPr>
                <w:sz w:val="17"/>
                <w:szCs w:val="17"/>
                <w:color w:val="auto"/>
              </w:rPr>
            </w:pPr>
          </w:p>
        </w:tc>
        <w:tc>
          <w:tcPr>
            <w:tcW w:w="91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3"/>
              </w:rPr>
              <w:t>The obligations of Holders and Beneficial Owners to pay ADS fees and charges shall survive the termination of the Deposit</w:t>
            </w:r>
          </w:p>
        </w:tc>
        <w:tc>
          <w:tcPr>
            <w:tcW w:w="720" w:type="dxa"/>
            <w:vAlign w:val="bottom"/>
            <w:shd w:val="clear" w:color="auto" w:fill="CCEEFF"/>
          </w:tcPr>
          <w:p>
            <w:pPr>
              <w:jc w:val="right"/>
              <w:ind w:right="270"/>
              <w:spacing w:after="0" w:line="201" w:lineRule="exact"/>
              <w:rPr>
                <w:sz w:val="20"/>
                <w:szCs w:val="20"/>
                <w:color w:val="auto"/>
              </w:rPr>
            </w:pPr>
            <w:r>
              <w:rPr>
                <w:rFonts w:ascii="Arial" w:cs="Arial" w:eastAsia="Arial" w:hAnsi="Arial"/>
                <w:sz w:val="18"/>
                <w:szCs w:val="18"/>
                <w:color w:val="auto"/>
              </w:rPr>
              <w:t>38</w:t>
            </w: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Agreement. As to any Depositary, upon the resignation or removal of such Depositary as described in Section 5.4, the right</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to collect ADS fees and charges shall extend for those ADS fees and charges incurred prior to the effectiveness of such</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resignation or removal</w:t>
            </w:r>
          </w:p>
        </w:tc>
        <w:tc>
          <w:tcPr>
            <w:tcW w:w="72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5.10</w:t>
            </w: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8"/>
              </w:rPr>
              <w:t xml:space="preserve">Restricted Securities Owners. </w:t>
            </w:r>
            <w:r>
              <w:rPr>
                <w:rFonts w:ascii="Arial" w:cs="Arial" w:eastAsia="Arial" w:hAnsi="Arial"/>
                <w:sz w:val="18"/>
                <w:szCs w:val="18"/>
                <w:color w:val="auto"/>
                <w:w w:val="98"/>
              </w:rPr>
              <w:t>The Company agrees to advise in writing each of the persons or entities who, to the</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w:t>
            </w:r>
          </w:p>
        </w:tc>
      </w:tr>
      <w:tr>
        <w:trPr>
          <w:trHeight w:val="20"/>
        </w:trPr>
        <w:tc>
          <w:tcPr>
            <w:tcW w:w="1360" w:type="dxa"/>
            <w:vAlign w:val="bottom"/>
            <w:shd w:val="clear" w:color="auto" w:fill="CCEEFF"/>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9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knowledge of the Company, holds Restricted Securities that such Restricted Securities are ineligible for deposit hereunder</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(except under the circumstances contemplated in Section 2.14) and, to the extent practicable, shall require each of such</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persons to represent in writing that such person will not deposit Restricted Securities hereunder (except under the</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circumstances contemplated in Section 2.14)</w:t>
            </w:r>
          </w:p>
        </w:tc>
        <w:tc>
          <w:tcPr>
            <w:tcW w:w="720" w:type="dxa"/>
            <w:vAlign w:val="bottom"/>
            <w:shd w:val="clear" w:color="auto" w:fill="CCEEFF"/>
          </w:tcPr>
          <w:p>
            <w:pPr>
              <w:spacing w:after="0"/>
              <w:rPr>
                <w:sz w:val="20"/>
                <w:szCs w:val="20"/>
                <w:color w:val="auto"/>
              </w:rPr>
            </w:pPr>
          </w:p>
        </w:tc>
      </w:tr>
      <w:tr>
        <w:trPr>
          <w:trHeight w:val="216"/>
        </w:trPr>
        <w:tc>
          <w:tcPr>
            <w:tcW w:w="32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0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ARTICLE VI AMENDMENT AND TERMINATION</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w:t>
            </w:r>
          </w:p>
        </w:tc>
      </w:tr>
      <w:tr>
        <w:trPr>
          <w:trHeight w:val="391"/>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6.1</w:t>
            </w:r>
          </w:p>
        </w:tc>
        <w:tc>
          <w:tcPr>
            <w:tcW w:w="9160" w:type="dxa"/>
            <w:vAlign w:val="bottom"/>
            <w:gridSpan w:val="3"/>
          </w:tcPr>
          <w:p>
            <w:pPr>
              <w:spacing w:after="0"/>
              <w:rPr>
                <w:sz w:val="20"/>
                <w:szCs w:val="20"/>
                <w:color w:val="auto"/>
              </w:rPr>
            </w:pPr>
            <w:r>
              <w:rPr>
                <w:rFonts w:ascii="Arial" w:cs="Arial" w:eastAsia="Arial" w:hAnsi="Arial"/>
                <w:sz w:val="18"/>
                <w:szCs w:val="18"/>
                <w:b w:val="1"/>
                <w:bCs w:val="1"/>
                <w:color w:val="auto"/>
                <w:w w:val="92"/>
              </w:rPr>
              <w:t xml:space="preserve">Amendment/Supplement. </w:t>
            </w:r>
            <w:r>
              <w:rPr>
                <w:rFonts w:ascii="Arial" w:cs="Arial" w:eastAsia="Arial" w:hAnsi="Arial"/>
                <w:sz w:val="18"/>
                <w:szCs w:val="18"/>
                <w:color w:val="auto"/>
                <w:w w:val="92"/>
              </w:rPr>
              <w:t>Subject to the terms and conditions of this Section 6.1 and applicable law, the ADRs outstanding</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38</w:t>
            </w:r>
          </w:p>
        </w:tc>
      </w:tr>
      <w:tr>
        <w:trPr>
          <w:trHeight w:val="20"/>
        </w:trPr>
        <w:tc>
          <w:tcPr>
            <w:tcW w:w="13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38404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9">
                      <a:extLst>
                        <a:ext uri="{28A0092B-C50C-407E-A947-70E740481C1C}"/>
                      </a:extLst>
                    </a:blip>
                    <a:srcRect/>
                    <a:stretch>
                      <a:fillRect/>
                    </a:stretch>
                  </pic:blipFill>
                  <pic:spPr bwMode="auto">
                    <a:xfrm>
                      <a:off x="0" y="0"/>
                      <a:ext cx="7132320" cy="3840480"/>
                    </a:xfrm>
                    <a:prstGeom prst="rect">
                      <a:avLst/>
                    </a:prstGeom>
                    <a:noFill/>
                  </pic:spPr>
                </pic:pic>
              </a:graphicData>
            </a:graphic>
          </wp:anchor>
        </w:drawing>
      </w:r>
    </w:p>
    <w:p>
      <w:pPr>
        <w:ind w:left="1360" w:right="920"/>
        <w:spacing w:after="0" w:line="284" w:lineRule="auto"/>
        <w:rPr>
          <w:sz w:val="20"/>
          <w:szCs w:val="20"/>
          <w:color w:val="auto"/>
        </w:rPr>
      </w:pPr>
      <w:r>
        <w:rPr>
          <w:rFonts w:ascii="Arial" w:cs="Arial" w:eastAsia="Arial" w:hAnsi="Arial"/>
          <w:sz w:val="16"/>
          <w:szCs w:val="16"/>
          <w:color w:val="auto"/>
        </w:rPr>
        <w:t xml:space="preserve">at 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6.2</w:t>
            </w: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w w:val="94"/>
              </w:rPr>
              <w:t xml:space="preserve">Termination. </w:t>
            </w:r>
            <w:r>
              <w:rPr>
                <w:rFonts w:ascii="Arial" w:cs="Arial" w:eastAsia="Arial" w:hAnsi="Arial"/>
                <w:sz w:val="18"/>
                <w:szCs w:val="18"/>
                <w:color w:val="auto"/>
                <w:w w:val="94"/>
              </w:rPr>
              <w:t>The Depositary shall, at any time at the written direction of the Company, terminate the Deposit Agreement</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w:t>
            </w:r>
          </w:p>
        </w:tc>
      </w:tr>
      <w:tr>
        <w:trPr>
          <w:trHeight w:val="20"/>
        </w:trPr>
        <w:tc>
          <w:tcPr>
            <w:tcW w:w="13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6"/>
              </w:rPr>
              <w:t>by distributing notice of such termination to the Holders of all ADSs then outstanding at least thirty (30) days prior to the</w:t>
            </w:r>
          </w:p>
        </w:tc>
        <w:tc>
          <w:tcPr>
            <w:tcW w:w="74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8"/>
              </w:rPr>
              <w:t>date fixed in such notice for such termination. If (i) ninety (90) days shall have expired after the Depositary shall have</w:t>
            </w:r>
          </w:p>
        </w:tc>
        <w:tc>
          <w:tcPr>
            <w:tcW w:w="74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9"/>
              </w:rPr>
              <w:t>delivered to the Company a written notice of its election to resign, or (ii) ninety (90) days shall have expired after the</w:t>
            </w:r>
          </w:p>
        </w:tc>
        <w:tc>
          <w:tcPr>
            <w:tcW w:w="74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6"/>
              </w:rPr>
              <w:t>Company shall have delivered to the Depositary a written notice of the removal of the Depositary, and, in either case, a</w:t>
            </w:r>
          </w:p>
        </w:tc>
        <w:tc>
          <w:tcPr>
            <w:tcW w:w="74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2"/>
              </w:rPr>
              <w:t>successor depositary shall not have been appointed and accepted its appointment as provided in Section 5.4 of the Deposit</w:t>
            </w:r>
          </w:p>
        </w:tc>
        <w:tc>
          <w:tcPr>
            <w:tcW w:w="74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4"/>
              </w:rPr>
              <w:t>Agreement, the Depositary may terminate the Deposit Agreement by distributing notice of such termination to the Holders</w:t>
            </w:r>
          </w:p>
        </w:tc>
        <w:tc>
          <w:tcPr>
            <w:tcW w:w="74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3"/>
              </w:rPr>
              <w:t>of all ADSs then outstanding at least thirty (30) days prior to the date fixed in such notice for such termination. The date so</w:t>
            </w:r>
          </w:p>
        </w:tc>
        <w:tc>
          <w:tcPr>
            <w:tcW w:w="74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4"/>
              </w:rPr>
              <w:t>fixed for termination of the Deposit Agreement in any termination notice so distributed by the Depositary to the Holders of</w:t>
            </w:r>
          </w:p>
        </w:tc>
        <w:tc>
          <w:tcPr>
            <w:tcW w:w="740" w:type="dxa"/>
            <w:vAlign w:val="bottom"/>
            <w:shd w:val="clear" w:color="auto" w:fill="CCEEFF"/>
          </w:tcPr>
          <w:p>
            <w:pPr>
              <w:spacing w:after="0"/>
              <w:rPr>
                <w:sz w:val="18"/>
                <w:szCs w:val="18"/>
                <w:color w:val="auto"/>
              </w:rPr>
            </w:pPr>
          </w:p>
        </w:tc>
      </w:tr>
      <w:tr>
        <w:trPr>
          <w:trHeight w:val="190"/>
        </w:trPr>
        <w:tc>
          <w:tcPr>
            <w:tcW w:w="1360" w:type="dxa"/>
            <w:vAlign w:val="bottom"/>
            <w:shd w:val="clear" w:color="auto" w:fill="CCEEFF"/>
          </w:tcPr>
          <w:p>
            <w:pPr>
              <w:spacing w:after="0"/>
              <w:rPr>
                <w:sz w:val="16"/>
                <w:szCs w:val="16"/>
                <w:color w:val="auto"/>
              </w:rPr>
            </w:pPr>
          </w:p>
        </w:tc>
        <w:tc>
          <w:tcPr>
            <w:tcW w:w="9140" w:type="dxa"/>
            <w:vAlign w:val="bottom"/>
            <w:gridSpan w:val="6"/>
            <w:shd w:val="clear" w:color="auto" w:fill="CCEEFF"/>
          </w:tcPr>
          <w:p>
            <w:pPr>
              <w:spacing w:after="0" w:line="190" w:lineRule="exact"/>
              <w:rPr>
                <w:sz w:val="20"/>
                <w:szCs w:val="20"/>
                <w:color w:val="auto"/>
              </w:rPr>
            </w:pPr>
            <w:r>
              <w:rPr>
                <w:rFonts w:ascii="Arial" w:cs="Arial" w:eastAsia="Arial" w:hAnsi="Arial"/>
                <w:sz w:val="18"/>
                <w:szCs w:val="18"/>
                <w:color w:val="auto"/>
                <w:w w:val="95"/>
              </w:rPr>
              <w:t>ADSs is referred to as the “Termination Date”. Until the Termination Date, the Depositary shall continue to perform all of</w:t>
            </w:r>
          </w:p>
        </w:tc>
        <w:tc>
          <w:tcPr>
            <w:tcW w:w="740" w:type="dxa"/>
            <w:vAlign w:val="bottom"/>
            <w:shd w:val="clear" w:color="auto" w:fill="CCEEFF"/>
          </w:tcPr>
          <w:p>
            <w:pPr>
              <w:spacing w:after="0"/>
              <w:rPr>
                <w:sz w:val="16"/>
                <w:szCs w:val="16"/>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1040" w:type="dxa"/>
            <w:vAlign w:val="bottom"/>
            <w:gridSpan w:val="2"/>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6"/>
              </w:rPr>
              <w:t>its obligations under the Deposit Agreement, and the Holders and Beneficial Owners will be entitled to all of their rights</w:t>
            </w:r>
          </w:p>
        </w:tc>
        <w:tc>
          <w:tcPr>
            <w:tcW w:w="740" w:type="dxa"/>
            <w:vAlign w:val="bottom"/>
            <w:shd w:val="clear" w:color="auto" w:fill="CCEEFF"/>
          </w:tcPr>
          <w:p>
            <w:pPr>
              <w:spacing w:after="0"/>
              <w:rPr>
                <w:sz w:val="19"/>
                <w:szCs w:val="19"/>
                <w:color w:val="auto"/>
              </w:rPr>
            </w:pPr>
          </w:p>
        </w:tc>
      </w:tr>
      <w:tr>
        <w:trPr>
          <w:trHeight w:val="230"/>
        </w:trPr>
        <w:tc>
          <w:tcPr>
            <w:tcW w:w="1360" w:type="dxa"/>
            <w:vAlign w:val="bottom"/>
            <w:shd w:val="clear" w:color="auto" w:fill="CCEEFF"/>
          </w:tcPr>
          <w:p>
            <w:pPr>
              <w:spacing w:after="0"/>
              <w:rPr>
                <w:sz w:val="20"/>
                <w:szCs w:val="20"/>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under the Deposit Agreement</w:t>
            </w:r>
          </w:p>
        </w:tc>
        <w:tc>
          <w:tcPr>
            <w:tcW w:w="740" w:type="dxa"/>
            <w:vAlign w:val="bottom"/>
            <w:shd w:val="clear" w:color="auto" w:fill="CCEEFF"/>
          </w:tcPr>
          <w:p>
            <w:pPr>
              <w:spacing w:after="0"/>
              <w:rPr>
                <w:sz w:val="20"/>
                <w:szCs w:val="20"/>
                <w:color w:val="auto"/>
              </w:rPr>
            </w:pPr>
          </w:p>
        </w:tc>
      </w:tr>
      <w:tr>
        <w:trPr>
          <w:trHeight w:val="216"/>
        </w:trPr>
        <w:tc>
          <w:tcPr>
            <w:tcW w:w="23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5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ARTICLE VII MISCELLANEOUS</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40</w:t>
            </w:r>
          </w:p>
        </w:tc>
      </w:tr>
      <w:tr>
        <w:trPr>
          <w:trHeight w:val="216"/>
        </w:trPr>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7.1</w:t>
            </w:r>
          </w:p>
        </w:tc>
        <w:tc>
          <w:tcPr>
            <w:tcW w:w="91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 xml:space="preserve">Counterparts. </w:t>
            </w:r>
            <w:r>
              <w:rPr>
                <w:rFonts w:ascii="Arial" w:cs="Arial" w:eastAsia="Arial" w:hAnsi="Arial"/>
                <w:sz w:val="18"/>
                <w:szCs w:val="18"/>
                <w:color w:val="auto"/>
                <w:w w:val="92"/>
              </w:rPr>
              <w:t>The Deposit Agreement may be executed in any number of counterparts, each of which shall be deemed an</w:t>
            </w:r>
          </w:p>
        </w:tc>
        <w:tc>
          <w:tcPr>
            <w:tcW w:w="74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40</w:t>
            </w:r>
          </w:p>
        </w:tc>
      </w:tr>
      <w:tr>
        <w:trPr>
          <w:trHeight w:val="20"/>
        </w:trPr>
        <w:tc>
          <w:tcPr>
            <w:tcW w:w="1360" w:type="dxa"/>
            <w:vAlign w:val="bottom"/>
            <w:shd w:val="clear" w:color="auto" w:fill="CCEEFF"/>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660" w:type="dxa"/>
            <w:vAlign w:val="bottom"/>
            <w:gridSpan w:val="3"/>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1"/>
              </w:rPr>
              <w:t>original and all of such counterparts together shall constitute one and the same agreement. Copies of the Deposit Agreement</w:t>
            </w:r>
          </w:p>
        </w:tc>
        <w:tc>
          <w:tcPr>
            <w:tcW w:w="740" w:type="dxa"/>
            <w:vAlign w:val="bottom"/>
            <w:shd w:val="clear" w:color="auto" w:fill="CCEEFF"/>
          </w:tcPr>
          <w:p>
            <w:pPr>
              <w:spacing w:after="0"/>
              <w:rPr>
                <w:sz w:val="19"/>
                <w:szCs w:val="19"/>
                <w:color w:val="auto"/>
              </w:rPr>
            </w:pPr>
          </w:p>
        </w:tc>
      </w:tr>
      <w:tr>
        <w:trPr>
          <w:trHeight w:val="230"/>
        </w:trPr>
        <w:tc>
          <w:tcPr>
            <w:tcW w:w="1360" w:type="dxa"/>
            <w:vAlign w:val="bottom"/>
            <w:shd w:val="clear" w:color="auto" w:fill="CCEEFF"/>
          </w:tcPr>
          <w:p>
            <w:pPr>
              <w:spacing w:after="0"/>
              <w:rPr>
                <w:sz w:val="20"/>
                <w:szCs w:val="20"/>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shall be maintained with the Depositary and shall be open to inspection by any Holder during business hours</w:t>
            </w:r>
          </w:p>
        </w:tc>
        <w:tc>
          <w:tcPr>
            <w:tcW w:w="740" w:type="dxa"/>
            <w:vAlign w:val="bottom"/>
            <w:shd w:val="clear" w:color="auto" w:fill="CCEEFF"/>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7.2</w:t>
            </w:r>
          </w:p>
        </w:tc>
        <w:tc>
          <w:tcPr>
            <w:tcW w:w="914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w w:val="92"/>
              </w:rPr>
              <w:t xml:space="preserve">No Third-Party Beneficiaries/Acknowledgments. </w:t>
            </w:r>
            <w:r>
              <w:rPr>
                <w:rFonts w:ascii="Arial" w:cs="Arial" w:eastAsia="Arial" w:hAnsi="Arial"/>
                <w:sz w:val="18"/>
                <w:szCs w:val="18"/>
                <w:color w:val="auto"/>
                <w:w w:val="92"/>
              </w:rPr>
              <w:t>The Deposit Agreement is for the exclusive benefit of the parties hereto</w:t>
            </w:r>
          </w:p>
        </w:tc>
        <w:tc>
          <w:tcPr>
            <w:tcW w:w="74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40</w:t>
            </w:r>
          </w:p>
        </w:tc>
      </w:tr>
      <w:tr>
        <w:trPr>
          <w:trHeight w:val="20"/>
        </w:trPr>
        <w:tc>
          <w:tcPr>
            <w:tcW w:w="1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3" w:lineRule="exact"/>
        <w:rPr>
          <w:sz w:val="20"/>
          <w:szCs w:val="20"/>
          <w:color w:val="auto"/>
        </w:rPr>
      </w:pPr>
    </w:p>
    <w:p>
      <w:pPr>
        <w:ind w:left="1360" w:right="900"/>
        <w:spacing w:after="0" w:line="285" w:lineRule="auto"/>
        <w:rPr>
          <w:sz w:val="20"/>
          <w:szCs w:val="20"/>
          <w:color w:val="auto"/>
        </w:rPr>
      </w:pPr>
      <w:r>
        <w:rPr>
          <w:rFonts w:ascii="Arial" w:cs="Arial" w:eastAsia="Arial" w:hAnsi="Arial"/>
          <w:sz w:val="16"/>
          <w:szCs w:val="16"/>
          <w:color w:val="auto"/>
        </w:rPr>
        <w:t>(and their 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7.3</w:t>
            </w: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w w:val="95"/>
              </w:rPr>
              <w:t xml:space="preserve">Severability. </w:t>
            </w:r>
            <w:r>
              <w:rPr>
                <w:rFonts w:ascii="Arial" w:cs="Arial" w:eastAsia="Arial" w:hAnsi="Arial"/>
                <w:sz w:val="18"/>
                <w:szCs w:val="18"/>
                <w:color w:val="auto"/>
                <w:w w:val="95"/>
              </w:rPr>
              <w:t>In case any one or more of the provisions contained in the Deposit Agreement or in the ADRs should be or</w:t>
            </w:r>
          </w:p>
        </w:tc>
        <w:tc>
          <w:tcPr>
            <w:tcW w:w="7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41</w:t>
            </w:r>
          </w:p>
        </w:tc>
      </w:tr>
      <w:tr>
        <w:trPr>
          <w:trHeight w:val="20"/>
        </w:trPr>
        <w:tc>
          <w:tcPr>
            <w:tcW w:w="13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4"/>
              </w:rPr>
              <w:t>become invalid, illegal or unenforceable in any respect, the validity, legality and enforceability of the remaining provisions</w:t>
            </w:r>
          </w:p>
        </w:tc>
        <w:tc>
          <w:tcPr>
            <w:tcW w:w="740" w:type="dxa"/>
            <w:vAlign w:val="bottom"/>
            <w:shd w:val="clear" w:color="auto" w:fill="CCEEFF"/>
          </w:tcPr>
          <w:p>
            <w:pPr>
              <w:spacing w:after="0"/>
              <w:rPr>
                <w:sz w:val="19"/>
                <w:szCs w:val="19"/>
                <w:color w:val="auto"/>
              </w:rPr>
            </w:pPr>
          </w:p>
        </w:tc>
      </w:tr>
      <w:tr>
        <w:trPr>
          <w:trHeight w:val="230"/>
        </w:trPr>
        <w:tc>
          <w:tcPr>
            <w:tcW w:w="1360" w:type="dxa"/>
            <w:vAlign w:val="bottom"/>
            <w:shd w:val="clear" w:color="auto" w:fill="CCEEFF"/>
          </w:tcPr>
          <w:p>
            <w:pPr>
              <w:spacing w:after="0"/>
              <w:rPr>
                <w:sz w:val="20"/>
                <w:szCs w:val="20"/>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contained herein or therein shall in no way be affected, prejudiced or disturbed thereby</w:t>
            </w:r>
          </w:p>
        </w:tc>
        <w:tc>
          <w:tcPr>
            <w:tcW w:w="740" w:type="dxa"/>
            <w:vAlign w:val="bottom"/>
            <w:shd w:val="clear" w:color="auto" w:fill="CCEEFF"/>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7.4</w:t>
            </w:r>
          </w:p>
        </w:tc>
        <w:tc>
          <w:tcPr>
            <w:tcW w:w="914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w w:val="96"/>
              </w:rPr>
              <w:t xml:space="preserve">Holders and Beneficial Owners as Parties; Binding Effect. </w:t>
            </w:r>
            <w:r>
              <w:rPr>
                <w:rFonts w:ascii="Arial" w:cs="Arial" w:eastAsia="Arial" w:hAnsi="Arial"/>
                <w:sz w:val="18"/>
                <w:szCs w:val="18"/>
                <w:color w:val="auto"/>
                <w:w w:val="96"/>
              </w:rPr>
              <w:t>The Holders and Beneficial Owners from time to time of</w:t>
            </w:r>
          </w:p>
        </w:tc>
        <w:tc>
          <w:tcPr>
            <w:tcW w:w="7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9"/>
              </w:rPr>
              <w:t>41</w:t>
            </w:r>
          </w:p>
        </w:tc>
      </w:tr>
      <w:tr>
        <w:trPr>
          <w:trHeight w:val="20"/>
        </w:trPr>
        <w:tc>
          <w:tcPr>
            <w:tcW w:w="1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140" w:type="dxa"/>
            <w:vAlign w:val="bottom"/>
            <w:gridSpan w:val="9"/>
          </w:tcPr>
          <w:p>
            <w:pPr>
              <w:spacing w:after="0"/>
              <w:rPr>
                <w:sz w:val="20"/>
                <w:szCs w:val="20"/>
                <w:color w:val="auto"/>
              </w:rPr>
            </w:pPr>
            <w:r>
              <w:rPr>
                <w:rFonts w:ascii="Arial" w:cs="Arial" w:eastAsia="Arial" w:hAnsi="Arial"/>
                <w:sz w:val="18"/>
                <w:szCs w:val="18"/>
                <w:color w:val="auto"/>
                <w:w w:val="95"/>
              </w:rPr>
              <w:t>ADSs issued hereunder shall be parties to the Deposit Agreement and shall be bound by all of the terms and conditions</w:t>
            </w:r>
          </w:p>
        </w:tc>
        <w:tc>
          <w:tcPr>
            <w:tcW w:w="740" w:type="dxa"/>
            <w:vAlign w:val="bottom"/>
          </w:tcPr>
          <w:p>
            <w:pPr>
              <w:spacing w:after="0"/>
              <w:rPr>
                <w:sz w:val="19"/>
                <w:szCs w:val="19"/>
                <w:color w:val="auto"/>
              </w:rPr>
            </w:pPr>
          </w:p>
        </w:tc>
      </w:tr>
      <w:tr>
        <w:trPr>
          <w:trHeight w:val="230"/>
        </w:trPr>
        <w:tc>
          <w:tcPr>
            <w:tcW w:w="1360" w:type="dxa"/>
            <w:vAlign w:val="bottom"/>
          </w:tcPr>
          <w:p>
            <w:pPr>
              <w:spacing w:after="0"/>
              <w:rPr>
                <w:sz w:val="20"/>
                <w:szCs w:val="20"/>
                <w:color w:val="auto"/>
              </w:rPr>
            </w:pPr>
          </w:p>
        </w:tc>
        <w:tc>
          <w:tcPr>
            <w:tcW w:w="9140" w:type="dxa"/>
            <w:vAlign w:val="bottom"/>
            <w:gridSpan w:val="9"/>
          </w:tcPr>
          <w:p>
            <w:pPr>
              <w:spacing w:after="0"/>
              <w:rPr>
                <w:sz w:val="20"/>
                <w:szCs w:val="20"/>
                <w:color w:val="auto"/>
              </w:rPr>
            </w:pPr>
            <w:r>
              <w:rPr>
                <w:rFonts w:ascii="Arial" w:cs="Arial" w:eastAsia="Arial" w:hAnsi="Arial"/>
                <w:sz w:val="18"/>
                <w:szCs w:val="18"/>
                <w:color w:val="auto"/>
              </w:rPr>
              <w:t>hereof and of any ADR evidencing their ADSs by acceptance thereof or any beneficial interest therein</w:t>
            </w:r>
          </w:p>
        </w:tc>
        <w:tc>
          <w:tcPr>
            <w:tcW w:w="740" w:type="dxa"/>
            <w:vAlign w:val="bottom"/>
          </w:tcPr>
          <w:p>
            <w:pPr>
              <w:spacing w:after="0"/>
              <w:rPr>
                <w:sz w:val="20"/>
                <w:szCs w:val="20"/>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7.5</w:t>
            </w:r>
          </w:p>
        </w:tc>
        <w:tc>
          <w:tcPr>
            <w:tcW w:w="914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 xml:space="preserve">Notices. </w:t>
            </w:r>
            <w:r>
              <w:rPr>
                <w:rFonts w:ascii="Arial" w:cs="Arial" w:eastAsia="Arial" w:hAnsi="Arial"/>
                <w:sz w:val="18"/>
                <w:szCs w:val="18"/>
                <w:color w:val="auto"/>
                <w:w w:val="92"/>
              </w:rPr>
              <w:t>Any and all notices to be given to the Company shall be deemed to have been duly given if personally delivered or</w:t>
            </w:r>
          </w:p>
        </w:tc>
        <w:tc>
          <w:tcPr>
            <w:tcW w:w="740" w:type="dxa"/>
            <w:vAlign w:val="bottom"/>
            <w:shd w:val="clear" w:color="auto" w:fill="CCEEFF"/>
          </w:tcPr>
          <w:p>
            <w:pPr>
              <w:jc w:val="center"/>
              <w:ind w:right="70"/>
              <w:spacing w:after="0" w:line="176" w:lineRule="exact"/>
              <w:rPr>
                <w:sz w:val="20"/>
                <w:szCs w:val="20"/>
                <w:color w:val="auto"/>
              </w:rPr>
            </w:pPr>
            <w:r>
              <w:rPr>
                <w:rFonts w:ascii="Arial" w:cs="Arial" w:eastAsia="Arial" w:hAnsi="Arial"/>
                <w:sz w:val="18"/>
                <w:szCs w:val="18"/>
                <w:color w:val="auto"/>
                <w:w w:val="89"/>
              </w:rPr>
              <w:t>41</w:t>
            </w:r>
          </w:p>
        </w:tc>
      </w:tr>
      <w:tr>
        <w:trPr>
          <w:trHeight w:val="20"/>
        </w:trPr>
        <w:tc>
          <w:tcPr>
            <w:tcW w:w="13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460" w:type="dxa"/>
            <w:vAlign w:val="bottom"/>
            <w:gridSpan w:val="2"/>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3"/>
              </w:rPr>
              <w:t>sent by mail, air courier or cable, telex or facsimile transmission, confirmed by letter personally delivered or sent by mail or</w:t>
            </w:r>
          </w:p>
        </w:tc>
        <w:tc>
          <w:tcPr>
            <w:tcW w:w="740" w:type="dxa"/>
            <w:vAlign w:val="bottom"/>
            <w:shd w:val="clear" w:color="auto" w:fill="CCEEFF"/>
          </w:tcPr>
          <w:p>
            <w:pPr>
              <w:spacing w:after="0"/>
              <w:rPr>
                <w:sz w:val="19"/>
                <w:szCs w:val="19"/>
                <w:color w:val="auto"/>
              </w:rPr>
            </w:pPr>
          </w:p>
        </w:tc>
      </w:tr>
      <w:tr>
        <w:trPr>
          <w:trHeight w:val="190"/>
        </w:trPr>
        <w:tc>
          <w:tcPr>
            <w:tcW w:w="1360" w:type="dxa"/>
            <w:vAlign w:val="bottom"/>
            <w:shd w:val="clear" w:color="auto" w:fill="CCEEFF"/>
          </w:tcPr>
          <w:p>
            <w:pPr>
              <w:spacing w:after="0"/>
              <w:rPr>
                <w:sz w:val="16"/>
                <w:szCs w:val="16"/>
                <w:color w:val="auto"/>
              </w:rPr>
            </w:pPr>
          </w:p>
        </w:tc>
        <w:tc>
          <w:tcPr>
            <w:tcW w:w="9140" w:type="dxa"/>
            <w:vAlign w:val="bottom"/>
            <w:gridSpan w:val="9"/>
            <w:shd w:val="clear" w:color="auto" w:fill="CCEEFF"/>
          </w:tcPr>
          <w:p>
            <w:pPr>
              <w:spacing w:after="0" w:line="190" w:lineRule="exact"/>
              <w:rPr>
                <w:sz w:val="20"/>
                <w:szCs w:val="20"/>
                <w:color w:val="auto"/>
              </w:rPr>
            </w:pPr>
            <w:r>
              <w:rPr>
                <w:rFonts w:ascii="Arial" w:cs="Arial" w:eastAsia="Arial" w:hAnsi="Arial"/>
                <w:sz w:val="18"/>
                <w:szCs w:val="18"/>
                <w:color w:val="auto"/>
                <w:w w:val="99"/>
              </w:rPr>
              <w:t>air courier, addressed to Suntec Tower 3, 8 Temasek Boulevard Road, #24-03, Singapore, 038988, Attention: Chief</w:t>
            </w:r>
          </w:p>
        </w:tc>
        <w:tc>
          <w:tcPr>
            <w:tcW w:w="740" w:type="dxa"/>
            <w:vAlign w:val="bottom"/>
            <w:shd w:val="clear" w:color="auto" w:fill="CCEEFF"/>
          </w:tcPr>
          <w:p>
            <w:pPr>
              <w:spacing w:after="0"/>
              <w:rPr>
                <w:sz w:val="16"/>
                <w:szCs w:val="16"/>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gridSpan w:val="2"/>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460" w:type="dxa"/>
            <w:vAlign w:val="bottom"/>
            <w:gridSpan w:val="2"/>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36"/>
        </w:trPr>
        <w:tc>
          <w:tcPr>
            <w:tcW w:w="1360" w:type="dxa"/>
            <w:vAlign w:val="bottom"/>
            <w:shd w:val="clear" w:color="auto" w:fill="CCEEFF"/>
          </w:tcPr>
          <w:p>
            <w:pPr>
              <w:spacing w:after="0"/>
              <w:rPr>
                <w:sz w:val="20"/>
                <w:szCs w:val="20"/>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Executive Officer, or to any other address which the Company may specify in writing to the Depositary</w:t>
            </w:r>
          </w:p>
        </w:tc>
        <w:tc>
          <w:tcPr>
            <w:tcW w:w="740" w:type="dxa"/>
            <w:vAlign w:val="bottom"/>
            <w:shd w:val="clear" w:color="auto" w:fill="CCEEFF"/>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7.6</w:t>
            </w:r>
          </w:p>
        </w:tc>
        <w:tc>
          <w:tcPr>
            <w:tcW w:w="914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w w:val="95"/>
              </w:rPr>
              <w:t xml:space="preserve">Governing Law and Jurisdiction. </w:t>
            </w:r>
            <w:r>
              <w:rPr>
                <w:rFonts w:ascii="Arial" w:cs="Arial" w:eastAsia="Arial" w:hAnsi="Arial"/>
                <w:sz w:val="18"/>
                <w:szCs w:val="18"/>
                <w:color w:val="auto"/>
                <w:w w:val="95"/>
              </w:rPr>
              <w:t>The Deposit Agreement, the ADRs and the ADSs shall be interpreted in accordance</w:t>
            </w:r>
          </w:p>
        </w:tc>
        <w:tc>
          <w:tcPr>
            <w:tcW w:w="7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9"/>
              </w:rPr>
              <w:t>42</w:t>
            </w:r>
          </w:p>
        </w:tc>
      </w:tr>
      <w:tr>
        <w:trPr>
          <w:trHeight w:val="20"/>
        </w:trPr>
        <w:tc>
          <w:tcPr>
            <w:tcW w:w="1360" w:type="dxa"/>
            <w:vAlign w:val="bottom"/>
          </w:tcPr>
          <w:p>
            <w:pPr>
              <w:spacing w:after="0" w:line="20" w:lineRule="exact"/>
              <w:rPr>
                <w:sz w:val="1"/>
                <w:szCs w:val="1"/>
                <w:color w:val="auto"/>
              </w:rPr>
            </w:pPr>
          </w:p>
        </w:tc>
        <w:tc>
          <w:tcPr>
            <w:tcW w:w="920" w:type="dxa"/>
            <w:vAlign w:val="bottom"/>
            <w:tcBorders>
              <w:right w:val="single" w:sz="8" w:color="auto"/>
            </w:tcBorders>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140" w:type="dxa"/>
            <w:vAlign w:val="bottom"/>
            <w:gridSpan w:val="9"/>
          </w:tcPr>
          <w:p>
            <w:pPr>
              <w:spacing w:after="0"/>
              <w:rPr>
                <w:sz w:val="20"/>
                <w:szCs w:val="20"/>
                <w:color w:val="auto"/>
              </w:rPr>
            </w:pPr>
            <w:r>
              <w:rPr>
                <w:rFonts w:ascii="Arial" w:cs="Arial" w:eastAsia="Arial" w:hAnsi="Arial"/>
                <w:sz w:val="18"/>
                <w:szCs w:val="18"/>
                <w:color w:val="auto"/>
                <w:w w:val="91"/>
              </w:rPr>
              <w:t>with, and all rights hereunder and thereunder and provisions hereof and thereof shall be governed by, the laws of the State of</w:t>
            </w:r>
          </w:p>
        </w:tc>
        <w:tc>
          <w:tcPr>
            <w:tcW w:w="74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9140" w:type="dxa"/>
            <w:vAlign w:val="bottom"/>
            <w:gridSpan w:val="9"/>
          </w:tcPr>
          <w:p>
            <w:pPr>
              <w:spacing w:after="0"/>
              <w:rPr>
                <w:sz w:val="20"/>
                <w:szCs w:val="20"/>
                <w:color w:val="auto"/>
              </w:rPr>
            </w:pPr>
            <w:r>
              <w:rPr>
                <w:rFonts w:ascii="Arial" w:cs="Arial" w:eastAsia="Arial" w:hAnsi="Arial"/>
                <w:sz w:val="18"/>
                <w:szCs w:val="18"/>
                <w:color w:val="auto"/>
                <w:w w:val="93"/>
              </w:rPr>
              <w:t>New York applicable to contracts made and to be wholly performed in that State. Notwithstanding anything contained in the</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9"/>
          </w:tcPr>
          <w:p>
            <w:pPr>
              <w:spacing w:after="0"/>
              <w:rPr>
                <w:sz w:val="20"/>
                <w:szCs w:val="20"/>
                <w:color w:val="auto"/>
              </w:rPr>
            </w:pPr>
            <w:r>
              <w:rPr>
                <w:rFonts w:ascii="Arial" w:cs="Arial" w:eastAsia="Arial" w:hAnsi="Arial"/>
                <w:sz w:val="18"/>
                <w:szCs w:val="18"/>
                <w:color w:val="auto"/>
                <w:w w:val="94"/>
              </w:rPr>
              <w:t>Deposit Agreement to the contrary, any ADR or any present or future provisions of the laws of the State of New York, the</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9"/>
          </w:tcPr>
          <w:p>
            <w:pPr>
              <w:spacing w:after="0"/>
              <w:rPr>
                <w:sz w:val="20"/>
                <w:szCs w:val="20"/>
                <w:color w:val="auto"/>
              </w:rPr>
            </w:pPr>
            <w:r>
              <w:rPr>
                <w:rFonts w:ascii="Arial" w:cs="Arial" w:eastAsia="Arial" w:hAnsi="Arial"/>
                <w:sz w:val="18"/>
                <w:szCs w:val="18"/>
                <w:color w:val="auto"/>
                <w:w w:val="91"/>
              </w:rPr>
              <w:t>rights of holders of Shares and of any other Deposited Securities and the obligations and duties of the Company in respect of</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9"/>
          </w:tcPr>
          <w:p>
            <w:pPr>
              <w:spacing w:after="0"/>
              <w:rPr>
                <w:sz w:val="20"/>
                <w:szCs w:val="20"/>
                <w:color w:val="auto"/>
              </w:rPr>
            </w:pPr>
            <w:r>
              <w:rPr>
                <w:rFonts w:ascii="Arial" w:cs="Arial" w:eastAsia="Arial" w:hAnsi="Arial"/>
                <w:sz w:val="18"/>
                <w:szCs w:val="18"/>
                <w:color w:val="auto"/>
                <w:w w:val="93"/>
              </w:rPr>
              <w:t>the holders of Shares and other Deposited Securities, as such, shall be governed by the laws of the Cayman Islands (or, if</w:t>
            </w:r>
          </w:p>
        </w:tc>
        <w:tc>
          <w:tcPr>
            <w:tcW w:w="74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9140" w:type="dxa"/>
            <w:vAlign w:val="bottom"/>
            <w:gridSpan w:val="9"/>
          </w:tcPr>
          <w:p>
            <w:pPr>
              <w:spacing w:after="0"/>
              <w:rPr>
                <w:sz w:val="20"/>
                <w:szCs w:val="20"/>
                <w:color w:val="auto"/>
              </w:rPr>
            </w:pPr>
            <w:r>
              <w:rPr>
                <w:rFonts w:ascii="Arial" w:cs="Arial" w:eastAsia="Arial" w:hAnsi="Arial"/>
                <w:sz w:val="18"/>
                <w:szCs w:val="18"/>
                <w:color w:val="auto"/>
              </w:rPr>
              <w:t>applicable, such other laws as may govern the Deposited Securities)</w:t>
            </w:r>
          </w:p>
        </w:tc>
        <w:tc>
          <w:tcPr>
            <w:tcW w:w="740" w:type="dxa"/>
            <w:vAlign w:val="bottom"/>
          </w:tcPr>
          <w:p>
            <w:pPr>
              <w:spacing w:after="0"/>
              <w:rPr>
                <w:sz w:val="20"/>
                <w:szCs w:val="20"/>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7.7</w:t>
            </w:r>
          </w:p>
        </w:tc>
        <w:tc>
          <w:tcPr>
            <w:tcW w:w="914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1"/>
              </w:rPr>
              <w:t xml:space="preserve">Assignment. </w:t>
            </w:r>
            <w:r>
              <w:rPr>
                <w:rFonts w:ascii="Arial" w:cs="Arial" w:eastAsia="Arial" w:hAnsi="Arial"/>
                <w:sz w:val="18"/>
                <w:szCs w:val="18"/>
                <w:color w:val="auto"/>
                <w:w w:val="91"/>
              </w:rPr>
              <w:t>Subject to the provisions of Section 5.4, the Deposit Agreement may not be assigned by either the Company or</w:t>
            </w:r>
          </w:p>
        </w:tc>
        <w:tc>
          <w:tcPr>
            <w:tcW w:w="740" w:type="dxa"/>
            <w:vAlign w:val="bottom"/>
            <w:shd w:val="clear" w:color="auto" w:fill="CCEEFF"/>
          </w:tcPr>
          <w:p>
            <w:pPr>
              <w:jc w:val="center"/>
              <w:ind w:right="70"/>
              <w:spacing w:after="0" w:line="176" w:lineRule="exact"/>
              <w:rPr>
                <w:sz w:val="20"/>
                <w:szCs w:val="20"/>
                <w:color w:val="auto"/>
              </w:rPr>
            </w:pPr>
            <w:r>
              <w:rPr>
                <w:rFonts w:ascii="Arial" w:cs="Arial" w:eastAsia="Arial" w:hAnsi="Arial"/>
                <w:sz w:val="18"/>
                <w:szCs w:val="18"/>
                <w:color w:val="auto"/>
                <w:w w:val="89"/>
              </w:rPr>
              <w:t>44</w:t>
            </w:r>
          </w:p>
        </w:tc>
      </w:tr>
      <w:tr>
        <w:trPr>
          <w:trHeight w:val="20"/>
        </w:trPr>
        <w:tc>
          <w:tcPr>
            <w:tcW w:w="136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gridSpan w:val="2"/>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460" w:type="dxa"/>
            <w:vAlign w:val="bottom"/>
            <w:gridSpan w:val="2"/>
            <w:shd w:val="clear" w:color="auto" w:fill="CCEEFF"/>
          </w:tcPr>
          <w:p>
            <w:pPr>
              <w:spacing w:after="0" w:line="20" w:lineRule="exact"/>
              <w:rPr>
                <w:sz w:val="1"/>
                <w:szCs w:val="1"/>
                <w:color w:val="auto"/>
              </w:rPr>
            </w:pPr>
          </w:p>
        </w:tc>
        <w:tc>
          <w:tcPr>
            <w:tcW w:w="4180" w:type="dxa"/>
            <w:vAlign w:val="bottom"/>
            <w:gridSpan w:val="3"/>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37"/>
        </w:trPr>
        <w:tc>
          <w:tcPr>
            <w:tcW w:w="1360" w:type="dxa"/>
            <w:vAlign w:val="bottom"/>
            <w:shd w:val="clear" w:color="auto" w:fill="CCEEFF"/>
          </w:tcPr>
          <w:p>
            <w:pPr>
              <w:spacing w:after="0"/>
              <w:rPr>
                <w:sz w:val="20"/>
                <w:szCs w:val="20"/>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the Depositary</w:t>
            </w:r>
          </w:p>
        </w:tc>
        <w:tc>
          <w:tcPr>
            <w:tcW w:w="740" w:type="dxa"/>
            <w:vAlign w:val="bottom"/>
            <w:shd w:val="clear" w:color="auto" w:fill="CCEEFF"/>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7.8</w:t>
            </w:r>
          </w:p>
        </w:tc>
        <w:tc>
          <w:tcPr>
            <w:tcW w:w="914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rPr>
              <w:t>Compliance with, and No Disclaimer under, U.S. Securities Laws</w:t>
            </w:r>
          </w:p>
        </w:tc>
        <w:tc>
          <w:tcPr>
            <w:tcW w:w="7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9"/>
              </w:rPr>
              <w:t>44</w:t>
            </w:r>
          </w:p>
        </w:tc>
      </w:tr>
      <w:tr>
        <w:trPr>
          <w:trHeight w:val="20"/>
        </w:trPr>
        <w:tc>
          <w:tcPr>
            <w:tcW w:w="13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7.9</w:t>
            </w:r>
          </w:p>
        </w:tc>
        <w:tc>
          <w:tcPr>
            <w:tcW w:w="914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 xml:space="preserve">Cayman Islands Law References. </w:t>
            </w:r>
            <w:r>
              <w:rPr>
                <w:rFonts w:ascii="Arial" w:cs="Arial" w:eastAsia="Arial" w:hAnsi="Arial"/>
                <w:sz w:val="18"/>
                <w:szCs w:val="18"/>
                <w:color w:val="auto"/>
                <w:w w:val="92"/>
              </w:rPr>
              <w:t>Any summary of the laws and regulations of the Cayman Islands and of the terms of the</w:t>
            </w:r>
          </w:p>
        </w:tc>
        <w:tc>
          <w:tcPr>
            <w:tcW w:w="740" w:type="dxa"/>
            <w:vAlign w:val="bottom"/>
            <w:shd w:val="clear" w:color="auto" w:fill="CCEEFF"/>
          </w:tcPr>
          <w:p>
            <w:pPr>
              <w:jc w:val="center"/>
              <w:ind w:right="70"/>
              <w:spacing w:after="0" w:line="176" w:lineRule="exact"/>
              <w:rPr>
                <w:sz w:val="20"/>
                <w:szCs w:val="20"/>
                <w:color w:val="auto"/>
              </w:rPr>
            </w:pPr>
            <w:r>
              <w:rPr>
                <w:rFonts w:ascii="Arial" w:cs="Arial" w:eastAsia="Arial" w:hAnsi="Arial"/>
                <w:sz w:val="18"/>
                <w:szCs w:val="18"/>
                <w:color w:val="auto"/>
                <w:w w:val="89"/>
              </w:rPr>
              <w:t>44</w:t>
            </w:r>
          </w:p>
        </w:tc>
      </w:tr>
      <w:tr>
        <w:trPr>
          <w:trHeight w:val="20"/>
        </w:trPr>
        <w:tc>
          <w:tcPr>
            <w:tcW w:w="1360" w:type="dxa"/>
            <w:vAlign w:val="bottom"/>
            <w:shd w:val="clear" w:color="auto" w:fill="CCEEFF"/>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40" w:type="dxa"/>
            <w:vAlign w:val="bottom"/>
            <w:gridSpan w:val="5"/>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4"/>
              </w:rPr>
              <w:t>Articles of Association set forth in the Deposit Agreement have been provided by the Company solely for the convenience</w:t>
            </w:r>
          </w:p>
        </w:tc>
        <w:tc>
          <w:tcPr>
            <w:tcW w:w="74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2"/>
              </w:rPr>
              <w:t>of Holders, Beneficial Owners and the Depositary. While such summaries are believed by the Company to be accurate as of</w:t>
            </w:r>
          </w:p>
        </w:tc>
        <w:tc>
          <w:tcPr>
            <w:tcW w:w="74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9"/>
              </w:rPr>
              <w:t>the date of the Deposit Agreement, (i) they are summaries and as such may not include all aspects of the materials</w:t>
            </w:r>
          </w:p>
        </w:tc>
        <w:tc>
          <w:tcPr>
            <w:tcW w:w="74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4"/>
              </w:rPr>
              <w:t>summarized applicable to a Holder or Beneficial Owner, and (ii) these laws and regulations and the Articles of Association</w:t>
            </w:r>
          </w:p>
        </w:tc>
        <w:tc>
          <w:tcPr>
            <w:tcW w:w="74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2"/>
              </w:rPr>
              <w:t>may change after the date of the Deposit Agreement. Neither the Depositary nor the Company has any obligation under the</w:t>
            </w:r>
          </w:p>
        </w:tc>
        <w:tc>
          <w:tcPr>
            <w:tcW w:w="74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terms of the Deposit Agreement to update any such summaries</w:t>
            </w:r>
          </w:p>
        </w:tc>
        <w:tc>
          <w:tcPr>
            <w:tcW w:w="740" w:type="dxa"/>
            <w:vAlign w:val="bottom"/>
            <w:shd w:val="clear" w:color="auto" w:fill="CCEEFF"/>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7.10</w:t>
            </w:r>
          </w:p>
        </w:tc>
        <w:tc>
          <w:tcPr>
            <w:tcW w:w="914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rPr>
              <w:t>Titles and References</w:t>
            </w:r>
          </w:p>
        </w:tc>
        <w:tc>
          <w:tcPr>
            <w:tcW w:w="7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9"/>
              </w:rPr>
              <w:t>45</w:t>
            </w:r>
          </w:p>
        </w:tc>
      </w:tr>
      <w:tr>
        <w:trPr>
          <w:trHeight w:val="20"/>
        </w:trPr>
        <w:tc>
          <w:tcPr>
            <w:tcW w:w="13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EXHIBITS</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Form of ADR</w:t>
            </w:r>
          </w:p>
        </w:tc>
        <w:tc>
          <w:tcPr>
            <w:tcW w:w="7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A-1</w:t>
            </w:r>
          </w:p>
        </w:tc>
      </w:tr>
      <w:tr>
        <w:trPr>
          <w:trHeight w:val="230"/>
        </w:trPr>
        <w:tc>
          <w:tcPr>
            <w:tcW w:w="1360" w:type="dxa"/>
            <w:vAlign w:val="bottom"/>
          </w:tcPr>
          <w:p>
            <w:pPr>
              <w:spacing w:after="0"/>
              <w:rPr>
                <w:sz w:val="20"/>
                <w:szCs w:val="20"/>
                <w:color w:val="auto"/>
              </w:rPr>
            </w:pPr>
          </w:p>
        </w:tc>
        <w:tc>
          <w:tcPr>
            <w:tcW w:w="9140" w:type="dxa"/>
            <w:vAlign w:val="bottom"/>
            <w:gridSpan w:val="9"/>
          </w:tcPr>
          <w:p>
            <w:pPr>
              <w:spacing w:after="0"/>
              <w:rPr>
                <w:sz w:val="20"/>
                <w:szCs w:val="20"/>
                <w:color w:val="auto"/>
              </w:rPr>
            </w:pPr>
            <w:r>
              <w:rPr>
                <w:rFonts w:ascii="Arial" w:cs="Arial" w:eastAsia="Arial" w:hAnsi="Arial"/>
                <w:sz w:val="18"/>
                <w:szCs w:val="18"/>
                <w:color w:val="auto"/>
              </w:rPr>
              <w:t>Fee Schedule</w:t>
            </w: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2"/>
              </w:rPr>
              <w:t>B-1</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02" w:name="page203"/>
    <w:bookmarkEnd w:id="202"/>
    <w:p>
      <w:pPr>
        <w:jc w:val="center"/>
        <w:ind w:right="-159"/>
        <w:spacing w:after="0"/>
        <w:rPr>
          <w:sz w:val="20"/>
          <w:szCs w:val="20"/>
          <w:color w:val="auto"/>
        </w:rPr>
      </w:pPr>
      <w:r>
        <w:rPr>
          <w:rFonts w:ascii="Arial" w:cs="Arial" w:eastAsia="Arial" w:hAnsi="Arial"/>
          <w:sz w:val="18"/>
          <w:szCs w:val="18"/>
          <w:b w:val="1"/>
          <w:bCs w:val="1"/>
          <w:color w:val="auto"/>
        </w:rPr>
        <w:t>DEPOSIT AGREEMENT</w:t>
      </w:r>
    </w:p>
    <w:p>
      <w:pPr>
        <w:spacing w:after="0" w:line="225"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DEPOSIT AGREEMENT</w:t>
      </w:r>
      <w:r>
        <w:rPr>
          <w:rFonts w:ascii="Arial" w:cs="Arial" w:eastAsia="Arial" w:hAnsi="Arial"/>
          <w:sz w:val="18"/>
          <w:szCs w:val="18"/>
          <w:color w:val="auto"/>
        </w:rPr>
        <w:t>, dated as of [●], 2023, by and among (i) TRIDENT DIGITAL TECH HOLDINGS LTD, an exempted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with limited liability under the laws of the Cayman Islands, and its successors (the “</w:t>
      </w:r>
      <w:r>
        <w:rPr>
          <w:rFonts w:ascii="Arial" w:cs="Arial" w:eastAsia="Arial" w:hAnsi="Arial"/>
          <w:sz w:val="18"/>
          <w:szCs w:val="18"/>
          <w:u w:val="single" w:color="auto"/>
          <w:color w:val="auto"/>
        </w:rPr>
        <w:t>Company</w:t>
      </w:r>
      <w:r>
        <w:rPr>
          <w:rFonts w:ascii="Arial" w:cs="Arial" w:eastAsia="Arial" w:hAnsi="Arial"/>
          <w:sz w:val="18"/>
          <w:szCs w:val="18"/>
          <w:color w:val="auto"/>
        </w:rPr>
        <w:t>”), (ii) CITIBANK, N.A., a national banking association organized under the laws of the United States of America (“</w:t>
      </w:r>
      <w:r>
        <w:rPr>
          <w:rFonts w:ascii="Arial" w:cs="Arial" w:eastAsia="Arial" w:hAnsi="Arial"/>
          <w:sz w:val="18"/>
          <w:szCs w:val="18"/>
          <w:u w:val="single" w:color="auto"/>
          <w:color w:val="auto"/>
        </w:rPr>
        <w:t>Citibank</w:t>
      </w:r>
      <w:r>
        <w:rPr>
          <w:rFonts w:ascii="Arial" w:cs="Arial" w:eastAsia="Arial" w:hAnsi="Arial"/>
          <w:sz w:val="18"/>
          <w:szCs w:val="18"/>
          <w:color w:val="auto"/>
        </w:rPr>
        <w:t>”) acting in its capacity as depositary, and any successor depositary hereunder (Citibank in such capacity,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(iii) all Holders and Beneficial Owners of American Depositary Shares issued hereunder (all such capitalized terms as hereinafter defined).</w:t>
      </w:r>
    </w:p>
    <w:p>
      <w:pPr>
        <w:spacing w:after="0" w:line="1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 I T N E S S E T H T H A T</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desires to establish with the Depositary an ADR (as hereinafter defined) facility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 alia</w:t>
      </w:r>
      <w:r>
        <w:rPr>
          <w:rFonts w:ascii="Arial" w:cs="Arial" w:eastAsia="Arial" w:hAnsi="Arial"/>
          <w:sz w:val="16"/>
          <w:szCs w:val="16"/>
          <w:color w:val="auto"/>
        </w:rPr>
        <w:t>, provide for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Shares (as hereinafter defined) and the creation of American Depositary Shares representing the Shares so deposited and for the execution and Delivery (as hereinafter defined) of American Depositary Receipts (as hereinafter defined) evidencing such American Depositary Shares; and</w:t>
      </w:r>
    </w:p>
    <w:p>
      <w:pPr>
        <w:spacing w:after="0" w:line="142"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Depositary is willing to act as the Depositary for such ADR facility upon the terms set forth in the Deposit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defined); and</w:t>
      </w:r>
    </w:p>
    <w:p>
      <w:pPr>
        <w:spacing w:after="0" w:line="162" w:lineRule="exact"/>
        <w:rPr>
          <w:sz w:val="20"/>
          <w:szCs w:val="20"/>
          <w:color w:val="auto"/>
        </w:rPr>
      </w:pPr>
    </w:p>
    <w:p>
      <w:pPr>
        <w:ind w:right="28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any American Depositary Receipts issued pursuant to the terms of the Deposit Agreement are to be substantially in the form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with appropriate insertions, modifications and omissions, as hereinafter provided in the Deposit Agreement; and</w:t>
      </w:r>
    </w:p>
    <w:p>
      <w:pPr>
        <w:spacing w:after="0" w:line="116"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capitalized terms used, but not otherwise defined, herein shall have the meanings set forth below, unless otherwise clearly indicated: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1.1 “</w:t>
      </w:r>
      <w:r>
        <w:rPr>
          <w:rFonts w:ascii="Arial" w:cs="Arial" w:eastAsia="Arial" w:hAnsi="Arial"/>
          <w:sz w:val="18"/>
          <w:szCs w:val="18"/>
          <w:b w:val="1"/>
          <w:bCs w:val="1"/>
          <w:u w:val="single" w:color="auto"/>
          <w:color w:val="auto"/>
        </w:rPr>
        <w:t>ADS Record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given to such term in Section 4.9.</w:t>
      </w:r>
    </w:p>
    <w:p>
      <w:pPr>
        <w:spacing w:after="0" w:line="225" w:lineRule="exact"/>
        <w:rPr>
          <w:sz w:val="20"/>
          <w:szCs w:val="20"/>
          <w:color w:val="auto"/>
        </w:rPr>
      </w:pPr>
    </w:p>
    <w:p>
      <w:pPr>
        <w:ind w:right="780" w:firstLine="648"/>
        <w:spacing w:after="0" w:line="282" w:lineRule="auto"/>
        <w:rPr>
          <w:sz w:val="20"/>
          <w:szCs w:val="20"/>
          <w:color w:val="auto"/>
        </w:rPr>
      </w:pPr>
      <w:r>
        <w:rPr>
          <w:rFonts w:ascii="Arial" w:cs="Arial" w:eastAsia="Arial" w:hAnsi="Arial"/>
          <w:sz w:val="18"/>
          <w:szCs w:val="18"/>
          <w:b w:val="1"/>
          <w:bCs w:val="1"/>
          <w:color w:val="auto"/>
        </w:rPr>
        <w:t>Section 1.2 “</w:t>
      </w:r>
      <w:r>
        <w:rPr>
          <w:rFonts w:ascii="Arial" w:cs="Arial" w:eastAsia="Arial" w:hAnsi="Arial"/>
          <w:sz w:val="18"/>
          <w:szCs w:val="18"/>
          <w:b w:val="1"/>
          <w:bCs w:val="1"/>
          <w:u w:val="single" w:color="auto"/>
          <w:color w:val="auto"/>
        </w:rPr>
        <w:t>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assigned to such term by the Commission (as hereinafter defined) under Regulation C</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 (as hereinafter defined), or under any successor regulation thereto.</w:t>
      </w:r>
    </w:p>
    <w:p>
      <w:pPr>
        <w:spacing w:after="0" w:line="162"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b w:val="1"/>
          <w:bCs w:val="1"/>
          <w:color w:val="auto"/>
        </w:rPr>
        <w:t>Section 1.3 “</w:t>
      </w:r>
      <w:r>
        <w:rPr>
          <w:rFonts w:ascii="Arial" w:cs="Arial" w:eastAsia="Arial" w:hAnsi="Arial"/>
          <w:sz w:val="17"/>
          <w:szCs w:val="17"/>
          <w:b w:val="1"/>
          <w:bCs w:val="1"/>
          <w:u w:val="single" w:color="auto"/>
          <w:color w:val="auto"/>
        </w:rPr>
        <w:t>American Depositary Receipt(s)</w:t>
      </w:r>
      <w:r>
        <w:rPr>
          <w:rFonts w:ascii="Arial" w:cs="Arial" w:eastAsia="Arial" w:hAnsi="Arial"/>
          <w:sz w:val="17"/>
          <w:szCs w:val="17"/>
          <w:b w:val="1"/>
          <w:bCs w:val="1"/>
          <w:color w:val="auto"/>
        </w:rPr>
        <w:t>”, “</w:t>
      </w:r>
      <w:r>
        <w:rPr>
          <w:rFonts w:ascii="Arial" w:cs="Arial" w:eastAsia="Arial" w:hAnsi="Arial"/>
          <w:sz w:val="17"/>
          <w:szCs w:val="17"/>
          <w:b w:val="1"/>
          <w:bCs w:val="1"/>
          <w:u w:val="single" w:color="auto"/>
          <w:color w:val="auto"/>
        </w:rPr>
        <w:t>ADR(s)</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Receipt(s)</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certificate(s) issued by the Depositary to evidence</w:t>
      </w:r>
      <w:r>
        <w:rPr>
          <w:rFonts w:ascii="Arial" w:cs="Arial" w:eastAsia="Arial" w:hAnsi="Arial"/>
          <w:sz w:val="17"/>
          <w:szCs w:val="17"/>
          <w:b w:val="1"/>
          <w:bCs w:val="1"/>
          <w:color w:val="auto"/>
        </w:rPr>
        <w:t xml:space="preserve"> </w:t>
      </w:r>
      <w:r>
        <w:rPr>
          <w:rFonts w:ascii="Arial" w:cs="Arial" w:eastAsia="Arial" w:hAnsi="Arial"/>
          <w:sz w:val="17"/>
          <w:szCs w:val="17"/>
          <w:color w:val="auto"/>
        </w:rPr>
        <w:t>the American Depositary Shares issued under the terms of the Deposit Agreement in the form of Certificated ADS(s) (as hereinafter defined), as such ADRs may be amended from time to time in accordance with the provisions of the Deposit Agreement. An ADR may evidence any number of ADSs and may, in the case of ADSs held through a central depository such as DTC, be in the form of a “Balance Certificate.”</w:t>
      </w:r>
    </w:p>
    <w:p>
      <w:pPr>
        <w:spacing w:after="0" w:line="3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203" w:name="page204"/>
    <w:bookmarkEnd w:id="203"/>
    <w:p>
      <w:pPr>
        <w:ind w:right="40" w:firstLine="648"/>
        <w:spacing w:after="0" w:line="289" w:lineRule="auto"/>
        <w:rPr>
          <w:sz w:val="20"/>
          <w:szCs w:val="20"/>
          <w:color w:val="auto"/>
        </w:rPr>
      </w:pPr>
      <w:r>
        <w:rPr>
          <w:rFonts w:ascii="Arial" w:cs="Arial" w:eastAsia="Arial" w:hAnsi="Arial"/>
          <w:sz w:val="16"/>
          <w:szCs w:val="16"/>
          <w:b w:val="1"/>
          <w:bCs w:val="1"/>
          <w:color w:val="auto"/>
        </w:rPr>
        <w:t>Section 1.4 “</w:t>
      </w:r>
      <w:r>
        <w:rPr>
          <w:rFonts w:ascii="Arial" w:cs="Arial" w:eastAsia="Arial" w:hAnsi="Arial"/>
          <w:sz w:val="16"/>
          <w:szCs w:val="16"/>
          <w:b w:val="1"/>
          <w:bCs w:val="1"/>
          <w:u w:val="single" w:color="auto"/>
          <w:color w:val="auto"/>
        </w:rPr>
        <w:t>American Depositary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ADS(s)</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rights and interests in the Deposited Property (as hereinafter</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granted to the Holders and Beneficial Owners pursuant to the terms and conditions of the Deposit Agreement and, if issued as Certificated ADS(s) (as hereinafter defined), the ADR(s) issued to evidence such ADSs. ADS(s) may be issued under the terms of the Deposit Agreement in the form of</w:t>
      </w:r>
    </w:p>
    <w:p>
      <w:pPr>
        <w:spacing w:after="0" w:line="2" w:lineRule="exact"/>
        <w:rPr>
          <w:sz w:val="20"/>
          <w:szCs w:val="20"/>
          <w:color w:val="auto"/>
        </w:rPr>
      </w:pPr>
    </w:p>
    <w:p>
      <w:pPr>
        <w:ind w:firstLine="8"/>
        <w:spacing w:after="0" w:line="267" w:lineRule="auto"/>
        <w:tabs>
          <w:tab w:leader="none" w:pos="24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80"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Section 1.5 “</w:t>
      </w:r>
      <w:r>
        <w:rPr>
          <w:rFonts w:ascii="Arial" w:cs="Arial" w:eastAsia="Arial" w:hAnsi="Arial"/>
          <w:sz w:val="18"/>
          <w:szCs w:val="18"/>
          <w:b w:val="1"/>
          <w:bCs w:val="1"/>
          <w:u w:val="single" w:color="auto"/>
          <w:color w:val="auto"/>
        </w:rPr>
        <w:t>Articles of Association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memorandum and articles of association of the Company, and any other constitutional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of the Company, as amended or restated and in effect from time to time.</w:t>
      </w:r>
    </w:p>
    <w:p>
      <w:pPr>
        <w:spacing w:after="0" w:line="16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b w:val="1"/>
          <w:bCs w:val="1"/>
          <w:color w:val="auto"/>
        </w:rPr>
        <w:t>Section 1.6 “</w:t>
      </w:r>
      <w:r>
        <w:rPr>
          <w:rFonts w:ascii="Arial" w:cs="Arial" w:eastAsia="Arial" w:hAnsi="Arial"/>
          <w:sz w:val="16"/>
          <w:szCs w:val="16"/>
          <w:b w:val="1"/>
          <w:bCs w:val="1"/>
          <w:u w:val="single" w:color="auto"/>
          <w:color w:val="auto"/>
        </w:rPr>
        <w:t>Beneficial Owner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as to any ADS, any person or entity having a beneficial interest deriving from the ownership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ind w:left="660"/>
        <w:spacing w:after="0"/>
        <w:rPr>
          <w:sz w:val="20"/>
          <w:szCs w:val="20"/>
          <w:color w:val="auto"/>
        </w:rPr>
      </w:pPr>
      <w:r>
        <w:rPr>
          <w:rFonts w:ascii="Arial" w:cs="Arial" w:eastAsia="Arial" w:hAnsi="Arial"/>
          <w:sz w:val="18"/>
          <w:szCs w:val="18"/>
          <w:b w:val="1"/>
          <w:bCs w:val="1"/>
          <w:color w:val="auto"/>
        </w:rPr>
        <w:t>Section 1.7 “</w:t>
      </w:r>
      <w:r>
        <w:rPr>
          <w:rFonts w:ascii="Arial" w:cs="Arial" w:eastAsia="Arial" w:hAnsi="Arial"/>
          <w:sz w:val="18"/>
          <w:szCs w:val="18"/>
          <w:b w:val="1"/>
          <w:bCs w:val="1"/>
          <w:u w:val="single" w:color="auto"/>
          <w:color w:val="auto"/>
        </w:rPr>
        <w:t>Certificated ADS(s)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set forth in Section 2.13.</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Section 1.8 “</w:t>
      </w:r>
      <w:r>
        <w:rPr>
          <w:rFonts w:ascii="Arial" w:cs="Arial" w:eastAsia="Arial" w:hAnsi="Arial"/>
          <w:sz w:val="18"/>
          <w:szCs w:val="18"/>
          <w:b w:val="1"/>
          <w:bCs w:val="1"/>
          <w:u w:val="single" w:color="auto"/>
          <w:color w:val="auto"/>
        </w:rPr>
        <w:t>Citibank</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Citibank, N.A., a national banking association organized under the laws of the United States of America,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successors.</w:t>
      </w:r>
    </w:p>
    <w:p>
      <w:pPr>
        <w:spacing w:after="0" w:line="162"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Section 1.9 “</w:t>
      </w:r>
      <w:r>
        <w:rPr>
          <w:rFonts w:ascii="Arial" w:cs="Arial" w:eastAsia="Arial" w:hAnsi="Arial"/>
          <w:sz w:val="18"/>
          <w:szCs w:val="18"/>
          <w:b w:val="1"/>
          <w:bCs w:val="1"/>
          <w:u w:val="single" w:color="auto"/>
          <w:color w:val="auto"/>
        </w:rPr>
        <w:t>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Securities and Exchange Commission of the United States or any successor governmental agency</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in the United States.</w:t>
      </w:r>
    </w:p>
    <w:p>
      <w:pPr>
        <w:spacing w:after="0" w:line="162"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Section 1.10 “</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Trident Digital Tech Holdings Ltd, an exempted company incorporated with limited liability under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Cayman Islands, and its successors.</w:t>
      </w:r>
    </w:p>
    <w:p>
      <w:pPr>
        <w:spacing w:after="0" w:line="16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Section 1.11 “</w:t>
      </w:r>
      <w:r>
        <w:rPr>
          <w:rFonts w:ascii="Arial" w:cs="Arial" w:eastAsia="Arial" w:hAnsi="Arial"/>
          <w:sz w:val="18"/>
          <w:szCs w:val="18"/>
          <w:b w:val="1"/>
          <w:bCs w:val="1"/>
          <w:u w:val="single" w:color="auto"/>
          <w:color w:val="auto"/>
        </w:rPr>
        <w:t>Custodian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(i) as of the date hereof, Citibank, N.A. – Hong Kong, having its principal office at 9/F Citi Tower, One Bay</w:t>
      </w:r>
      <w:r>
        <w:rPr>
          <w:rFonts w:ascii="Arial" w:cs="Arial" w:eastAsia="Arial" w:hAnsi="Arial"/>
          <w:sz w:val="18"/>
          <w:szCs w:val="18"/>
          <w:b w:val="1"/>
          <w:bCs w:val="1"/>
          <w:color w:val="auto"/>
        </w:rPr>
        <w:t xml:space="preserve"> </w:t>
      </w:r>
      <w:r>
        <w:rPr>
          <w:rFonts w:ascii="Arial" w:cs="Arial" w:eastAsia="Arial" w:hAnsi="Arial"/>
          <w:sz w:val="18"/>
          <w:szCs w:val="18"/>
          <w:color w:val="auto"/>
        </w:rPr>
        <w:t>East, 83 Hoi Bun Road, Kwun Tong, Kowloon, Hong Kong,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83" w:lineRule="exact"/>
        <w:rPr>
          <w:sz w:val="20"/>
          <w:szCs w:val="20"/>
          <w:color w:val="auto"/>
        </w:rPr>
      </w:pPr>
    </w:p>
    <w:p>
      <w:pPr>
        <w:ind w:right="360" w:firstLine="648"/>
        <w:spacing w:after="0" w:line="258" w:lineRule="auto"/>
        <w:rPr>
          <w:sz w:val="20"/>
          <w:szCs w:val="20"/>
          <w:color w:val="auto"/>
        </w:rPr>
      </w:pPr>
      <w:r>
        <w:rPr>
          <w:rFonts w:ascii="Arial" w:cs="Arial" w:eastAsia="Arial" w:hAnsi="Arial"/>
          <w:sz w:val="18"/>
          <w:szCs w:val="18"/>
          <w:b w:val="1"/>
          <w:bCs w:val="1"/>
          <w:color w:val="auto"/>
        </w:rPr>
        <w:t>Section 1.12 “</w:t>
      </w:r>
      <w:r>
        <w:rPr>
          <w:rFonts w:ascii="Arial" w:cs="Arial" w:eastAsia="Arial" w:hAnsi="Arial"/>
          <w:sz w:val="18"/>
          <w:szCs w:val="18"/>
          <w:b w:val="1"/>
          <w:bCs w:val="1"/>
          <w:u w:val="single" w:color="auto"/>
          <w:color w:val="auto"/>
        </w:rPr>
        <w:t>Deliver</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(x)</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when used in respect of Shares and other Deposited Securities</w:t>
      </w:r>
      <w:r>
        <w:rPr>
          <w:rFonts w:ascii="Arial" w:cs="Arial" w:eastAsia="Arial" w:hAnsi="Arial"/>
          <w:sz w:val="18"/>
          <w:szCs w:val="18"/>
          <w:color w:val="auto"/>
        </w:rPr>
        <w:t>, either (i) the physical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delivery of the certificate(s) representing such securities, or (ii) the book-entry transfer and recordation of such securities on the books of the Share Registrar (as hereinafter defined) or in the applicable book-entry settlement system, if available, and (y) </w:t>
      </w:r>
      <w:r>
        <w:rPr>
          <w:rFonts w:ascii="Arial" w:cs="Arial" w:eastAsia="Arial" w:hAnsi="Arial"/>
          <w:sz w:val="18"/>
          <w:szCs w:val="18"/>
          <w:i w:val="1"/>
          <w:iCs w:val="1"/>
          <w:color w:val="auto"/>
        </w:rPr>
        <w:t>when used in respect of ADSs</w:t>
      </w:r>
      <w:r>
        <w:rPr>
          <w:rFonts w:ascii="Arial" w:cs="Arial" w:eastAsia="Arial" w:hAnsi="Arial"/>
          <w:sz w:val="18"/>
          <w:szCs w:val="18"/>
          <w:color w:val="auto"/>
        </w:rPr>
        <w:t>, either (i) the physical delivery of ADR(s) evidencing the ADSs, or (ii) the book-entry transfer and recordation of ADSs on the books of the Depositary or any book-entry settlement system in which the ADSs are settlement-eligible.</w:t>
      </w:r>
    </w:p>
    <w:p>
      <w:pPr>
        <w:spacing w:after="0" w:line="183"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Section 1.13 “</w:t>
      </w:r>
      <w:r>
        <w:rPr>
          <w:rFonts w:ascii="Arial" w:cs="Arial" w:eastAsia="Arial" w:hAnsi="Arial"/>
          <w:sz w:val="18"/>
          <w:szCs w:val="18"/>
          <w:b w:val="1"/>
          <w:bCs w:val="1"/>
          <w:u w:val="single" w:color="auto"/>
          <w:color w:val="auto"/>
        </w:rPr>
        <w:t>Deposit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this Deposit Agreement and all exhibits hereto, as the same may from time to time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supplemented from time to time in accordance with the terms of the Deposit Agreement.</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Section 1.14 “</w:t>
      </w:r>
      <w:r>
        <w:rPr>
          <w:rFonts w:ascii="Arial" w:cs="Arial" w:eastAsia="Arial" w:hAnsi="Arial"/>
          <w:sz w:val="18"/>
          <w:szCs w:val="18"/>
          <w:b w:val="1"/>
          <w:bCs w:val="1"/>
          <w:u w:val="single" w:color="auto"/>
          <w:color w:val="auto"/>
        </w:rPr>
        <w:t>Depositary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Citibank, N.A., a national banking association organized under the laws of the United States, in its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as depositary under the terms of the Deposit Agreement, and any successor depositary hereunder.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ind w:right="40" w:firstLine="648"/>
        <w:spacing w:after="0" w:line="274" w:lineRule="auto"/>
        <w:rPr>
          <w:sz w:val="20"/>
          <w:szCs w:val="20"/>
          <w:color w:val="auto"/>
        </w:rPr>
      </w:pPr>
      <w:r>
        <w:rPr>
          <w:rFonts w:ascii="Arial" w:cs="Arial" w:eastAsia="Arial" w:hAnsi="Arial"/>
          <w:sz w:val="17"/>
          <w:szCs w:val="17"/>
          <w:b w:val="1"/>
          <w:bCs w:val="1"/>
          <w:color w:val="auto"/>
        </w:rPr>
        <w:t>Section 1.15 “</w:t>
      </w:r>
      <w:r>
        <w:rPr>
          <w:rFonts w:ascii="Arial" w:cs="Arial" w:eastAsia="Arial" w:hAnsi="Arial"/>
          <w:sz w:val="17"/>
          <w:szCs w:val="17"/>
          <w:b w:val="1"/>
          <w:bCs w:val="1"/>
          <w:u w:val="single" w:color="auto"/>
          <w:color w:val="auto"/>
        </w:rPr>
        <w:t>Deposited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Deposited Securities and any cash and other property held on deposit by the Depositary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Custodian in respect of the ADSs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w:t>
      </w:r>
    </w:p>
    <w:p>
      <w:pPr>
        <w:spacing w:after="0" w:line="173"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Section 1.16 “</w:t>
      </w:r>
      <w:r>
        <w:rPr>
          <w:rFonts w:ascii="Arial" w:cs="Arial" w:eastAsia="Arial" w:hAnsi="Arial"/>
          <w:sz w:val="18"/>
          <w:szCs w:val="18"/>
          <w:b w:val="1"/>
          <w:bCs w:val="1"/>
          <w:u w:val="single" w:color="auto"/>
          <w:color w:val="auto"/>
        </w:rPr>
        <w:t>Deposited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Shares and any other securities held on deposit by the Custodian from time to time in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ADSs under the Deposit Agreement and constituting Deposited Property.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1.17 “</w:t>
      </w:r>
      <w:r>
        <w:rPr>
          <w:rFonts w:ascii="Arial" w:cs="Arial" w:eastAsia="Arial" w:hAnsi="Arial"/>
          <w:sz w:val="18"/>
          <w:szCs w:val="18"/>
          <w:b w:val="1"/>
          <w:bCs w:val="1"/>
          <w:u w:val="single" w:color="auto"/>
          <w:color w:val="auto"/>
        </w:rPr>
        <w:t>Dollars</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refer to the lawful currency of the United States.</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Section 1.18 “</w:t>
      </w:r>
      <w:r>
        <w:rPr>
          <w:rFonts w:ascii="Arial" w:cs="Arial" w:eastAsia="Arial" w:hAnsi="Arial"/>
          <w:sz w:val="18"/>
          <w:szCs w:val="18"/>
          <w:b w:val="1"/>
          <w:bCs w:val="1"/>
          <w:u w:val="single" w:color="auto"/>
          <w:color w:val="auto"/>
        </w:rPr>
        <w:t>DTC</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Depository Trust Company, a national clearinghouse and the central book-entry settlement system for</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traded in the United States and, as such, the custodian for the securities of DTC Participants (as hereinafter defined) maintained in DTC, and any successor thereto.</w:t>
      </w:r>
    </w:p>
    <w:p>
      <w:pPr>
        <w:spacing w:after="0" w:line="17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color w:val="auto"/>
        </w:rPr>
        <w:t>Section 1.19 “</w:t>
      </w:r>
      <w:r>
        <w:rPr>
          <w:rFonts w:ascii="Arial" w:cs="Arial" w:eastAsia="Arial" w:hAnsi="Arial"/>
          <w:sz w:val="16"/>
          <w:szCs w:val="16"/>
          <w:b w:val="1"/>
          <w:bCs w:val="1"/>
          <w:u w:val="single" w:color="auto"/>
          <w:color w:val="auto"/>
        </w:rPr>
        <w:t>DTC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any financial institution (or any nominee of such institution) having one or more participant accounts</w:t>
      </w:r>
      <w:r>
        <w:rPr>
          <w:rFonts w:ascii="Arial" w:cs="Arial" w:eastAsia="Arial" w:hAnsi="Arial"/>
          <w:sz w:val="16"/>
          <w:szCs w:val="16"/>
          <w:b w:val="1"/>
          <w:bCs w:val="1"/>
          <w:color w:val="auto"/>
        </w:rPr>
        <w:t xml:space="preserve"> </w:t>
      </w:r>
      <w:r>
        <w:rPr>
          <w:rFonts w:ascii="Arial" w:cs="Arial" w:eastAsia="Arial" w:hAnsi="Arial"/>
          <w:sz w:val="16"/>
          <w:szCs w:val="16"/>
          <w:color w:val="auto"/>
        </w:rPr>
        <w:t>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1.20 “</w:t>
      </w:r>
      <w:r>
        <w:rPr>
          <w:rFonts w:ascii="Arial" w:cs="Arial" w:eastAsia="Arial" w:hAnsi="Arial"/>
          <w:sz w:val="18"/>
          <w:szCs w:val="18"/>
          <w:b w:val="1"/>
          <w:bCs w:val="1"/>
          <w:u w:val="single" w:color="auto"/>
          <w:color w:val="auto"/>
        </w:rPr>
        <w:t>Exchange Act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United States Securities Exchange Act of 1934,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1.21 “</w:t>
      </w:r>
      <w:r>
        <w:rPr>
          <w:rFonts w:ascii="Arial" w:cs="Arial" w:eastAsia="Arial" w:hAnsi="Arial"/>
          <w:sz w:val="18"/>
          <w:szCs w:val="18"/>
          <w:b w:val="1"/>
          <w:bCs w:val="1"/>
          <w:u w:val="single" w:color="auto"/>
          <w:color w:val="auto"/>
        </w:rPr>
        <w:t>Foreign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any currency other than Dollars.</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Section 1.22 “</w:t>
      </w:r>
      <w:r>
        <w:rPr>
          <w:rFonts w:ascii="Arial" w:cs="Arial" w:eastAsia="Arial" w:hAnsi="Arial"/>
          <w:sz w:val="18"/>
          <w:szCs w:val="18"/>
          <w:b w:val="1"/>
          <w:bCs w:val="1"/>
          <w:u w:val="single" w:color="auto"/>
          <w:color w:val="auto"/>
        </w:rPr>
        <w:t>Full Entitlement ADR(s)</w:t>
      </w:r>
      <w:r>
        <w:rPr>
          <w:rFonts w:ascii="Arial" w:cs="Arial" w:eastAsia="Arial" w:hAnsi="Arial"/>
          <w:sz w:val="18"/>
          <w:szCs w:val="18"/>
          <w:b w:val="1"/>
          <w:bCs w:val="1"/>
          <w:color w:val="auto"/>
        </w:rPr>
        <w:t>”, “</w:t>
      </w:r>
      <w:r>
        <w:rPr>
          <w:rFonts w:ascii="Arial" w:cs="Arial" w:eastAsia="Arial" w:hAnsi="Arial"/>
          <w:sz w:val="18"/>
          <w:szCs w:val="18"/>
          <w:b w:val="1"/>
          <w:bCs w:val="1"/>
          <w:u w:val="single" w:color="auto"/>
          <w:color w:val="auto"/>
        </w:rPr>
        <w:t>Full Entitlement ADS(s)</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Full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 meanings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2.12.</w:t>
      </w:r>
    </w:p>
    <w:p>
      <w:pPr>
        <w:spacing w:after="0" w:line="162"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b w:val="1"/>
          <w:bCs w:val="1"/>
          <w:color w:val="auto"/>
        </w:rPr>
        <w:t>Section 1.23 “</w:t>
      </w:r>
      <w:r>
        <w:rPr>
          <w:rFonts w:ascii="Arial" w:cs="Arial" w:eastAsia="Arial" w:hAnsi="Arial"/>
          <w:sz w:val="16"/>
          <w:szCs w:val="16"/>
          <w:b w:val="1"/>
          <w:bCs w:val="1"/>
          <w:u w:val="single" w:color="auto"/>
          <w:color w:val="auto"/>
        </w:rPr>
        <w:t>Holder(s)</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person(s) in whose name the ADSs are registered on the books of the Depositary (or the Registrar, if</w:t>
      </w:r>
      <w:r>
        <w:rPr>
          <w:rFonts w:ascii="Arial" w:cs="Arial" w:eastAsia="Arial" w:hAnsi="Arial"/>
          <w:sz w:val="16"/>
          <w:szCs w:val="16"/>
          <w:b w:val="1"/>
          <w:bCs w:val="1"/>
          <w:color w:val="auto"/>
        </w:rPr>
        <w:t xml:space="preserve"> </w:t>
      </w:r>
      <w:r>
        <w:rPr>
          <w:rFonts w:ascii="Arial" w:cs="Arial" w:eastAsia="Arial" w:hAnsi="Arial"/>
          <w:sz w:val="16"/>
          <w:szCs w:val="16"/>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Deposit Agreement.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ind w:right="460" w:firstLine="648"/>
        <w:spacing w:after="0" w:line="282" w:lineRule="auto"/>
        <w:rPr>
          <w:sz w:val="20"/>
          <w:szCs w:val="20"/>
          <w:color w:val="auto"/>
        </w:rPr>
      </w:pPr>
      <w:r>
        <w:rPr>
          <w:rFonts w:ascii="Arial" w:cs="Arial" w:eastAsia="Arial" w:hAnsi="Arial"/>
          <w:sz w:val="18"/>
          <w:szCs w:val="18"/>
          <w:b w:val="1"/>
          <w:bCs w:val="1"/>
          <w:color w:val="auto"/>
        </w:rPr>
        <w:t>Section 1.24 “</w:t>
      </w:r>
      <w:r>
        <w:rPr>
          <w:rFonts w:ascii="Arial" w:cs="Arial" w:eastAsia="Arial" w:hAnsi="Arial"/>
          <w:sz w:val="18"/>
          <w:szCs w:val="18"/>
          <w:b w:val="1"/>
          <w:bCs w:val="1"/>
          <w:u w:val="single" w:color="auto"/>
          <w:color w:val="auto"/>
        </w:rPr>
        <w:t>Partial Entitlement ADR(s)</w:t>
      </w:r>
      <w:r>
        <w:rPr>
          <w:rFonts w:ascii="Arial" w:cs="Arial" w:eastAsia="Arial" w:hAnsi="Arial"/>
          <w:sz w:val="18"/>
          <w:szCs w:val="18"/>
          <w:b w:val="1"/>
          <w:bCs w:val="1"/>
          <w:color w:val="auto"/>
        </w:rPr>
        <w:t>”, “</w:t>
      </w:r>
      <w:r>
        <w:rPr>
          <w:rFonts w:ascii="Arial" w:cs="Arial" w:eastAsia="Arial" w:hAnsi="Arial"/>
          <w:sz w:val="18"/>
          <w:szCs w:val="18"/>
          <w:b w:val="1"/>
          <w:bCs w:val="1"/>
          <w:u w:val="single" w:color="auto"/>
          <w:color w:val="auto"/>
        </w:rPr>
        <w:t>Partial Entitlement ADS(s)</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Partial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set forth in Section 2.12.</w:t>
      </w:r>
    </w:p>
    <w:p>
      <w:pPr>
        <w:spacing w:after="0" w:line="16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Section 1.25 “</w:t>
      </w:r>
      <w:r>
        <w:rPr>
          <w:rFonts w:ascii="Arial" w:cs="Arial" w:eastAsia="Arial" w:hAnsi="Arial"/>
          <w:sz w:val="18"/>
          <w:szCs w:val="18"/>
          <w:b w:val="1"/>
          <w:bCs w:val="1"/>
          <w:u w:val="single" w:color="auto"/>
          <w:color w:val="auto"/>
        </w:rPr>
        <w:t>Principal Office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when used with respect to the Depositary, the principal office of the Depositary at which at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time its depositary receipts business shall be administered, which, at the date of the Deposit Agreement, is located at 388 Greenwich Street, New York, New York 10013, U.S.A.</w:t>
      </w:r>
    </w:p>
    <w:p>
      <w:pPr>
        <w:spacing w:after="0" w:line="17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7"/>
          <w:szCs w:val="17"/>
          <w:b w:val="1"/>
          <w:bCs w:val="1"/>
          <w:color w:val="auto"/>
        </w:rPr>
        <w:t>Section 1.26 “</w:t>
      </w:r>
      <w:r>
        <w:rPr>
          <w:rFonts w:ascii="Arial" w:cs="Arial" w:eastAsia="Arial" w:hAnsi="Arial"/>
          <w:sz w:val="17"/>
          <w:szCs w:val="17"/>
          <w:b w:val="1"/>
          <w:bCs w:val="1"/>
          <w:u w:val="single" w:color="auto"/>
          <w:color w:val="auto"/>
        </w:rPr>
        <w:t>Registrar</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Depositary or any bank or trust company having an office in the Borough of Manhattan, The City of</w:t>
      </w:r>
      <w:r>
        <w:rPr>
          <w:rFonts w:ascii="Arial" w:cs="Arial" w:eastAsia="Arial" w:hAnsi="Arial"/>
          <w:sz w:val="17"/>
          <w:szCs w:val="17"/>
          <w:b w:val="1"/>
          <w:bCs w:val="1"/>
          <w:color w:val="auto"/>
        </w:rPr>
        <w:t xml:space="preserve"> </w:t>
      </w:r>
      <w:r>
        <w:rPr>
          <w:rFonts w:ascii="Arial" w:cs="Arial" w:eastAsia="Arial" w:hAnsi="Arial"/>
          <w:sz w:val="17"/>
          <w:szCs w:val="17"/>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6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Section 1.27 “</w:t>
      </w:r>
      <w:r>
        <w:rPr>
          <w:rFonts w:ascii="Arial" w:cs="Arial" w:eastAsia="Arial" w:hAnsi="Arial"/>
          <w:sz w:val="17"/>
          <w:szCs w:val="17"/>
          <w:b w:val="1"/>
          <w:bCs w:val="1"/>
          <w:u w:val="single" w:color="auto"/>
          <w:color w:val="auto"/>
        </w:rPr>
        <w:t>Restricted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Shares, Deposited Securities or ADSs which (i) have been acquired directly or indirectly from</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the Cayman Islands, or under a shareholder agreement or the Articles of Association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1.28 “</w:t>
      </w:r>
      <w:r>
        <w:rPr>
          <w:rFonts w:ascii="Arial" w:cs="Arial" w:eastAsia="Arial" w:hAnsi="Arial"/>
          <w:sz w:val="16"/>
          <w:szCs w:val="16"/>
          <w:b w:val="1"/>
          <w:bCs w:val="1"/>
          <w:u w:val="single" w:color="auto"/>
          <w:color w:val="auto"/>
        </w:rPr>
        <w:t>Restricted ADR(s)</w:t>
      </w: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auto"/>
        </w:rPr>
        <w:t>Restricted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Restricted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respective meanings set forth in Section 2.14.</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1.29 “</w:t>
      </w:r>
      <w:r>
        <w:rPr>
          <w:rFonts w:ascii="Arial" w:cs="Arial" w:eastAsia="Arial" w:hAnsi="Arial"/>
          <w:sz w:val="18"/>
          <w:szCs w:val="18"/>
          <w:b w:val="1"/>
          <w:bCs w:val="1"/>
          <w:u w:val="single" w:color="auto"/>
          <w:color w:val="auto"/>
        </w:rPr>
        <w:t>Securities Act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United States Securities Act of 1933, as amended from time to time.</w:t>
      </w:r>
    </w:p>
    <w:p>
      <w:pPr>
        <w:spacing w:after="0" w:line="225" w:lineRule="exact"/>
        <w:rPr>
          <w:sz w:val="20"/>
          <w:szCs w:val="20"/>
          <w:color w:val="auto"/>
        </w:rPr>
      </w:pPr>
    </w:p>
    <w:p>
      <w:pPr>
        <w:ind w:right="380" w:firstLine="648"/>
        <w:spacing w:after="0" w:line="347" w:lineRule="auto"/>
        <w:rPr>
          <w:sz w:val="20"/>
          <w:szCs w:val="20"/>
          <w:color w:val="auto"/>
        </w:rPr>
      </w:pPr>
      <w:r>
        <w:rPr>
          <w:rFonts w:ascii="Arial" w:cs="Arial" w:eastAsia="Arial" w:hAnsi="Arial"/>
          <w:sz w:val="16"/>
          <w:szCs w:val="16"/>
          <w:b w:val="1"/>
          <w:bCs w:val="1"/>
          <w:color w:val="auto"/>
        </w:rPr>
        <w:t>Section 1.30 “</w:t>
      </w:r>
      <w:r>
        <w:rPr>
          <w:rFonts w:ascii="Arial" w:cs="Arial" w:eastAsia="Arial" w:hAnsi="Arial"/>
          <w:sz w:val="16"/>
          <w:szCs w:val="16"/>
          <w:b w:val="1"/>
          <w:bCs w:val="1"/>
          <w:u w:val="single" w:color="auto"/>
          <w:color w:val="auto"/>
        </w:rPr>
        <w:t>Share Registrar</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Sertus Incorporations (Cayman) Limited or any other institution organized under the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Cayman Islands appointed by the Company from time to time to carry out the duties of registrar for the Shares, and any successor thereto.</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7" w:name="page208"/>
    <w:bookmarkEnd w:id="207"/>
    <w:p>
      <w:pPr>
        <w:ind w:right="60" w:firstLine="648"/>
        <w:spacing w:after="0" w:line="294" w:lineRule="auto"/>
        <w:rPr>
          <w:sz w:val="20"/>
          <w:szCs w:val="20"/>
          <w:color w:val="auto"/>
        </w:rPr>
      </w:pPr>
      <w:r>
        <w:rPr>
          <w:rFonts w:ascii="Arial" w:cs="Arial" w:eastAsia="Arial" w:hAnsi="Arial"/>
          <w:sz w:val="16"/>
          <w:szCs w:val="16"/>
          <w:b w:val="1"/>
          <w:bCs w:val="1"/>
          <w:color w:val="auto"/>
        </w:rPr>
        <w:t>Section 1.31 “</w:t>
      </w:r>
      <w:r>
        <w:rPr>
          <w:rFonts w:ascii="Arial" w:cs="Arial" w:eastAsia="Arial" w:hAnsi="Arial"/>
          <w:sz w:val="16"/>
          <w:szCs w:val="16"/>
          <w:b w:val="1"/>
          <w:bCs w:val="1"/>
          <w:u w:val="single" w:color="auto"/>
          <w:color w:val="auto"/>
        </w:rPr>
        <w:t>Shares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Company’s Class B ordinary shares, par value US$0.00001 per share, validly issued and outstanding and</w:t>
      </w:r>
      <w:r>
        <w:rPr>
          <w:rFonts w:ascii="Arial" w:cs="Arial" w:eastAsia="Arial" w:hAnsi="Arial"/>
          <w:sz w:val="16"/>
          <w:szCs w:val="16"/>
          <w:b w:val="1"/>
          <w:bCs w:val="1"/>
          <w:color w:val="auto"/>
        </w:rPr>
        <w:t xml:space="preserve"> </w:t>
      </w:r>
      <w:r>
        <w:rPr>
          <w:rFonts w:ascii="Arial" w:cs="Arial" w:eastAsia="Arial" w:hAnsi="Arial"/>
          <w:sz w:val="16"/>
          <w:szCs w:val="16"/>
          <w:color w:val="auto"/>
        </w:rPr>
        <w:t>fully paid and may, if the Depositary so agrees after consultation with the Company, include evidence of the right to receive Shares; provided that in no event shall Shares include evidence of the right to receive Shares with respect to which the full purchase price has not been paid or Shares as to which preemptive rights have theretofore not been validly waived or exercised; provided further, however, that, if there shall occur any change in par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1.32 “</w:t>
      </w:r>
      <w:r>
        <w:rPr>
          <w:rFonts w:ascii="Arial" w:cs="Arial" w:eastAsia="Arial" w:hAnsi="Arial"/>
          <w:sz w:val="18"/>
          <w:szCs w:val="18"/>
          <w:b w:val="1"/>
          <w:bCs w:val="1"/>
          <w:u w:val="single" w:color="auto"/>
          <w:color w:val="auto"/>
        </w:rPr>
        <w:t>Uncertificated ADS(s)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set forth in Section 2.13.</w:t>
      </w:r>
    </w:p>
    <w:p>
      <w:pPr>
        <w:spacing w:after="0" w:line="225"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Section 1.33 “</w:t>
      </w:r>
      <w:r>
        <w:rPr>
          <w:rFonts w:ascii="Arial" w:cs="Arial" w:eastAsia="Arial" w:hAnsi="Arial"/>
          <w:sz w:val="18"/>
          <w:szCs w:val="18"/>
          <w:b w:val="1"/>
          <w:bCs w:val="1"/>
          <w:u w:val="single" w:color="auto"/>
          <w:color w:val="auto"/>
        </w:rPr>
        <w:t>United States</w:t>
      </w:r>
      <w:r>
        <w:rPr>
          <w:rFonts w:ascii="Arial" w:cs="Arial" w:eastAsia="Arial" w:hAnsi="Arial"/>
          <w:sz w:val="18"/>
          <w:szCs w:val="18"/>
          <w:b w:val="1"/>
          <w:bCs w:val="1"/>
          <w:color w:val="auto"/>
        </w:rPr>
        <w:t>” and “</w:t>
      </w:r>
      <w:r>
        <w:rPr>
          <w:rFonts w:ascii="Arial" w:cs="Arial" w:eastAsia="Arial" w:hAnsi="Arial"/>
          <w:sz w:val="18"/>
          <w:szCs w:val="18"/>
          <w:b w:val="1"/>
          <w:bCs w:val="1"/>
          <w:u w:val="single" w:color="auto"/>
          <w:color w:val="auto"/>
        </w:rPr>
        <w:t>U.S.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assigned to it in Regulation S as promulgated by the Commission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APPOINTMENT OF DEPOSITARY; FORM OF RECEIPTS;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DEPOSIT OF SHARES; EXECUTION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DELIVERY, TRANSFER AND SURRENDER OF RECEIPTS</w:t>
      </w:r>
    </w:p>
    <w:p>
      <w:pPr>
        <w:spacing w:after="0" w:line="20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b w:val="1"/>
          <w:bCs w:val="1"/>
          <w:u w:val="single" w:color="auto"/>
          <w:color w:val="auto"/>
        </w:rPr>
        <w:t>Appointment of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hereby appoints the Depositary as depositary for the Deposited Property and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w:t>
      </w:r>
    </w:p>
    <w:p>
      <w:pPr>
        <w:spacing w:after="0" w:line="2" w:lineRule="exact"/>
        <w:rPr>
          <w:sz w:val="20"/>
          <w:szCs w:val="20"/>
          <w:color w:val="auto"/>
        </w:rPr>
      </w:pPr>
    </w:p>
    <w:p>
      <w:pPr>
        <w:ind w:firstLine="8"/>
        <w:spacing w:after="0" w:line="253" w:lineRule="auto"/>
        <w:tabs>
          <w:tab w:leader="none" w:pos="2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appoint the Depositary as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Form and Transferability of ADSs</w:t>
      </w:r>
      <w:r>
        <w:rPr>
          <w:rFonts w:ascii="Arial" w:cs="Arial" w:eastAsia="Arial" w:hAnsi="Arial"/>
          <w:sz w:val="18"/>
          <w:szCs w:val="18"/>
          <w:color w:val="auto"/>
        </w:rPr>
        <w:t>.</w:t>
      </w:r>
    </w:p>
    <w:p>
      <w:pPr>
        <w:spacing w:after="0" w:line="225" w:lineRule="exact"/>
        <w:rPr>
          <w:sz w:val="20"/>
          <w:szCs w:val="20"/>
          <w:color w:val="auto"/>
        </w:rPr>
      </w:pPr>
    </w:p>
    <w:p>
      <w:pPr>
        <w:ind w:right="100" w:firstLine="656"/>
        <w:spacing w:after="0" w:line="287" w:lineRule="auto"/>
        <w:tabs>
          <w:tab w:leader="none" w:pos="903"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Form</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Certificated ADSs shall be evidenced by definitive ADRs which shall be engraved, printed, lithographed or produced in such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manner as may be agreed upon by the Company and the Depositary. ADRs may be issued under the Deposit Agreement in denominations of any whole number of ADSs. The ADRs shall be substantially in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8" w:name="page209"/>
    <w:bookmarkEnd w:id="208"/>
    <w:p>
      <w:pPr>
        <w:ind w:left="-8" w:right="140" w:firstLine="656"/>
        <w:spacing w:after="0" w:line="293" w:lineRule="auto"/>
        <w:tabs>
          <w:tab w:leader="none" w:pos="905" w:val="left"/>
        </w:tabs>
        <w:numPr>
          <w:ilvl w:val="1"/>
          <w:numId w:val="17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Legends</w:t>
      </w:r>
      <w:r>
        <w:rPr>
          <w:rFonts w:ascii="Arial" w:cs="Arial" w:eastAsia="Arial" w:hAnsi="Arial"/>
          <w:sz w:val="16"/>
          <w:szCs w:val="16"/>
          <w:b w:val="1"/>
          <w:bCs w:val="1"/>
          <w:color w:val="auto"/>
        </w:rPr>
        <w:t xml:space="preserve">. </w:t>
      </w:r>
      <w:r>
        <w:rPr>
          <w:rFonts w:ascii="Arial" w:cs="Arial" w:eastAsia="Arial" w:hAnsi="Arial"/>
          <w:sz w:val="16"/>
          <w:szCs w:val="16"/>
          <w:color w:val="auto"/>
        </w:rPr>
        <w:t>The ADRs may be endorsed with, or have incorporated in the text thereof, such legends or recitals not inconsistent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Deposit Agreement as may be (i) necessary to enable the Depositary and the Company to perform their respective obligations hereunder,</w:t>
      </w:r>
    </w:p>
    <w:p>
      <w:pPr>
        <w:spacing w:after="0" w:line="1" w:lineRule="exact"/>
        <w:rPr>
          <w:rFonts w:ascii="Arial" w:cs="Arial" w:eastAsia="Arial" w:hAnsi="Arial"/>
          <w:sz w:val="16"/>
          <w:szCs w:val="16"/>
          <w:b w:val="1"/>
          <w:bCs w:val="1"/>
          <w:color w:val="auto"/>
        </w:rPr>
      </w:pPr>
    </w:p>
    <w:p>
      <w:pPr>
        <w:ind w:left="-8" w:firstLine="8"/>
        <w:spacing w:after="0" w:line="270" w:lineRule="auto"/>
        <w:tabs>
          <w:tab w:leader="none" w:pos="257" w:val="left"/>
        </w:tabs>
        <w:numPr>
          <w:ilvl w:val="0"/>
          <w:numId w:val="177"/>
        </w:numPr>
        <w:rPr>
          <w:rFonts w:ascii="Arial" w:cs="Arial" w:eastAsia="Arial" w:hAnsi="Arial"/>
          <w:sz w:val="17"/>
          <w:szCs w:val="17"/>
          <w:color w:val="auto"/>
        </w:rPr>
      </w:pPr>
      <w:r>
        <w:rPr>
          <w:rFonts w:ascii="Arial" w:cs="Arial" w:eastAsia="Arial" w:hAnsi="Arial"/>
          <w:sz w:val="17"/>
          <w:szCs w:val="17"/>
          <w:color w:val="auto"/>
        </w:rPr>
        <w:t>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74" w:lineRule="exact"/>
        <w:rPr>
          <w:rFonts w:ascii="Arial" w:cs="Arial" w:eastAsia="Arial" w:hAnsi="Arial"/>
          <w:sz w:val="17"/>
          <w:szCs w:val="17"/>
          <w:color w:val="auto"/>
        </w:rPr>
      </w:pPr>
    </w:p>
    <w:p>
      <w:pPr>
        <w:ind w:left="-8" w:right="40" w:firstLine="656"/>
        <w:spacing w:after="0" w:line="254" w:lineRule="auto"/>
        <w:tabs>
          <w:tab w:leader="none" w:pos="884" w:val="left"/>
        </w:tabs>
        <w:numPr>
          <w:ilvl w:val="1"/>
          <w:numId w:val="1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Title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limitations contained herein and in the ADR, title to an ADR (and to each Certificated ADS evidenced thereby)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191" w:lineRule="exact"/>
        <w:rPr>
          <w:rFonts w:ascii="Arial" w:cs="Arial" w:eastAsia="Arial" w:hAnsi="Arial"/>
          <w:sz w:val="18"/>
          <w:szCs w:val="18"/>
          <w:b w:val="1"/>
          <w:bCs w:val="1"/>
          <w:color w:val="auto"/>
        </w:rPr>
      </w:pPr>
    </w:p>
    <w:p>
      <w:pPr>
        <w:ind w:left="-8" w:firstLine="656"/>
        <w:spacing w:after="0" w:line="268" w:lineRule="auto"/>
        <w:tabs>
          <w:tab w:leader="none" w:pos="905" w:val="left"/>
        </w:tabs>
        <w:numPr>
          <w:ilvl w:val="1"/>
          <w:numId w:val="17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Book-Entry Systems</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shall make arrangements for the acceptance of the ADSs into DTC. All ADSs held through DTC will</w:t>
      </w:r>
      <w:r>
        <w:rPr>
          <w:rFonts w:ascii="Arial" w:cs="Arial" w:eastAsia="Arial" w:hAnsi="Arial"/>
          <w:sz w:val="17"/>
          <w:szCs w:val="17"/>
          <w:b w:val="1"/>
          <w:bCs w:val="1"/>
          <w:color w:val="auto"/>
        </w:rPr>
        <w:t xml:space="preserve"> </w:t>
      </w:r>
      <w:r>
        <w:rPr>
          <w:rFonts w:ascii="Arial" w:cs="Arial" w:eastAsia="Arial" w:hAnsi="Arial"/>
          <w:sz w:val="17"/>
          <w:szCs w:val="17"/>
          <w:color w:val="auto"/>
        </w:rPr>
        <w:t>be registered in the name of the nominee for DTC (currently “Cede &amp; Co.”). As such, the nominee for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09" w:name="page210"/>
    <w:bookmarkEnd w:id="209"/>
    <w:p>
      <w:pPr>
        <w:ind w:firstLine="648"/>
        <w:spacing w:after="0" w:line="285"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the Deposit Agreement and applicable law, Shares or evidence of rights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Arial" w:cs="Arial" w:eastAsia="Arial" w:hAnsi="Arial"/>
          <w:sz w:val="16"/>
          <w:szCs w:val="16"/>
          <w:i w:val="1"/>
          <w:iCs w:val="1"/>
          <w:color w:val="auto"/>
        </w:rPr>
        <w:t>in the case</w:t>
      </w:r>
      <w:r>
        <w:rPr>
          <w:rFonts w:ascii="Arial" w:cs="Arial" w:eastAsia="Arial" w:hAnsi="Arial"/>
          <w:sz w:val="16"/>
          <w:szCs w:val="16"/>
          <w:color w:val="auto"/>
        </w:rPr>
        <w:t xml:space="preserve"> </w:t>
      </w:r>
      <w:r>
        <w:rPr>
          <w:rFonts w:ascii="Arial" w:cs="Arial" w:eastAsia="Arial" w:hAnsi="Arial"/>
          <w:sz w:val="16"/>
          <w:szCs w:val="16"/>
          <w:i w:val="1"/>
          <w:iCs w:val="1"/>
          <w:color w:val="auto"/>
        </w:rPr>
        <w:t>of Shares represented by certificates issued in registered form</w:t>
      </w:r>
      <w:r>
        <w:rPr>
          <w:rFonts w:ascii="Arial" w:cs="Arial" w:eastAsia="Arial" w:hAnsi="Arial"/>
          <w:sz w:val="16"/>
          <w:szCs w:val="16"/>
          <w:color w:val="auto"/>
        </w:rPr>
        <w:t>, appropriate instruments of transfer or endorsement, in a form reasonably satisfactory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Custodian, (ii) </w:t>
      </w:r>
      <w:r>
        <w:rPr>
          <w:rFonts w:ascii="Arial" w:cs="Arial" w:eastAsia="Arial" w:hAnsi="Arial"/>
          <w:sz w:val="16"/>
          <w:szCs w:val="16"/>
          <w:i w:val="1"/>
          <w:iCs w:val="1"/>
          <w:color w:val="auto"/>
        </w:rPr>
        <w:t>in the case of Shares represented by certificates in bearer form,</w:t>
      </w:r>
      <w:r>
        <w:rPr>
          <w:rFonts w:ascii="Arial" w:cs="Arial" w:eastAsia="Arial" w:hAnsi="Arial"/>
          <w:sz w:val="16"/>
          <w:szCs w:val="16"/>
          <w:color w:val="auto"/>
        </w:rPr>
        <w:t xml:space="preserve"> the requisite coupons and talons pertaining thereto, and (iii) </w:t>
      </w:r>
      <w:r>
        <w:rPr>
          <w:rFonts w:ascii="Arial" w:cs="Arial" w:eastAsia="Arial" w:hAnsi="Arial"/>
          <w:sz w:val="16"/>
          <w:szCs w:val="16"/>
          <w:i w:val="1"/>
          <w:iCs w:val="1"/>
          <w:color w:val="auto"/>
        </w:rPr>
        <w:t>in the case of</w:t>
      </w:r>
      <w:r>
        <w:rPr>
          <w:rFonts w:ascii="Arial" w:cs="Arial" w:eastAsia="Arial" w:hAnsi="Arial"/>
          <w:sz w:val="16"/>
          <w:szCs w:val="16"/>
          <w:color w:val="auto"/>
        </w:rPr>
        <w:t xml:space="preserve"> </w:t>
      </w:r>
      <w:r>
        <w:rPr>
          <w:rFonts w:ascii="Arial" w:cs="Arial" w:eastAsia="Arial" w:hAnsi="Arial"/>
          <w:sz w:val="16"/>
          <w:szCs w:val="16"/>
          <w:i w:val="1"/>
          <w:iCs w:val="1"/>
          <w:color w:val="auto"/>
        </w:rPr>
        <w:t>Shares delivered by book-entry transfer and recordation</w:t>
      </w:r>
      <w:r>
        <w:rPr>
          <w:rFonts w:ascii="Arial" w:cs="Arial" w:eastAsia="Arial" w:hAnsi="Arial"/>
          <w:sz w:val="16"/>
          <w:szCs w:val="16"/>
          <w:color w:val="auto"/>
        </w:rPr>
        <w:t>, confirmation of such book-entry transfer and recordation in the books of the Share Registrar or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applicable book-entry settlement entity, as applicable, to the Custodian or that irrevocable instructions have been given to cause such Shares to be so issued, transferred and recorded,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the Cayman Islands, and (E) if the Depositary so requires, (i) an agreement, assignment or instrument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the Cayman Islands and any necessary approval has been granted by any applicable governmental body in the Cayman Islands,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18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Articles of Association.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10" w:name="page211"/>
    <w:bookmarkEnd w:id="210"/>
    <w:p>
      <w:pPr>
        <w:ind w:right="40" w:firstLine="648"/>
        <w:spacing w:after="0" w:line="285"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Registration and Safekeeping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instruct the Custodian upon each Delivery of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174"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b w:val="1"/>
          <w:bCs w:val="1"/>
          <w:color w:val="auto"/>
        </w:rPr>
        <w:t xml:space="preserve">Section 2.5 </w:t>
      </w:r>
      <w:r>
        <w:rPr>
          <w:rFonts w:ascii="Arial" w:cs="Arial" w:eastAsia="Arial" w:hAnsi="Arial"/>
          <w:sz w:val="16"/>
          <w:szCs w:val="16"/>
          <w:b w:val="1"/>
          <w:bCs w:val="1"/>
          <w:u w:val="single" w:color="auto"/>
          <w:color w:val="auto"/>
        </w:rPr>
        <w:t>Issuance of ADSs</w:t>
      </w:r>
      <w:r>
        <w:rPr>
          <w:rFonts w:ascii="Arial" w:cs="Arial" w:eastAsia="Arial" w:hAnsi="Arial"/>
          <w:sz w:val="16"/>
          <w:szCs w:val="16"/>
          <w:color w:val="auto"/>
        </w:rPr>
        <w:t>. The Depositary has made arrangements with the Custodian for the Custodian to confirm to the Depositary upon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or on the books of the applicable book-entry settlement entity,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is/are entitled, but, in each case, only upon payment to the Depositary of the ADS fees and charges of the Depositary for accepting a deposit of Shares and issuing ADSs (as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and all taxes and governmental charges and fees payable in connection with such deposit and the transfer of the Shares and the issuance of the ADS(s). Upon receipt of satisfactory instructions from ADS Holders and payment of applicable taxes and the ADS fees and charges of the Depositary for the issuance, cancellation and conversion of ADSs (as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the Depositary shall also, subject to the applicable terms and conditions of, and contemplated in, the Deposit Agreement and applicable law, issue new ADSs in connection with the conversion of existing ADSs of one series for ADSs of another series (e.g. in connection with the conversion of Restricted ADSs into freely transferable ADSs and the conversion of Partial Entitlement ADSs into Full Entitlement ADSs), in which case the Depositary shall (i) only issue such number of new ADSs of one series as equals the number of existing ADSs cancelled of the corresponding series, and</w:t>
      </w:r>
    </w:p>
    <w:p>
      <w:pPr>
        <w:spacing w:after="0" w:line="2" w:lineRule="exact"/>
        <w:rPr>
          <w:sz w:val="20"/>
          <w:szCs w:val="20"/>
          <w:color w:val="auto"/>
        </w:rPr>
      </w:pPr>
    </w:p>
    <w:p>
      <w:pPr>
        <w:ind w:left="280" w:hanging="272"/>
        <w:spacing w:after="0"/>
        <w:tabs>
          <w:tab w:leader="none" w:pos="2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only process such ADS conversion to the extent the Depositary has to the extent applicable instructed the Custodian to transfer the corresponding</w:t>
      </w:r>
    </w:p>
    <w:p>
      <w:pPr>
        <w:spacing w:after="0" w:line="32" w:lineRule="exact"/>
        <w:rPr>
          <w:rFonts w:ascii="Arial" w:cs="Arial" w:eastAsia="Arial" w:hAnsi="Arial"/>
          <w:sz w:val="16"/>
          <w:szCs w:val="16"/>
          <w:color w:val="auto"/>
        </w:rPr>
      </w:pPr>
    </w:p>
    <w:p>
      <w:pPr>
        <w:ind w:right="220"/>
        <w:spacing w:after="0" w:line="260" w:lineRule="auto"/>
        <w:rPr>
          <w:rFonts w:ascii="Arial" w:cs="Arial" w:eastAsia="Arial" w:hAnsi="Arial"/>
          <w:sz w:val="16"/>
          <w:szCs w:val="16"/>
          <w:color w:val="auto"/>
        </w:rPr>
      </w:pPr>
      <w:r>
        <w:rPr>
          <w:rFonts w:ascii="Arial" w:cs="Arial" w:eastAsia="Arial" w:hAnsi="Arial"/>
          <w:sz w:val="18"/>
          <w:szCs w:val="18"/>
          <w:color w:val="auto"/>
        </w:rPr>
        <w:t>Shares from and into the applicable custody accounts maintained for the applicable ADS series. The Depositary shall only issue ADSs in whole numbers and deliver, if applicable, ADR(s) evidencing whole numbers of ADSs.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ind w:left="660"/>
        <w:spacing w:after="0"/>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Transfer, Combination and Split-up of ADRs</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285" w:lineRule="auto"/>
        <w:tabs>
          <w:tab w:leader="none" w:pos="903" w:val="left"/>
        </w:tabs>
        <w:numPr>
          <w:ilvl w:val="1"/>
          <w:numId w:val="1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transfer of ADRs (and of the ADSs represented thereby) on the books maintained for such purpose</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w:t>
      </w:r>
    </w:p>
    <w:p>
      <w:pPr>
        <w:spacing w:after="0" w:line="3" w:lineRule="exact"/>
        <w:rPr>
          <w:rFonts w:ascii="Arial" w:cs="Arial" w:eastAsia="Arial" w:hAnsi="Arial"/>
          <w:sz w:val="16"/>
          <w:szCs w:val="16"/>
          <w:b w:val="1"/>
          <w:bCs w:val="1"/>
          <w:color w:val="auto"/>
        </w:rPr>
      </w:pPr>
    </w:p>
    <w:p>
      <w:pPr>
        <w:jc w:val="both"/>
        <w:ind w:right="220" w:firstLine="8"/>
        <w:spacing w:after="0" w:line="253" w:lineRule="auto"/>
        <w:tabs>
          <w:tab w:leader="none" w:pos="31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have been paid, </w:t>
      </w:r>
      <w:r>
        <w:rPr>
          <w:rFonts w:ascii="Arial" w:cs="Arial" w:eastAsia="Arial" w:hAnsi="Arial"/>
          <w:sz w:val="18"/>
          <w:szCs w:val="18"/>
          <w:i w:val="1"/>
          <w:iCs w:val="1"/>
          <w:color w:val="auto"/>
        </w:rPr>
        <w:t>subject, however, in each case,</w:t>
      </w:r>
      <w:r>
        <w:rPr>
          <w:rFonts w:ascii="Arial" w:cs="Arial" w:eastAsia="Arial" w:hAnsi="Arial"/>
          <w:sz w:val="18"/>
          <w:szCs w:val="18"/>
          <w:color w:val="auto"/>
        </w:rPr>
        <w:t xml:space="preserve"> to the terms and conditions of the applicable ADRs, of the Deposit Agreement and of applicable law, in each case as in effect at the time thereof.</w:t>
      </w:r>
    </w:p>
    <w:p>
      <w:pPr>
        <w:spacing w:after="0" w:line="188" w:lineRule="exact"/>
        <w:rPr>
          <w:rFonts w:ascii="Arial" w:cs="Arial" w:eastAsia="Arial" w:hAnsi="Arial"/>
          <w:sz w:val="18"/>
          <w:szCs w:val="18"/>
          <w:color w:val="auto"/>
        </w:rPr>
      </w:pPr>
    </w:p>
    <w:p>
      <w:pPr>
        <w:ind w:right="40" w:firstLine="656"/>
        <w:spacing w:after="0" w:line="272" w:lineRule="auto"/>
        <w:tabs>
          <w:tab w:leader="none" w:pos="913" w:val="left"/>
        </w:tabs>
        <w:numPr>
          <w:ilvl w:val="1"/>
          <w:numId w:val="18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Combination &amp; Split-Up</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Registrar shall register the split-up or combination of ADRs (and of the ADSs represented thereby) 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books maintained for such purpose and the Depositary shall (x) cancel such ADRs and execute new ADRs for the number of ADSs requested, but in the aggregate not exceeding the number of ADSs evidenced by the ADRs canceled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the applicable ADRs, of the Deposit Agreement and of applicable law, in each case as in effect at the time thereof.</w:t>
      </w:r>
    </w:p>
    <w:p>
      <w:pPr>
        <w:spacing w:after="0" w:line="17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Section 2.7 </w:t>
      </w:r>
      <w:r>
        <w:rPr>
          <w:rFonts w:ascii="Arial" w:cs="Arial" w:eastAsia="Arial" w:hAnsi="Arial"/>
          <w:sz w:val="17"/>
          <w:szCs w:val="17"/>
          <w:b w:val="1"/>
          <w:bCs w:val="1"/>
          <w:u w:val="single" w:color="auto"/>
          <w:color w:val="auto"/>
        </w:rPr>
        <w:t>Surrender of ADSs and Withdrawal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 of ADSs shall be entitled to Delivery (at the Custodian’s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ADS fees and charges of, and expenses incurred by, the Depositary and all applicable taxes and governmental charges (as are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the ADRs evidencing the surrendered ADSs, of the Deposit Agreement, of the Articles of Association, and of any applicable laws and the rules of the applicable book-entry settlement entity, and to any provisions of or governing the Deposited Securities, in each case as in effect at the time thereof.</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2" w:name="page213"/>
    <w:bookmarkEnd w:id="212"/>
    <w:p>
      <w:pPr>
        <w:ind w:right="80" w:firstLine="648"/>
        <w:spacing w:after="0" w:line="271" w:lineRule="auto"/>
        <w:rPr>
          <w:sz w:val="20"/>
          <w:szCs w:val="20"/>
          <w:color w:val="auto"/>
        </w:rPr>
      </w:pPr>
      <w:r>
        <w:rPr>
          <w:rFonts w:ascii="Arial" w:cs="Arial" w:eastAsia="Arial" w:hAnsi="Arial"/>
          <w:sz w:val="17"/>
          <w:szCs w:val="17"/>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xml:space="preserve"> to the terms and conditions of the Deposit Agreement, of the ADRs evidencing the ADSs so canceled, of the Articles of Association, of any applicable laws and of the rules of the applicable book-entry settlement entity, and to the terms and conditions of or governing the Deposited Securities, in each case as in effect at the time thereof.</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19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Upon receipt of satisfactory instructions from ADS Holders and payment of applicable taxes and the ADS fees and charges of the Depositary for the issuance, cancellation, and conversion of ADSs (as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the Depositary shall also, subject to the applicable terms and conditions of, and contemplated in, the Deposit Agreement and applicable law, cancel ADSs in connection with the conversion of ADSs of one series for ADSs of another series (e.g. in connection with the conversion of Restricted ADSs into freely transferable ADSs and the conversion of Partial Entitlement ADSs into Full Entitlement ADSs), in which case, (i) the number of ADSs of one series so cancelled shall equal the number of ADSs issued of the corresponding series, and (ii) the Depositary shall to the extent applicable direct the Custodian to transfer the corresponding Shares from and into the applicable custody accounts maintained for the applicable ADS series.</w:t>
      </w:r>
    </w:p>
    <w:p>
      <w:pPr>
        <w:spacing w:after="0" w:line="17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13" w:name="page214"/>
    <w:bookmarkEnd w:id="213"/>
    <w:p>
      <w:pPr>
        <w:ind w:left="660"/>
        <w:spacing w:after="0"/>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Limitations on Execution and Delivery, Transfer, etc. of ADSs; Suspension of Delivery, Transfer, etc.</w:t>
      </w:r>
    </w:p>
    <w:p>
      <w:pPr>
        <w:spacing w:after="0" w:line="225" w:lineRule="exact"/>
        <w:rPr>
          <w:sz w:val="20"/>
          <w:szCs w:val="20"/>
          <w:color w:val="auto"/>
        </w:rPr>
      </w:pPr>
    </w:p>
    <w:p>
      <w:pPr>
        <w:ind w:right="60" w:firstLine="656"/>
        <w:spacing w:after="0" w:line="285" w:lineRule="auto"/>
        <w:tabs>
          <w:tab w:leader="none" w:pos="903" w:val="left"/>
        </w:tabs>
        <w:numPr>
          <w:ilvl w:val="1"/>
          <w:numId w:val="1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precedent to the execution and Delivery, the registration of issuance, transfer, split-up,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(ii) the production of proof reasonably satisfactory to it as to the identity and genuineness of any signature or any other matter contemplated by Section 3.1, and (iii) compliance with</w:t>
      </w:r>
    </w:p>
    <w:p>
      <w:pPr>
        <w:spacing w:after="0" w:line="3" w:lineRule="exact"/>
        <w:rPr>
          <w:rFonts w:ascii="Arial" w:cs="Arial" w:eastAsia="Arial" w:hAnsi="Arial"/>
          <w:sz w:val="16"/>
          <w:szCs w:val="16"/>
          <w:b w:val="1"/>
          <w:bCs w:val="1"/>
          <w:color w:val="auto"/>
        </w:rPr>
      </w:pPr>
    </w:p>
    <w:p>
      <w:pPr>
        <w:ind w:left="300" w:hanging="292"/>
        <w:spacing w:after="0"/>
        <w:tabs>
          <w:tab w:leader="none" w:pos="3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any laws or governmental regulations relating to the execution and Delivery of ADRs or ADSs or to the withdrawal of Deposited Securities and</w:t>
      </w:r>
    </w:p>
    <w:p>
      <w:pPr>
        <w:spacing w:after="0" w:line="20" w:lineRule="exact"/>
        <w:rPr>
          <w:rFonts w:ascii="Arial" w:cs="Arial" w:eastAsia="Arial" w:hAnsi="Arial"/>
          <w:sz w:val="17"/>
          <w:szCs w:val="17"/>
          <w:color w:val="auto"/>
        </w:rPr>
      </w:pPr>
    </w:p>
    <w:p>
      <w:pPr>
        <w:ind w:right="160" w:firstLine="8"/>
        <w:spacing w:after="0" w:line="260" w:lineRule="auto"/>
        <w:tabs>
          <w:tab w:leader="none" w:pos="28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such reasonable regulations as the Depositary and the Company may establish consistent with the provisions of the representative ADR, if applicable, the Deposit Agreement and applicable law.</w:t>
      </w:r>
    </w:p>
    <w:p>
      <w:pPr>
        <w:spacing w:after="0" w:line="181" w:lineRule="exact"/>
        <w:rPr>
          <w:rFonts w:ascii="Arial" w:cs="Arial" w:eastAsia="Arial" w:hAnsi="Arial"/>
          <w:sz w:val="18"/>
          <w:szCs w:val="18"/>
          <w:color w:val="auto"/>
        </w:rPr>
      </w:pPr>
    </w:p>
    <w:p>
      <w:pPr>
        <w:ind w:firstLine="656"/>
        <w:spacing w:after="0" w:line="292" w:lineRule="auto"/>
        <w:tabs>
          <w:tab w:leader="none" w:pos="913" w:val="left"/>
        </w:tabs>
        <w:numPr>
          <w:ilvl w:val="1"/>
          <w:numId w:val="1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Limitations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issuance of ADSs against deposits of Shares generally or against deposits of particular Shares may be suspended,</w:t>
      </w:r>
      <w:r>
        <w:rPr>
          <w:rFonts w:ascii="Arial" w:cs="Arial" w:eastAsia="Arial" w:hAnsi="Arial"/>
          <w:sz w:val="16"/>
          <w:szCs w:val="16"/>
          <w:b w:val="1"/>
          <w:bCs w:val="1"/>
          <w:color w:val="auto"/>
        </w:rPr>
        <w:t xml:space="preserve"> </w:t>
      </w:r>
      <w:r>
        <w:rPr>
          <w:rFonts w:ascii="Arial" w:cs="Arial" w:eastAsia="Arial" w:hAnsi="Arial"/>
          <w:sz w:val="16"/>
          <w:szCs w:val="16"/>
          <w:color w:val="auto"/>
        </w:rPr>
        <w:t>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7.8(a).</w:t>
      </w:r>
    </w:p>
    <w:p>
      <w:pPr>
        <w:spacing w:after="0" w:line="161" w:lineRule="exact"/>
        <w:rPr>
          <w:rFonts w:ascii="Arial" w:cs="Arial" w:eastAsia="Arial" w:hAnsi="Arial"/>
          <w:sz w:val="16"/>
          <w:szCs w:val="16"/>
          <w:b w:val="1"/>
          <w:bCs w:val="1"/>
          <w:color w:val="auto"/>
        </w:rPr>
      </w:pPr>
    </w:p>
    <w:p>
      <w:pPr>
        <w:ind w:right="260" w:firstLine="656"/>
        <w:spacing w:after="0" w:line="274" w:lineRule="auto"/>
        <w:tabs>
          <w:tab w:leader="none" w:pos="892" w:val="left"/>
        </w:tabs>
        <w:numPr>
          <w:ilvl w:val="1"/>
          <w:numId w:val="1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Regulatory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provision of the Deposit Agreement or any ADR(s) to the contrary, Holders are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4" w:name="page215"/>
    <w:bookmarkEnd w:id="214"/>
    <w:p>
      <w:pPr>
        <w:ind w:firstLine="648"/>
        <w:spacing w:after="0" w:line="289" w:lineRule="auto"/>
        <w:rPr>
          <w:sz w:val="20"/>
          <w:szCs w:val="20"/>
          <w:color w:val="auto"/>
        </w:rPr>
      </w:pPr>
      <w:r>
        <w:rPr>
          <w:rFonts w:ascii="Arial" w:cs="Arial" w:eastAsia="Arial" w:hAnsi="Arial"/>
          <w:sz w:val="16"/>
          <w:szCs w:val="16"/>
          <w:b w:val="1"/>
          <w:bCs w:val="1"/>
          <w:color w:val="auto"/>
        </w:rPr>
        <w:t xml:space="preserve">Section 2.9 </w:t>
      </w:r>
      <w:r>
        <w:rPr>
          <w:rFonts w:ascii="Arial" w:cs="Arial" w:eastAsia="Arial" w:hAnsi="Arial"/>
          <w:sz w:val="16"/>
          <w:szCs w:val="16"/>
          <w:b w:val="1"/>
          <w:bCs w:val="1"/>
          <w:u w:val="single" w:color="auto"/>
          <w:color w:val="auto"/>
        </w:rPr>
        <w:t>Lost ADRs, etc</w:t>
      </w:r>
      <w:r>
        <w:rPr>
          <w:rFonts w:ascii="Arial" w:cs="Arial" w:eastAsia="Arial" w:hAnsi="Arial"/>
          <w:sz w:val="16"/>
          <w:szCs w:val="16"/>
          <w:b w:val="1"/>
          <w:bCs w:val="1"/>
          <w:color w:val="auto"/>
        </w:rPr>
        <w:t xml:space="preserve">. </w:t>
      </w:r>
      <w:r>
        <w:rPr>
          <w:rFonts w:ascii="Arial" w:cs="Arial" w:eastAsia="Arial" w:hAnsi="Arial"/>
          <w:sz w:val="16"/>
          <w:szCs w:val="16"/>
          <w:color w:val="auto"/>
        </w:rPr>
        <w:t>In case any ADR shall be mutilated, destroyed, lost, or stolen, the Depositary shall execute and deliver a new ADR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like tenor at the expense of the Holder (a) </w:t>
      </w:r>
      <w:r>
        <w:rPr>
          <w:rFonts w:ascii="Arial" w:cs="Arial" w:eastAsia="Arial" w:hAnsi="Arial"/>
          <w:sz w:val="16"/>
          <w:szCs w:val="16"/>
          <w:i w:val="1"/>
          <w:iCs w:val="1"/>
          <w:color w:val="auto"/>
        </w:rPr>
        <w:t>in the case of a mutilated ADR,</w:t>
      </w:r>
      <w:r>
        <w:rPr>
          <w:rFonts w:ascii="Arial" w:cs="Arial" w:eastAsia="Arial" w:hAnsi="Arial"/>
          <w:sz w:val="16"/>
          <w:szCs w:val="16"/>
          <w:color w:val="auto"/>
        </w:rPr>
        <w:t xml:space="preserve"> in exchange of and substitution for such mutilated ADR upon cancellation thereof, or (b) </w:t>
      </w:r>
      <w:r>
        <w:rPr>
          <w:rFonts w:ascii="Arial" w:cs="Arial" w:eastAsia="Arial" w:hAnsi="Arial"/>
          <w:sz w:val="16"/>
          <w:szCs w:val="16"/>
          <w:i w:val="1"/>
          <w:iCs w:val="1"/>
          <w:color w:val="auto"/>
        </w:rPr>
        <w:t>in the case of a destroyed, lost or stolen ADR,</w:t>
      </w:r>
      <w:r>
        <w:rPr>
          <w:rFonts w:ascii="Arial" w:cs="Arial" w:eastAsia="Arial" w:hAnsi="Arial"/>
          <w:sz w:val="16"/>
          <w:szCs w:val="16"/>
          <w:color w:val="auto"/>
        </w:rPr>
        <w:t xml:space="preserve"> in lieu of and in substitution for such destroyed, lost, or stolen ADR, after the Holder thereof</w:t>
      </w:r>
    </w:p>
    <w:p>
      <w:pPr>
        <w:spacing w:after="0" w:line="2" w:lineRule="exact"/>
        <w:rPr>
          <w:sz w:val="20"/>
          <w:szCs w:val="20"/>
          <w:color w:val="auto"/>
        </w:rPr>
      </w:pPr>
    </w:p>
    <w:p>
      <w:pPr>
        <w:ind w:right="20" w:firstLine="8"/>
        <w:spacing w:after="0" w:line="295" w:lineRule="auto"/>
        <w:tabs>
          <w:tab w:leader="none" w:pos="21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reasonably satisfactory to the Depositary of such destruction, loss or theft of such ADR, the authenticity thereof and the Holder’s ownership thereof.</w:t>
      </w:r>
    </w:p>
    <w:p>
      <w:pPr>
        <w:spacing w:after="0" w:line="157"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b w:val="1"/>
          <w:bCs w:val="1"/>
          <w:color w:val="auto"/>
        </w:rPr>
        <w:t xml:space="preserve">Section 2.10 </w:t>
      </w:r>
      <w:r>
        <w:rPr>
          <w:rFonts w:ascii="Arial" w:cs="Arial" w:eastAsia="Arial" w:hAnsi="Arial"/>
          <w:sz w:val="16"/>
          <w:szCs w:val="16"/>
          <w:b w:val="1"/>
          <w:bCs w:val="1"/>
          <w:u w:val="single" w:color="auto"/>
          <w:color w:val="auto"/>
        </w:rPr>
        <w:t>Cancellation and Destruction of Surrendered ADRs; Maintenance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All ADRs surrendered to the Depositary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canceled by the Depositary. Canceled ADRs shall not be entitled to any benefits under the Deposit Agreement or be valid or enforceable against the Depositary for any purpose. The Depositary is authorized to destroy ADRs so canceled, provided the Depositary maintains a record of all destroyed ADRs. Any ADSs held in book-entry form (</w:t>
      </w:r>
      <w:r>
        <w:rPr>
          <w:rFonts w:ascii="Arial" w:cs="Arial" w:eastAsia="Arial" w:hAnsi="Arial"/>
          <w:sz w:val="16"/>
          <w:szCs w:val="16"/>
          <w:i w:val="1"/>
          <w:iCs w:val="1"/>
          <w:color w:val="auto"/>
        </w:rPr>
        <w:t>e.g.</w:t>
      </w:r>
      <w:r>
        <w:rPr>
          <w:rFonts w:ascii="Arial" w:cs="Arial" w:eastAsia="Arial" w:hAnsi="Arial"/>
          <w:sz w:val="16"/>
          <w:szCs w:val="16"/>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54"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Section 2.11 </w:t>
      </w:r>
      <w:r>
        <w:rPr>
          <w:rFonts w:ascii="Arial" w:cs="Arial" w:eastAsia="Arial" w:hAnsi="Arial"/>
          <w:sz w:val="18"/>
          <w:szCs w:val="18"/>
          <w:b w:val="1"/>
          <w:bCs w:val="1"/>
          <w:u w:val="single" w:color="auto"/>
          <w:color w:val="auto"/>
        </w:rPr>
        <w:t>Escheatment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unclaimed property relating to the ADSs, for any reason, is in the possession of the Depositary and</w:t>
      </w:r>
      <w:r>
        <w:rPr>
          <w:rFonts w:ascii="Arial" w:cs="Arial" w:eastAsia="Arial" w:hAnsi="Arial"/>
          <w:sz w:val="18"/>
          <w:szCs w:val="18"/>
          <w:b w:val="1"/>
          <w:bCs w:val="1"/>
          <w:color w:val="auto"/>
        </w:rPr>
        <w:t xml:space="preserve"> </w:t>
      </w:r>
      <w:r>
        <w:rPr>
          <w:rFonts w:ascii="Arial" w:cs="Arial" w:eastAsia="Arial" w:hAnsi="Arial"/>
          <w:sz w:val="18"/>
          <w:szCs w:val="18"/>
          <w:color w:val="auto"/>
        </w:rPr>
        <w:t>has 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180"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b w:val="1"/>
          <w:bCs w:val="1"/>
          <w:color w:val="auto"/>
        </w:rPr>
        <w:t xml:space="preserve">Section 2.12 </w:t>
      </w:r>
      <w:r>
        <w:rPr>
          <w:rFonts w:ascii="Arial" w:cs="Arial" w:eastAsia="Arial" w:hAnsi="Arial"/>
          <w:sz w:val="16"/>
          <w:szCs w:val="16"/>
          <w:b w:val="1"/>
          <w:bCs w:val="1"/>
          <w:u w:val="single" w:color="auto"/>
          <w:color w:val="auto"/>
        </w:rPr>
        <w:t>Partial Entitlement ADSs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any Shares are deposited which (i) entitle the holders thereof to receive a per-share</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or other entitlement in an amount different from the Shares then on deposit or (ii) are not fully fungible (including, without limitation, as to settlement or trading) with the Shares then on deposit (the Shares then on deposit collectively, “</w:t>
      </w:r>
      <w:r>
        <w:rPr>
          <w:rFonts w:ascii="Arial" w:cs="Arial" w:eastAsia="Arial" w:hAnsi="Arial"/>
          <w:sz w:val="16"/>
          <w:szCs w:val="16"/>
          <w:u w:val="single" w:color="auto"/>
          <w:color w:val="auto"/>
        </w:rPr>
        <w:t>Full Entitlement Shares</w:t>
      </w:r>
      <w:r>
        <w:rPr>
          <w:rFonts w:ascii="Arial" w:cs="Arial" w:eastAsia="Arial" w:hAnsi="Arial"/>
          <w:sz w:val="16"/>
          <w:szCs w:val="16"/>
          <w:color w:val="auto"/>
        </w:rPr>
        <w:t>” and the Shares with different entitlement, “</w:t>
      </w:r>
      <w:r>
        <w:rPr>
          <w:rFonts w:ascii="Arial" w:cs="Arial" w:eastAsia="Arial" w:hAnsi="Arial"/>
          <w:sz w:val="16"/>
          <w:szCs w:val="16"/>
          <w:u w:val="single" w:color="auto"/>
          <w:color w:val="auto"/>
        </w:rPr>
        <w:t>Partial Entitlement Shares</w:t>
      </w:r>
      <w:r>
        <w:rPr>
          <w:rFonts w:ascii="Arial" w:cs="Arial" w:eastAsia="Arial" w:hAnsi="Arial"/>
          <w:sz w:val="16"/>
          <w:szCs w:val="16"/>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Arial" w:cs="Arial" w:eastAsia="Arial" w:hAnsi="Arial"/>
          <w:sz w:val="16"/>
          <w:szCs w:val="16"/>
          <w:u w:val="single" w:color="auto"/>
          <w:color w:val="auto"/>
        </w:rPr>
        <w:t>Partial Entitlement ADSs/ADRs</w:t>
      </w:r>
      <w:r>
        <w:rPr>
          <w:rFonts w:ascii="Arial" w:cs="Arial" w:eastAsia="Arial" w:hAnsi="Arial"/>
          <w:sz w:val="16"/>
          <w:szCs w:val="16"/>
          <w:color w:val="auto"/>
        </w:rPr>
        <w:t>” and “</w:t>
      </w:r>
      <w:r>
        <w:rPr>
          <w:rFonts w:ascii="Arial" w:cs="Arial" w:eastAsia="Arial" w:hAnsi="Arial"/>
          <w:sz w:val="16"/>
          <w:szCs w:val="16"/>
          <w:u w:val="single" w:color="auto"/>
          <w:color w:val="auto"/>
        </w:rPr>
        <w:t>Full Entitlement ADSs/ADRs</w:t>
      </w:r>
      <w:r>
        <w:rPr>
          <w:rFonts w:ascii="Arial" w:cs="Arial" w:eastAsia="Arial" w:hAnsi="Arial"/>
          <w:sz w:val="16"/>
          <w:szCs w:val="16"/>
          <w:color w:val="auto"/>
        </w:rPr>
        <w:t xml:space="preserve">”, respectively). If and when Partial Entitlement Shares become Full Entitlement Shares, the Depositary shall convert the Partial Entitlement ADSs for Full Entitlement ADSs only upon receipt of applicable and satisfactory instructions from ADS Holders (to the extent ADS Holder instructions are deemed necessary and appropriate by the Depositary) and payment of applicable taxes and the ADS fees and charges of the Depositary (as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for each of the issuance, cancellation, transfer and conversion processes undertaken in connection with the removal of distinctions between the Partial Entitlement ADRs, the Partial Entitlement ADSs and/or the Partial Entitlement Shares (on the one hand) and the Full Entitlement ADRs, the Full Entitlement ADSs and/or the Full Entitlement Shares (on the other hand), and subject to the applicable terms and conditions of, and contemplated in, the Deposit Agreement and applicable law, by (a) giving notice thereof to Holders of Partial Entitlement ADSs and giving Holders of Partial Entitlement ADRs the opportunity to exchange such Partial Entitlement ADRs for Full Entitlement ADRs, (b) causing the Custodian to transfer the Partial Entitlement Shares into the account of the Full Entitlement Shares, and (c) taking such actions as are necessary to convert the Partial Entitlement ADRs and ADSs, for the corresponding Full Entitlement ADRs and ADSs on the other, in which case, the number of Full Entitlement ADSs issued shall equal the number of Partial Entitlement ADSs cancelled.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ind w:right="60" w:firstLine="648"/>
        <w:spacing w:after="0" w:line="289" w:lineRule="auto"/>
        <w:rPr>
          <w:sz w:val="20"/>
          <w:szCs w:val="20"/>
          <w:color w:val="auto"/>
        </w:rPr>
      </w:pPr>
      <w:r>
        <w:rPr>
          <w:rFonts w:ascii="Arial" w:cs="Arial" w:eastAsia="Arial" w:hAnsi="Arial"/>
          <w:sz w:val="16"/>
          <w:szCs w:val="16"/>
          <w:b w:val="1"/>
          <w:bCs w:val="1"/>
          <w:color w:val="auto"/>
        </w:rPr>
        <w:t xml:space="preserve">Section 2.13 </w:t>
      </w:r>
      <w:r>
        <w:rPr>
          <w:rFonts w:ascii="Arial" w:cs="Arial" w:eastAsia="Arial" w:hAnsi="Arial"/>
          <w:sz w:val="16"/>
          <w:szCs w:val="16"/>
          <w:b w:val="1"/>
          <w:bCs w:val="1"/>
          <w:u w:val="single" w:color="auto"/>
          <w:color w:val="auto"/>
        </w:rPr>
        <w:t>Certificated/Uncertificated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the Depositary may,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and from time to time, issue ADSs that are not evidenced by ADRs (such ADSs, the “</w:t>
      </w:r>
      <w:r>
        <w:rPr>
          <w:rFonts w:ascii="Arial" w:cs="Arial" w:eastAsia="Arial" w:hAnsi="Arial"/>
          <w:sz w:val="16"/>
          <w:szCs w:val="16"/>
          <w:u w:val="single" w:color="auto"/>
          <w:color w:val="auto"/>
        </w:rPr>
        <w:t>Uncertificated ADS(s)</w:t>
      </w:r>
      <w:r>
        <w:rPr>
          <w:rFonts w:ascii="Arial" w:cs="Arial" w:eastAsia="Arial" w:hAnsi="Arial"/>
          <w:sz w:val="16"/>
          <w:szCs w:val="16"/>
          <w:color w:val="auto"/>
        </w:rPr>
        <w:t>” and the ADS(s) evidenced by ADR(s), the “</w:t>
      </w:r>
      <w:r>
        <w:rPr>
          <w:rFonts w:ascii="Arial" w:cs="Arial" w:eastAsia="Arial" w:hAnsi="Arial"/>
          <w:sz w:val="16"/>
          <w:szCs w:val="16"/>
          <w:u w:val="single" w:color="auto"/>
          <w:color w:val="auto"/>
        </w:rPr>
        <w:t>Certificated ADS(s)</w:t>
      </w:r>
      <w:r>
        <w:rPr>
          <w:rFonts w:ascii="Arial" w:cs="Arial" w:eastAsia="Arial" w:hAnsi="Arial"/>
          <w:sz w:val="16"/>
          <w:szCs w:val="16"/>
          <w:color w:val="auto"/>
        </w:rPr>
        <w:t>”). When issuing and maintaining Uncertificated ADS(s) under the Deposit Agreement, the Depositary shall at all times be subject to</w:t>
      </w:r>
    </w:p>
    <w:p>
      <w:pPr>
        <w:spacing w:after="0" w:line="2" w:lineRule="exact"/>
        <w:rPr>
          <w:sz w:val="20"/>
          <w:szCs w:val="20"/>
          <w:color w:val="auto"/>
        </w:rPr>
      </w:pPr>
    </w:p>
    <w:p>
      <w:pPr>
        <w:ind w:right="180" w:firstLine="8"/>
        <w:spacing w:after="0" w:line="281" w:lineRule="auto"/>
        <w:tabs>
          <w:tab w:leader="none" w:pos="21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w:t>
      </w:r>
    </w:p>
    <w:p>
      <w:pPr>
        <w:spacing w:after="0" w:line="2" w:lineRule="exact"/>
        <w:rPr>
          <w:rFonts w:ascii="Arial" w:cs="Arial" w:eastAsia="Arial" w:hAnsi="Arial"/>
          <w:sz w:val="16"/>
          <w:szCs w:val="16"/>
          <w:color w:val="auto"/>
        </w:rPr>
      </w:pPr>
    </w:p>
    <w:p>
      <w:pPr>
        <w:ind w:right="20" w:firstLine="8"/>
        <w:spacing w:after="0" w:line="281" w:lineRule="auto"/>
        <w:tabs>
          <w:tab w:leader="none" w:pos="25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w:t>
      </w:r>
    </w:p>
    <w:p>
      <w:pPr>
        <w:spacing w:after="0" w:line="4" w:lineRule="exact"/>
        <w:rPr>
          <w:rFonts w:ascii="Arial" w:cs="Arial" w:eastAsia="Arial" w:hAnsi="Arial"/>
          <w:sz w:val="16"/>
          <w:szCs w:val="16"/>
          <w:color w:val="auto"/>
        </w:rPr>
      </w:pPr>
    </w:p>
    <w:p>
      <w:pPr>
        <w:ind w:firstLine="8"/>
        <w:spacing w:after="0" w:line="283" w:lineRule="auto"/>
        <w:tabs>
          <w:tab w:leader="none" w:pos="26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ind w:firstLine="648"/>
        <w:spacing w:after="0" w:line="283" w:lineRule="auto"/>
        <w:rPr>
          <w:sz w:val="20"/>
          <w:szCs w:val="20"/>
          <w:color w:val="auto"/>
        </w:rPr>
      </w:pPr>
      <w:r>
        <w:rPr>
          <w:rFonts w:ascii="Arial" w:cs="Arial" w:eastAsia="Arial" w:hAnsi="Arial"/>
          <w:sz w:val="16"/>
          <w:szCs w:val="16"/>
          <w:b w:val="1"/>
          <w:bCs w:val="1"/>
          <w:color w:val="auto"/>
        </w:rPr>
        <w:t xml:space="preserve">Section 2.14 </w:t>
      </w:r>
      <w:r>
        <w:rPr>
          <w:rFonts w:ascii="Arial" w:cs="Arial" w:eastAsia="Arial" w:hAnsi="Arial"/>
          <w:sz w:val="16"/>
          <w:szCs w:val="16"/>
          <w:b w:val="1"/>
          <w:bCs w:val="1"/>
          <w:u w:val="single" w:color="auto"/>
          <w:color w:val="auto"/>
        </w:rPr>
        <w:t>Restricted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the request and expense of the Company, establish procedures enabling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of Shares that are Restricted Securities in order to enable the holder of such Shares to hold its ownership interests in such Restricted Securities in the form of ADSs issued under the terms hereof (such Shares, “</w:t>
      </w:r>
      <w:r>
        <w:rPr>
          <w:rFonts w:ascii="Arial" w:cs="Arial" w:eastAsia="Arial" w:hAnsi="Arial"/>
          <w:sz w:val="16"/>
          <w:szCs w:val="16"/>
          <w:u w:val="single" w:color="auto"/>
          <w:color w:val="auto"/>
        </w:rPr>
        <w:t>Restricted Shares</w:t>
      </w:r>
      <w:r>
        <w:rPr>
          <w:rFonts w:ascii="Arial" w:cs="Arial" w:eastAsia="Arial" w:hAnsi="Arial"/>
          <w:sz w:val="16"/>
          <w:szCs w:val="16"/>
          <w:color w:val="auto"/>
        </w:rPr>
        <w:t>”).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w:t>
      </w:r>
      <w:r>
        <w:rPr>
          <w:rFonts w:ascii="Arial" w:cs="Arial" w:eastAsia="Arial" w:hAnsi="Arial"/>
          <w:sz w:val="16"/>
          <w:szCs w:val="16"/>
          <w:u w:val="single" w:color="auto"/>
          <w:color w:val="auto"/>
        </w:rPr>
        <w:t>Restricted ADSs</w:t>
      </w:r>
      <w:r>
        <w:rPr>
          <w:rFonts w:ascii="Arial" w:cs="Arial" w:eastAsia="Arial" w:hAnsi="Arial"/>
          <w:sz w:val="16"/>
          <w:szCs w:val="16"/>
          <w:color w:val="auto"/>
        </w:rPr>
        <w:t>,” and the ADRs evidencing such Restricted ADSs, the “</w:t>
      </w:r>
      <w:r>
        <w:rPr>
          <w:rFonts w:ascii="Arial" w:cs="Arial" w:eastAsia="Arial" w:hAnsi="Arial"/>
          <w:sz w:val="16"/>
          <w:szCs w:val="16"/>
          <w:u w:val="single" w:color="auto"/>
          <w:color w:val="auto"/>
        </w:rPr>
        <w:t>Restricted ADRs</w:t>
      </w:r>
      <w:r>
        <w:rPr>
          <w:rFonts w:ascii="Arial" w:cs="Arial" w:eastAsia="Arial" w:hAnsi="Arial"/>
          <w:sz w:val="16"/>
          <w:szCs w:val="16"/>
          <w:color w:val="auto"/>
        </w:rPr>
        <w:t>”). Notwithstanding anything contained in this Section 2.14, the Depositary and the Company may, to the extent not prohibited by law, agree to issue the Restricted ADSs in uncertificated form (“</w:t>
      </w:r>
      <w:r>
        <w:rPr>
          <w:rFonts w:ascii="Arial" w:cs="Arial" w:eastAsia="Arial" w:hAnsi="Arial"/>
          <w:sz w:val="16"/>
          <w:szCs w:val="16"/>
          <w:u w:val="single" w:color="auto"/>
          <w:color w:val="auto"/>
        </w:rPr>
        <w:t>Uncertificated Restricted ADSs</w:t>
      </w:r>
      <w:r>
        <w:rPr>
          <w:rFonts w:ascii="Arial" w:cs="Arial" w:eastAsia="Arial" w:hAnsi="Arial"/>
          <w:sz w:val="16"/>
          <w:szCs w:val="16"/>
          <w:color w:val="auto"/>
        </w:rPr>
        <w:t>”) upon such terms and conditions as the Company and the Depositary may deem necessary and appropriate. The Company shall assist the Depositary in the establishment of such procedures and agrees that it shall take all steps necessary and reasonably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w:t>
      </w:r>
      <w:r>
        <w:rPr>
          <w:rFonts w:ascii="Arial" w:cs="Arial" w:eastAsia="Arial" w:hAnsi="Arial"/>
          <w:sz w:val="16"/>
          <w:szCs w:val="16"/>
          <w:b w:val="1"/>
          <w:bCs w:val="1"/>
          <w:color w:val="auto"/>
        </w:rPr>
        <w:t>)</w:t>
      </w:r>
      <w:r>
        <w:rPr>
          <w:rFonts w:ascii="Arial" w:cs="Arial" w:eastAsia="Arial" w:hAnsi="Arial"/>
          <w:sz w:val="16"/>
          <w:szCs w:val="16"/>
          <w:color w:val="auto"/>
        </w:rPr>
        <w:t xml:space="preserve">,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reasonably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ind w:right="60" w:firstLine="648"/>
        <w:spacing w:after="0" w:line="286" w:lineRule="auto"/>
        <w:rPr>
          <w:sz w:val="20"/>
          <w:szCs w:val="20"/>
          <w:color w:val="auto"/>
        </w:rPr>
      </w:pPr>
      <w:r>
        <w:rPr>
          <w:rFonts w:ascii="Arial" w:cs="Arial" w:eastAsia="Arial" w:hAnsi="Arial"/>
          <w:sz w:val="16"/>
          <w:szCs w:val="16"/>
          <w:color w:val="auto"/>
        </w:rPr>
        <w:t xml:space="preserve">If the Restricted ADRs, the Restricted ADSs and the Restricted Shares cease to be Restricted Securities, the Depositary, upon receipt of (x) an opinion of counsel reasonably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that the Restricted ADRs, the Restricted ADSs and the Restricted Shares are not as of such time, or in connection with a transaction, Restricted Securities, (y) instructions from the Company and/or the applicable ADS Holder to remove the restrictions applicable to the Restricted ADRs, the Restricted ADSs and the Restricted Shares, and (z) payment of applicable taxes and the ADS fees and charges of the Depositary (as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for each of the issuance, cancellation, transfer and conversion processes undertaken in connection with the removal of the restrictions applicable to the Restricted ADRs, Restricted ADSs and/or Restricted Shares (as the case may be), shall (i) eliminate the distinctions and separations that may have been established between the applicable Restricted Shares held on deposit under this Section 2.14 and the other Shares held on deposit under the terms of the Deposit Agreement that are not Restricted Shares by converting the Restricted ADSs into freely transferable ADSs (which shall entail, inter alia, the cancellation of the Restricted ADSs and the issuance of the corresponding freely transferable ADSs, and instructing the Custodian to transfer the corresponding Shares from and into the applicable custody accounts maintained for the applicable ADS series), (ii) 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OBLIGATIONS OF 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BENEFICIAL OWNERS OF ADSs</w:t>
      </w:r>
    </w:p>
    <w:p>
      <w:pPr>
        <w:spacing w:after="0" w:line="20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any Holder and any Beneficial Owner may</w:t>
      </w:r>
      <w:r>
        <w:rPr>
          <w:rFonts w:ascii="Arial" w:cs="Arial" w:eastAsia="Arial" w:hAnsi="Arial"/>
          <w:sz w:val="16"/>
          <w:szCs w:val="16"/>
          <w:b w:val="1"/>
          <w:bCs w:val="1"/>
          <w:color w:val="auto"/>
        </w:rPr>
        <w:t xml:space="preserve"> </w:t>
      </w:r>
      <w:r>
        <w:rPr>
          <w:rFonts w:ascii="Arial" w:cs="Arial" w:eastAsia="Arial" w:hAnsi="Arial"/>
          <w:sz w:val="16"/>
          <w:szCs w:val="16"/>
          <w:color w:val="auto"/>
        </w:rPr>
        <w:t>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withhold the execution or delivery or registration of transfer of any ADR or ADS or the distribution or sale of any dividend or distribution of rights or of the proceeds thereof or, to the extent not limited by the terms of Section 7.8(a),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8" w:name="page219"/>
    <w:bookmarkEnd w:id="218"/>
    <w:p>
      <w:pPr>
        <w:ind w:firstLine="648"/>
        <w:spacing w:after="0" w:line="286" w:lineRule="auto"/>
        <w:rPr>
          <w:sz w:val="20"/>
          <w:szCs w:val="20"/>
          <w:color w:val="auto"/>
        </w:rPr>
      </w:pPr>
      <w:r>
        <w:rPr>
          <w:rFonts w:ascii="Arial" w:cs="Arial" w:eastAsia="Arial" w:hAnsi="Arial"/>
          <w:sz w:val="16"/>
          <w:szCs w:val="16"/>
          <w:b w:val="1"/>
          <w:bCs w:val="1"/>
          <w:color w:val="auto"/>
        </w:rPr>
        <w:t xml:space="preserve">Section 3.2 </w:t>
      </w:r>
      <w:r>
        <w:rPr>
          <w:rFonts w:ascii="Arial" w:cs="Arial" w:eastAsia="Arial" w:hAnsi="Arial"/>
          <w:sz w:val="16"/>
          <w:szCs w:val="16"/>
          <w:b w:val="1"/>
          <w:bCs w:val="1"/>
          <w:u w:val="single" w:color="auto"/>
          <w:color w:val="auto"/>
        </w:rPr>
        <w:t>Liability for Taxes and Other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Any tax or other governmental charge payable by the Custodian or by the Depositary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spacing w:after="0" w:line="17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b w:val="1"/>
          <w:bCs w:val="1"/>
          <w:u w:val="single" w:color="auto"/>
          <w:color w:val="auto"/>
        </w:rPr>
        <w:t>Representations and Warranties on 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depositing Shares under the Deposit Agreement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19" w:name="page220"/>
    <w:bookmarkEnd w:id="219"/>
    <w:p>
      <w:pPr>
        <w:ind w:firstLine="648"/>
        <w:spacing w:after="0" w:line="292" w:lineRule="auto"/>
        <w:rPr>
          <w:sz w:val="20"/>
          <w:szCs w:val="20"/>
          <w:color w:val="auto"/>
        </w:rPr>
      </w:pPr>
      <w:r>
        <w:rPr>
          <w:rFonts w:ascii="Arial" w:cs="Arial" w:eastAsia="Arial" w:hAnsi="Arial"/>
          <w:sz w:val="16"/>
          <w:szCs w:val="16"/>
          <w:b w:val="1"/>
          <w:bCs w:val="1"/>
          <w:color w:val="auto"/>
        </w:rPr>
        <w:t xml:space="preserve">Section 3.4 </w:t>
      </w:r>
      <w:r>
        <w:rPr>
          <w:rFonts w:ascii="Arial" w:cs="Arial" w:eastAsia="Arial" w:hAnsi="Arial"/>
          <w:sz w:val="16"/>
          <w:szCs w:val="16"/>
          <w:b w:val="1"/>
          <w:bCs w:val="1"/>
          <w:u w:val="single" w:color="auto"/>
          <w:color w:val="auto"/>
        </w:rPr>
        <w:t>Compliance with Information Requests</w:t>
      </w:r>
      <w:r>
        <w:rPr>
          <w:rFonts w:ascii="Arial" w:cs="Arial" w:eastAsia="Arial" w:hAnsi="Arial"/>
          <w:sz w:val="16"/>
          <w:szCs w:val="16"/>
          <w:color w:val="auto"/>
        </w:rPr>
        <w:t>. Notwithstanding any other provision of the Deposit Agreement or any ADR(s), 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Holder and Beneficial Owner agrees to comply with requests from the Company pursuant to applicable law, the rules and requirements of any stock exchange on which the Shares or ADSs are, or will be, registered, traded or listed or the Articles of Association, which are made to provide information, </w:t>
      </w:r>
      <w:r>
        <w:rPr>
          <w:rFonts w:ascii="Arial" w:cs="Arial" w:eastAsia="Arial" w:hAnsi="Arial"/>
          <w:sz w:val="16"/>
          <w:szCs w:val="16"/>
          <w:i w:val="1"/>
          <w:iCs w:val="1"/>
          <w:color w:val="auto"/>
        </w:rPr>
        <w:t>inter alia</w:t>
      </w:r>
      <w:r>
        <w:rPr>
          <w:rFonts w:ascii="Arial" w:cs="Arial" w:eastAsia="Arial" w:hAnsi="Arial"/>
          <w:sz w:val="16"/>
          <w:szCs w:val="16"/>
          <w:color w:val="auto"/>
        </w:rPr>
        <w:t>, as to the capacity in which such Holder or Beneficial Owner owns ADSs (and Shares as the case may be) and regarding the identity of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interested in such ADSs and the nature of such interest and various other matters, whether or not they are Holders and/or Beneficial Owners at the time of such request. The Depositary shall use its reasonable efforts to forward, upon the request of the Company and at the Company’s expense, any such request from the Company to the Holders and to forward to the Company any such responses to such requests received by the Depositary.</w:t>
      </w:r>
    </w:p>
    <w:p>
      <w:pPr>
        <w:spacing w:after="0" w:line="16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Section 3.5 </w:t>
      </w:r>
      <w:r>
        <w:rPr>
          <w:rFonts w:ascii="Arial" w:cs="Arial" w:eastAsia="Arial" w:hAnsi="Arial"/>
          <w:sz w:val="17"/>
          <w:szCs w:val="17"/>
          <w:b w:val="1"/>
          <w:bCs w:val="1"/>
          <w:u w:val="single" w:color="auto"/>
          <w:color w:val="auto"/>
        </w:rPr>
        <w:t>Ownership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contained in the Deposit Agreement or any ADR(s) to the contrary,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shall be interpreted as obligating the Depositary or the Company to ensure compliance with the ownership restrictions described in this Section 3.5.</w:t>
      </w:r>
    </w:p>
    <w:p>
      <w:pPr>
        <w:spacing w:after="0" w:line="17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 xml:space="preserve">Section 3.6 </w:t>
      </w: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 owners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DEPOSITED SECURITIES</w:t>
      </w:r>
    </w:p>
    <w:p>
      <w:pPr>
        <w:spacing w:after="0" w:line="20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u w:val="single" w:color="auto"/>
          <w:color w:val="auto"/>
        </w:rPr>
        <w:t>Cash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of a cash dividend or other cash distribution in respect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Deposited Securities, the Company shall give notice thereof to the Depositary at least twenty (20) days (or such other number of days as the Depositary and the Company may agree in writing at such time)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record date applicable for determining the holders of Deposited Securities entitled to receive such distribution. Upon the timely receipt of such notice, the Depositary shall establish the ADS Record Date upon the terms described in Section 4.9. Upon confirmation of the receipt of (x) any cash dividend or other cash distribution on any Deposited Property (whether from the Company or otherwise), or (y) proceeds from the sale of any Deposited Property held in respect of the ADSs under the terms hereof, the Depositary will (i) if any amounts are received in a Foreign Currency, promptly convert or cause to be converted such cash dividend, distribution or proceeds into Dollars (subject to the terms and conditions of Section 4.8), (ii) if applicable and unless previously established, establish the ADS Record Date upon the terms described in Section 4.9, and (iii) distribute promptly the amount thus received (net of (a) the applicable fees and charges set forth in the Fee Schedule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shall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1" w:name="page222"/>
    <w:bookmarkEnd w:id="221"/>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Distribution in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that consists of a dividend in, or free distribution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the Company shall give notice thereof to the Depositary at least twenty (20) days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obligations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shall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2" w:name="page223"/>
    <w:bookmarkEnd w:id="222"/>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u w:val="single" w:color="auto"/>
          <w:color w:val="auto"/>
        </w:rPr>
        <w:t>Elective Distributions in Cash or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payable at the election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holders of Deposited Securities in cash or in additional Shares, the Company shall give notice thereof to the Depositary at least sixty (60) days (or such other number of days as the Depositary and the Company may agree in writing at such time)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reasonably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the Cayman Islands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shall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23" w:name="page224"/>
    <w:bookmarkEnd w:id="223"/>
    <w:p>
      <w:pPr>
        <w:ind w:left="660"/>
        <w:spacing w:after="0"/>
        <w:rPr>
          <w:sz w:val="20"/>
          <w:szCs w:val="20"/>
          <w:color w:val="auto"/>
        </w:rPr>
      </w:pPr>
      <w:r>
        <w:rPr>
          <w:rFonts w:ascii="Arial" w:cs="Arial" w:eastAsia="Arial" w:hAnsi="Arial"/>
          <w:sz w:val="18"/>
          <w:szCs w:val="18"/>
          <w:b w:val="1"/>
          <w:bCs w:val="1"/>
          <w:color w:val="auto"/>
        </w:rPr>
        <w:t xml:space="preserve">Section 4.4 </w:t>
      </w:r>
      <w:r>
        <w:rPr>
          <w:rFonts w:ascii="Arial" w:cs="Arial" w:eastAsia="Arial" w:hAnsi="Arial"/>
          <w:sz w:val="18"/>
          <w:szCs w:val="18"/>
          <w:b w:val="1"/>
          <w:bCs w:val="1"/>
          <w:u w:val="single" w:color="auto"/>
          <w:color w:val="auto"/>
        </w:rPr>
        <w:t>Distribution of Rights to Purchase Additional ADSs</w:t>
      </w:r>
      <w:r>
        <w:rPr>
          <w:rFonts w:ascii="Arial" w:cs="Arial" w:eastAsia="Arial" w:hAnsi="Arial"/>
          <w:sz w:val="18"/>
          <w:szCs w:val="18"/>
          <w:b w:val="1"/>
          <w:bCs w:val="1"/>
          <w:color w:val="auto"/>
        </w:rPr>
        <w:t>.</w:t>
      </w:r>
    </w:p>
    <w:p>
      <w:pPr>
        <w:spacing w:after="0" w:line="225" w:lineRule="exact"/>
        <w:rPr>
          <w:sz w:val="20"/>
          <w:szCs w:val="20"/>
          <w:color w:val="auto"/>
        </w:rPr>
      </w:pPr>
    </w:p>
    <w:p>
      <w:pPr>
        <w:ind w:firstLine="656"/>
        <w:spacing w:after="0" w:line="286" w:lineRule="auto"/>
        <w:tabs>
          <w:tab w:leader="none" w:pos="903" w:val="left"/>
        </w:tabs>
        <w:numPr>
          <w:ilvl w:val="0"/>
          <w:numId w:val="18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Distribution to ADS Holders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distribute to the holders of the Deposited Securities rights to subscribe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additional Shares, the Company shall give notice thereof to the Depositary at least sixty (60) days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reasonably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167" w:lineRule="exact"/>
        <w:rPr>
          <w:rFonts w:ascii="Arial" w:cs="Arial" w:eastAsia="Arial" w:hAnsi="Arial"/>
          <w:sz w:val="16"/>
          <w:szCs w:val="16"/>
          <w:b w:val="1"/>
          <w:bCs w:val="1"/>
          <w:color w:val="auto"/>
        </w:rPr>
      </w:pPr>
    </w:p>
    <w:p>
      <w:pPr>
        <w:ind w:right="20" w:firstLine="656"/>
        <w:spacing w:after="0" w:line="273" w:lineRule="auto"/>
        <w:tabs>
          <w:tab w:leader="none" w:pos="913" w:val="left"/>
        </w:tabs>
        <w:numPr>
          <w:ilvl w:val="0"/>
          <w:numId w:val="18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Sale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If (i) the Company does not timely request the Depositary to make the rights available to Holders or requests that the rights not</w:t>
      </w:r>
      <w:r>
        <w:rPr>
          <w:rFonts w:ascii="Arial" w:cs="Arial" w:eastAsia="Arial" w:hAnsi="Arial"/>
          <w:sz w:val="17"/>
          <w:szCs w:val="17"/>
          <w:b w:val="1"/>
          <w:bCs w:val="1"/>
          <w:color w:val="auto"/>
        </w:rPr>
        <w:t xml:space="preserve"> </w:t>
      </w:r>
      <w:r>
        <w:rPr>
          <w:rFonts w:ascii="Arial" w:cs="Arial" w:eastAsia="Arial" w:hAnsi="Arial"/>
          <w:sz w:val="17"/>
          <w:szCs w:val="17"/>
          <w:color w:val="auto"/>
        </w:rPr>
        <w:t>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171" w:lineRule="exact"/>
        <w:rPr>
          <w:rFonts w:ascii="Arial" w:cs="Arial" w:eastAsia="Arial" w:hAnsi="Arial"/>
          <w:sz w:val="17"/>
          <w:szCs w:val="17"/>
          <w:b w:val="1"/>
          <w:bCs w:val="1"/>
          <w:color w:val="auto"/>
        </w:rPr>
      </w:pPr>
    </w:p>
    <w:p>
      <w:pPr>
        <w:ind w:right="200" w:firstLine="656"/>
        <w:spacing w:after="0" w:line="282" w:lineRule="auto"/>
        <w:tabs>
          <w:tab w:leader="none" w:pos="892"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Lapse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If the Depositary is unable to make any rights available to Holders upon the terms described in Section 4.4(a) or to arrange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sale of the rights upon the terms described in Section 4.4(b), the Depositary shall allow such rights to lapse.</w:t>
      </w:r>
    </w:p>
    <w:p>
      <w:pPr>
        <w:spacing w:after="0" w:line="166"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6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4" w:name="page225"/>
    <w:bookmarkEnd w:id="224"/>
    <w:p>
      <w:pPr>
        <w:ind w:firstLine="648"/>
        <w:spacing w:after="0" w:line="273" w:lineRule="auto"/>
        <w:rPr>
          <w:sz w:val="20"/>
          <w:szCs w:val="20"/>
          <w:color w:val="auto"/>
        </w:rPr>
      </w:pPr>
      <w:r>
        <w:rPr>
          <w:rFonts w:ascii="Arial" w:cs="Arial" w:eastAsia="Arial" w:hAnsi="Arial"/>
          <w:sz w:val="17"/>
          <w:szCs w:val="17"/>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78"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4.5 </w:t>
      </w:r>
      <w:r>
        <w:rPr>
          <w:rFonts w:ascii="Arial" w:cs="Arial" w:eastAsia="Arial" w:hAnsi="Arial"/>
          <w:sz w:val="18"/>
          <w:szCs w:val="18"/>
          <w:b w:val="1"/>
          <w:bCs w:val="1"/>
          <w:u w:val="single" w:color="auto"/>
          <w:color w:val="auto"/>
        </w:rPr>
        <w:t>Distributions Other Than Cash, Shares or Rights to Purchase Shares</w:t>
      </w:r>
      <w:r>
        <w:rPr>
          <w:rFonts w:ascii="Arial" w:cs="Arial" w:eastAsia="Arial" w:hAnsi="Arial"/>
          <w:sz w:val="18"/>
          <w:szCs w:val="18"/>
          <w:b w:val="1"/>
          <w:bCs w:val="1"/>
          <w:color w:val="auto"/>
        </w:rPr>
        <w:t>.</w:t>
      </w:r>
    </w:p>
    <w:p>
      <w:pPr>
        <w:spacing w:after="0" w:line="229" w:lineRule="exact"/>
        <w:rPr>
          <w:sz w:val="20"/>
          <w:szCs w:val="20"/>
          <w:color w:val="auto"/>
        </w:rPr>
      </w:pPr>
    </w:p>
    <w:p>
      <w:pPr>
        <w:ind w:firstLine="656"/>
        <w:spacing w:after="0" w:line="254" w:lineRule="auto"/>
        <w:tabs>
          <w:tab w:leader="none" w:pos="903" w:val="left"/>
        </w:tabs>
        <w:numPr>
          <w:ilvl w:val="1"/>
          <w:numId w:val="188"/>
        </w:numPr>
        <w:rPr>
          <w:rFonts w:ascii="Arial" w:cs="Arial" w:eastAsia="Arial" w:hAnsi="Arial"/>
          <w:sz w:val="18"/>
          <w:szCs w:val="18"/>
          <w:b w:val="1"/>
          <w:bCs w:val="1"/>
          <w:color w:val="auto"/>
        </w:rPr>
      </w:pPr>
      <w:r>
        <w:rPr>
          <w:rFonts w:ascii="Arial" w:cs="Arial" w:eastAsia="Arial" w:hAnsi="Arial"/>
          <w:sz w:val="18"/>
          <w:szCs w:val="18"/>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194" w:lineRule="exact"/>
        <w:rPr>
          <w:rFonts w:ascii="Arial" w:cs="Arial" w:eastAsia="Arial" w:hAnsi="Arial"/>
          <w:sz w:val="18"/>
          <w:szCs w:val="18"/>
          <w:b w:val="1"/>
          <w:bCs w:val="1"/>
          <w:color w:val="auto"/>
        </w:rPr>
      </w:pPr>
    </w:p>
    <w:p>
      <w:pPr>
        <w:ind w:right="40" w:firstLine="656"/>
        <w:spacing w:after="0" w:line="254" w:lineRule="auto"/>
        <w:tabs>
          <w:tab w:leader="none" w:pos="913" w:val="left"/>
        </w:tabs>
        <w:numPr>
          <w:ilvl w:val="1"/>
          <w:numId w:val="188"/>
        </w:numPr>
        <w:rPr>
          <w:rFonts w:ascii="Arial" w:cs="Arial" w:eastAsia="Arial" w:hAnsi="Arial"/>
          <w:sz w:val="18"/>
          <w:szCs w:val="18"/>
          <w:b w:val="1"/>
          <w:bCs w:val="1"/>
          <w:color w:val="auto"/>
        </w:rPr>
      </w:pPr>
      <w:r>
        <w:rPr>
          <w:rFonts w:ascii="Arial" w:cs="Arial" w:eastAsia="Arial" w:hAnsi="Arial"/>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94" w:lineRule="exact"/>
        <w:rPr>
          <w:rFonts w:ascii="Arial" w:cs="Arial" w:eastAsia="Arial" w:hAnsi="Arial"/>
          <w:sz w:val="18"/>
          <w:szCs w:val="18"/>
          <w:b w:val="1"/>
          <w:bCs w:val="1"/>
          <w:color w:val="auto"/>
        </w:rPr>
      </w:pPr>
    </w:p>
    <w:p>
      <w:pPr>
        <w:ind w:right="20" w:firstLine="656"/>
        <w:spacing w:after="0" w:line="286" w:lineRule="auto"/>
        <w:tabs>
          <w:tab w:leader="none" w:pos="892" w:val="left"/>
        </w:tabs>
        <w:numPr>
          <w:ilvl w:val="1"/>
          <w:numId w:val="188"/>
        </w:numPr>
        <w:rPr>
          <w:rFonts w:ascii="Arial" w:cs="Arial" w:eastAsia="Arial" w:hAnsi="Arial"/>
          <w:sz w:val="16"/>
          <w:szCs w:val="16"/>
          <w:b w:val="1"/>
          <w:bCs w:val="1"/>
          <w:color w:val="auto"/>
        </w:rPr>
      </w:pPr>
      <w:r>
        <w:rPr>
          <w:rFonts w:ascii="Arial" w:cs="Arial" w:eastAsia="Arial" w:hAnsi="Arial"/>
          <w:sz w:val="16"/>
          <w:szCs w:val="16"/>
          <w:color w:val="auto"/>
        </w:rPr>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w:t>
      </w:r>
    </w:p>
    <w:p>
      <w:pPr>
        <w:spacing w:after="0" w:line="1" w:lineRule="exact"/>
        <w:rPr>
          <w:rFonts w:ascii="Arial" w:cs="Arial" w:eastAsia="Arial" w:hAnsi="Arial"/>
          <w:sz w:val="16"/>
          <w:szCs w:val="16"/>
          <w:b w:val="1"/>
          <w:bCs w:val="1"/>
          <w:color w:val="auto"/>
        </w:rPr>
      </w:pPr>
    </w:p>
    <w:p>
      <w:pPr>
        <w:ind w:right="340" w:firstLine="8"/>
        <w:spacing w:after="0" w:line="302" w:lineRule="auto"/>
        <w:tabs>
          <w:tab w:leader="none" w:pos="26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distribute the proceeds of such conversion received by the Depositary (net of applicable (a) fees and charges of, and expenses incurred by, the Depositary and (b) 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5" w:name="page226"/>
    <w:bookmarkEnd w:id="225"/>
    <w:p>
      <w:pPr>
        <w:ind w:right="140" w:firstLine="656"/>
        <w:spacing w:after="0" w:line="263" w:lineRule="auto"/>
        <w:tabs>
          <w:tab w:leader="none" w:pos="913" w:val="left"/>
        </w:tabs>
        <w:numPr>
          <w:ilvl w:val="0"/>
          <w:numId w:val="190"/>
        </w:numPr>
        <w:rPr>
          <w:rFonts w:ascii="Arial" w:cs="Arial" w:eastAsia="Arial" w:hAnsi="Arial"/>
          <w:sz w:val="18"/>
          <w:szCs w:val="18"/>
          <w:b w:val="1"/>
          <w:bCs w:val="1"/>
          <w:color w:val="auto"/>
        </w:rPr>
      </w:pPr>
      <w:r>
        <w:rPr>
          <w:rFonts w:ascii="Arial" w:cs="Arial" w:eastAsia="Arial" w:hAnsi="Arial"/>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80"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b w:val="1"/>
          <w:bCs w:val="1"/>
          <w:color w:val="auto"/>
        </w:rPr>
        <w:t xml:space="preserve">Section 4.6 </w:t>
      </w:r>
      <w:r>
        <w:rPr>
          <w:rFonts w:ascii="Arial" w:cs="Arial" w:eastAsia="Arial" w:hAnsi="Arial"/>
          <w:sz w:val="16"/>
          <w:szCs w:val="16"/>
          <w:b w:val="1"/>
          <w:bCs w:val="1"/>
          <w:u w:val="single" w:color="auto"/>
          <w:color w:val="auto"/>
        </w:rPr>
        <w:t>Distributions with Respect to Deposited Securities in Bearer Form</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of this Article IV, distributions in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5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4.7 </w:t>
      </w:r>
      <w:r>
        <w:rPr>
          <w:rFonts w:ascii="Arial" w:cs="Arial" w:eastAsia="Arial" w:hAnsi="Arial"/>
          <w:sz w:val="16"/>
          <w:szCs w:val="16"/>
          <w:b w:val="1"/>
          <w:bCs w:val="1"/>
          <w:u w:val="single" w:color="auto"/>
          <w:color w:val="auto"/>
        </w:rPr>
        <w:t>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Company intends to exercise any right of redemption in respect of any of the Deposited Securities,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shall give notice thereof to the Depositary at least sixty (60) days prior to the intended date of redemption, which notice shall set forth the particulars of the proposed redemption. Upon timely receipt of (i) such notice and (ii) satisfactory documentation given by the Company to the Depositary within the terms of Section 5.7,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taxes) multiplied by the number of Deposited Securities represented by each ADS redeemed.</w:t>
      </w:r>
    </w:p>
    <w:p>
      <w:pPr>
        <w:spacing w:after="0" w:line="17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Notwithstanding anything contained in the Deposit Agreement to the contrary, in the event the Company fails to give the Depositary timely notice of the proposed redemption provided for in this Section 4.7, the Depositary shall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6" w:name="page227"/>
    <w:bookmarkEnd w:id="226"/>
    <w:p>
      <w:pPr>
        <w:ind w:firstLine="648"/>
        <w:spacing w:after="0" w:line="269" w:lineRule="auto"/>
        <w:rPr>
          <w:sz w:val="20"/>
          <w:szCs w:val="20"/>
          <w:color w:val="auto"/>
        </w:rPr>
      </w:pPr>
      <w:r>
        <w:rPr>
          <w:rFonts w:ascii="Arial" w:cs="Arial" w:eastAsia="Arial" w:hAnsi="Arial"/>
          <w:sz w:val="17"/>
          <w:szCs w:val="17"/>
          <w:b w:val="1"/>
          <w:bCs w:val="1"/>
          <w:color w:val="auto"/>
        </w:rPr>
        <w:t xml:space="preserve">Section 4.8 </w:t>
      </w:r>
      <w:r>
        <w:rPr>
          <w:rFonts w:ascii="Arial" w:cs="Arial" w:eastAsia="Arial" w:hAnsi="Arial"/>
          <w:sz w:val="17"/>
          <w:szCs w:val="17"/>
          <w:b w:val="1"/>
          <w:bCs w:val="1"/>
          <w:u w:val="single" w:color="auto"/>
          <w:color w:val="auto"/>
        </w:rPr>
        <w:t>Conversion of Foreign 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Depositary or the Custodian shall receive Foreign Currency, by way of dividends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and applicable taxes withheld) in accordance with the terms of the applicable sections of the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86"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84"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ind w:right="40" w:firstLine="648"/>
        <w:spacing w:after="0" w:line="287" w:lineRule="auto"/>
        <w:rPr>
          <w:sz w:val="20"/>
          <w:szCs w:val="20"/>
          <w:color w:val="auto"/>
        </w:rPr>
      </w:pPr>
      <w:r>
        <w:rPr>
          <w:rFonts w:ascii="Arial" w:cs="Arial" w:eastAsia="Arial" w:hAnsi="Arial"/>
          <w:sz w:val="16"/>
          <w:szCs w:val="16"/>
          <w:b w:val="1"/>
          <w:bCs w:val="1"/>
          <w:color w:val="auto"/>
        </w:rPr>
        <w:t xml:space="preserve">Section 4.9 </w:t>
      </w:r>
      <w:r>
        <w:rPr>
          <w:rFonts w:ascii="Arial" w:cs="Arial" w:eastAsia="Arial" w:hAnsi="Arial"/>
          <w:sz w:val="16"/>
          <w:szCs w:val="16"/>
          <w:b w:val="1"/>
          <w:bCs w:val="1"/>
          <w:u w:val="single" w:color="auto"/>
          <w:color w:val="auto"/>
        </w:rPr>
        <w:t>Fixing of 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(a) the Depositary shall receive notice of the fixing of a record date by the Company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Arial" w:cs="Arial" w:eastAsia="Arial" w:hAnsi="Arial"/>
          <w:sz w:val="16"/>
          <w:szCs w:val="16"/>
          <w:u w:val="single" w:color="auto"/>
          <w:color w:val="auto"/>
        </w:rPr>
        <w:t>ADS Record 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the Cayman Islands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6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b w:val="1"/>
          <w:bCs w:val="1"/>
          <w:color w:val="auto"/>
        </w:rPr>
        <w:t xml:space="preserve">Section 4.10 </w:t>
      </w:r>
      <w:r>
        <w:rPr>
          <w:rFonts w:ascii="Arial" w:cs="Arial" w:eastAsia="Arial" w:hAnsi="Arial"/>
          <w:sz w:val="17"/>
          <w:szCs w:val="17"/>
          <w:b w:val="1"/>
          <w:bCs w:val="1"/>
          <w:u w:val="single" w:color="auto"/>
          <w:color w:val="auto"/>
        </w:rPr>
        <w:t>Voting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practicable after receipt of notice of any meeting at which the holders of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7"/>
          <w:szCs w:val="17"/>
          <w:i w:val="1"/>
          <w:iCs w:val="1"/>
          <w:color w:val="auto"/>
        </w:rPr>
        <w:t>e.g.</w:t>
      </w:r>
      <w:r>
        <w:rPr>
          <w:rFonts w:ascii="Arial" w:cs="Arial" w:eastAsia="Arial" w:hAnsi="Arial"/>
          <w:sz w:val="17"/>
          <w:szCs w:val="17"/>
          <w:color w:val="auto"/>
        </w:rPr>
        <w:t>, by reference to a website containing the materials for retrieval or a contact for requesting copies of the materials).</w:t>
      </w:r>
    </w:p>
    <w:p>
      <w:pPr>
        <w:spacing w:after="0" w:line="17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Deposit Agreement, voting at any meeting of shareholders of the Company is by show of hands unless (before or on the declaration of the result of the show of hands) a poll is demanded. The Depositary will not join in demanding a poll, whether or not requested to do so by Holders of ADSs. Under the Articles of Association of the Company as in effect on the date of the Deposit Agreement, a poll may be demanded by (a) the chairman of the meeting, or (b) any shareholder(s) present in person or by proxy and representing not less than 10% of the total voting rights of the shareholders present in person or by proxy on the resolution (excluding any shares held in treasury).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ind w:right="20" w:firstLine="648"/>
        <w:spacing w:after="0" w:line="268" w:lineRule="auto"/>
        <w:rPr>
          <w:sz w:val="20"/>
          <w:szCs w:val="20"/>
          <w:color w:val="auto"/>
        </w:rPr>
      </w:pPr>
      <w:r>
        <w:rPr>
          <w:rFonts w:ascii="Arial" w:cs="Arial" w:eastAsia="Arial" w:hAnsi="Arial"/>
          <w:sz w:val="17"/>
          <w:szCs w:val="17"/>
          <w:color w:val="auto"/>
        </w:rPr>
        <w:t xml:space="preserve">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as follows: (a) </w:t>
      </w:r>
      <w:r>
        <w:rPr>
          <w:rFonts w:ascii="Arial" w:cs="Arial" w:eastAsia="Arial" w:hAnsi="Arial"/>
          <w:sz w:val="17"/>
          <w:szCs w:val="17"/>
          <w:i w:val="1"/>
          <w:iCs w:val="1"/>
          <w:color w:val="auto"/>
        </w:rPr>
        <w:t>in the event voting takes place at a shareholders’ meeting by a show of hands</w:t>
      </w:r>
      <w:r>
        <w:rPr>
          <w:rFonts w:ascii="Arial" w:cs="Arial" w:eastAsia="Arial" w:hAnsi="Arial"/>
          <w:sz w:val="17"/>
          <w:szCs w:val="17"/>
          <w:color w:val="auto"/>
        </w:rPr>
        <w:t xml:space="preserve">, the Depositary will instruct the Custodian to vote all Deposited Securities in accordance with the voting instructions received timely from a majority of Holders of ADSs who provided voting instructions, and (b) </w:t>
      </w:r>
      <w:r>
        <w:rPr>
          <w:rFonts w:ascii="Arial" w:cs="Arial" w:eastAsia="Arial" w:hAnsi="Arial"/>
          <w:sz w:val="17"/>
          <w:szCs w:val="17"/>
          <w:i w:val="1"/>
          <w:iCs w:val="1"/>
          <w:color w:val="auto"/>
        </w:rPr>
        <w:t>in the event voting takes place at a shareholders’ meeting by poll</w:t>
      </w:r>
      <w:r>
        <w:rPr>
          <w:rFonts w:ascii="Arial" w:cs="Arial" w:eastAsia="Arial" w:hAnsi="Arial"/>
          <w:sz w:val="17"/>
          <w:szCs w:val="17"/>
          <w:color w:val="auto"/>
        </w:rPr>
        <w:t xml:space="preserve"> , the Depositary will instruct the Custodian to vote the Deposited Securities in accordance 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8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contemplated in this Section 4.10).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9" w:name="page230"/>
    <w:bookmarkEnd w:id="229"/>
    <w:p>
      <w:pPr>
        <w:ind w:right="60" w:firstLine="648"/>
        <w:spacing w:after="0" w:line="257" w:lineRule="auto"/>
        <w:rPr>
          <w:sz w:val="20"/>
          <w:szCs w:val="20"/>
          <w:color w:val="auto"/>
        </w:rPr>
      </w:pPr>
      <w:r>
        <w:rPr>
          <w:rFonts w:ascii="Arial" w:cs="Arial" w:eastAsia="Arial" w:hAnsi="Arial"/>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to enable Holders and Beneficial Owners to exercise the voting rights accruing to the Deposited Securities and to deliver to the Depositary an opinion of U.S. counsel in a form reasonably satisfactory to the Depositary addressing any actions requested to be taken if so requested by the Depositary.</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6"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b w:val="1"/>
          <w:bCs w:val="1"/>
          <w:color w:val="auto"/>
        </w:rPr>
        <w:t xml:space="preserve">Section 4.11 </w:t>
      </w: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w:t>
      </w:r>
    </w:p>
    <w:p>
      <w:pPr>
        <w:spacing w:after="0" w:line="1" w:lineRule="exact"/>
        <w:rPr>
          <w:sz w:val="20"/>
          <w:szCs w:val="20"/>
          <w:color w:val="auto"/>
        </w:rPr>
      </w:pPr>
    </w:p>
    <w:p>
      <w:pPr>
        <w:ind w:firstLine="8"/>
        <w:spacing w:after="0" w:line="267" w:lineRule="auto"/>
        <w:tabs>
          <w:tab w:leader="none" w:pos="26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0" w:name="page231"/>
    <w:bookmarkEnd w:id="230"/>
    <w:p>
      <w:pPr>
        <w:ind w:right="200" w:firstLine="648"/>
        <w:spacing w:after="0" w:line="261" w:lineRule="auto"/>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b w:val="1"/>
          <w:bCs w:val="1"/>
          <w:u w:val="single" w:color="auto"/>
          <w:color w:val="auto"/>
        </w:rPr>
        <w:t>Available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the periodic reporting requirements of the Exchange Act and, accordingly,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80" w:lineRule="exact"/>
        <w:rPr>
          <w:sz w:val="20"/>
          <w:szCs w:val="20"/>
          <w:color w:val="auto"/>
        </w:rPr>
      </w:pPr>
    </w:p>
    <w:p>
      <w:pPr>
        <w:ind w:right="20" w:firstLine="648"/>
        <w:spacing w:after="0" w:line="303" w:lineRule="auto"/>
        <w:rPr>
          <w:sz w:val="20"/>
          <w:szCs w:val="20"/>
          <w:color w:val="auto"/>
        </w:rPr>
      </w:pPr>
      <w:r>
        <w:rPr>
          <w:rFonts w:ascii="Arial" w:cs="Arial" w:eastAsia="Arial" w:hAnsi="Arial"/>
          <w:sz w:val="16"/>
          <w:szCs w:val="16"/>
          <w:b w:val="1"/>
          <w:bCs w:val="1"/>
          <w:color w:val="auto"/>
        </w:rPr>
        <w:t xml:space="preserve">Section 4.13 </w:t>
      </w:r>
      <w:r>
        <w:rPr>
          <w:rFonts w:ascii="Arial" w:cs="Arial" w:eastAsia="Arial" w:hAnsi="Arial"/>
          <w:sz w:val="16"/>
          <w:szCs w:val="16"/>
          <w:b w:val="1"/>
          <w:bCs w:val="1"/>
          <w:u w:val="single" w:color="auto"/>
          <w:color w:val="auto"/>
        </w:rPr>
        <w:t>Reports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make available for inspection by Holders at its Principal Office any reports and communications,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151"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b w:val="1"/>
          <w:bCs w:val="1"/>
          <w:u w:val="single" w:color="auto"/>
          <w:color w:val="auto"/>
        </w:rPr>
        <w:t>List of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upon written request by the Company, the Depositary shall furnish to it a list, as of a recent date,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names, addresses and holdings of ADSs of all Holders.</w:t>
      </w:r>
    </w:p>
    <w:p>
      <w:pPr>
        <w:spacing w:after="0" w:line="16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Section 4.15 </w:t>
      </w:r>
      <w:r>
        <w:rPr>
          <w:rFonts w:ascii="Arial" w:cs="Arial" w:eastAsia="Arial" w:hAnsi="Arial"/>
          <w:sz w:val="17"/>
          <w:szCs w:val="17"/>
          <w:b w:val="1"/>
          <w:bCs w:val="1"/>
          <w:u w:val="single" w:color="auto"/>
          <w:color w:val="auto"/>
        </w:rPr>
        <w:t>Taxation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will, and will instruct the Custodian to, forward to the Company or its agents such information from its</w:t>
      </w:r>
      <w:r>
        <w:rPr>
          <w:rFonts w:ascii="Arial" w:cs="Arial" w:eastAsia="Arial" w:hAnsi="Arial"/>
          <w:sz w:val="17"/>
          <w:szCs w:val="17"/>
          <w:b w:val="1"/>
          <w:bCs w:val="1"/>
          <w:color w:val="auto"/>
        </w:rPr>
        <w:t xml:space="preserve"> </w:t>
      </w:r>
      <w:r>
        <w:rPr>
          <w:rFonts w:ascii="Arial" w:cs="Arial" w:eastAsia="Arial" w:hAnsi="Arial"/>
          <w:sz w:val="17"/>
          <w:szCs w:val="17"/>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1" w:name="page232"/>
    <w:bookmarkEnd w:id="231"/>
    <w:p>
      <w:pPr>
        <w:ind w:right="20" w:firstLine="648"/>
        <w:spacing w:after="0" w:line="289" w:lineRule="auto"/>
        <w:rPr>
          <w:sz w:val="20"/>
          <w:szCs w:val="20"/>
          <w:color w:val="auto"/>
        </w:rPr>
      </w:pPr>
      <w:r>
        <w:rPr>
          <w:rFonts w:ascii="Arial" w:cs="Arial" w:eastAsia="Arial" w:hAnsi="Arial"/>
          <w:sz w:val="16"/>
          <w:szCs w:val="16"/>
          <w:color w:val="auto"/>
        </w:rPr>
        <w:t>If the Company (or any of its agents) withholds from any distribution any amount on account of taxes or governmental charges, or pays any other tax in respect of such distribution (</w:t>
      </w:r>
      <w:r>
        <w:rPr>
          <w:rFonts w:ascii="Arial" w:cs="Arial" w:eastAsia="Arial" w:hAnsi="Arial"/>
          <w:sz w:val="16"/>
          <w:szCs w:val="16"/>
          <w:i w:val="1"/>
          <w:iCs w:val="1"/>
          <w:color w:val="auto"/>
        </w:rPr>
        <w:t>e.g.</w:t>
      </w:r>
      <w:r>
        <w:rPr>
          <w:rFonts w:ascii="Arial" w:cs="Arial" w:eastAsia="Arial" w:hAnsi="Arial"/>
          <w:sz w:val="16"/>
          <w:szCs w:val="16"/>
          <w:color w:val="auto"/>
        </w:rPr>
        <w:t>, stamp duty tax, capital gains or other similar tax), the Company shall (and shall cause such agent to) remit promptly to the Depositary information about such taxes or governmental charges withheld or paid, and, if so requested, the tax receipt (or other proof of payment to the applicable governmental authority) therefor, in each case, in a form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166"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Depositary is under no obligation to provide the Holders and Beneficial Owners with any information about the tax status of the Company.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DEPOSITARY, THE CUSTODIAN AND THE COMPANY</w:t>
      </w:r>
    </w:p>
    <w:p>
      <w:pPr>
        <w:spacing w:after="0" w:line="207"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Maintenance of Office and Transfer Books by the Registrar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termination of the Deposit Agreement in accordance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87"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2" w:name="page233"/>
    <w:bookmarkEnd w:id="232"/>
    <w:p>
      <w:pPr>
        <w:ind w:right="40" w:firstLine="648"/>
        <w:spacing w:after="0" w:line="257" w:lineRule="auto"/>
        <w:rPr>
          <w:sz w:val="20"/>
          <w:szCs w:val="20"/>
          <w:color w:val="auto"/>
        </w:rPr>
      </w:pPr>
      <w:r>
        <w:rPr>
          <w:rFonts w:ascii="Arial" w:cs="Arial" w:eastAsia="Arial" w:hAnsi="Arial"/>
          <w:sz w:val="18"/>
          <w:szCs w:val="18"/>
          <w:color w:val="auto"/>
        </w:rPr>
        <w:t>If any ADSs are listed on one or more stock exchanges or automated quotation systems in the United States, the Depositary shall act as Registrar or appoint a Registrar or one or more co-registrars for registration of issuances, cancellations, transfers, combinations and split-ups of ADSs and, if applicable, to countersign ADRs evidencing the ADSs so issued, transferred, combined or split-up, in accordance with any requirements of such exchanges or systems. Such Registrar or co-registrars may be removed and a substitute or substitutes appointed by the Depositary. The Depositary shall notify the Company of any such removal or appointment as commercially practicable.</w:t>
      </w:r>
    </w:p>
    <w:p>
      <w:pPr>
        <w:spacing w:after="0" w:line="184"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b w:val="1"/>
          <w:bCs w:val="1"/>
          <w:color w:val="auto"/>
        </w:rPr>
        <w:t xml:space="preserve">Section 5.2 </w:t>
      </w:r>
      <w:r>
        <w:rPr>
          <w:rFonts w:ascii="Arial" w:cs="Arial" w:eastAsia="Arial" w:hAnsi="Arial"/>
          <w:sz w:val="17"/>
          <w:szCs w:val="17"/>
          <w:b w:val="1"/>
          <w:bCs w:val="1"/>
          <w:u w:val="single" w:color="auto"/>
          <w:color w:val="auto"/>
        </w:rPr>
        <w:t>Exoneration</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contained in the Deposit Agreement or any ADR, neither the Depositary nor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obligated to do or perform any act or thing which is inconsistent with the provisions of the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Deposit Agreement, by reason of any provision of any present or future law or regulation of the United States, the Cayman Islands or any other country, or of any other governmental authority or regulatory authority or stock exchange, or on account of potential criminal or civil penalties or restraint, or by reason of any provision, present or future, of the Articles of Association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Deposit Agreement.</w:t>
      </w:r>
    </w:p>
    <w:p>
      <w:pPr>
        <w:spacing w:after="0" w:line="19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3" w:name="page234"/>
    <w:bookmarkEnd w:id="233"/>
    <w:p>
      <w:pPr>
        <w:ind w:right="120" w:firstLine="648"/>
        <w:spacing w:after="0" w:line="266"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Standard of Care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Depositary assume no obligation and shall not be subject to any liability under the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8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8"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financial transaction entered into by any person in respect of the ADSs or any Deposited Property, for any tax consequences that may result from the ownership of, or any transaction involving, ADSs or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5"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ind w:firstLine="648"/>
        <w:spacing w:after="0" w:line="281" w:lineRule="auto"/>
        <w:rPr>
          <w:sz w:val="20"/>
          <w:szCs w:val="20"/>
          <w:color w:val="auto"/>
        </w:rPr>
      </w:pPr>
      <w:r>
        <w:rPr>
          <w:rFonts w:ascii="Arial" w:cs="Arial" w:eastAsia="Arial" w:hAnsi="Arial"/>
          <w:sz w:val="17"/>
          <w:szCs w:val="17"/>
          <w:b w:val="1"/>
          <w:bCs w:val="1"/>
          <w:color w:val="auto"/>
        </w:rPr>
        <w:t xml:space="preserve">Section 5.4 </w:t>
      </w:r>
      <w:r>
        <w:rPr>
          <w:rFonts w:ascii="Arial" w:cs="Arial" w:eastAsia="Arial" w:hAnsi="Arial"/>
          <w:sz w:val="17"/>
          <w:szCs w:val="17"/>
          <w:b w:val="1"/>
          <w:bCs w:val="1"/>
          <w:u w:val="single" w:color="auto"/>
          <w:color w:val="auto"/>
        </w:rPr>
        <w:t>Resignation and Removal of the Depositary; Appointment of Successor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may at any time resign as</w:t>
      </w:r>
      <w:r>
        <w:rPr>
          <w:rFonts w:ascii="Arial" w:cs="Arial" w:eastAsia="Arial" w:hAnsi="Arial"/>
          <w:sz w:val="17"/>
          <w:szCs w:val="17"/>
          <w:b w:val="1"/>
          <w:bCs w:val="1"/>
          <w:color w:val="auto"/>
        </w:rPr>
        <w:t xml:space="preserve"> </w:t>
      </w:r>
      <w:r>
        <w:rPr>
          <w:rFonts w:ascii="Arial" w:cs="Arial" w:eastAsia="Arial" w:hAnsi="Arial"/>
          <w:sz w:val="17"/>
          <w:szCs w:val="17"/>
          <w:color w:val="auto"/>
        </w:rPr>
        <w:t>Depositary 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Depositary may at any time be removed by the Company by written notice of such removal, which removal shall be effective on the later of</w:t>
      </w:r>
    </w:p>
    <w:p>
      <w:pPr>
        <w:spacing w:after="0" w:line="46" w:lineRule="exact"/>
        <w:rPr>
          <w:sz w:val="20"/>
          <w:szCs w:val="20"/>
          <w:color w:val="auto"/>
        </w:rPr>
      </w:pPr>
    </w:p>
    <w:p>
      <w:pPr>
        <w:ind w:left="220" w:hanging="212"/>
        <w:spacing w:after="0"/>
        <w:tabs>
          <w:tab w:leader="none" w:pos="22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90th day after delivery thereof to the Depositary (whereupon the Depositary shall be entitled to take the actions contemplated in Section 6.2), or</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upon the appointment by the Company of a successor depositary and its acceptance of such appointment as hereinafter provided.</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8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Any entity into or with which the Depositary may be merged or consolidated shall be the successor of the Depositary without the execution or filing of any document or any further act.</w:t>
      </w:r>
    </w:p>
    <w:p>
      <w:pPr>
        <w:spacing w:after="0" w:line="166"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b w:val="1"/>
          <w:bCs w:val="1"/>
          <w:color w:val="auto"/>
        </w:rPr>
        <w:t xml:space="preserve">Section 5.5 </w:t>
      </w:r>
      <w:r>
        <w:rPr>
          <w:rFonts w:ascii="Arial" w:cs="Arial" w:eastAsia="Arial" w:hAnsi="Arial"/>
          <w:sz w:val="17"/>
          <w:szCs w:val="17"/>
          <w:b w:val="1"/>
          <w:bCs w:val="1"/>
          <w:u w:val="single" w:color="auto"/>
          <w:color w:val="auto"/>
        </w:rPr>
        <w:t>The Custodian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has initially appointed Citibank, N.A. – Hong Kong as Custodian for the purpose of the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Custodian or its successors in acting hereunder shall be authorized to act as custodian in the Cayman Islands and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35" w:name="page236"/>
    <w:bookmarkEnd w:id="235"/>
    <w:p>
      <w:pPr>
        <w:ind w:right="40" w:firstLine="648"/>
        <w:spacing w:after="0" w:line="259" w:lineRule="auto"/>
        <w:rPr>
          <w:sz w:val="20"/>
          <w:szCs w:val="20"/>
          <w:color w:val="auto"/>
        </w:rPr>
      </w:pPr>
      <w:r>
        <w:rPr>
          <w:rFonts w:ascii="Arial" w:cs="Arial" w:eastAsia="Arial" w:hAnsi="Arial"/>
          <w:sz w:val="18"/>
          <w:szCs w:val="18"/>
          <w:color w:val="auto"/>
        </w:rPr>
        <w:t>Citibank may at any time act as Custodian of the Deposited Property pursuant to the Deposit Agreement, in which case any reference to Custodian shall mean Citibank solely in its capacity as Custodian pursuant to the Deposit Agreement. Notwithstanding anything contained in the Deposit Agreement or any ADR to the contrary, the Depositary shall not be obligated to give notice to the Company, any Holders of ADSs or any other Custodian of its acting as Custodian pursuant to the Deposit Agreement.</w:t>
      </w:r>
    </w:p>
    <w:p>
      <w:pPr>
        <w:spacing w:after="0" w:line="187"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5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Notices and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first date on which the Company gives notice, by publication or otherwise, of any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that may be relevant or pertain to such notice of meeting or be the subject of a vote thereat.</w:t>
      </w:r>
    </w:p>
    <w:p>
      <w:pPr>
        <w:spacing w:after="0" w:line="19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Company will also transmit to the Depositary (a) an English language version of the other notices, reports and communications which are made generally available by the Company to holders of its Shares or other Deposited Securities and (b) the English language versions of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provisions of or governing the Shares and any other Deposited Securities issued by the Company in connection with such Shares, and promptly upon any amendment thereto or change therein, the Company shall deliver to the Depositary and the Custodian a copy of such amendment thereto or change therein. The Depositary may rely upon such copy for all purposes of the Deposit Agreement.</w:t>
      </w:r>
    </w:p>
    <w:p>
      <w:pPr>
        <w:spacing w:after="0" w:line="16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6" w:name="page237"/>
    <w:bookmarkEnd w:id="236"/>
    <w:p>
      <w:pPr>
        <w:ind w:firstLine="648"/>
        <w:spacing w:after="0" w:line="284" w:lineRule="auto"/>
        <w:rPr>
          <w:sz w:val="20"/>
          <w:szCs w:val="20"/>
          <w:color w:val="auto"/>
        </w:rPr>
      </w:pPr>
      <w:r>
        <w:rPr>
          <w:rFonts w:ascii="Arial" w:cs="Arial" w:eastAsia="Arial" w:hAnsi="Arial"/>
          <w:sz w:val="16"/>
          <w:szCs w:val="16"/>
          <w:b w:val="1"/>
          <w:bCs w:val="1"/>
          <w:color w:val="auto"/>
        </w:rPr>
        <w:t xml:space="preserve">Section 5.7 </w:t>
      </w:r>
      <w:r>
        <w:rPr>
          <w:rFonts w:ascii="Arial" w:cs="Arial" w:eastAsia="Arial" w:hAnsi="Arial"/>
          <w:sz w:val="16"/>
          <w:szCs w:val="16"/>
          <w:b w:val="1"/>
          <w:bCs w:val="1"/>
          <w:u w:val="single" w:color="auto"/>
          <w:color w:val="auto"/>
        </w:rPr>
        <w:t>Issuance of Additional Shares, ADSs etc</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agrees that in the event it or any of its Affiliates proposes (i) an issuance,</w:t>
      </w:r>
      <w:r>
        <w:rPr>
          <w:rFonts w:ascii="Arial" w:cs="Arial" w:eastAsia="Arial" w:hAnsi="Arial"/>
          <w:sz w:val="16"/>
          <w:szCs w:val="16"/>
          <w:b w:val="1"/>
          <w:bCs w:val="1"/>
          <w:color w:val="auto"/>
        </w:rPr>
        <w:t xml:space="preserve"> </w:t>
      </w:r>
      <w:r>
        <w:rPr>
          <w:rFonts w:ascii="Arial" w:cs="Arial" w:eastAsia="Arial" w:hAnsi="Arial"/>
          <w:sz w:val="16"/>
          <w:szCs w:val="16"/>
          <w:color w:val="auto"/>
        </w:rPr>
        <w:t>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 (1) requires a registration statement under the Securities Act to be in effect or (2) is exempt from the registration requirements of the Securities Act and (b) an opinion of Cayman Islands counsel stating that (1) making the transaction available to Holders and Beneficial Owners does not violate the laws or regulations of the Cayman Islands and (2) all requisite regulatory consents and approvals have been obtained in the Cayman Islands.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39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Notwithstanding anything else contained in the Deposit Agreement, nothing in the Deposit Agreement shall be deemed to obligate the Company to file any registration statement in respect of any proposed transaction.</w:t>
      </w:r>
    </w:p>
    <w:p>
      <w:pPr>
        <w:spacing w:after="0" w:line="166" w:lineRule="exact"/>
        <w:rPr>
          <w:sz w:val="20"/>
          <w:szCs w:val="20"/>
          <w:color w:val="auto"/>
        </w:rPr>
      </w:pPr>
    </w:p>
    <w:p>
      <w:pPr>
        <w:ind w:right="340" w:firstLine="648"/>
        <w:spacing w:after="0" w:line="258"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agrees to indemnify the Company and its directors, officers, employees, agents and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and/or the Custodian (for as long as the Custodian is a branch of Citibank) under the terms hereof due to the negligence or bad faith of the Depositary and/or the Custodian (for as long as the Custodian is a branch of Citibank).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7" w:name="page238"/>
    <w:bookmarkEnd w:id="237"/>
    <w:p>
      <w:pPr>
        <w:ind w:firstLine="648"/>
        <w:spacing w:after="0" w:line="268" w:lineRule="auto"/>
        <w:rPr>
          <w:sz w:val="20"/>
          <w:szCs w:val="20"/>
          <w:color w:val="auto"/>
        </w:rPr>
      </w:pPr>
      <w:r>
        <w:rPr>
          <w:rFonts w:ascii="Arial" w:cs="Arial" w:eastAsia="Arial" w:hAnsi="Arial"/>
          <w:sz w:val="17"/>
          <w:szCs w:val="17"/>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 The Company shall not indemnify the Depositary, the Custodian or any of their respective directors, officers, employees, agents or Affiliates against any liability or expense arising out of information relating to the Depositary or such Custodian , as the case may be, furnished in writing by the Depositary to the Company, executed by the Depositary or such Custodian expressly for use in any registration statement, proxy statement, prospectus, preliminary prospectus or any other offering documents relating to any Deposited Securities represented by the ADSs.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obligations set forth in this Section shall survive the termination of the Deposit Agreement and the succession or substitution of any party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7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b w:val="1"/>
          <w:bCs w:val="1"/>
          <w:color w:val="auto"/>
        </w:rPr>
        <w:t xml:space="preserve">Section 5.9 </w:t>
      </w:r>
      <w:r>
        <w:rPr>
          <w:rFonts w:ascii="Arial" w:cs="Arial" w:eastAsia="Arial" w:hAnsi="Arial"/>
          <w:sz w:val="17"/>
          <w:szCs w:val="17"/>
          <w:b w:val="1"/>
          <w:bCs w:val="1"/>
          <w:u w:val="single" w:color="auto"/>
          <w:color w:val="auto"/>
        </w:rPr>
        <w:t>ADS Fees and Charges</w:t>
      </w:r>
      <w:r>
        <w:rPr>
          <w:rFonts w:ascii="Arial" w:cs="Arial" w:eastAsia="Arial" w:hAnsi="Arial"/>
          <w:sz w:val="17"/>
          <w:szCs w:val="17"/>
          <w:color w:val="auto"/>
        </w:rPr>
        <w:t>. The Company, the Holders, the Beneficial Owners, persons depositing Shares or withdrawing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Securities in connection with the issuance and cancellation of ADSs, and persons receiving ADSs upon issuance or whose ADSs are being cancelled shall be required to pay the Depositary’s fees and related charges (some of which may be cumulative) identified as payable by them respectively in the Fee Schedule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38" w:name="page239"/>
    <w:bookmarkEnd w:id="238"/>
    <w:p>
      <w:pPr>
        <w:ind w:firstLine="648"/>
        <w:spacing w:after="0" w:line="267" w:lineRule="auto"/>
        <w:rPr>
          <w:sz w:val="20"/>
          <w:szCs w:val="20"/>
          <w:color w:val="auto"/>
        </w:rPr>
      </w:pPr>
      <w:r>
        <w:rPr>
          <w:rFonts w:ascii="Arial" w:cs="Arial" w:eastAsia="Arial" w:hAnsi="Arial"/>
          <w:sz w:val="17"/>
          <w:szCs w:val="17"/>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(which may entail the cancellation, issuance and transfer of ADSs and the conversion of ADSs from one series to another series), the applicable ADS issuance, cancellation, transfer and conversion fees will be payable by the Holder whose ADSs are converted or by the person to whom the converted ADSs are delivered.</w:t>
      </w:r>
    </w:p>
    <w:p>
      <w:pPr>
        <w:spacing w:after="0" w:line="19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9" w:name="page240"/>
    <w:bookmarkEnd w:id="239"/>
    <w:p>
      <w:pPr>
        <w:ind w:left="660"/>
        <w:spacing w:after="0"/>
        <w:rPr>
          <w:sz w:val="20"/>
          <w:szCs w:val="20"/>
          <w:color w:val="auto"/>
        </w:rPr>
      </w:pPr>
      <w:r>
        <w:rPr>
          <w:rFonts w:ascii="Arial" w:cs="Arial" w:eastAsia="Arial" w:hAnsi="Arial"/>
          <w:sz w:val="16"/>
          <w:szCs w:val="16"/>
          <w:color w:val="auto"/>
        </w:rPr>
        <w:t>The obligations of Holders and Beneficial Owners to pay ADS fees and charges shall survive the termination of the Deposit Agreement. As to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Depositary, upon the resignation or removal of such Depositary as described in Section 5.4, the right to collect ADS fees and charges shall extend for those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ADS fees and charges incurred prior to the effectiveness of such resignation or removal.</w:t>
      </w:r>
    </w:p>
    <w:p>
      <w:pPr>
        <w:spacing w:after="0" w:line="20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u w:val="single" w:color="auto"/>
          <w:color w:val="auto"/>
        </w:rPr>
        <w:t>Restricted Securities Owners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agrees to advise in writing each of the persons or entities who, to the knowledge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AND TERMINATION</w:t>
      </w:r>
    </w:p>
    <w:p>
      <w:pPr>
        <w:spacing w:after="0" w:line="207"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Section 6.1 and applicable law, the ADRs outstanding at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0" w:name="page241"/>
    <w:bookmarkEnd w:id="240"/>
    <w:p>
      <w:pPr>
        <w:ind w:right="160" w:firstLine="648"/>
        <w:spacing w:after="0" w:line="289" w:lineRule="auto"/>
        <w:rPr>
          <w:sz w:val="20"/>
          <w:szCs w:val="20"/>
          <w:color w:val="auto"/>
        </w:rPr>
      </w:pPr>
      <w:r>
        <w:rPr>
          <w:rFonts w:ascii="Arial" w:cs="Arial" w:eastAsia="Arial" w:hAnsi="Arial"/>
          <w:sz w:val="16"/>
          <w:szCs w:val="16"/>
          <w:b w:val="1"/>
          <w:bCs w:val="1"/>
          <w:color w:val="auto"/>
        </w:rPr>
        <w:t xml:space="preserve">Section 6.2 </w:t>
      </w: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any time at the written direction of the Company, terminate the Deposit Agreement by</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w:t>
      </w:r>
    </w:p>
    <w:p>
      <w:pPr>
        <w:spacing w:after="0" w:line="2" w:lineRule="exact"/>
        <w:rPr>
          <w:sz w:val="20"/>
          <w:szCs w:val="20"/>
          <w:color w:val="auto"/>
        </w:rPr>
      </w:pPr>
    </w:p>
    <w:p>
      <w:pPr>
        <w:ind w:right="100" w:firstLine="8"/>
        <w:spacing w:after="0" w:line="252" w:lineRule="auto"/>
        <w:tabs>
          <w:tab w:leader="none" w:pos="26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19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6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1" w:name="page242"/>
    <w:bookmarkEnd w:id="241"/>
    <w:p>
      <w:pPr>
        <w:ind w:right="40" w:firstLine="648"/>
        <w:spacing w:after="0" w:line="254" w:lineRule="auto"/>
        <w:rPr>
          <w:sz w:val="20"/>
          <w:szCs w:val="20"/>
          <w:color w:val="auto"/>
        </w:rPr>
      </w:pPr>
      <w:r>
        <w:rPr>
          <w:rFonts w:ascii="Arial" w:cs="Arial" w:eastAsia="Arial" w:hAnsi="Arial"/>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taxes and the ADS fees and charges of, and reimbursement of the applicable expenses incurred by, the Depositary.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may be executed in any number of counterparts, each of which shall be deemed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of such counterparts together shall constitute one and the same agreement. Copies of the Deposit Agreement shall be maintained with the Depositary and shall be open to inspection by any Holder during business hours.</w:t>
      </w:r>
    </w:p>
    <w:p>
      <w:pPr>
        <w:spacing w:after="0" w:line="17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No Third-Party Beneficiaries/Acknowledgments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 Agreement is for the exclusive benefit of the parties hereto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5" w:lineRule="exact"/>
        <w:rPr>
          <w:sz w:val="20"/>
          <w:szCs w:val="20"/>
          <w:color w:val="auto"/>
        </w:rPr>
      </w:pPr>
    </w:p>
    <w:p>
      <w:pPr>
        <w:ind w:right="60" w:firstLine="8"/>
        <w:spacing w:after="0" w:line="268" w:lineRule="auto"/>
        <w:tabs>
          <w:tab w:leader="none" w:pos="30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42" w:name="page243"/>
    <w:bookmarkEnd w:id="242"/>
    <w:p>
      <w:pPr>
        <w:ind w:right="200" w:firstLine="648"/>
        <w:spacing w:after="0" w:line="266"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one or more of the provisions contained in the Deposit Agreement or in the ADRs should be or become</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illegal or unenforceable in any respect, the validity, legality and enforceability of the remaining provisions contained herein or therein shall in no way be affected, prejudiced or disturbed thereby.</w:t>
      </w:r>
    </w:p>
    <w:p>
      <w:pPr>
        <w:spacing w:after="0" w:line="176" w:lineRule="exact"/>
        <w:rPr>
          <w:sz w:val="20"/>
          <w:szCs w:val="20"/>
          <w:color w:val="auto"/>
        </w:rPr>
      </w:pPr>
    </w:p>
    <w:p>
      <w:pPr>
        <w:jc w:val="both"/>
        <w:ind w:right="140" w:firstLine="648"/>
        <w:spacing w:after="0" w:line="266" w:lineRule="auto"/>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Holders and Beneficial Owners as Parties; 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and Beneficial Owners from time to time of ADSs issued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shall be parties to the Deposit Agreement and shall be bound by all of the terms and conditions hereof and of any ADR evidencing their ADSs by acceptance thereof or any beneficial interest therein.</w:t>
      </w:r>
    </w:p>
    <w:p>
      <w:pPr>
        <w:spacing w:after="0" w:line="176"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notices to be given to the Company shall be deemed to have been duly given if personally delivered or sent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mail, air courier or cable, telex or facsimile transmission, confirmed by letter personally delivered or sent by mail or air courier, addressed to Suntec Tower 3, 8 Temasek Boulevard Road, #24-03, Singapore, 038988, </w:t>
      </w:r>
      <w:r>
        <w:rPr>
          <w:rFonts w:ascii="Arial" w:cs="Arial" w:eastAsia="Arial" w:hAnsi="Arial"/>
          <w:sz w:val="18"/>
          <w:szCs w:val="18"/>
          <w:u w:val="single" w:color="auto"/>
          <w:color w:val="auto"/>
        </w:rPr>
        <w:t>Attention</w:t>
      </w:r>
      <w:r>
        <w:rPr>
          <w:rFonts w:ascii="Arial" w:cs="Arial" w:eastAsia="Arial" w:hAnsi="Arial"/>
          <w:sz w:val="18"/>
          <w:szCs w:val="18"/>
          <w:color w:val="auto"/>
        </w:rPr>
        <w:t>: Chief Executive Officer, or to any other address which the Company may specify in writing to the Depositary.</w:t>
      </w:r>
    </w:p>
    <w:p>
      <w:pPr>
        <w:spacing w:after="0" w:line="18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Arial" w:cs="Arial" w:eastAsia="Arial" w:hAnsi="Arial"/>
          <w:sz w:val="18"/>
          <w:szCs w:val="18"/>
          <w:u w:val="single" w:color="auto"/>
          <w:color w:val="auto"/>
        </w:rPr>
        <w:t>Attention</w:t>
      </w:r>
      <w:r>
        <w:rPr>
          <w:rFonts w:ascii="Arial" w:cs="Arial" w:eastAsia="Arial" w:hAnsi="Arial"/>
          <w:sz w:val="18"/>
          <w:szCs w:val="18"/>
          <w:color w:val="auto"/>
        </w:rPr>
        <w:t>: Depositary Receipts Department, or to any other address which the Depositary may specify in writing to the Company.</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Any and all notices to be given to any Holder shall be deemed to have been duly given (a)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the ADSs in their DTC accounts and to the Beneficial Owners of such ADSs.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43" w:name="page244"/>
    <w:bookmarkEnd w:id="243"/>
    <w:p>
      <w:pPr>
        <w:ind w:right="320" w:firstLine="648"/>
        <w:spacing w:after="0" w:line="296" w:lineRule="auto"/>
        <w:rPr>
          <w:sz w:val="20"/>
          <w:szCs w:val="20"/>
          <w:color w:val="auto"/>
        </w:rPr>
      </w:pPr>
      <w:r>
        <w:rPr>
          <w:rFonts w:ascii="Arial" w:cs="Arial" w:eastAsia="Arial" w:hAnsi="Arial"/>
          <w:sz w:val="16"/>
          <w:szCs w:val="16"/>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6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8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Section 7.6 </w:t>
      </w:r>
      <w:r>
        <w:rPr>
          <w:rFonts w:ascii="Arial" w:cs="Arial" w:eastAsia="Arial" w:hAnsi="Arial"/>
          <w:sz w:val="18"/>
          <w:szCs w:val="18"/>
          <w:b w:val="1"/>
          <w:bCs w:val="1"/>
          <w:u w:val="single" w:color="auto"/>
          <w:color w:val="auto"/>
        </w:rPr>
        <w:t>Governing Law and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the ADRs and the ADSs shall be interpreted in accordance with,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19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(including claims arising under the Exchange Act or the Securities Act), and, for such purposes, each irrevocably submits to the non-exclusive jurisdiction of such courts.</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Holders and Beneficial Owners understand, and by holding an American Depositary Share or an interest therein such Holders and Beneficial Owners each irrevocably agrees, that any legal suit, action or proceeding against or involving the Company or the Depositary, regardless of whether such legal suit, action or proceeding also involves parties other than the Company or the Depositary (including, but not limited to, any underwriters retained by the Company), arising out of or relating in any way to this Deposit Agreement, the American Depositary Shares or Receipts, or the transactions contemplated hereby or thereby or by virtue of ownership thereof, including without limitation claims under the Exchange Act or the Securities Act, may only be instituted in the United States District Court for the Southern District of New York (or, if the Southern District of New York lacks subject matter jurisdiction over a particular dispute, in the state courts of New York County, New York), and by holding an American Depositary Share or an interest therein each irrevocably waives any objection which it may now or hereafter have to the laying of venue of any such proceeding, and irrevocably submits to the exclusive jurisdiction of such courts in any such suit, action or proceeding. Holders and Beneficial Owners agree that the provisions of this paragraph shall survive such Holders’ and Beneficial Owners’ ownership of American Depositary Shares or interests therein.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44" w:name="page245"/>
    <w:bookmarkEnd w:id="244"/>
    <w:p>
      <w:pPr>
        <w:ind w:firstLine="648"/>
        <w:spacing w:after="0" w:line="269" w:lineRule="auto"/>
        <w:rPr>
          <w:sz w:val="20"/>
          <w:szCs w:val="20"/>
          <w:color w:val="auto"/>
        </w:rPr>
      </w:pPr>
      <w:r>
        <w:rPr>
          <w:rFonts w:ascii="Arial" w:cs="Arial" w:eastAsia="Arial" w:hAnsi="Arial"/>
          <w:sz w:val="17"/>
          <w:szCs w:val="17"/>
          <w:color w:val="auto"/>
        </w:rPr>
        <w:t>The Company hereby irrevocably designates, appoints and empowers Cogency Global Inc. (the “</w:t>
      </w:r>
      <w:r>
        <w:rPr>
          <w:rFonts w:ascii="Arial" w:cs="Arial" w:eastAsia="Arial" w:hAnsi="Arial"/>
          <w:sz w:val="17"/>
          <w:szCs w:val="17"/>
          <w:u w:val="single" w:color="auto"/>
          <w:color w:val="auto"/>
        </w:rPr>
        <w:t>Agent</w:t>
      </w:r>
      <w:r>
        <w:rPr>
          <w:rFonts w:ascii="Arial" w:cs="Arial" w:eastAsia="Arial" w:hAnsi="Arial"/>
          <w:sz w:val="17"/>
          <w:szCs w:val="17"/>
          <w:color w:val="auto"/>
        </w:rPr>
        <w:t>”) now at 122 East 42nd Street, 18th Floor, New York, NY 10168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the foregoing, the Depositary and the Company unconditionally agree that in the event of any suit, action or proceeding against</w:t>
      </w:r>
    </w:p>
    <w:p>
      <w:pPr>
        <w:spacing w:after="0" w:line="46" w:lineRule="exact"/>
        <w:rPr>
          <w:sz w:val="20"/>
          <w:szCs w:val="20"/>
          <w:color w:val="auto"/>
        </w:rPr>
      </w:pPr>
    </w:p>
    <w:p>
      <w:pPr>
        <w:ind w:right="40" w:firstLine="8"/>
        <w:spacing w:after="0" w:line="290" w:lineRule="auto"/>
        <w:tabs>
          <w:tab w:leader="none" w:pos="24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6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45" w:name="page246"/>
    <w:bookmarkEnd w:id="245"/>
    <w:p>
      <w:pPr>
        <w:ind w:firstLine="648"/>
        <w:spacing w:after="0" w:line="293" w:lineRule="auto"/>
        <w:rPr>
          <w:sz w:val="20"/>
          <w:szCs w:val="20"/>
          <w:color w:val="auto"/>
        </w:rPr>
      </w:pPr>
      <w:r>
        <w:rPr>
          <w:rFonts w:ascii="Arial" w:cs="Arial" w:eastAsia="Arial" w:hAnsi="Arial"/>
          <w:sz w:val="16"/>
          <w:szCs w:val="16"/>
          <w:color w:val="auto"/>
        </w:rPr>
        <w:t>Holders and Beneficial Owners understand and each irrevocably agrees that, by holding an ADS or an interest therein, any suit, action or proceeding against or involving the Company or the Depositary, arising out of or based upon the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160"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this Section 7.6 shall survive any termination of the Deposit Agreement, in whole or in part.</w:t>
      </w:r>
    </w:p>
    <w:p>
      <w:pPr>
        <w:spacing w:after="0" w:line="221"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b w:val="1"/>
          <w:bCs w:val="1"/>
          <w:color w:val="auto"/>
        </w:rPr>
        <w:t xml:space="preserve">Section 7.7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5.4, the Deposit Agreement may not be assigned by either the Company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7.8 </w:t>
      </w:r>
      <w:r>
        <w:rPr>
          <w:rFonts w:ascii="Arial" w:cs="Arial" w:eastAsia="Arial" w:hAnsi="Arial"/>
          <w:sz w:val="18"/>
          <w:szCs w:val="18"/>
          <w:b w:val="1"/>
          <w:bCs w:val="1"/>
          <w:u w:val="single" w:color="auto"/>
          <w:color w:val="auto"/>
        </w:rPr>
        <w:t>Compliance with, and No Disclaimer under, U.S. Securities Laws</w:t>
      </w:r>
      <w:r>
        <w:rPr>
          <w:rFonts w:ascii="Arial" w:cs="Arial" w:eastAsia="Arial" w:hAnsi="Arial"/>
          <w:sz w:val="18"/>
          <w:szCs w:val="18"/>
          <w:color w:val="auto"/>
        </w:rPr>
        <w:t>.</w:t>
      </w:r>
    </w:p>
    <w:p>
      <w:pPr>
        <w:spacing w:after="0" w:line="229" w:lineRule="exact"/>
        <w:rPr>
          <w:sz w:val="20"/>
          <w:szCs w:val="20"/>
          <w:color w:val="auto"/>
        </w:rPr>
      </w:pPr>
    </w:p>
    <w:p>
      <w:pPr>
        <w:jc w:val="both"/>
        <w:ind w:right="100" w:firstLine="656"/>
        <w:spacing w:after="0" w:line="263" w:lineRule="auto"/>
        <w:tabs>
          <w:tab w:leader="none" w:pos="903"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83" w:lineRule="exact"/>
        <w:rPr>
          <w:rFonts w:ascii="Arial" w:cs="Arial" w:eastAsia="Arial" w:hAnsi="Arial"/>
          <w:sz w:val="18"/>
          <w:szCs w:val="18"/>
          <w:b w:val="1"/>
          <w:bCs w:val="1"/>
          <w:color w:val="auto"/>
        </w:rPr>
      </w:pPr>
    </w:p>
    <w:p>
      <w:pPr>
        <w:ind w:right="40" w:firstLine="656"/>
        <w:spacing w:after="0" w:line="263" w:lineRule="auto"/>
        <w:tabs>
          <w:tab w:leader="none" w:pos="913"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8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Section 7.9 </w:t>
      </w:r>
      <w:r>
        <w:rPr>
          <w:rFonts w:ascii="Arial" w:cs="Arial" w:eastAsia="Arial" w:hAnsi="Arial"/>
          <w:sz w:val="18"/>
          <w:szCs w:val="18"/>
          <w:b w:val="1"/>
          <w:bCs w:val="1"/>
          <w:u w:val="single" w:color="auto"/>
          <w:color w:val="auto"/>
        </w:rPr>
        <w:t>Cayman Islands Law 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Any summary of the laws and regulations of the Cayman Islands and of the terms of the Articles</w:t>
      </w:r>
      <w:r>
        <w:rPr>
          <w:rFonts w:ascii="Arial" w:cs="Arial" w:eastAsia="Arial" w:hAnsi="Arial"/>
          <w:sz w:val="18"/>
          <w:szCs w:val="18"/>
          <w:b w:val="1"/>
          <w:bCs w:val="1"/>
          <w:color w:val="auto"/>
        </w:rPr>
        <w:t xml:space="preserve"> </w:t>
      </w:r>
      <w:r>
        <w:rPr>
          <w:rFonts w:ascii="Arial" w:cs="Arial" w:eastAsia="Arial" w:hAnsi="Arial"/>
          <w:sz w:val="18"/>
          <w:szCs w:val="18"/>
          <w:color w:val="auto"/>
        </w:rPr>
        <w:t>of Association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Articles of Association may change after the date of the Deposit Agreement. Neither the Depositary nor the Company has any obligation under the terms of the Deposit Agreement to update any such summaries.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46" w:name="page247"/>
    <w:bookmarkEnd w:id="246"/>
    <w:p>
      <w:pPr>
        <w:ind w:left="660"/>
        <w:spacing w:after="0"/>
        <w:rPr>
          <w:sz w:val="20"/>
          <w:szCs w:val="20"/>
          <w:color w:val="auto"/>
        </w:rPr>
      </w:pPr>
      <w:r>
        <w:rPr>
          <w:rFonts w:ascii="Arial" w:cs="Arial" w:eastAsia="Arial" w:hAnsi="Arial"/>
          <w:sz w:val="18"/>
          <w:szCs w:val="18"/>
          <w:b w:val="1"/>
          <w:bCs w:val="1"/>
          <w:color w:val="auto"/>
        </w:rPr>
        <w:t xml:space="preserve">Section 7.10 </w:t>
      </w:r>
      <w:r>
        <w:rPr>
          <w:rFonts w:ascii="Arial" w:cs="Arial" w:eastAsia="Arial" w:hAnsi="Arial"/>
          <w:sz w:val="18"/>
          <w:szCs w:val="18"/>
          <w:b w:val="1"/>
          <w:bCs w:val="1"/>
          <w:u w:val="single" w:color="auto"/>
          <w:color w:val="auto"/>
        </w:rPr>
        <w:t>Titles and References</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71" w:lineRule="auto"/>
        <w:tabs>
          <w:tab w:leader="none" w:pos="903" w:val="left"/>
        </w:tabs>
        <w:numPr>
          <w:ilvl w:val="0"/>
          <w:numId w:val="19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Deposit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All references in the Deposit Agreement to exhibits, articles, sections, subsections, and other subdivisions refer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Arial" w:cs="Arial" w:eastAsia="Arial" w:hAnsi="Arial"/>
          <w:sz w:val="17"/>
          <w:szCs w:val="17"/>
          <w:i w:val="1"/>
          <w:iCs w:val="1"/>
          <w:color w:val="auto"/>
        </w:rPr>
        <w:t>vice versa</w:t>
      </w:r>
      <w:r>
        <w:rPr>
          <w:rFonts w:ascii="Arial" w:cs="Arial" w:eastAsia="Arial" w:hAnsi="Arial"/>
          <w:sz w:val="17"/>
          <w:szCs w:val="17"/>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the Company, the Depositary, the Custodian, their agents and controlling persons, ADRs, ADSs or Deposited Property as in effect at the relevant time of determination, unless otherwise required by law or regulation.</w:t>
      </w:r>
    </w:p>
    <w:p>
      <w:pPr>
        <w:spacing w:after="0" w:line="173" w:lineRule="exact"/>
        <w:rPr>
          <w:rFonts w:ascii="Arial" w:cs="Arial" w:eastAsia="Arial" w:hAnsi="Arial"/>
          <w:sz w:val="17"/>
          <w:szCs w:val="17"/>
          <w:b w:val="1"/>
          <w:bCs w:val="1"/>
          <w:color w:val="auto"/>
        </w:rPr>
      </w:pPr>
    </w:p>
    <w:p>
      <w:pPr>
        <w:jc w:val="both"/>
        <w:ind w:right="200" w:firstLine="656"/>
        <w:spacing w:after="0" w:line="285" w:lineRule="auto"/>
        <w:tabs>
          <w:tab w:leader="none" w:pos="913"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ADRs</w:t>
      </w:r>
      <w:r>
        <w:rPr>
          <w:rFonts w:ascii="Arial" w:cs="Arial" w:eastAsia="Arial" w:hAnsi="Arial"/>
          <w:sz w:val="16"/>
          <w:szCs w:val="16"/>
          <w:b w:val="1"/>
          <w:bCs w:val="1"/>
          <w:color w:val="auto"/>
        </w:rPr>
        <w:t xml:space="preserve">. </w:t>
      </w:r>
      <w:r>
        <w:rPr>
          <w:rFonts w:ascii="Arial" w:cs="Arial" w:eastAsia="Arial" w:hAnsi="Arial"/>
          <w:sz w:val="16"/>
          <w:szCs w:val="16"/>
          <w:color w:val="auto"/>
        </w:rPr>
        <w:t>All references in any ADR(s) to paragraphs, exhibits, articles, sections, subsections, and other subdivisions refer to the paragraphs,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Arial" w:cs="Arial" w:eastAsia="Arial" w:hAnsi="Arial"/>
          <w:sz w:val="16"/>
          <w:szCs w:val="16"/>
          <w:i w:val="1"/>
          <w:iCs w:val="1"/>
          <w:color w:val="auto"/>
        </w:rPr>
        <w:t>vice versa</w:t>
      </w:r>
      <w:r>
        <w:rPr>
          <w:rFonts w:ascii="Arial" w:cs="Arial" w:eastAsia="Arial" w:hAnsi="Arial"/>
          <w:sz w:val="16"/>
          <w:szCs w:val="16"/>
          <w:color w:val="auto"/>
        </w:rPr>
        <w:t xml:space="preserve"> unless the context otherwise requires. Titles to paragraphs of any ADR are included for convenience only and shall be disregarded in construing the language contained in the ADR.</w:t>
      </w:r>
    </w:p>
    <w:p>
      <w:pPr>
        <w:spacing w:after="0" w:line="3" w:lineRule="exact"/>
        <w:rPr>
          <w:rFonts w:ascii="Arial" w:cs="Arial" w:eastAsia="Arial" w:hAnsi="Arial"/>
          <w:sz w:val="16"/>
          <w:szCs w:val="16"/>
          <w:b w:val="1"/>
          <w:bCs w:val="1"/>
          <w:color w:val="auto"/>
        </w:rPr>
      </w:pPr>
    </w:p>
    <w:p>
      <w:pPr>
        <w:ind w:right="1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on following page]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47" w:name="page248"/>
    <w:bookmarkEnd w:id="247"/>
    <w:p>
      <w:pPr>
        <w:ind w:firstLine="648"/>
        <w:spacing w:after="0" w:line="263" w:lineRule="auto"/>
        <w:rPr>
          <w:sz w:val="20"/>
          <w:szCs w:val="20"/>
          <w:color w:val="auto"/>
        </w:rPr>
      </w:pPr>
      <w:r>
        <w:rPr>
          <w:rFonts w:ascii="Arial" w:cs="Arial" w:eastAsia="Arial" w:hAnsi="Arial"/>
          <w:sz w:val="18"/>
          <w:szCs w:val="18"/>
          <w:color w:val="auto"/>
        </w:rPr>
        <w:t>IN WITNESS WHEREOF, TRIDENT DIGITAL TECH HOLDINGS LTD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TRIDENT DIGITAL TECH HOLDINGS LTD</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6350</wp:posOffset>
            </wp:positionV>
            <wp:extent cx="25628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CITIBANK, N.A.</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6350</wp:posOffset>
            </wp:positionV>
            <wp:extent cx="25628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8700" w:type="dxa"/>
            <w:vAlign w:val="bottom"/>
          </w:tcPr>
          <w:p>
            <w:pPr>
              <w:jc w:val="center"/>
              <w:ind w:right="2270"/>
              <w:spacing w:after="0"/>
              <w:rPr>
                <w:sz w:val="20"/>
                <w:szCs w:val="20"/>
                <w:color w:val="auto"/>
              </w:rPr>
            </w:pPr>
            <w:r>
              <w:rPr>
                <w:rFonts w:ascii="Arial" w:cs="Arial" w:eastAsia="Arial" w:hAnsi="Arial"/>
                <w:sz w:val="18"/>
                <w:szCs w:val="18"/>
                <w:b w:val="1"/>
                <w:bCs w:val="1"/>
                <w:color w:val="auto"/>
              </w:rPr>
              <w:t>EXHIBIT A</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00" w:type="dxa"/>
            <w:vAlign w:val="bottom"/>
          </w:tcPr>
          <w:p>
            <w:pPr>
              <w:jc w:val="center"/>
              <w:ind w:right="2290"/>
              <w:spacing w:after="0"/>
              <w:rPr>
                <w:sz w:val="20"/>
                <w:szCs w:val="20"/>
                <w:color w:val="auto"/>
              </w:rPr>
            </w:pPr>
            <w:r>
              <w:rPr>
                <w:rFonts w:ascii="Arial" w:cs="Arial" w:eastAsia="Arial" w:hAnsi="Arial"/>
                <w:sz w:val="18"/>
                <w:szCs w:val="18"/>
                <w:b w:val="1"/>
                <w:bCs w:val="1"/>
                <w:color w:val="auto"/>
              </w:rPr>
              <w:t>FORM OF ADR</w:t>
            </w:r>
          </w:p>
        </w:tc>
        <w:tc>
          <w:tcPr>
            <w:tcW w:w="0" w:type="dxa"/>
            <w:vAlign w:val="bottom"/>
          </w:tcPr>
          <w:p>
            <w:pPr>
              <w:spacing w:after="0"/>
              <w:rPr>
                <w:sz w:val="1"/>
                <w:szCs w:val="1"/>
                <w:color w:val="auto"/>
              </w:rPr>
            </w:pPr>
          </w:p>
        </w:tc>
      </w:tr>
      <w:tr>
        <w:trPr>
          <w:trHeight w:val="418"/>
        </w:trPr>
        <w:tc>
          <w:tcPr>
            <w:tcW w:w="2460" w:type="dxa"/>
            <w:vAlign w:val="bottom"/>
          </w:tcPr>
          <w:p>
            <w:pPr>
              <w:spacing w:after="0"/>
              <w:rPr>
                <w:sz w:val="20"/>
                <w:szCs w:val="20"/>
                <w:color w:val="auto"/>
              </w:rPr>
            </w:pPr>
            <w:r>
              <w:rPr>
                <w:rFonts w:ascii="Arial" w:cs="Arial" w:eastAsia="Arial" w:hAnsi="Arial"/>
                <w:sz w:val="18"/>
                <w:szCs w:val="18"/>
                <w:color w:val="auto"/>
              </w:rPr>
              <w:t>Number</w:t>
            </w:r>
          </w:p>
        </w:tc>
        <w:tc>
          <w:tcPr>
            <w:tcW w:w="8700" w:type="dxa"/>
            <w:vAlign w:val="bottom"/>
          </w:tcPr>
          <w:p>
            <w:pPr>
              <w:ind w:left="4860"/>
              <w:spacing w:after="0"/>
              <w:rPr>
                <w:sz w:val="20"/>
                <w:szCs w:val="20"/>
                <w:color w:val="auto"/>
              </w:rPr>
            </w:pPr>
            <w:r>
              <w:rPr>
                <w:rFonts w:ascii="Arial" w:cs="Arial" w:eastAsia="Arial" w:hAnsi="Arial"/>
                <w:sz w:val="18"/>
                <w:szCs w:val="18"/>
                <w:color w:val="auto"/>
              </w:rPr>
              <w:t>CUSIP NUMBER: _______</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_____________</w:t>
            </w:r>
          </w:p>
        </w:tc>
        <w:tc>
          <w:tcPr>
            <w:tcW w:w="8700" w:type="dxa"/>
            <w:vAlign w:val="bottom"/>
            <w:vMerge w:val="restart"/>
          </w:tcPr>
          <w:p>
            <w:pPr>
              <w:ind w:left="4860"/>
              <w:spacing w:after="0"/>
              <w:rPr>
                <w:sz w:val="20"/>
                <w:szCs w:val="20"/>
                <w:color w:val="auto"/>
              </w:rPr>
            </w:pPr>
            <w:r>
              <w:rPr>
                <w:rFonts w:ascii="Arial" w:cs="Arial" w:eastAsia="Arial" w:hAnsi="Arial"/>
                <w:sz w:val="18"/>
                <w:szCs w:val="18"/>
                <w:color w:val="auto"/>
              </w:rPr>
              <w:t>American Depositary Shares (each American</w:t>
            </w:r>
          </w:p>
        </w:tc>
        <w:tc>
          <w:tcPr>
            <w:tcW w:w="0" w:type="dxa"/>
            <w:vAlign w:val="bottom"/>
          </w:tcPr>
          <w:p>
            <w:pPr>
              <w:spacing w:after="0"/>
              <w:rPr>
                <w:sz w:val="1"/>
                <w:szCs w:val="1"/>
                <w:color w:val="auto"/>
              </w:rPr>
            </w:pPr>
          </w:p>
        </w:tc>
      </w:tr>
      <w:tr>
        <w:trPr>
          <w:trHeight w:val="202"/>
        </w:trPr>
        <w:tc>
          <w:tcPr>
            <w:tcW w:w="2460" w:type="dxa"/>
            <w:vAlign w:val="bottom"/>
          </w:tcPr>
          <w:p>
            <w:pPr>
              <w:spacing w:after="0"/>
              <w:rPr>
                <w:sz w:val="17"/>
                <w:szCs w:val="17"/>
                <w:color w:val="auto"/>
              </w:rPr>
            </w:pPr>
          </w:p>
        </w:tc>
        <w:tc>
          <w:tcPr>
            <w:tcW w:w="8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8700" w:type="dxa"/>
            <w:vAlign w:val="bottom"/>
          </w:tcPr>
          <w:p>
            <w:pPr>
              <w:ind w:left="4860"/>
              <w:spacing w:after="0"/>
              <w:rPr>
                <w:sz w:val="20"/>
                <w:szCs w:val="20"/>
                <w:color w:val="auto"/>
              </w:rPr>
            </w:pPr>
            <w:r>
              <w:rPr>
                <w:rFonts w:ascii="Arial" w:cs="Arial" w:eastAsia="Arial" w:hAnsi="Arial"/>
                <w:sz w:val="18"/>
                <w:szCs w:val="18"/>
                <w:color w:val="auto"/>
                <w:w w:val="89"/>
              </w:rPr>
              <w:t>Depositary Share representing the right to receive ten</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8700" w:type="dxa"/>
            <w:vAlign w:val="bottom"/>
          </w:tcPr>
          <w:p>
            <w:pPr>
              <w:ind w:left="4860"/>
              <w:spacing w:after="0"/>
              <w:rPr>
                <w:sz w:val="20"/>
                <w:szCs w:val="20"/>
                <w:color w:val="auto"/>
              </w:rPr>
            </w:pPr>
            <w:r>
              <w:rPr>
                <w:rFonts w:ascii="Arial" w:cs="Arial" w:eastAsia="Arial" w:hAnsi="Arial"/>
                <w:sz w:val="18"/>
                <w:szCs w:val="18"/>
                <w:color w:val="auto"/>
              </w:rPr>
              <w:t>(10) fully paid Class B ordinary shares)</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00" w:type="dxa"/>
            <w:vAlign w:val="bottom"/>
          </w:tcPr>
          <w:p>
            <w:pPr>
              <w:jc w:val="center"/>
              <w:ind w:right="2290"/>
              <w:spacing w:after="0"/>
              <w:rPr>
                <w:sz w:val="20"/>
                <w:szCs w:val="20"/>
                <w:color w:val="auto"/>
              </w:rPr>
            </w:pPr>
            <w:r>
              <w:rPr>
                <w:rFonts w:ascii="Arial" w:cs="Arial" w:eastAsia="Arial" w:hAnsi="Arial"/>
                <w:sz w:val="18"/>
                <w:szCs w:val="18"/>
                <w:color w:val="auto"/>
                <w:w w:val="96"/>
              </w:rPr>
              <w:t>AMERICAN DEPOSITARY RECEIPT</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00" w:type="dxa"/>
            <w:vAlign w:val="bottom"/>
          </w:tcPr>
          <w:p>
            <w:pPr>
              <w:jc w:val="center"/>
              <w:ind w:right="2290"/>
              <w:spacing w:after="0"/>
              <w:rPr>
                <w:sz w:val="20"/>
                <w:szCs w:val="20"/>
                <w:color w:val="auto"/>
              </w:rPr>
            </w:pPr>
            <w:r>
              <w:rPr>
                <w:rFonts w:ascii="Arial" w:cs="Arial" w:eastAsia="Arial" w:hAnsi="Arial"/>
                <w:sz w:val="18"/>
                <w:szCs w:val="18"/>
                <w:color w:val="auto"/>
                <w:w w:val="94"/>
              </w:rPr>
              <w:t>for</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00" w:type="dxa"/>
            <w:vAlign w:val="bottom"/>
          </w:tcPr>
          <w:p>
            <w:pPr>
              <w:jc w:val="center"/>
              <w:ind w:right="2290"/>
              <w:spacing w:after="0"/>
              <w:rPr>
                <w:sz w:val="20"/>
                <w:szCs w:val="20"/>
                <w:color w:val="auto"/>
              </w:rPr>
            </w:pPr>
            <w:r>
              <w:rPr>
                <w:rFonts w:ascii="Arial" w:cs="Arial" w:eastAsia="Arial" w:hAnsi="Arial"/>
                <w:sz w:val="18"/>
                <w:szCs w:val="18"/>
                <w:color w:val="auto"/>
                <w:w w:val="96"/>
              </w:rPr>
              <w:t>AMERICAN DEPOSITARY SHARES</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00" w:type="dxa"/>
            <w:vAlign w:val="bottom"/>
          </w:tcPr>
          <w:p>
            <w:pPr>
              <w:jc w:val="center"/>
              <w:ind w:right="2290"/>
              <w:spacing w:after="0"/>
              <w:rPr>
                <w:sz w:val="20"/>
                <w:szCs w:val="20"/>
                <w:color w:val="auto"/>
              </w:rPr>
            </w:pPr>
            <w:r>
              <w:rPr>
                <w:rFonts w:ascii="Arial" w:cs="Arial" w:eastAsia="Arial" w:hAnsi="Arial"/>
                <w:sz w:val="18"/>
                <w:szCs w:val="18"/>
                <w:color w:val="auto"/>
                <w:w w:val="87"/>
              </w:rPr>
              <w:t>representing</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00" w:type="dxa"/>
            <w:vAlign w:val="bottom"/>
          </w:tcPr>
          <w:p>
            <w:pPr>
              <w:jc w:val="center"/>
              <w:ind w:right="2270"/>
              <w:spacing w:after="0"/>
              <w:rPr>
                <w:sz w:val="20"/>
                <w:szCs w:val="20"/>
                <w:color w:val="auto"/>
              </w:rPr>
            </w:pPr>
            <w:r>
              <w:rPr>
                <w:rFonts w:ascii="Arial" w:cs="Arial" w:eastAsia="Arial" w:hAnsi="Arial"/>
                <w:sz w:val="18"/>
                <w:szCs w:val="18"/>
                <w:color w:val="auto"/>
                <w:w w:val="95"/>
              </w:rPr>
              <w:t>DEPOSITED ORDINARY SHARES</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00" w:type="dxa"/>
            <w:vAlign w:val="bottom"/>
          </w:tcPr>
          <w:p>
            <w:pPr>
              <w:jc w:val="center"/>
              <w:ind w:right="2290"/>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418"/>
        </w:trPr>
        <w:tc>
          <w:tcPr>
            <w:tcW w:w="2460" w:type="dxa"/>
            <w:vAlign w:val="bottom"/>
          </w:tcPr>
          <w:p>
            <w:pPr>
              <w:spacing w:after="0"/>
              <w:rPr>
                <w:sz w:val="24"/>
                <w:szCs w:val="24"/>
                <w:color w:val="auto"/>
              </w:rPr>
            </w:pPr>
          </w:p>
        </w:tc>
        <w:tc>
          <w:tcPr>
            <w:tcW w:w="8700" w:type="dxa"/>
            <w:vAlign w:val="bottom"/>
          </w:tcPr>
          <w:p>
            <w:pPr>
              <w:jc w:val="center"/>
              <w:ind w:right="2290"/>
              <w:spacing w:after="0"/>
              <w:rPr>
                <w:sz w:val="20"/>
                <w:szCs w:val="20"/>
                <w:color w:val="auto"/>
              </w:rPr>
            </w:pPr>
            <w:r>
              <w:rPr>
                <w:rFonts w:ascii="Arial" w:cs="Arial" w:eastAsia="Arial" w:hAnsi="Arial"/>
                <w:sz w:val="18"/>
                <w:szCs w:val="18"/>
                <w:color w:val="auto"/>
                <w:w w:val="97"/>
              </w:rPr>
              <w:t>TRIDENT DIGITAL TECH HOLDINGS LTD</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8700" w:type="dxa"/>
            <w:vAlign w:val="bottom"/>
          </w:tcPr>
          <w:p>
            <w:pPr>
              <w:jc w:val="center"/>
              <w:ind w:right="2290"/>
              <w:spacing w:after="0"/>
              <w:rPr>
                <w:sz w:val="20"/>
                <w:szCs w:val="20"/>
                <w:color w:val="auto"/>
              </w:rPr>
            </w:pPr>
            <w:r>
              <w:rPr>
                <w:rFonts w:ascii="Arial" w:cs="Arial" w:eastAsia="Arial" w:hAnsi="Arial"/>
                <w:sz w:val="18"/>
                <w:szCs w:val="18"/>
                <w:color w:val="auto"/>
                <w:w w:val="90"/>
              </w:rPr>
              <w:t>(Incorporated under the laws of the Cayman Islands)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firstLine="648"/>
        <w:spacing w:after="0" w:line="291" w:lineRule="auto"/>
        <w:rPr>
          <w:sz w:val="20"/>
          <w:szCs w:val="20"/>
          <w:color w:val="auto"/>
        </w:rPr>
      </w:pPr>
      <w:r>
        <w:rPr>
          <w:rFonts w:ascii="Arial" w:cs="Arial" w:eastAsia="Arial" w:hAnsi="Arial"/>
          <w:sz w:val="16"/>
          <w:szCs w:val="16"/>
          <w:color w:val="auto"/>
        </w:rPr>
        <w:t>CITIBANK, N.A., a national banking association organized and existing under the laws of the United States of America, as depositary (the “Depositary”), hereby certifies that _____________ is the owner of ______________ American Depositary Shares (hereinafter “ADS”) representing</w:t>
      </w:r>
    </w:p>
    <w:p>
      <w:pPr>
        <w:spacing w:after="0" w:line="252" w:lineRule="auto"/>
        <w:rPr>
          <w:sz w:val="20"/>
          <w:szCs w:val="20"/>
          <w:color w:val="auto"/>
        </w:rPr>
      </w:pPr>
      <w:r>
        <w:rPr>
          <w:rFonts w:ascii="Arial" w:cs="Arial" w:eastAsia="Arial" w:hAnsi="Arial"/>
          <w:sz w:val="18"/>
          <w:szCs w:val="18"/>
          <w:color w:val="auto"/>
        </w:rPr>
        <w:t>deposited Class B ordinary shares, including evidence of rights to receive such Class B ordinary shares (the “Shares”), of TRIDENT DIGITAL TECH HOLDINGS LTD, an exempted company incorporated with limited liability under the laws of the Cayman Islands, and its successors (the “Company”). As of the date of issuance of this ADR, each ADS represents the right to receive ten (10) Shares deposited under the Deposit Agreement (as hereinafter defined) with the Custodian, which at the date of issuance of this ADR is Citibank, N.A. – Hong Kong (the “Custodian”). The ADS(s)-to-Share(s) ratio is subject to amendment as provided in Articles IV and VI of the Deposit Agreement. The Depositary’s Principal Office is located at 388 Greenwich Street, New York, New York 10013, U.S.A.</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49" w:name="page250"/>
    <w:bookmarkEnd w:id="249"/>
    <w:p>
      <w:pPr>
        <w:ind w:right="60" w:firstLine="656"/>
        <w:spacing w:after="0" w:line="284" w:lineRule="auto"/>
        <w:tabs>
          <w:tab w:leader="none" w:pos="903" w:val="left"/>
        </w:tabs>
        <w:numPr>
          <w:ilvl w:val="1"/>
          <w:numId w:val="19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The Deposit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American Depositary Receipt is one of an issue of American Depositary Receipts (“ADRs”), all issued and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issued upon the terms and conditions set forth in the Deposit Agreement, dated as of </w:t>
      </w:r>
      <w:r>
        <w:rPr>
          <w:rFonts w:ascii="Arial" w:cs="Arial" w:eastAsia="Arial" w:hAnsi="Arial"/>
          <w:sz w:val="16"/>
          <w:szCs w:val="16"/>
          <w:b w:val="1"/>
          <w:bCs w:val="1"/>
          <w:color w:val="auto"/>
        </w:rPr>
        <w:t>[●][●]</w:t>
      </w:r>
      <w:r>
        <w:rPr>
          <w:rFonts w:ascii="Arial" w:cs="Arial" w:eastAsia="Arial" w:hAnsi="Arial"/>
          <w:sz w:val="16"/>
          <w:szCs w:val="16"/>
          <w:color w:val="auto"/>
        </w:rPr>
        <w:t>, 2023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w:t>
      </w:r>
    </w:p>
    <w:p>
      <w:pPr>
        <w:spacing w:after="0" w:line="4" w:lineRule="exact"/>
        <w:rPr>
          <w:rFonts w:ascii="Arial" w:cs="Arial" w:eastAsia="Arial" w:hAnsi="Arial"/>
          <w:sz w:val="16"/>
          <w:szCs w:val="16"/>
          <w:b w:val="1"/>
          <w:bCs w:val="1"/>
          <w:color w:val="auto"/>
        </w:rPr>
      </w:pPr>
    </w:p>
    <w:p>
      <w:pPr>
        <w:ind w:right="100" w:firstLine="8"/>
        <w:spacing w:after="0" w:line="270" w:lineRule="auto"/>
        <w:tabs>
          <w:tab w:leader="none" w:pos="25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7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capitalized terms not defined herein shall have the meanings ascribed thereto in the Deposit Agreement.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83" w:lineRule="exact"/>
        <w:rPr>
          <w:sz w:val="20"/>
          <w:szCs w:val="20"/>
          <w:color w:val="auto"/>
        </w:rPr>
      </w:pPr>
    </w:p>
    <w:p>
      <w:pPr>
        <w:ind w:right="20" w:firstLine="656"/>
        <w:spacing w:after="0" w:line="284" w:lineRule="auto"/>
        <w:tabs>
          <w:tab w:leader="none" w:pos="903" w:val="left"/>
        </w:tabs>
        <w:numPr>
          <w:ilvl w:val="1"/>
          <w:numId w:val="20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Surrender of ADSs and Withdrawal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this ADR (and of the ADSs evidenced hereby) shall be entitled</w:t>
      </w:r>
      <w:r>
        <w:rPr>
          <w:rFonts w:ascii="Arial" w:cs="Arial" w:eastAsia="Arial" w:hAnsi="Arial"/>
          <w:sz w:val="16"/>
          <w:szCs w:val="16"/>
          <w:b w:val="1"/>
          <w:bCs w:val="1"/>
          <w:color w:val="auto"/>
        </w:rPr>
        <w:t xml:space="preserve"> </w:t>
      </w:r>
      <w:r>
        <w:rPr>
          <w:rFonts w:ascii="Arial" w:cs="Arial" w:eastAsia="Arial" w:hAnsi="Arial"/>
          <w:sz w:val="16"/>
          <w:szCs w:val="16"/>
          <w:color w:val="auto"/>
        </w:rPr>
        <w:t>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w:t>
      </w:r>
    </w:p>
    <w:p>
      <w:pPr>
        <w:spacing w:after="0" w:line="4" w:lineRule="exact"/>
        <w:rPr>
          <w:rFonts w:ascii="Arial" w:cs="Arial" w:eastAsia="Arial" w:hAnsi="Arial"/>
          <w:sz w:val="16"/>
          <w:szCs w:val="16"/>
          <w:b w:val="1"/>
          <w:bCs w:val="1"/>
          <w:color w:val="auto"/>
        </w:rPr>
      </w:pPr>
    </w:p>
    <w:p>
      <w:pPr>
        <w:ind w:firstLine="8"/>
        <w:spacing w:after="0" w:line="273" w:lineRule="auto"/>
        <w:tabs>
          <w:tab w:leader="none" w:pos="305" w:val="left"/>
        </w:tabs>
        <w:numPr>
          <w:ilvl w:val="0"/>
          <w:numId w:val="201"/>
        </w:numPr>
        <w:rPr>
          <w:rFonts w:ascii="Arial" w:cs="Arial" w:eastAsia="Arial" w:hAnsi="Arial"/>
          <w:sz w:val="17"/>
          <w:szCs w:val="17"/>
          <w:color w:val="auto"/>
        </w:rPr>
      </w:pPr>
      <w:r>
        <w:rPr>
          <w:rFonts w:ascii="Arial" w:cs="Arial" w:eastAsia="Arial" w:hAnsi="Arial"/>
          <w:sz w:val="17"/>
          <w:szCs w:val="17"/>
          <w:color w:val="auto"/>
        </w:rPr>
        <w:t xml:space="preserve">all applicable ADS fees and charges of, and expenses incurred by, the Depositary and all applicable taxes and governmental charges (as are set forth in Section 5.9 of,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this ADR evidencing the surrendered ADSs, of the Deposit Agreement, of the Articles of Association, and of any applicable laws and the rules of the applicable book entry settlement entity, and to any provisions of or governing the Deposited Securities, in each case as in effect at the time thereof.</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50" w:name="page251"/>
    <w:bookmarkEnd w:id="250"/>
    <w:p>
      <w:pPr>
        <w:ind w:firstLine="648"/>
        <w:spacing w:after="0" w:line="271" w:lineRule="auto"/>
        <w:rPr>
          <w:sz w:val="20"/>
          <w:szCs w:val="20"/>
          <w:color w:val="auto"/>
        </w:rPr>
      </w:pPr>
      <w:r>
        <w:rPr>
          <w:rFonts w:ascii="Arial" w:cs="Arial" w:eastAsia="Arial" w:hAnsi="Arial"/>
          <w:sz w:val="17"/>
          <w:szCs w:val="17"/>
          <w:color w:val="auto"/>
        </w:rPr>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the Deposit Agreement, of this ADR evidencing the ADS so canceled, of the Articles of Association, of any applicable laws and of the rules of the applicable book entry settlement entity, and to the terms and conditions of or governing the Deposited Securities, in each case as in effect at the time thereof.</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19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51" w:name="page252"/>
    <w:bookmarkEnd w:id="251"/>
    <w:p>
      <w:pPr>
        <w:ind w:right="40" w:firstLine="656"/>
        <w:spacing w:after="0" w:line="270" w:lineRule="auto"/>
        <w:tabs>
          <w:tab w:leader="none" w:pos="903"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Transfer, Combination and Split-up of ADRs</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Registrar shall register the transfer of this ADR (and of the ADSs represented hereby)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books 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xml:space="preserve"> to the terms and conditions of this ADR, of the Deposit Agreement and of applicable law, in each case as in effect at the time thereof.</w:t>
      </w:r>
    </w:p>
    <w:p>
      <w:pPr>
        <w:spacing w:after="0" w:line="18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w:t>
      </w:r>
    </w:p>
    <w:p>
      <w:pPr>
        <w:spacing w:after="0" w:line="2" w:lineRule="exact"/>
        <w:rPr>
          <w:sz w:val="20"/>
          <w:szCs w:val="20"/>
          <w:color w:val="auto"/>
        </w:rPr>
      </w:pPr>
    </w:p>
    <w:p>
      <w:pPr>
        <w:ind w:right="260" w:firstLine="8"/>
        <w:spacing w:after="0" w:line="255" w:lineRule="auto"/>
        <w:tabs>
          <w:tab w:leader="none" w:pos="26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all applicable fees and charges of, and expenses incurred by, the Depositary and all applicable taxes and governmental charges (as are set forth in Section 5.9 of,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Deposit Agreement) have been paid, </w:t>
      </w:r>
      <w:r>
        <w:rPr>
          <w:rFonts w:ascii="Arial" w:cs="Arial" w:eastAsia="Arial" w:hAnsi="Arial"/>
          <w:sz w:val="18"/>
          <w:szCs w:val="18"/>
          <w:i w:val="1"/>
          <w:iCs w:val="1"/>
          <w:color w:val="auto"/>
        </w:rPr>
        <w:t>subject, however, in each case</w:t>
      </w:r>
      <w:r>
        <w:rPr>
          <w:rFonts w:ascii="Arial" w:cs="Arial" w:eastAsia="Arial" w:hAnsi="Arial"/>
          <w:sz w:val="18"/>
          <w:szCs w:val="18"/>
          <w:color w:val="auto"/>
        </w:rPr>
        <w:t>, to the terms and conditions of this ADR, of the Deposit Agreement and of applicable law, in each case as in effect at the time thereof.</w:t>
      </w:r>
    </w:p>
    <w:p>
      <w:pPr>
        <w:spacing w:after="0" w:line="185" w:lineRule="exact"/>
        <w:rPr>
          <w:rFonts w:ascii="Arial" w:cs="Arial" w:eastAsia="Arial" w:hAnsi="Arial"/>
          <w:sz w:val="18"/>
          <w:szCs w:val="18"/>
          <w:color w:val="auto"/>
        </w:rPr>
      </w:pPr>
    </w:p>
    <w:p>
      <w:pPr>
        <w:ind w:firstLine="656"/>
        <w:spacing w:after="0" w:line="289" w:lineRule="auto"/>
        <w:tabs>
          <w:tab w:leader="none" w:pos="903" w:val="left"/>
        </w:tabs>
        <w:numPr>
          <w:ilvl w:val="1"/>
          <w:numId w:val="20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Pre-Conditions to Registration, Transfer, Etc</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precedent to the execution and Delivery, the registration of issuance,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52" w:name="page253"/>
    <w:bookmarkEnd w:id="252"/>
    <w:p>
      <w:pPr>
        <w:ind w:firstLine="648"/>
        <w:spacing w:after="0" w:line="268" w:lineRule="auto"/>
        <w:rPr>
          <w:sz w:val="20"/>
          <w:szCs w:val="20"/>
          <w:color w:val="auto"/>
        </w:rPr>
      </w:pPr>
      <w:r>
        <w:rPr>
          <w:rFonts w:ascii="Arial" w:cs="Arial" w:eastAsia="Arial" w:hAnsi="Arial"/>
          <w:sz w:val="17"/>
          <w:szCs w:val="17"/>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2" w:lineRule="exact"/>
        <w:rPr>
          <w:sz w:val="20"/>
          <w:szCs w:val="20"/>
          <w:color w:val="auto"/>
        </w:rPr>
      </w:pPr>
    </w:p>
    <w:p>
      <w:pPr>
        <w:ind w:firstLine="656"/>
        <w:spacing w:after="0" w:line="294" w:lineRule="auto"/>
        <w:tabs>
          <w:tab w:leader="none" w:pos="903" w:val="left"/>
        </w:tabs>
        <w:numPr>
          <w:ilvl w:val="0"/>
          <w:numId w:val="20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Information Requests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or this ADR, each Holder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Beneficial Owner of the ADSs represented hereby agrees to comply with requests from the Company pursuant to applicable law, the rules and requirements of any stock exchange on which the Shares or ADSs are, or will be, registered, traded or listed or the Articles of Association, which are made to provide information, </w:t>
      </w:r>
      <w:r>
        <w:rPr>
          <w:rFonts w:ascii="Arial" w:cs="Arial" w:eastAsia="Arial" w:hAnsi="Arial"/>
          <w:sz w:val="16"/>
          <w:szCs w:val="16"/>
          <w:i w:val="1"/>
          <w:iCs w:val="1"/>
          <w:color w:val="auto"/>
        </w:rPr>
        <w:t>inter alia</w:t>
      </w:r>
      <w:r>
        <w:rPr>
          <w:rFonts w:ascii="Arial" w:cs="Arial" w:eastAsia="Arial" w:hAnsi="Arial"/>
          <w:sz w:val="16"/>
          <w:szCs w:val="16"/>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w:t>
      </w:r>
    </w:p>
    <w:p>
      <w:pPr>
        <w:spacing w:after="0" w:line="159" w:lineRule="exact"/>
        <w:rPr>
          <w:rFonts w:ascii="Arial" w:cs="Arial" w:eastAsia="Arial" w:hAnsi="Arial"/>
          <w:sz w:val="16"/>
          <w:szCs w:val="16"/>
          <w:b w:val="1"/>
          <w:bCs w:val="1"/>
          <w:color w:val="auto"/>
        </w:rPr>
      </w:pPr>
    </w:p>
    <w:p>
      <w:pPr>
        <w:ind w:right="20" w:firstLine="656"/>
        <w:spacing w:after="0" w:line="289" w:lineRule="auto"/>
        <w:tabs>
          <w:tab w:leader="none" w:pos="903" w:val="left"/>
        </w:tabs>
        <w:numPr>
          <w:ilvl w:val="0"/>
          <w:numId w:val="20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Ownership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contained in this ADR or of the Deposit Agreement to the contrary,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the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53" w:name="page254"/>
    <w:bookmarkEnd w:id="253"/>
    <w:p>
      <w:pPr>
        <w:ind w:left="-60" w:right="60" w:firstLine="656"/>
        <w:spacing w:after="0" w:line="273" w:lineRule="auto"/>
        <w:tabs>
          <w:tab w:leader="none" w:pos="843" w:val="left"/>
        </w:tabs>
        <w:numPr>
          <w:ilvl w:val="0"/>
          <w:numId w:val="20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 owners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71" w:lineRule="exact"/>
        <w:rPr>
          <w:rFonts w:ascii="Arial" w:cs="Arial" w:eastAsia="Arial" w:hAnsi="Arial"/>
          <w:sz w:val="17"/>
          <w:szCs w:val="17"/>
          <w:b w:val="1"/>
          <w:bCs w:val="1"/>
          <w:color w:val="auto"/>
        </w:rPr>
      </w:pPr>
    </w:p>
    <w:p>
      <w:pPr>
        <w:ind w:left="-60" w:firstLine="656"/>
        <w:spacing w:after="0" w:line="286" w:lineRule="auto"/>
        <w:tabs>
          <w:tab w:leader="none" w:pos="843" w:val="left"/>
        </w:tabs>
        <w:numPr>
          <w:ilvl w:val="0"/>
          <w:numId w:val="20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Liability for Taxes and Other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Any tax or other governmental charge payable by the Custodian or by the Depositary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904" w:right="379" w:bottom="1440" w:gutter="0" w:footer="0" w:header="0"/>
        </w:sectPr>
      </w:pPr>
    </w:p>
    <w:bookmarkStart w:id="254" w:name="page255"/>
    <w:bookmarkEnd w:id="254"/>
    <w:p>
      <w:pPr>
        <w:ind w:right="120" w:firstLine="656"/>
        <w:spacing w:after="0" w:line="289" w:lineRule="auto"/>
        <w:tabs>
          <w:tab w:leader="none" w:pos="903" w:val="left"/>
        </w:tabs>
        <w:numPr>
          <w:ilvl w:val="0"/>
          <w:numId w:val="2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Representations and Warranties on 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depositing Shares under the Deposit Agreement shall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66" w:lineRule="exact"/>
        <w:rPr>
          <w:rFonts w:ascii="Arial" w:cs="Arial" w:eastAsia="Arial" w:hAnsi="Arial"/>
          <w:sz w:val="16"/>
          <w:szCs w:val="16"/>
          <w:b w:val="1"/>
          <w:bCs w:val="1"/>
          <w:color w:val="auto"/>
        </w:rPr>
      </w:pPr>
    </w:p>
    <w:p>
      <w:pPr>
        <w:ind w:right="60" w:firstLine="656"/>
        <w:spacing w:after="0" w:line="287" w:lineRule="auto"/>
        <w:tabs>
          <w:tab w:leader="none" w:pos="993" w:val="left"/>
        </w:tabs>
        <w:numPr>
          <w:ilvl w:val="0"/>
          <w:numId w:val="2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any Holder and any Beneficial Owner may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withhold the execution or delivery or registration of transfer of any ADR or ADS or the distribution or sale of any dividend or distribution of rights or of the proceeds thereof or, to the extent not limited by paragraph (25) and Section 7.8(a) of the Deposit Agreement, the delivery of any Deposited Property until such proof or other information is filed or such certifications are executed, or such representations and warranties are made or such other documentation or information are provided, in each case to the Depositary’s, the Registrar’s and the Company’s satisfaction.</w:t>
      </w:r>
    </w:p>
    <w:p>
      <w:pPr>
        <w:spacing w:after="0" w:line="167" w:lineRule="exact"/>
        <w:rPr>
          <w:rFonts w:ascii="Arial" w:cs="Arial" w:eastAsia="Arial" w:hAnsi="Arial"/>
          <w:sz w:val="16"/>
          <w:szCs w:val="16"/>
          <w:b w:val="1"/>
          <w:bCs w:val="1"/>
          <w:color w:val="auto"/>
        </w:rPr>
      </w:pPr>
    </w:p>
    <w:p>
      <w:pPr>
        <w:ind w:left="1000" w:hanging="344"/>
        <w:spacing w:after="0"/>
        <w:tabs>
          <w:tab w:leader="none" w:pos="1000" w:val="left"/>
        </w:tabs>
        <w:numPr>
          <w:ilvl w:val="0"/>
          <w:numId w:val="2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ADS Fees and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ADS fees (some of which may be cumulative) are payable under the terms of the Deposit Agreement:</w:t>
      </w:r>
    </w:p>
    <w:p>
      <w:pPr>
        <w:spacing w:after="0" w:line="252" w:lineRule="exact"/>
        <w:rPr>
          <w:sz w:val="20"/>
          <w:szCs w:val="20"/>
          <w:color w:val="auto"/>
        </w:rPr>
      </w:pPr>
    </w:p>
    <w:p>
      <w:pPr>
        <w:jc w:val="both"/>
        <w:ind w:left="1300" w:right="180" w:hanging="644"/>
        <w:spacing w:after="0" w:line="286" w:lineRule="auto"/>
        <w:tabs>
          <w:tab w:leader="none" w:pos="1300"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ADS Issuance Fee</w:t>
      </w:r>
      <w:r>
        <w:rPr>
          <w:rFonts w:ascii="Arial" w:cs="Arial" w:eastAsia="Arial" w:hAnsi="Arial"/>
          <w:sz w:val="17"/>
          <w:szCs w:val="17"/>
          <w:color w:val="auto"/>
        </w:rPr>
        <w:t>: by any person for whom ADSs are issued (</w:t>
      </w:r>
      <w:r>
        <w:rPr>
          <w:rFonts w:ascii="Arial" w:cs="Arial" w:eastAsia="Arial" w:hAnsi="Arial"/>
          <w:sz w:val="17"/>
          <w:szCs w:val="17"/>
          <w:i w:val="1"/>
          <w:iCs w:val="1"/>
          <w:color w:val="auto"/>
        </w:rPr>
        <w:t>e.g.</w:t>
      </w:r>
      <w:r>
        <w:rPr>
          <w:rFonts w:ascii="Arial" w:cs="Arial" w:eastAsia="Arial" w:hAnsi="Arial"/>
          <w:sz w:val="17"/>
          <w:szCs w:val="17"/>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165" w:lineRule="exact"/>
        <w:rPr>
          <w:rFonts w:ascii="Arial" w:cs="Arial" w:eastAsia="Arial" w:hAnsi="Arial"/>
          <w:sz w:val="17"/>
          <w:szCs w:val="17"/>
          <w:color w:val="auto"/>
        </w:rPr>
      </w:pPr>
    </w:p>
    <w:p>
      <w:pPr>
        <w:ind w:left="1300" w:right="40" w:hanging="644"/>
        <w:spacing w:after="0" w:line="263" w:lineRule="auto"/>
        <w:tabs>
          <w:tab w:leader="none" w:pos="130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ADS Cancellation Fee</w:t>
      </w:r>
      <w:r>
        <w:rPr>
          <w:rFonts w:ascii="Arial" w:cs="Arial" w:eastAsia="Arial" w:hAnsi="Arial"/>
          <w:sz w:val="18"/>
          <w:szCs w:val="18"/>
          <w:color w:val="auto"/>
        </w:rPr>
        <w:t>: by any person for whom ADSs are being cancelled (</w:t>
      </w:r>
      <w:r>
        <w:rPr>
          <w:rFonts w:ascii="Arial" w:cs="Arial" w:eastAsia="Arial" w:hAnsi="Arial"/>
          <w:sz w:val="18"/>
          <w:szCs w:val="18"/>
          <w:i w:val="1"/>
          <w:iCs w:val="1"/>
          <w:color w:val="auto"/>
        </w:rPr>
        <w:t>e.g.</w:t>
      </w:r>
      <w:r>
        <w:rPr>
          <w:rFonts w:ascii="Arial" w:cs="Arial" w:eastAsia="Arial" w:hAnsi="Arial"/>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5" w:name="page256"/>
    <w:bookmarkEnd w:id="255"/>
    <w:p>
      <w:pPr>
        <w:ind w:left="1300" w:right="740" w:hanging="644"/>
        <w:spacing w:after="0" w:line="308" w:lineRule="auto"/>
        <w:tabs>
          <w:tab w:leader="none" w:pos="1300"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Cash Distribution Fee</w:t>
      </w:r>
      <w:r>
        <w:rPr>
          <w:rFonts w:ascii="Arial" w:cs="Arial" w:eastAsia="Arial" w:hAnsi="Arial"/>
          <w:sz w:val="17"/>
          <w:szCs w:val="17"/>
          <w:color w:val="auto"/>
        </w:rPr>
        <w:t>: by any Holder of ADSs, a fee not in excess of U.S. $5.00 per 100 ADSs (or fraction thereof) held for the distribution of cash dividends or other cash distributions (</w:t>
      </w:r>
      <w:r>
        <w:rPr>
          <w:rFonts w:ascii="Arial" w:cs="Arial" w:eastAsia="Arial" w:hAnsi="Arial"/>
          <w:sz w:val="17"/>
          <w:szCs w:val="17"/>
          <w:i w:val="1"/>
          <w:iCs w:val="1"/>
          <w:color w:val="auto"/>
        </w:rPr>
        <w:t>e.g.</w:t>
      </w:r>
      <w:r>
        <w:rPr>
          <w:rFonts w:ascii="Arial" w:cs="Arial" w:eastAsia="Arial" w:hAnsi="Arial"/>
          <w:sz w:val="17"/>
          <w:szCs w:val="17"/>
          <w:color w:val="auto"/>
        </w:rPr>
        <w:t>, upon a sale of rights and other entitlements);</w:t>
      </w:r>
    </w:p>
    <w:p>
      <w:pPr>
        <w:spacing w:after="0" w:line="146" w:lineRule="exact"/>
        <w:rPr>
          <w:rFonts w:ascii="Arial" w:cs="Arial" w:eastAsia="Arial" w:hAnsi="Arial"/>
          <w:sz w:val="17"/>
          <w:szCs w:val="17"/>
          <w:color w:val="auto"/>
        </w:rPr>
      </w:pPr>
    </w:p>
    <w:p>
      <w:pPr>
        <w:ind w:left="1300" w:right="140" w:hanging="644"/>
        <w:spacing w:after="0" w:line="263" w:lineRule="auto"/>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Stock Distribution /Rights Exercise Fee</w:t>
      </w:r>
      <w:r>
        <w:rPr>
          <w:rFonts w:ascii="Arial" w:cs="Arial" w:eastAsia="Arial" w:hAnsi="Arial"/>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83" w:lineRule="exact"/>
        <w:rPr>
          <w:rFonts w:ascii="Arial" w:cs="Arial" w:eastAsia="Arial" w:hAnsi="Arial"/>
          <w:sz w:val="18"/>
          <w:szCs w:val="18"/>
          <w:color w:val="auto"/>
        </w:rPr>
      </w:pPr>
    </w:p>
    <w:p>
      <w:pPr>
        <w:ind w:left="1300" w:right="380" w:hanging="644"/>
        <w:spacing w:after="0" w:line="263" w:lineRule="auto"/>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Other Distribution Fee</w:t>
      </w:r>
      <w:r>
        <w:rPr>
          <w:rFonts w:ascii="Arial" w:cs="Arial" w:eastAsia="Arial" w:hAnsi="Arial"/>
          <w:sz w:val="18"/>
          <w:szCs w:val="18"/>
          <w:color w:val="auto"/>
        </w:rPr>
        <w:t>: by any Holder of ADS(s), a fee not in excess of U.S. $5.00 per 100 ADSs (or fraction thereof) held for the distribution of financial instruments, including, without limitation, securities, other than ADSs or rights to purchase additional ADSs (</w:t>
      </w:r>
      <w:r>
        <w:rPr>
          <w:rFonts w:ascii="Arial" w:cs="Arial" w:eastAsia="Arial" w:hAnsi="Arial"/>
          <w:sz w:val="18"/>
          <w:szCs w:val="18"/>
          <w:i w:val="1"/>
          <w:iCs w:val="1"/>
          <w:color w:val="auto"/>
        </w:rPr>
        <w:t>e.g.</w:t>
      </w:r>
      <w:r>
        <w:rPr>
          <w:rFonts w:ascii="Arial" w:cs="Arial" w:eastAsia="Arial" w:hAnsi="Arial"/>
          <w:sz w:val="18"/>
          <w:szCs w:val="18"/>
          <w:color w:val="auto"/>
        </w:rPr>
        <w:t>, spin-off shares and contingent value rights);</w:t>
      </w:r>
    </w:p>
    <w:p>
      <w:pPr>
        <w:spacing w:after="0" w:line="183"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Depositary Services Fee</w:t>
      </w:r>
      <w:r>
        <w:rPr>
          <w:rFonts w:ascii="Arial" w:cs="Arial" w:eastAsia="Arial" w:hAnsi="Arial"/>
          <w:sz w:val="18"/>
          <w:szCs w:val="18"/>
          <w:color w:val="auto"/>
        </w:rPr>
        <w:t>: by any Holder of ADS(s), a fee not in excess of U.S. $5.00 per 100 ADSs (or fraction thereof) held on the applicable record date(s) established by the Depositary;</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Registration of ADS Transfer Fee</w:t>
      </w:r>
      <w:r>
        <w:rPr>
          <w:rFonts w:ascii="Arial" w:cs="Arial" w:eastAsia="Arial" w:hAnsi="Arial"/>
          <w:sz w:val="18"/>
          <w:szCs w:val="18"/>
          <w:color w:val="auto"/>
        </w:rPr>
        <w:t>: by any Holder of ADS(s) being transferred or by any person to whom ADSs are transferred, a fee not in excess of U.S. $5.00 per 100 ADSs (or fraction thereof) transferred; and</w:t>
      </w:r>
    </w:p>
    <w:p>
      <w:pPr>
        <w:spacing w:after="0" w:line="170" w:lineRule="exact"/>
        <w:rPr>
          <w:rFonts w:ascii="Arial" w:cs="Arial" w:eastAsia="Arial" w:hAnsi="Arial"/>
          <w:sz w:val="18"/>
          <w:szCs w:val="18"/>
          <w:color w:val="auto"/>
        </w:rPr>
      </w:pPr>
    </w:p>
    <w:p>
      <w:pPr>
        <w:jc w:val="both"/>
        <w:ind w:left="1300" w:right="140" w:hanging="644"/>
        <w:spacing w:after="0" w:line="259" w:lineRule="auto"/>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ADS Conversion Fee</w:t>
      </w:r>
      <w:r>
        <w:rPr>
          <w:rFonts w:ascii="Arial" w:cs="Arial" w:eastAsia="Arial" w:hAnsi="Arial"/>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Arial" w:cs="Arial" w:eastAsia="Arial" w:hAnsi="Arial"/>
          <w:sz w:val="18"/>
          <w:szCs w:val="18"/>
          <w:i w:val="1"/>
          <w:iCs w:val="1"/>
          <w:color w:val="auto"/>
        </w:rPr>
        <w:t>e.g.</w:t>
      </w:r>
      <w:r>
        <w:rPr>
          <w:rFonts w:ascii="Arial" w:cs="Arial" w:eastAsia="Arial" w:hAnsi="Arial"/>
          <w:sz w:val="18"/>
          <w:szCs w:val="18"/>
          <w:color w:val="auto"/>
        </w:rPr>
        <w:t xml:space="preserve">, upon conversion of Partial Entitlement ADSs for Full Entitlement ADSs, or upon conversion of Restricted ADSs into freely transferrable ADSs, and </w:t>
      </w:r>
      <w:r>
        <w:rPr>
          <w:rFonts w:ascii="Arial" w:cs="Arial" w:eastAsia="Arial" w:hAnsi="Arial"/>
          <w:sz w:val="18"/>
          <w:szCs w:val="18"/>
          <w:i w:val="1"/>
          <w:iCs w:val="1"/>
          <w:color w:val="auto"/>
        </w:rPr>
        <w:t>vice</w:t>
      </w:r>
      <w:r>
        <w:rPr>
          <w:rFonts w:ascii="Arial" w:cs="Arial" w:eastAsia="Arial" w:hAnsi="Arial"/>
          <w:sz w:val="18"/>
          <w:szCs w:val="18"/>
          <w:color w:val="auto"/>
        </w:rPr>
        <w:t xml:space="preserve"> </w:t>
      </w:r>
      <w:r>
        <w:rPr>
          <w:rFonts w:ascii="Arial" w:cs="Arial" w:eastAsia="Arial" w:hAnsi="Arial"/>
          <w:sz w:val="18"/>
          <w:szCs w:val="18"/>
          <w:i w:val="1"/>
          <w:iCs w:val="1"/>
          <w:color w:val="auto"/>
        </w:rPr>
        <w:t>versa</w:t>
      </w:r>
      <w:r>
        <w:rPr>
          <w:rFonts w:ascii="Arial" w:cs="Arial" w:eastAsia="Arial" w:hAnsi="Arial"/>
          <w:sz w:val="18"/>
          <w:szCs w:val="18"/>
          <w:color w:val="auto"/>
        </w:rPr>
        <w:t>).</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(some of which may be cumulative) under the terms of the Deposit Agreement:</w:t>
      </w:r>
    </w:p>
    <w:p>
      <w:pPr>
        <w:spacing w:after="0" w:line="184" w:lineRule="exact"/>
        <w:rPr>
          <w:sz w:val="20"/>
          <w:szCs w:val="20"/>
          <w:color w:val="auto"/>
        </w:rPr>
      </w:pPr>
    </w:p>
    <w:p>
      <w:pPr>
        <w:ind w:left="1300" w:hanging="644"/>
        <w:spacing w:after="0"/>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ind w:left="1300" w:right="240" w:hanging="644"/>
        <w:spacing w:after="0" w:line="263" w:lineRule="auto"/>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83" w:lineRule="exact"/>
        <w:rPr>
          <w:rFonts w:ascii="Arial" w:cs="Arial" w:eastAsia="Arial" w:hAnsi="Arial"/>
          <w:sz w:val="18"/>
          <w:szCs w:val="18"/>
          <w:color w:val="auto"/>
        </w:rPr>
      </w:pPr>
    </w:p>
    <w:p>
      <w:pPr>
        <w:ind w:left="1300" w:right="540" w:hanging="644"/>
        <w:spacing w:after="0" w:line="342" w:lineRule="auto"/>
        <w:tabs>
          <w:tab w:leader="none" w:pos="13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such cable, telex and facsimile transmission and delivery expenses as are expressly provided in the Deposit Agreement to be at the expense of the person depositing Shares or withdrawing Deposited Securities or of the Holders and Beneficial Owners of ADSs;</w:t>
      </w:r>
    </w:p>
    <w:p>
      <w:pPr>
        <w:spacing w:after="0" w:line="123" w:lineRule="exact"/>
        <w:rPr>
          <w:rFonts w:ascii="Arial" w:cs="Arial" w:eastAsia="Arial" w:hAnsi="Arial"/>
          <w:sz w:val="16"/>
          <w:szCs w:val="16"/>
          <w:color w:val="auto"/>
        </w:rPr>
      </w:pPr>
    </w:p>
    <w:p>
      <w:pPr>
        <w:ind w:left="1300" w:right="300" w:hanging="644"/>
        <w:spacing w:after="0" w:line="263" w:lineRule="auto"/>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83"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the ADR program.</w:t>
      </w:r>
    </w:p>
    <w:p>
      <w:pPr>
        <w:spacing w:after="0" w:line="248"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All ADS fees and charges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14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118" w:gutter="0" w:footer="0" w:header="0"/>
        </w:sectPr>
      </w:pPr>
    </w:p>
    <w:bookmarkStart w:id="256" w:name="page257"/>
    <w:bookmarkEnd w:id="256"/>
    <w:p>
      <w:pPr>
        <w:ind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7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61" w:lineRule="exact"/>
        <w:rPr>
          <w:sz w:val="20"/>
          <w:szCs w:val="20"/>
          <w:color w:val="auto"/>
        </w:rPr>
      </w:pPr>
    </w:p>
    <w:p>
      <w:pPr>
        <w:ind w:right="40" w:firstLine="656"/>
        <w:spacing w:after="0" w:line="271" w:lineRule="auto"/>
        <w:tabs>
          <w:tab w:leader="none" w:pos="993" w:val="left"/>
        </w:tabs>
        <w:numPr>
          <w:ilvl w:val="0"/>
          <w:numId w:val="2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Title to ADRs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limitations contained in the Deposit Agreement and in this ADR, it is a condition of this ADR, and every</w:t>
      </w:r>
      <w:r>
        <w:rPr>
          <w:rFonts w:ascii="Arial" w:cs="Arial" w:eastAsia="Arial" w:hAnsi="Arial"/>
          <w:sz w:val="17"/>
          <w:szCs w:val="17"/>
          <w:b w:val="1"/>
          <w:bCs w:val="1"/>
          <w:color w:val="auto"/>
        </w:rPr>
        <w:t xml:space="preserve"> </w:t>
      </w:r>
      <w:r>
        <w:rPr>
          <w:rFonts w:ascii="Arial" w:cs="Arial" w:eastAsia="Arial" w:hAnsi="Arial"/>
          <w:sz w:val="17"/>
          <w:szCs w:val="17"/>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73" w:lineRule="exact"/>
        <w:rPr>
          <w:rFonts w:ascii="Arial" w:cs="Arial" w:eastAsia="Arial" w:hAnsi="Arial"/>
          <w:sz w:val="17"/>
          <w:szCs w:val="17"/>
          <w:b w:val="1"/>
          <w:bCs w:val="1"/>
          <w:color w:val="auto"/>
        </w:rPr>
      </w:pPr>
    </w:p>
    <w:p>
      <w:pPr>
        <w:ind w:right="80" w:firstLine="656"/>
        <w:spacing w:after="0" w:line="273" w:lineRule="auto"/>
        <w:tabs>
          <w:tab w:leader="none" w:pos="993" w:val="left"/>
        </w:tabs>
        <w:numPr>
          <w:ilvl w:val="0"/>
          <w:numId w:val="2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Validity of ADR</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of this ADR (and the ADSs represented hereby) shall not be entitled to any benefits under the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7" w:name="page258"/>
    <w:bookmarkEnd w:id="257"/>
    <w:p>
      <w:pPr>
        <w:ind w:right="200" w:firstLine="656"/>
        <w:spacing w:after="0" w:line="255" w:lineRule="auto"/>
        <w:tabs>
          <w:tab w:leader="none" w:pos="993"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Available Information; Reports; Inspection of Transfer Books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the periodic reporting requirements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w:t>
      </w:r>
    </w:p>
    <w:p>
      <w:pPr>
        <w:spacing w:after="0" w:line="193"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 of the Deposit Agreement.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Dated:</w:t>
            </w:r>
          </w:p>
        </w:tc>
        <w:tc>
          <w:tcPr>
            <w:tcW w:w="2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2460" w:type="dxa"/>
            <w:vAlign w:val="bottom"/>
          </w:tcPr>
          <w:p>
            <w:pPr>
              <w:spacing w:after="0"/>
              <w:rPr>
                <w:sz w:val="24"/>
                <w:szCs w:val="24"/>
                <w:color w:val="auto"/>
              </w:rPr>
            </w:pPr>
          </w:p>
        </w:tc>
        <w:tc>
          <w:tcPr>
            <w:tcW w:w="6280" w:type="dxa"/>
            <w:vAlign w:val="bottom"/>
            <w:gridSpan w:val="2"/>
          </w:tcPr>
          <w:p>
            <w:pPr>
              <w:ind w:left="1360"/>
              <w:spacing w:after="0"/>
              <w:rPr>
                <w:sz w:val="20"/>
                <w:szCs w:val="20"/>
                <w:color w:val="auto"/>
              </w:rPr>
            </w:pPr>
            <w:r>
              <w:rPr>
                <w:rFonts w:ascii="Arial" w:cs="Arial" w:eastAsia="Arial" w:hAnsi="Arial"/>
                <w:sz w:val="18"/>
                <w:szCs w:val="18"/>
                <w:color w:val="auto"/>
              </w:rPr>
              <w:t>CITIBANK, N.A.</w:t>
            </w: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Transfer Agent and Registrar</w:t>
            </w:r>
          </w:p>
        </w:tc>
        <w:tc>
          <w:tcPr>
            <w:tcW w:w="2460" w:type="dxa"/>
            <w:vAlign w:val="bottom"/>
          </w:tcPr>
          <w:p>
            <w:pPr>
              <w:spacing w:after="0"/>
              <w:rPr>
                <w:sz w:val="20"/>
                <w:szCs w:val="20"/>
                <w:color w:val="auto"/>
              </w:rPr>
            </w:pPr>
          </w:p>
        </w:tc>
        <w:tc>
          <w:tcPr>
            <w:tcW w:w="6280" w:type="dxa"/>
            <w:vAlign w:val="bottom"/>
            <w:gridSpan w:val="2"/>
          </w:tcPr>
          <w:p>
            <w:pPr>
              <w:ind w:left="1360"/>
              <w:spacing w:after="0"/>
              <w:rPr>
                <w:sz w:val="20"/>
                <w:szCs w:val="20"/>
                <w:color w:val="auto"/>
              </w:rPr>
            </w:pPr>
            <w:r>
              <w:rPr>
                <w:rFonts w:ascii="Arial" w:cs="Arial" w:eastAsia="Arial" w:hAnsi="Arial"/>
                <w:sz w:val="18"/>
                <w:szCs w:val="18"/>
                <w:color w:val="auto"/>
              </w:rPr>
              <w:t>as Depositary</w:t>
            </w:r>
          </w:p>
        </w:tc>
      </w:tr>
      <w:tr>
        <w:trPr>
          <w:trHeight w:val="425"/>
        </w:trPr>
        <w:tc>
          <w:tcPr>
            <w:tcW w:w="2500" w:type="dxa"/>
            <w:vAlign w:val="bottom"/>
            <w:gridSpan w:val="2"/>
          </w:tcPr>
          <w:p>
            <w:pPr>
              <w:spacing w:after="0"/>
              <w:rPr>
                <w:sz w:val="20"/>
                <w:szCs w:val="20"/>
                <w:color w:val="auto"/>
              </w:rPr>
            </w:pPr>
            <w:r>
              <w:rPr>
                <w:rFonts w:ascii="Arial" w:cs="Arial" w:eastAsia="Arial" w:hAnsi="Arial"/>
                <w:sz w:val="18"/>
                <w:szCs w:val="18"/>
                <w:color w:val="auto"/>
              </w:rPr>
              <w:t>By:</w:t>
            </w:r>
          </w:p>
        </w:tc>
        <w:tc>
          <w:tcPr>
            <w:tcW w:w="2460" w:type="dxa"/>
            <w:vAlign w:val="bottom"/>
          </w:tcPr>
          <w:p>
            <w:pPr>
              <w:spacing w:after="0"/>
              <w:rPr>
                <w:sz w:val="24"/>
                <w:szCs w:val="24"/>
                <w:color w:val="auto"/>
              </w:rPr>
            </w:pPr>
          </w:p>
        </w:tc>
        <w:tc>
          <w:tcPr>
            <w:tcW w:w="6280" w:type="dxa"/>
            <w:vAlign w:val="bottom"/>
            <w:gridSpan w:val="2"/>
          </w:tcPr>
          <w:p>
            <w:pPr>
              <w:ind w:left="1360"/>
              <w:spacing w:after="0"/>
              <w:rPr>
                <w:sz w:val="20"/>
                <w:szCs w:val="20"/>
                <w:color w:val="auto"/>
              </w:rPr>
            </w:pPr>
            <w:r>
              <w:rPr>
                <w:rFonts w:ascii="Arial" w:cs="Arial" w:eastAsia="Arial" w:hAnsi="Arial"/>
                <w:sz w:val="18"/>
                <w:szCs w:val="18"/>
                <w:color w:val="auto"/>
              </w:rPr>
              <w:t>By:</w:t>
            </w:r>
          </w:p>
        </w:tc>
      </w:tr>
      <w:tr>
        <w:trPr>
          <w:trHeight w:val="230"/>
        </w:trPr>
        <w:tc>
          <w:tcPr>
            <w:tcW w:w="460" w:type="dxa"/>
            <w:vAlign w:val="bottom"/>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2460" w:type="dxa"/>
            <w:vAlign w:val="bottom"/>
            <w:tcBorders>
              <w:top w:val="single" w:sz="8" w:color="auto"/>
            </w:tcBorders>
          </w:tcPr>
          <w:p>
            <w:pPr>
              <w:spacing w:after="0"/>
              <w:rPr>
                <w:sz w:val="20"/>
                <w:szCs w:val="20"/>
                <w:color w:val="auto"/>
              </w:rPr>
            </w:pPr>
          </w:p>
        </w:tc>
        <w:tc>
          <w:tcPr>
            <w:tcW w:w="1800" w:type="dxa"/>
            <w:vAlign w:val="bottom"/>
          </w:tcPr>
          <w:p>
            <w:pPr>
              <w:spacing w:after="0"/>
              <w:rPr>
                <w:sz w:val="20"/>
                <w:szCs w:val="20"/>
                <w:color w:val="auto"/>
              </w:rPr>
            </w:pPr>
          </w:p>
        </w:tc>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Signatory</w:t>
            </w:r>
          </w:p>
        </w:tc>
      </w:tr>
      <w:tr>
        <w:trPr>
          <w:trHeight w:val="403"/>
        </w:trPr>
        <w:tc>
          <w:tcPr>
            <w:tcW w:w="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740" w:type="dxa"/>
            <w:vAlign w:val="bottom"/>
            <w:gridSpan w:val="3"/>
          </w:tcPr>
          <w:p>
            <w:pPr>
              <w:ind w:left="420"/>
              <w:spacing w:after="0"/>
              <w:rPr>
                <w:sz w:val="20"/>
                <w:szCs w:val="20"/>
                <w:color w:val="auto"/>
              </w:rPr>
            </w:pPr>
            <w:r>
              <w:rPr>
                <w:rFonts w:ascii="Arial" w:cs="Arial" w:eastAsia="Arial" w:hAnsi="Arial"/>
                <w:sz w:val="18"/>
                <w:szCs w:val="18"/>
                <w:color w:val="auto"/>
              </w:rPr>
              <w:t>The address of the Principal Office of the Depositary is 388 Greenwich Street, New</w:t>
            </w:r>
          </w:p>
        </w:tc>
      </w:tr>
      <w:tr>
        <w:trPr>
          <w:trHeight w:val="230"/>
        </w:trPr>
        <w:tc>
          <w:tcPr>
            <w:tcW w:w="4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740" w:type="dxa"/>
            <w:vAlign w:val="bottom"/>
            <w:gridSpan w:val="3"/>
          </w:tcPr>
          <w:p>
            <w:pPr>
              <w:jc w:val="center"/>
              <w:ind w:right="2390"/>
              <w:spacing w:after="0"/>
              <w:rPr>
                <w:sz w:val="20"/>
                <w:szCs w:val="20"/>
                <w:color w:val="auto"/>
              </w:rPr>
            </w:pPr>
            <w:r>
              <w:rPr>
                <w:rFonts w:ascii="Arial" w:cs="Arial" w:eastAsia="Arial" w:hAnsi="Arial"/>
                <w:sz w:val="18"/>
                <w:szCs w:val="18"/>
                <w:color w:val="auto"/>
                <w:w w:val="93"/>
              </w:rPr>
              <w:t>York, New York 10013, U.S.A.</w:t>
            </w:r>
          </w:p>
        </w:tc>
      </w:tr>
      <w:tr>
        <w:trPr>
          <w:trHeight w:val="655"/>
        </w:trPr>
        <w:tc>
          <w:tcPr>
            <w:tcW w:w="4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gridSpan w:val="2"/>
          </w:tcPr>
          <w:p>
            <w:pPr>
              <w:jc w:val="center"/>
              <w:ind w:right="4870"/>
              <w:spacing w:after="0"/>
              <w:rPr>
                <w:sz w:val="20"/>
                <w:szCs w:val="20"/>
                <w:color w:val="auto"/>
              </w:rPr>
            </w:pPr>
            <w:r>
              <w:rPr>
                <w:rFonts w:ascii="Arial" w:cs="Arial" w:eastAsia="Arial" w:hAnsi="Arial"/>
                <w:sz w:val="18"/>
                <w:szCs w:val="18"/>
                <w:color w:val="auto"/>
                <w:w w:val="94"/>
              </w:rPr>
              <w:t>A-10</w:t>
            </w:r>
          </w:p>
        </w:tc>
      </w:tr>
    </w:tbl>
    <w:p>
      <w:pPr>
        <w:sectPr>
          <w:pgSz w:w="11900" w:h="16838" w:orient="portrait"/>
          <w:cols w:equalWidth="0" w:num="1">
            <w:col w:w="11240"/>
          </w:cols>
          <w:pgMar w:left="320" w:top="904" w:right="339" w:bottom="1440" w:gutter="0" w:footer="0" w:header="0"/>
        </w:sectPr>
      </w:pPr>
    </w:p>
    <w:bookmarkStart w:id="258" w:name="page259"/>
    <w:bookmarkEnd w:id="258"/>
    <w:p>
      <w:pPr>
        <w:jc w:val="center"/>
        <w:spacing w:after="0"/>
        <w:rPr>
          <w:sz w:val="20"/>
          <w:szCs w:val="20"/>
          <w:color w:val="auto"/>
        </w:rPr>
      </w:pPr>
      <w:r>
        <w:rPr>
          <w:rFonts w:ascii="Arial" w:cs="Arial" w:eastAsia="Arial" w:hAnsi="Arial"/>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CERTAIN ADDITIONAL PROVISIONS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DEPOSIT AGREEMENT</w:t>
      </w:r>
    </w:p>
    <w:p>
      <w:pPr>
        <w:spacing w:after="0" w:line="207" w:lineRule="exact"/>
        <w:rPr>
          <w:sz w:val="20"/>
          <w:szCs w:val="20"/>
          <w:color w:val="auto"/>
        </w:rPr>
      </w:pPr>
    </w:p>
    <w:p>
      <w:pPr>
        <w:ind w:left="-20" w:firstLine="656"/>
        <w:spacing w:after="0" w:line="284" w:lineRule="auto"/>
        <w:tabs>
          <w:tab w:leader="none" w:pos="973" w:val="left"/>
        </w:tabs>
        <w:numPr>
          <w:ilvl w:val="0"/>
          <w:numId w:val="2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Dividends and Distributions in Cash, Shares, etc</w:t>
      </w:r>
      <w:r>
        <w:rPr>
          <w:rFonts w:ascii="Arial" w:cs="Arial" w:eastAsia="Arial" w:hAnsi="Arial"/>
          <w:sz w:val="16"/>
          <w:szCs w:val="16"/>
          <w:b w:val="1"/>
          <w:bCs w:val="1"/>
          <w:color w:val="auto"/>
        </w:rPr>
        <w:t xml:space="preserve">.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Cash Distributions</w:t>
      </w:r>
      <w:r>
        <w:rPr>
          <w:rFonts w:ascii="Arial" w:cs="Arial" w:eastAsia="Arial" w:hAnsi="Arial"/>
          <w:sz w:val="16"/>
          <w:szCs w:val="16"/>
          <w:color w:val="auto"/>
        </w:rPr>
        <w:t>: Upon the timely receipt by the Depositary of a notice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that it intends to make a distribution of a cash dividend or other cash distribution, the Depositary shall establish the ADS Record Date upon the terms described in Section 4.9 of the Deposit Agreement. Upon confirmation of receipt of (x) any cash dividend or other cash distribution on any Deposited Securities, or (y) proceeds from the sale of any Deposited Property held in respect of the ADSs under the terms of the Deposit Agreement, the Depositary will (i) if any amounts are received in a Foreign Currency,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described in the Fee Schedule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259" w:name="page260"/>
    <w:bookmarkEnd w:id="259"/>
    <w:p>
      <w:pPr>
        <w:ind w:firstLine="656"/>
        <w:spacing w:after="0" w:line="287" w:lineRule="auto"/>
        <w:tabs>
          <w:tab w:leader="none" w:pos="903" w:val="left"/>
        </w:tabs>
        <w:numPr>
          <w:ilvl w:val="1"/>
          <w:numId w:val="213"/>
        </w:numPr>
        <w:rPr>
          <w:rFonts w:ascii="Arial" w:cs="Arial" w:eastAsia="Arial" w:hAnsi="Arial"/>
          <w:sz w:val="16"/>
          <w:szCs w:val="16"/>
          <w:color w:val="auto"/>
        </w:rPr>
      </w:pPr>
      <w:r>
        <w:rPr>
          <w:rFonts w:ascii="Arial" w:cs="Arial" w:eastAsia="Arial" w:hAnsi="Arial"/>
          <w:sz w:val="16"/>
          <w:szCs w:val="16"/>
          <w:b w:val="1"/>
          <w:bCs w:val="1"/>
          <w:i w:val="1"/>
          <w:iCs w:val="1"/>
          <w:color w:val="auto"/>
        </w:rPr>
        <w:t>Share Distributions</w:t>
      </w:r>
      <w:r>
        <w:rPr>
          <w:rFonts w:ascii="Arial" w:cs="Arial" w:eastAsia="Arial" w:hAnsi="Arial"/>
          <w:sz w:val="16"/>
          <w:szCs w:val="16"/>
          <w:color w:val="auto"/>
        </w:rPr>
        <w:t>: Upon the timely receipt by the Depositary of a notice from the Company that it intends to make a distribution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w:t>
      </w:r>
    </w:p>
    <w:p>
      <w:pPr>
        <w:spacing w:after="0" w:line="2" w:lineRule="exact"/>
        <w:rPr>
          <w:rFonts w:ascii="Arial" w:cs="Arial" w:eastAsia="Arial" w:hAnsi="Arial"/>
          <w:sz w:val="16"/>
          <w:szCs w:val="16"/>
          <w:color w:val="auto"/>
        </w:rPr>
      </w:pPr>
    </w:p>
    <w:p>
      <w:pPr>
        <w:ind w:firstLine="8"/>
        <w:spacing w:after="0" w:line="281" w:lineRule="auto"/>
        <w:tabs>
          <w:tab w:leader="none" w:pos="21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w:t>
      </w:r>
    </w:p>
    <w:p>
      <w:pPr>
        <w:spacing w:after="0" w:line="1" w:lineRule="exact"/>
        <w:rPr>
          <w:rFonts w:ascii="Arial" w:cs="Arial" w:eastAsia="Arial" w:hAnsi="Arial"/>
          <w:sz w:val="16"/>
          <w:szCs w:val="16"/>
          <w:color w:val="auto"/>
        </w:rPr>
      </w:pPr>
    </w:p>
    <w:p>
      <w:pPr>
        <w:ind w:right="80" w:firstLine="8"/>
        <w:spacing w:after="0" w:line="271" w:lineRule="auto"/>
        <w:tabs>
          <w:tab w:leader="none" w:pos="25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7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0" w:name="page261"/>
    <w:bookmarkEnd w:id="260"/>
    <w:p>
      <w:pPr>
        <w:ind w:right="240" w:firstLine="656"/>
        <w:spacing w:after="0" w:line="286" w:lineRule="auto"/>
        <w:tabs>
          <w:tab w:leader="none" w:pos="892" w:val="left"/>
        </w:tabs>
        <w:numPr>
          <w:ilvl w:val="1"/>
          <w:numId w:val="216"/>
        </w:numPr>
        <w:rPr>
          <w:rFonts w:ascii="Arial" w:cs="Arial" w:eastAsia="Arial" w:hAnsi="Arial"/>
          <w:sz w:val="16"/>
          <w:szCs w:val="16"/>
          <w:color w:val="auto"/>
        </w:rPr>
      </w:pPr>
      <w:r>
        <w:rPr>
          <w:rFonts w:ascii="Arial" w:cs="Arial" w:eastAsia="Arial" w:hAnsi="Arial"/>
          <w:sz w:val="16"/>
          <w:szCs w:val="16"/>
          <w:b w:val="1"/>
          <w:bCs w:val="1"/>
          <w:i w:val="1"/>
          <w:iCs w:val="1"/>
          <w:color w:val="auto"/>
        </w:rPr>
        <w:t>Elective Distributions in Cash or Shares</w:t>
      </w:r>
      <w:r>
        <w:rPr>
          <w:rFonts w:ascii="Arial" w:cs="Arial" w:eastAsia="Arial" w:hAnsi="Arial"/>
          <w:sz w:val="16"/>
          <w:szCs w:val="16"/>
          <w:color w:val="auto"/>
        </w:rPr>
        <w:t>: Upon the timely receipt of a notice indicating that the Company wishes an elective distribution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or Shares to be made available to Holders of ADSs upon the terms described in the Deposit Agreement, the Company and the Depositary shall determine in accordance with the Deposit Agreement whether such distribution is lawful and reasonably practicable. The Depositary shall make such elective distribution available to Holders only if (i) the Company shall have timely requested that the elective distribution be made available to Holders,</w:t>
      </w:r>
    </w:p>
    <w:p>
      <w:pPr>
        <w:spacing w:after="0" w:line="1" w:lineRule="exact"/>
        <w:rPr>
          <w:rFonts w:ascii="Arial" w:cs="Arial" w:eastAsia="Arial" w:hAnsi="Arial"/>
          <w:sz w:val="16"/>
          <w:szCs w:val="16"/>
          <w:color w:val="auto"/>
        </w:rPr>
      </w:pPr>
    </w:p>
    <w:p>
      <w:pPr>
        <w:ind w:firstLine="8"/>
        <w:spacing w:after="0" w:line="284" w:lineRule="auto"/>
        <w:tabs>
          <w:tab w:leader="none" w:pos="26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Depositary shall have determined that such distribution is reasonably practicable and (iii) the Depositary shall have received reasonably satisfactory documentation within the terms of Section 5.7 of the Deposit Agreement. If the above conditions are satisfied, the Depositary shall, subject to the terms and conditions of the Deposit Agreement, establish the ADS Record Date upon the terms of Section 4.9 of the Deposit Agreement and establish procedures to enable the Holder hereof to elect to receive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the Cayman Islands in respect of the Shares for which no election is made, either (x) cash or (y) additional ADSs representing such additional Shares, in each case, upon the terms described in the Deposit Agreement. Nothing herein or in the Deposit Agreement shall obligate the Depositary to make available to the Holder hereof a method to receive the elective distribution in Shares (rather than ADSs). There can be no assurance that the Holder hereof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172" w:lineRule="exact"/>
        <w:rPr>
          <w:rFonts w:ascii="Arial" w:cs="Arial" w:eastAsia="Arial" w:hAnsi="Arial"/>
          <w:sz w:val="16"/>
          <w:szCs w:val="16"/>
          <w:color w:val="auto"/>
        </w:rPr>
      </w:pPr>
    </w:p>
    <w:p>
      <w:pPr>
        <w:ind w:right="100" w:firstLine="656"/>
        <w:spacing w:after="0" w:line="284" w:lineRule="auto"/>
        <w:tabs>
          <w:tab w:leader="none" w:pos="903" w:val="left"/>
        </w:tabs>
        <w:numPr>
          <w:ilvl w:val="1"/>
          <w:numId w:val="217"/>
        </w:numPr>
        <w:rPr>
          <w:rFonts w:ascii="Arial" w:cs="Arial" w:eastAsia="Arial" w:hAnsi="Arial"/>
          <w:sz w:val="16"/>
          <w:szCs w:val="16"/>
          <w:color w:val="auto"/>
        </w:rPr>
      </w:pPr>
      <w:r>
        <w:rPr>
          <w:rFonts w:ascii="Arial" w:cs="Arial" w:eastAsia="Arial" w:hAnsi="Arial"/>
          <w:sz w:val="16"/>
          <w:szCs w:val="16"/>
          <w:b w:val="1"/>
          <w:bCs w:val="1"/>
          <w:i w:val="1"/>
          <w:iCs w:val="1"/>
          <w:color w:val="auto"/>
        </w:rPr>
        <w:t>Distribution of Rights to Purchase Additional ADSs</w:t>
      </w:r>
      <w:r>
        <w:rPr>
          <w:rFonts w:ascii="Arial" w:cs="Arial" w:eastAsia="Arial" w:hAnsi="Arial"/>
          <w:sz w:val="16"/>
          <w:szCs w:val="16"/>
          <w:color w:val="auto"/>
        </w:rPr>
        <w:t>: Upon the timely receipt by the Depositary of a notice indicating that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reasonably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sell the rights as described below.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1" w:name="page262"/>
    <w:bookmarkEnd w:id="261"/>
    <w:p>
      <w:pPr>
        <w:ind w:firstLine="648"/>
        <w:spacing w:after="0" w:line="268" w:lineRule="auto"/>
        <w:rPr>
          <w:sz w:val="20"/>
          <w:szCs w:val="20"/>
          <w:color w:val="auto"/>
        </w:rPr>
      </w:pPr>
      <w:r>
        <w:rPr>
          <w:rFonts w:ascii="Arial" w:cs="Arial" w:eastAsia="Arial" w:hAnsi="Arial"/>
          <w:sz w:val="17"/>
          <w:szCs w:val="17"/>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6"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2" w:name="page263"/>
    <w:bookmarkEnd w:id="262"/>
    <w:p>
      <w:pPr>
        <w:ind w:firstLine="656"/>
        <w:spacing w:after="0" w:line="288" w:lineRule="auto"/>
        <w:tabs>
          <w:tab w:leader="none" w:pos="892" w:val="left"/>
        </w:tabs>
        <w:numPr>
          <w:ilvl w:val="0"/>
          <w:numId w:val="218"/>
        </w:numPr>
        <w:rPr>
          <w:rFonts w:ascii="Arial" w:cs="Arial" w:eastAsia="Arial" w:hAnsi="Arial"/>
          <w:sz w:val="16"/>
          <w:szCs w:val="16"/>
          <w:color w:val="auto"/>
        </w:rPr>
      </w:pPr>
      <w:r>
        <w:rPr>
          <w:rFonts w:ascii="Arial" w:cs="Arial" w:eastAsia="Arial" w:hAnsi="Arial"/>
          <w:sz w:val="16"/>
          <w:szCs w:val="16"/>
          <w:b w:val="1"/>
          <w:bCs w:val="1"/>
          <w:i w:val="1"/>
          <w:iCs w:val="1"/>
          <w:color w:val="auto"/>
        </w:rPr>
        <w:t>Distributions other than Cash, Shares or Rights to Purchase Shares</w:t>
      </w:r>
      <w:r>
        <w:rPr>
          <w:rFonts w:ascii="Arial" w:cs="Arial" w:eastAsia="Arial" w:hAnsi="Arial"/>
          <w:sz w:val="16"/>
          <w:szCs w:val="16"/>
          <w:color w:val="auto"/>
        </w:rPr>
        <w:t>: Upon receipt of a notice indicating that the Company wishes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the documentation contemplated in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6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hereof and in the Deposit Agreement. If the Depositary is unable to sell such property, the Depositary may dispose of such property for the account of the Holders in any way it deems reasonably practicable under the circumstances.</w:t>
      </w:r>
    </w:p>
    <w:p>
      <w:pPr>
        <w:spacing w:after="0" w:line="161" w:lineRule="exact"/>
        <w:rPr>
          <w:sz w:val="20"/>
          <w:szCs w:val="20"/>
          <w:color w:val="auto"/>
        </w:rPr>
      </w:pPr>
    </w:p>
    <w:p>
      <w:pPr>
        <w:jc w:val="both"/>
        <w:ind w:right="500" w:firstLine="648"/>
        <w:spacing w:after="0" w:line="263" w:lineRule="auto"/>
        <w:rPr>
          <w:sz w:val="20"/>
          <w:szCs w:val="20"/>
          <w:color w:val="auto"/>
        </w:rPr>
      </w:pPr>
      <w:r>
        <w:rPr>
          <w:rFonts w:ascii="Arial" w:cs="Arial" w:eastAsia="Arial" w:hAnsi="Arial"/>
          <w:sz w:val="18"/>
          <w:szCs w:val="18"/>
          <w:color w:val="auto"/>
        </w:rPr>
        <w:t>Neither the Depositary nor the Company shall be responsible for (i) any failure to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80" w:lineRule="exact"/>
        <w:rPr>
          <w:sz w:val="20"/>
          <w:szCs w:val="20"/>
          <w:color w:val="auto"/>
        </w:rPr>
      </w:pPr>
    </w:p>
    <w:p>
      <w:pPr>
        <w:ind w:right="20" w:firstLine="656"/>
        <w:spacing w:after="0" w:line="285" w:lineRule="auto"/>
        <w:tabs>
          <w:tab w:leader="none" w:pos="993"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Upon timely receipt of notice from the Company that it intends to exercise its right of redemption in respect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Deposited Securities, and satisfactory documentation, and upon determining that such proposed redemption is practicable, the Depositary shall (to the extent practicable) provide to each Holder a notice setting forth the Company’s intention to exercise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above, the Depositary shall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263" w:name="page264"/>
    <w:bookmarkEnd w:id="263"/>
    <w:p>
      <w:pPr>
        <w:ind w:left="-20" w:firstLine="656"/>
        <w:spacing w:after="0" w:line="289" w:lineRule="auto"/>
        <w:tabs>
          <w:tab w:leader="none" w:pos="973" w:val="left"/>
        </w:tabs>
        <w:numPr>
          <w:ilvl w:val="0"/>
          <w:numId w:val="2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Fixing of 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Depositary shall receive notice of the fixing of a record date by the Company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the record date (the “</w:t>
      </w:r>
      <w:r>
        <w:rPr>
          <w:rFonts w:ascii="Arial" w:cs="Arial" w:eastAsia="Arial" w:hAnsi="Arial"/>
          <w:sz w:val="16"/>
          <w:szCs w:val="16"/>
          <w:u w:val="single" w:color="auto"/>
          <w:color w:val="auto"/>
        </w:rPr>
        <w:t>ADS</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Record 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Subject to applicable law, the terms and conditions of this ADR and Sections 4.1 through 4.8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60" w:lineRule="exact"/>
        <w:rPr>
          <w:rFonts w:ascii="Arial" w:cs="Arial" w:eastAsia="Arial" w:hAnsi="Arial"/>
          <w:sz w:val="16"/>
          <w:szCs w:val="16"/>
          <w:b w:val="1"/>
          <w:bCs w:val="1"/>
          <w:color w:val="auto"/>
        </w:rPr>
      </w:pPr>
    </w:p>
    <w:p>
      <w:pPr>
        <w:ind w:left="-20" w:right="20" w:firstLine="656"/>
        <w:spacing w:after="0" w:line="270" w:lineRule="auto"/>
        <w:tabs>
          <w:tab w:leader="none" w:pos="973" w:val="left"/>
        </w:tabs>
        <w:numPr>
          <w:ilvl w:val="0"/>
          <w:numId w:val="22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Voting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practicable after receipt of notice of any meeting at which the holders of Deposited Securities are</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264" w:name="page265"/>
    <w:bookmarkEnd w:id="264"/>
    <w:p>
      <w:pPr>
        <w:ind w:firstLine="648"/>
        <w:spacing w:after="0" w:line="275" w:lineRule="auto"/>
        <w:rPr>
          <w:sz w:val="20"/>
          <w:szCs w:val="20"/>
          <w:color w:val="auto"/>
        </w:rPr>
      </w:pPr>
      <w:r>
        <w:rPr>
          <w:rFonts w:ascii="Arial" w:cs="Arial" w:eastAsia="Arial" w:hAnsi="Arial"/>
          <w:sz w:val="17"/>
          <w:szCs w:val="17"/>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7"/>
          <w:szCs w:val="17"/>
          <w:i w:val="1"/>
          <w:iCs w:val="1"/>
          <w:color w:val="auto"/>
        </w:rPr>
        <w:t>e.g.</w:t>
      </w:r>
      <w:r>
        <w:rPr>
          <w:rFonts w:ascii="Arial" w:cs="Arial" w:eastAsia="Arial" w:hAnsi="Arial"/>
          <w:sz w:val="17"/>
          <w:szCs w:val="17"/>
          <w:color w:val="auto"/>
        </w:rPr>
        <w:t>, by reference to a website containing the materials for retrieval or a contact for requesting copies of the materials).</w:t>
      </w:r>
    </w:p>
    <w:p>
      <w:pPr>
        <w:spacing w:after="0" w:line="17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Deposit Agreement, voting at any meeting of shareholders of the Company is by show of hands unless (before or on the declaration of the result of the show of hands) a poll is demanded. The Depositary will not join in demanding a poll, whether or not requested to do so by Holders of ADSs. Under the Articles of Association of the Company as in effect on the date of the Deposit Agreement, a poll may be demanded by (a) the chairman of the meeting, or (b) any shareholder(s) present in person or by proxy and representing not less than 10% of the total voting rights of the shareholders present in person or by proxy on the resolution (excluding any shares held in treasury).</w:t>
      </w:r>
    </w:p>
    <w:p>
      <w:pPr>
        <w:spacing w:after="0" w:line="19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the Articles of Association and the provisions of the Deposited Securities, to vote, or cause the Custodian to vote, the Deposited Securities (in person or by proxy) represented by such Holder’s ADSs as follows: (a) </w:t>
      </w:r>
      <w:r>
        <w:rPr>
          <w:rFonts w:ascii="Arial" w:cs="Arial" w:eastAsia="Arial" w:hAnsi="Arial"/>
          <w:sz w:val="17"/>
          <w:szCs w:val="17"/>
          <w:i w:val="1"/>
          <w:iCs w:val="1"/>
          <w:color w:val="auto"/>
        </w:rPr>
        <w:t>in the event voting takes place at a shareholders’ meeting by a show of hands,</w:t>
      </w:r>
      <w:r>
        <w:rPr>
          <w:rFonts w:ascii="Arial" w:cs="Arial" w:eastAsia="Arial" w:hAnsi="Arial"/>
          <w:sz w:val="17"/>
          <w:szCs w:val="17"/>
          <w:color w:val="auto"/>
        </w:rPr>
        <w:t xml:space="preserve"> the Depositary will instruct the Custodian to vote all Deposited Securities in accordance with such voting instructions received timely from a majority of the Holders of ADSs who provided voting instructions, and (b)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the event voting takes place at a shareholders’ meeting by poll</w:t>
      </w:r>
      <w:r>
        <w:rPr>
          <w:rFonts w:ascii="Arial" w:cs="Arial" w:eastAsia="Arial" w:hAnsi="Arial"/>
          <w:sz w:val="17"/>
          <w:szCs w:val="17"/>
          <w:color w:val="auto"/>
        </w:rPr>
        <w:t>, the Depositary will instruct the Custodian to vote the Deposited Securities in accordance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65" w:name="page266"/>
    <w:bookmarkEnd w:id="265"/>
    <w:p>
      <w:pPr>
        <w:ind w:right="60" w:firstLine="648"/>
        <w:spacing w:after="0" w:line="269" w:lineRule="auto"/>
        <w:rPr>
          <w:sz w:val="20"/>
          <w:szCs w:val="20"/>
          <w:color w:val="auto"/>
        </w:rPr>
      </w:pPr>
      <w:r>
        <w:rPr>
          <w:rFonts w:ascii="Arial" w:cs="Arial" w:eastAsia="Arial" w:hAnsi="Arial"/>
          <w:sz w:val="17"/>
          <w:szCs w:val="17"/>
          <w:color w:val="auto"/>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in the Deposit Agreement or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Notwithstanding anything else contained in the Deposit Agreement or this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to enable Holders and Beneficial Owners to exercise the voting rights accruing to the Deposited Securities and to deliver to the Depositary an opinion of U.S. counsel in a form reasonably satisfactory to the Depositary addressing any actions requested to be taken if so requested by the Depositary.</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6" w:lineRule="exact"/>
        <w:rPr>
          <w:sz w:val="20"/>
          <w:szCs w:val="20"/>
          <w:color w:val="auto"/>
        </w:rPr>
      </w:pPr>
    </w:p>
    <w:p>
      <w:pPr>
        <w:ind w:right="20" w:firstLine="656"/>
        <w:spacing w:after="0" w:line="284" w:lineRule="auto"/>
        <w:tabs>
          <w:tab w:leader="none" w:pos="993" w:val="left"/>
        </w:tabs>
        <w:numPr>
          <w:ilvl w:val="1"/>
          <w:numId w:val="2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w:t>
      </w:r>
    </w:p>
    <w:p>
      <w:pPr>
        <w:spacing w:after="0" w:line="1" w:lineRule="exact"/>
        <w:rPr>
          <w:rFonts w:ascii="Arial" w:cs="Arial" w:eastAsia="Arial" w:hAnsi="Arial"/>
          <w:sz w:val="16"/>
          <w:szCs w:val="16"/>
          <w:b w:val="1"/>
          <w:bCs w:val="1"/>
          <w:color w:val="auto"/>
        </w:rPr>
      </w:pPr>
    </w:p>
    <w:p>
      <w:pPr>
        <w:ind w:firstLine="8"/>
        <w:spacing w:after="0" w:line="281" w:lineRule="auto"/>
        <w:tabs>
          <w:tab w:leader="none" w:pos="265"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any foreign exchange exposure or loss incurred in connection with such sale, or (iii) any liability to the purchaser of such Deposited Property.</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6" w:name="page267"/>
    <w:bookmarkEnd w:id="266"/>
    <w:p>
      <w:pPr>
        <w:ind w:left="-20" w:firstLine="656"/>
        <w:spacing w:after="0" w:line="267" w:lineRule="auto"/>
        <w:tabs>
          <w:tab w:leader="none" w:pos="973"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Exoneration</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contained in the Deposit Agreement or any ADR, neither the Depositary nor the Company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obligated to do or perform any act or thing which is inconsistent with the provisions of the Deposit Agreement or incur any liability (to the extent not limited by paragraph (25) hereof)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the Cayman Islands or any other country, or of any other governmental authority or regulatory authority or stock exchange, or on account of potential criminal or civil penalties or restraint, or by reason of any provision, present or future, of the Articles of Association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267" w:name="page268"/>
    <w:bookmarkEnd w:id="267"/>
    <w:p>
      <w:pPr>
        <w:ind w:firstLine="656"/>
        <w:spacing w:after="0" w:line="292" w:lineRule="auto"/>
        <w:tabs>
          <w:tab w:leader="none" w:pos="993" w:val="left"/>
        </w:tabs>
        <w:numPr>
          <w:ilvl w:val="0"/>
          <w:numId w:val="2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Standard of Care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Depositary assume no obligation and shall not be subject to any liability under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65"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any financial transaction entered into by any person in respect of the ADSs or any Deposited Property, for any tax consequences that may result from the ownership of, or any transaction involving, ADSs or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1"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68" w:name="page269"/>
    <w:bookmarkEnd w:id="268"/>
    <w:p>
      <w:pPr>
        <w:ind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3" w:lineRule="exact"/>
        <w:rPr>
          <w:sz w:val="20"/>
          <w:szCs w:val="20"/>
          <w:color w:val="auto"/>
        </w:rPr>
      </w:pPr>
    </w:p>
    <w:p>
      <w:pPr>
        <w:ind w:right="40" w:firstLine="656"/>
        <w:spacing w:after="0" w:line="285" w:lineRule="auto"/>
        <w:tabs>
          <w:tab w:leader="none" w:pos="993" w:val="left"/>
        </w:tabs>
        <w:numPr>
          <w:ilvl w:val="0"/>
          <w:numId w:val="2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Resignation and Removal of the Depositary; Appointment of Successor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may at any time resign as</w:t>
      </w:r>
      <w:r>
        <w:rPr>
          <w:rFonts w:ascii="Arial" w:cs="Arial" w:eastAsia="Arial" w:hAnsi="Arial"/>
          <w:sz w:val="16"/>
          <w:szCs w:val="16"/>
          <w:b w:val="1"/>
          <w:bCs w:val="1"/>
          <w:color w:val="auto"/>
        </w:rPr>
        <w:t xml:space="preserve"> </w:t>
      </w:r>
      <w:r>
        <w:rPr>
          <w:rFonts w:ascii="Arial" w:cs="Arial" w:eastAsia="Arial" w:hAnsi="Arial"/>
          <w:sz w:val="16"/>
          <w:szCs w:val="16"/>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9" w:name="page270"/>
    <w:bookmarkEnd w:id="269"/>
    <w:p>
      <w:pPr>
        <w:ind w:left="-8" w:firstLine="656"/>
        <w:spacing w:after="0" w:line="285" w:lineRule="auto"/>
        <w:tabs>
          <w:tab w:leader="none" w:pos="985" w:val="left"/>
        </w:tabs>
        <w:numPr>
          <w:ilvl w:val="1"/>
          <w:numId w:val="22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paragraph 23, and Section 6.1 of the Deposit Agreement and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w:t>
      </w:r>
    </w:p>
    <w:p>
      <w:pPr>
        <w:spacing w:after="0" w:line="3" w:lineRule="exact"/>
        <w:rPr>
          <w:rFonts w:ascii="Arial" w:cs="Arial" w:eastAsia="Arial" w:hAnsi="Arial"/>
          <w:sz w:val="16"/>
          <w:szCs w:val="16"/>
          <w:b w:val="1"/>
          <w:bCs w:val="1"/>
          <w:color w:val="auto"/>
        </w:rPr>
      </w:pPr>
    </w:p>
    <w:p>
      <w:pPr>
        <w:ind w:left="-8" w:firstLine="8"/>
        <w:spacing w:after="0" w:line="284" w:lineRule="auto"/>
        <w:tabs>
          <w:tab w:leader="none" w:pos="33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3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70" w:name="page271"/>
    <w:bookmarkEnd w:id="270"/>
    <w:p>
      <w:pPr>
        <w:ind w:right="60" w:firstLine="656"/>
        <w:spacing w:after="0" w:line="293" w:lineRule="auto"/>
        <w:tabs>
          <w:tab w:leader="none" w:pos="993" w:val="left"/>
        </w:tabs>
        <w:numPr>
          <w:ilvl w:val="1"/>
          <w:numId w:val="2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any time at the written direction of the Company, terminate the Deposit Agreement by distributing</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such termination to the Holders of all ADSs then outstanding at least thirty (30) days prior to the date fixed in such notice for such termination. If</w:t>
      </w:r>
    </w:p>
    <w:p>
      <w:pPr>
        <w:spacing w:after="0" w:line="1" w:lineRule="exact"/>
        <w:rPr>
          <w:rFonts w:ascii="Arial" w:cs="Arial" w:eastAsia="Arial" w:hAnsi="Arial"/>
          <w:sz w:val="16"/>
          <w:szCs w:val="16"/>
          <w:b w:val="1"/>
          <w:bCs w:val="1"/>
          <w:color w:val="auto"/>
        </w:rPr>
      </w:pPr>
    </w:p>
    <w:p>
      <w:pPr>
        <w:ind w:firstLine="8"/>
        <w:spacing w:after="0" w:line="283" w:lineRule="auto"/>
        <w:tabs>
          <w:tab w:leader="none" w:pos="215" w:val="left"/>
        </w:tabs>
        <w:numPr>
          <w:ilvl w:val="0"/>
          <w:numId w:val="230"/>
        </w:numPr>
        <w:rPr>
          <w:rFonts w:ascii="Arial" w:cs="Arial" w:eastAsia="Arial" w:hAnsi="Arial"/>
          <w:sz w:val="16"/>
          <w:szCs w:val="16"/>
          <w:color w:val="auto"/>
        </w:rPr>
      </w:pPr>
      <w:r>
        <w:rPr>
          <w:rFonts w:ascii="Arial" w:cs="Arial" w:eastAsia="Arial" w:hAnsi="Arial"/>
          <w:sz w:val="16"/>
          <w:szCs w:val="16"/>
          <w:color w:val="auto"/>
        </w:rPr>
        <w:t>ninety (90) days shall have expired after the Depositary shall have delivered to the Company a written notice of its election to resign, or (ii) 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39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taxes and fees and charges of, and reimbursement of the applicable expenses incurred by, the Depositary.</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71" w:name="page272"/>
    <w:bookmarkEnd w:id="271"/>
    <w:p>
      <w:pPr>
        <w:ind w:left="-8" w:firstLine="656"/>
        <w:spacing w:after="0" w:line="314" w:lineRule="auto"/>
        <w:tabs>
          <w:tab w:leader="none" w:pos="985" w:val="left"/>
        </w:tabs>
        <w:numPr>
          <w:ilvl w:val="0"/>
          <w:numId w:val="2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and No Disclaimer under, U.S. Securities Laws</w:t>
      </w:r>
      <w:r>
        <w:rPr>
          <w:rFonts w:ascii="Arial" w:cs="Arial" w:eastAsia="Arial" w:hAnsi="Arial"/>
          <w:sz w:val="16"/>
          <w:szCs w:val="16"/>
          <w:b w:val="1"/>
          <w:bCs w:val="1"/>
          <w:color w:val="auto"/>
        </w:rPr>
        <w:t xml:space="preserve">. </w:t>
      </w:r>
      <w:r>
        <w:rPr>
          <w:rFonts w:ascii="Arial" w:cs="Arial" w:eastAsia="Arial" w:hAnsi="Arial"/>
          <w:sz w:val="16"/>
          <w:szCs w:val="16"/>
          <w:color w:val="auto"/>
        </w:rPr>
        <w:t>(a) Notwithstanding any provisions in this ADR or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46" w:lineRule="exact"/>
        <w:rPr>
          <w:sz w:val="20"/>
          <w:szCs w:val="20"/>
          <w:color w:val="auto"/>
        </w:rPr>
      </w:pPr>
    </w:p>
    <w:p>
      <w:pPr>
        <w:ind w:left="-8" w:right="80" w:firstLine="656"/>
        <w:spacing w:after="0" w:line="263" w:lineRule="auto"/>
        <w:tabs>
          <w:tab w:leader="none" w:pos="89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80" w:lineRule="exact"/>
        <w:rPr>
          <w:sz w:val="20"/>
          <w:szCs w:val="20"/>
          <w:color w:val="auto"/>
        </w:rPr>
      </w:pPr>
    </w:p>
    <w:p>
      <w:pPr>
        <w:ind w:left="-8" w:right="20" w:firstLine="656"/>
        <w:spacing w:after="0" w:line="284" w:lineRule="auto"/>
        <w:tabs>
          <w:tab w:leader="none" w:pos="985" w:val="left"/>
        </w:tabs>
        <w:numPr>
          <w:ilvl w:val="1"/>
          <w:numId w:val="2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Third Party Beneficiaries/Acknowledgements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 Agreement is for the exclusive benefit of the parties hereto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4" w:lineRule="exact"/>
        <w:rPr>
          <w:rFonts w:ascii="Arial" w:cs="Arial" w:eastAsia="Arial" w:hAnsi="Arial"/>
          <w:sz w:val="16"/>
          <w:szCs w:val="16"/>
          <w:b w:val="1"/>
          <w:bCs w:val="1"/>
          <w:color w:val="auto"/>
        </w:rPr>
      </w:pPr>
    </w:p>
    <w:p>
      <w:pPr>
        <w:ind w:left="-8" w:right="80" w:firstLine="8"/>
        <w:spacing w:after="0" w:line="268" w:lineRule="auto"/>
        <w:tabs>
          <w:tab w:leader="none" w:pos="297" w:val="left"/>
        </w:tabs>
        <w:numPr>
          <w:ilvl w:val="0"/>
          <w:numId w:val="234"/>
        </w:numPr>
        <w:rPr>
          <w:rFonts w:ascii="Arial" w:cs="Arial" w:eastAsia="Arial" w:hAnsi="Arial"/>
          <w:sz w:val="17"/>
          <w:szCs w:val="17"/>
          <w:color w:val="auto"/>
        </w:rPr>
      </w:pPr>
      <w:r>
        <w:rPr>
          <w:rFonts w:ascii="Arial" w:cs="Arial" w:eastAsia="Arial" w:hAnsi="Arial"/>
          <w:sz w:val="17"/>
          <w:szCs w:val="17"/>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3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72" w:name="page273"/>
    <w:bookmarkEnd w:id="272"/>
    <w:p>
      <w:pPr>
        <w:ind w:firstLine="656"/>
        <w:spacing w:after="0" w:line="256" w:lineRule="auto"/>
        <w:tabs>
          <w:tab w:leader="none" w:pos="993"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 Waiver of Jury Trial</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the ADRs and the ADSs shall be interpreted in accordance with,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19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Holders and Beneficial Owners understand and each irrevocably agrees that, by holding an ADS or an interest therein, any suit, action or proceeding against or involving the Company or the Depositary, arising out of or based upon the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160"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73" w:name="page274"/>
    <w:bookmarkEnd w:id="273"/>
    <w:p>
      <w:pPr>
        <w:jc w:val="center"/>
        <w:spacing w:after="0"/>
        <w:rPr>
          <w:sz w:val="20"/>
          <w:szCs w:val="20"/>
          <w:color w:val="auto"/>
        </w:rPr>
      </w:pPr>
      <w:r>
        <w:rPr>
          <w:rFonts w:ascii="Arial" w:cs="Arial" w:eastAsia="Arial" w:hAnsi="Arial"/>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the undersigned Holder hereby sell(s), assign(s) and transfer(s) unto ______________________________ whose taxpayer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identification number is _______________________ and whose address including postal zip code is ________________, the within ADR and all rights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thereunder, hereby irrevocably constituting and appointing ________________________ attorney-in-fact to transfer said ADR on the books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Depositary with full power of substitution in the premises.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140" w:type="dxa"/>
            <w:vAlign w:val="bottom"/>
          </w:tcPr>
          <w:p>
            <w:pPr>
              <w:spacing w:after="0"/>
              <w:rPr>
                <w:sz w:val="20"/>
                <w:szCs w:val="20"/>
                <w:color w:val="auto"/>
              </w:rPr>
            </w:pPr>
            <w:r>
              <w:rPr>
                <w:rFonts w:ascii="Arial" w:cs="Arial" w:eastAsia="Arial" w:hAnsi="Arial"/>
                <w:sz w:val="18"/>
                <w:szCs w:val="18"/>
                <w:color w:val="auto"/>
              </w:rPr>
              <w:t>Dated:</w:t>
            </w: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02"/>
        </w:trPr>
        <w:tc>
          <w:tcPr>
            <w:tcW w:w="41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18"/>
        </w:trPr>
        <w:tc>
          <w:tcPr>
            <w:tcW w:w="4140" w:type="dxa"/>
            <w:vAlign w:val="bottom"/>
          </w:tcPr>
          <w:p>
            <w:pPr>
              <w:spacing w:after="0"/>
              <w:rPr>
                <w:sz w:val="24"/>
                <w:szCs w:val="24"/>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w w:val="95"/>
              </w:rPr>
              <w:t>NOTICE: The signature of the Holder to this assignment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w w:val="91"/>
              </w:rPr>
              <w:t>must correspond with the name as written upon the face of</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w w:val="93"/>
              </w:rPr>
              <w:t>the within instrument in every particular, without alteration</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rPr>
              <w:t>or enlargement or any change whatsoever.</w:t>
            </w:r>
          </w:p>
        </w:tc>
        <w:tc>
          <w:tcPr>
            <w:tcW w:w="0" w:type="dxa"/>
            <w:vAlign w:val="bottom"/>
          </w:tcPr>
          <w:p>
            <w:pPr>
              <w:spacing w:after="0"/>
              <w:rPr>
                <w:sz w:val="1"/>
                <w:szCs w:val="1"/>
                <w:color w:val="auto"/>
              </w:rPr>
            </w:pPr>
          </w:p>
        </w:tc>
      </w:tr>
      <w:tr>
        <w:trPr>
          <w:trHeight w:val="418"/>
        </w:trPr>
        <w:tc>
          <w:tcPr>
            <w:tcW w:w="4140" w:type="dxa"/>
            <w:vAlign w:val="bottom"/>
          </w:tcPr>
          <w:p>
            <w:pPr>
              <w:spacing w:after="0"/>
              <w:rPr>
                <w:sz w:val="24"/>
                <w:szCs w:val="24"/>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w w:val="93"/>
              </w:rPr>
              <w:t>If the endorsement be executed by an attorney, executor,</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w w:val="90"/>
              </w:rPr>
              <w:t>administrator, trustee or guardian, the person executing the</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w w:val="97"/>
              </w:rPr>
              <w:t>endorsement must give his/her full title in such capacity</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w w:val="93"/>
              </w:rPr>
              <w:t>and proper evidence of authority to act in such capacity, if</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w w:val="99"/>
              </w:rPr>
              <w:t>not on file with the Depositary, must be forwarded with</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rPr>
              <w:t>this ADR.</w:t>
            </w:r>
          </w:p>
        </w:tc>
        <w:tc>
          <w:tcPr>
            <w:tcW w:w="0" w:type="dxa"/>
            <w:vAlign w:val="bottom"/>
          </w:tcPr>
          <w:p>
            <w:pPr>
              <w:spacing w:after="0"/>
              <w:rPr>
                <w:sz w:val="1"/>
                <w:szCs w:val="1"/>
                <w:color w:val="auto"/>
              </w:rPr>
            </w:pPr>
          </w:p>
        </w:tc>
      </w:tr>
      <w:tr>
        <w:trPr>
          <w:trHeight w:val="439"/>
        </w:trPr>
        <w:tc>
          <w:tcPr>
            <w:tcW w:w="4140" w:type="dxa"/>
            <w:vAlign w:val="bottom"/>
            <w:tcBorders>
              <w:bottom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SIGNATURE GUARANTEED</w:t>
            </w:r>
          </w:p>
        </w:tc>
        <w:tc>
          <w:tcPr>
            <w:tcW w:w="7100" w:type="dxa"/>
            <w:vAlign w:val="bottom"/>
            <w:gridSpan w:val="2"/>
            <w:vMerge w:val="restart"/>
          </w:tcPr>
          <w:p>
            <w:pPr>
              <w:ind w:left="2800"/>
              <w:spacing w:after="0"/>
              <w:rPr>
                <w:sz w:val="20"/>
                <w:szCs w:val="20"/>
                <w:color w:val="auto"/>
              </w:rPr>
            </w:pPr>
            <w:r>
              <w:rPr>
                <w:rFonts w:ascii="Arial" w:cs="Arial" w:eastAsia="Arial" w:hAnsi="Arial"/>
                <w:sz w:val="18"/>
                <w:szCs w:val="18"/>
                <w:color w:val="auto"/>
              </w:rPr>
              <w:t>All endorsements or assignments of ADRs must be</w:t>
            </w:r>
          </w:p>
        </w:tc>
        <w:tc>
          <w:tcPr>
            <w:tcW w:w="0" w:type="dxa"/>
            <w:vAlign w:val="bottom"/>
          </w:tcPr>
          <w:p>
            <w:pPr>
              <w:spacing w:after="0"/>
              <w:rPr>
                <w:sz w:val="1"/>
                <w:szCs w:val="1"/>
                <w:color w:val="auto"/>
              </w:rPr>
            </w:pPr>
          </w:p>
        </w:tc>
      </w:tr>
      <w:tr>
        <w:trPr>
          <w:trHeight w:val="187"/>
        </w:trPr>
        <w:tc>
          <w:tcPr>
            <w:tcW w:w="4140" w:type="dxa"/>
            <w:vAlign w:val="bottom"/>
          </w:tcPr>
          <w:p>
            <w:pPr>
              <w:spacing w:after="0"/>
              <w:rPr>
                <w:sz w:val="16"/>
                <w:szCs w:val="16"/>
                <w:color w:val="auto"/>
              </w:rPr>
            </w:pPr>
          </w:p>
        </w:tc>
        <w:tc>
          <w:tcPr>
            <w:tcW w:w="7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w w:val="90"/>
              </w:rPr>
              <w:t>guaranteed by a member of a Medallion Signature Program</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rPr>
              <w:t>approved by the Securities Transfer Association, Inc.</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Legends</w:t>
      </w:r>
    </w:p>
    <w:p>
      <w:pPr>
        <w:spacing w:after="0" w:line="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4" w:name="page275"/>
    <w:bookmarkEnd w:id="274"/>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ADS FEES AND RELATED CHARGES</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All capitalized terms used but not otherwise defined herein shall have the meaning given to such terms in the Deposit Agreement. Except as otherwise specified herein, any reference to ADSs herein includes Partial Entitlement ADSs, Full Entitlement ADSs, Certificated ADSs, Uncertificated ADSs, and Restricted ADSs.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b w:val="1"/>
          <w:bCs w:val="1"/>
          <w:u w:val="single" w:color="auto"/>
          <w:color w:val="auto"/>
        </w:rPr>
        <w:t>ADS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ADS fees (some of which may be cumulative) are payable under the terms of the Deposit Agreement:</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8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Service</w:t>
            </w: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Rate</w:t>
            </w:r>
          </w:p>
        </w:tc>
        <w:tc>
          <w:tcPr>
            <w:tcW w:w="3680" w:type="dxa"/>
            <w:vAlign w:val="bottom"/>
            <w:tcBorders>
              <w:top w:val="single" w:sz="8" w:color="auto"/>
              <w:right w:val="single" w:sz="8" w:color="auto"/>
            </w:tcBorders>
          </w:tcPr>
          <w:p>
            <w:pPr>
              <w:ind w:left="1280"/>
              <w:spacing w:after="0"/>
              <w:rPr>
                <w:sz w:val="20"/>
                <w:szCs w:val="20"/>
                <w:color w:val="auto"/>
              </w:rPr>
            </w:pPr>
            <w:r>
              <w:rPr>
                <w:rFonts w:ascii="Arial" w:cs="Arial" w:eastAsia="Arial" w:hAnsi="Arial"/>
                <w:sz w:val="18"/>
                <w:szCs w:val="18"/>
                <w:b w:val="1"/>
                <w:bCs w:val="1"/>
                <w:color w:val="auto"/>
              </w:rPr>
              <w:t>By Whom Paid</w:t>
            </w:r>
          </w:p>
        </w:tc>
      </w:tr>
      <w:tr>
        <w:trPr>
          <w:trHeight w:val="34"/>
        </w:trPr>
        <w:tc>
          <w:tcPr>
            <w:tcW w:w="386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29"/>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8"/>
              </w:rPr>
              <w:t>(1) Issuance of ADSs (</w:t>
            </w:r>
            <w:r>
              <w:rPr>
                <w:rFonts w:ascii="Arial" w:cs="Arial" w:eastAsia="Arial" w:hAnsi="Arial"/>
                <w:sz w:val="18"/>
                <w:szCs w:val="18"/>
                <w:i w:val="1"/>
                <w:iCs w:val="1"/>
                <w:color w:val="auto"/>
                <w:w w:val="98"/>
              </w:rPr>
              <w:t>e.g.</w:t>
            </w:r>
            <w:r>
              <w:rPr>
                <w:rFonts w:ascii="Arial" w:cs="Arial" w:eastAsia="Arial" w:hAnsi="Arial"/>
                <w:sz w:val="18"/>
                <w:szCs w:val="18"/>
                <w:color w:val="auto"/>
                <w:w w:val="98"/>
              </w:rPr>
              <w:t>, an issuance upon a</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Up to U.S. $5.00 per 100 ADSs (or fraction</w:t>
            </w:r>
          </w:p>
        </w:tc>
        <w:tc>
          <w:tcPr>
            <w:tcW w:w="3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Person for whom ADSs are issued.</w:t>
            </w:r>
          </w:p>
        </w:tc>
      </w:tr>
      <w:tr>
        <w:trPr>
          <w:trHeight w:val="216"/>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1"/>
              </w:rPr>
              <w:t>deposit of Shares, upon a change in the ADS(s)-to-</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thereof) issued.</w:t>
            </w:r>
          </w:p>
        </w:tc>
        <w:tc>
          <w:tcPr>
            <w:tcW w:w="3680" w:type="dxa"/>
            <w:vAlign w:val="bottom"/>
            <w:tcBorders>
              <w:right w:val="single" w:sz="8" w:color="auto"/>
            </w:tcBorders>
          </w:tcPr>
          <w:p>
            <w:pPr>
              <w:spacing w:after="0"/>
              <w:rPr>
                <w:sz w:val="18"/>
                <w:szCs w:val="18"/>
                <w:color w:val="auto"/>
              </w:rPr>
            </w:pPr>
          </w:p>
        </w:tc>
      </w:tr>
      <w:tr>
        <w:trPr>
          <w:trHeight w:val="216"/>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5"/>
              </w:rPr>
              <w:t>Share(s) ratio, ADS conversions, or for any other</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16"/>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reason), excluding issuances as a result of</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30"/>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distributions described in paragraph (4) below.</w:t>
            </w:r>
          </w:p>
        </w:tc>
        <w:tc>
          <w:tcPr>
            <w:tcW w:w="370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r>
      <w:tr>
        <w:trPr>
          <w:trHeight w:val="34"/>
        </w:trPr>
        <w:tc>
          <w:tcPr>
            <w:tcW w:w="386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77"/>
        </w:trPr>
        <w:tc>
          <w:tcPr>
            <w:tcW w:w="386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r>
      <w:tr>
        <w:trPr>
          <w:trHeight w:val="229"/>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8"/>
              </w:rPr>
              <w:t>(2) Cancellation of ADSs (</w:t>
            </w:r>
            <w:r>
              <w:rPr>
                <w:rFonts w:ascii="Arial" w:cs="Arial" w:eastAsia="Arial" w:hAnsi="Arial"/>
                <w:sz w:val="18"/>
                <w:szCs w:val="18"/>
                <w:i w:val="1"/>
                <w:iCs w:val="1"/>
                <w:color w:val="auto"/>
                <w:w w:val="98"/>
              </w:rPr>
              <w:t>e.g.</w:t>
            </w:r>
            <w:r>
              <w:rPr>
                <w:rFonts w:ascii="Arial" w:cs="Arial" w:eastAsia="Arial" w:hAnsi="Arial"/>
                <w:sz w:val="18"/>
                <w:szCs w:val="18"/>
                <w:color w:val="auto"/>
                <w:w w:val="98"/>
              </w:rPr>
              <w:t>, a cancellation of</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Up to U.S. $5.00 per 100 ADSs (or fraction</w:t>
            </w:r>
          </w:p>
        </w:tc>
        <w:tc>
          <w:tcPr>
            <w:tcW w:w="3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Person for whom ADSs are being cancelled.</w:t>
            </w:r>
          </w:p>
        </w:tc>
      </w:tr>
      <w:tr>
        <w:trPr>
          <w:trHeight w:val="216"/>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9"/>
              </w:rPr>
              <w:t>ADSs for Delivery of deposited Shares, upon a</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thereof) cancelled.</w:t>
            </w:r>
          </w:p>
        </w:tc>
        <w:tc>
          <w:tcPr>
            <w:tcW w:w="3680" w:type="dxa"/>
            <w:vAlign w:val="bottom"/>
            <w:tcBorders>
              <w:right w:val="single" w:sz="8" w:color="auto"/>
            </w:tcBorders>
          </w:tcPr>
          <w:p>
            <w:pPr>
              <w:spacing w:after="0"/>
              <w:rPr>
                <w:sz w:val="18"/>
                <w:szCs w:val="18"/>
                <w:color w:val="auto"/>
              </w:rPr>
            </w:pPr>
          </w:p>
        </w:tc>
      </w:tr>
      <w:tr>
        <w:trPr>
          <w:trHeight w:val="216"/>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change in the ADS(s)-to-Share(s) ratio, ADS</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16"/>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conversions, upon termination of the Deposit</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30"/>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Agreement, or for any other reason).</w:t>
            </w:r>
          </w:p>
        </w:tc>
        <w:tc>
          <w:tcPr>
            <w:tcW w:w="370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r>
      <w:tr>
        <w:trPr>
          <w:trHeight w:val="34"/>
        </w:trPr>
        <w:tc>
          <w:tcPr>
            <w:tcW w:w="386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77"/>
        </w:trPr>
        <w:tc>
          <w:tcPr>
            <w:tcW w:w="386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r>
      <w:tr>
        <w:trPr>
          <w:trHeight w:val="229"/>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 Distribution of cash dividends or other cash</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Up to U.S. $5.00 per 100 ADSs (or fraction</w:t>
            </w:r>
          </w:p>
        </w:tc>
        <w:tc>
          <w:tcPr>
            <w:tcW w:w="3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5"/>
              </w:rPr>
              <w:t>distributions (</w:t>
            </w:r>
            <w:r>
              <w:rPr>
                <w:rFonts w:ascii="Arial" w:cs="Arial" w:eastAsia="Arial" w:hAnsi="Arial"/>
                <w:sz w:val="18"/>
                <w:szCs w:val="18"/>
                <w:i w:val="1"/>
                <w:iCs w:val="1"/>
                <w:color w:val="auto"/>
                <w:w w:val="95"/>
              </w:rPr>
              <w:t>e.g.</w:t>
            </w:r>
            <w:r>
              <w:rPr>
                <w:rFonts w:ascii="Arial" w:cs="Arial" w:eastAsia="Arial" w:hAnsi="Arial"/>
                <w:sz w:val="18"/>
                <w:szCs w:val="18"/>
                <w:color w:val="auto"/>
                <w:w w:val="95"/>
              </w:rPr>
              <w:t>, upon a sale of rights and other</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thereof) held.</w:t>
            </w:r>
          </w:p>
        </w:tc>
        <w:tc>
          <w:tcPr>
            <w:tcW w:w="3680" w:type="dxa"/>
            <w:vAlign w:val="bottom"/>
            <w:tcBorders>
              <w:right w:val="single" w:sz="8" w:color="auto"/>
            </w:tcBorders>
          </w:tcPr>
          <w:p>
            <w:pPr>
              <w:spacing w:after="0"/>
              <w:rPr>
                <w:sz w:val="18"/>
                <w:szCs w:val="18"/>
                <w:color w:val="auto"/>
              </w:rPr>
            </w:pPr>
          </w:p>
        </w:tc>
      </w:tr>
      <w:tr>
        <w:trPr>
          <w:trHeight w:val="230"/>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entitlements).</w:t>
            </w:r>
          </w:p>
        </w:tc>
        <w:tc>
          <w:tcPr>
            <w:tcW w:w="370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r>
      <w:tr>
        <w:trPr>
          <w:trHeight w:val="34"/>
        </w:trPr>
        <w:tc>
          <w:tcPr>
            <w:tcW w:w="386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77"/>
        </w:trPr>
        <w:tc>
          <w:tcPr>
            <w:tcW w:w="386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r>
      <w:tr>
        <w:trPr>
          <w:trHeight w:val="229"/>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 Distribution of ADSs pursuant to (i) stock</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Up to U.S. $5.00 per 100 ADSs (or fraction</w:t>
            </w:r>
          </w:p>
        </w:tc>
        <w:tc>
          <w:tcPr>
            <w:tcW w:w="3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dividends or other free stock distributions, or</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thereof) held.</w:t>
            </w:r>
          </w:p>
        </w:tc>
        <w:tc>
          <w:tcPr>
            <w:tcW w:w="3680" w:type="dxa"/>
            <w:vAlign w:val="bottom"/>
            <w:tcBorders>
              <w:right w:val="single" w:sz="8" w:color="auto"/>
            </w:tcBorders>
          </w:tcPr>
          <w:p>
            <w:pPr>
              <w:spacing w:after="0"/>
              <w:rPr>
                <w:sz w:val="18"/>
                <w:szCs w:val="18"/>
                <w:color w:val="auto"/>
              </w:rPr>
            </w:pPr>
          </w:p>
        </w:tc>
      </w:tr>
      <w:tr>
        <w:trPr>
          <w:trHeight w:val="216"/>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(ii) an exercise of rights to purchase additional</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30"/>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ADSs.</w:t>
            </w:r>
          </w:p>
        </w:tc>
        <w:tc>
          <w:tcPr>
            <w:tcW w:w="370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r>
      <w:tr>
        <w:trPr>
          <w:trHeight w:val="34"/>
        </w:trPr>
        <w:tc>
          <w:tcPr>
            <w:tcW w:w="386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682"/>
        </w:trPr>
        <w:tc>
          <w:tcPr>
            <w:tcW w:w="38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B-1</w:t>
            </w: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75" w:name="page276"/>
    <w:bookmarkEnd w:id="27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4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w w:val="99"/>
              </w:rPr>
              <w:t>(5)</w:t>
            </w:r>
          </w:p>
        </w:tc>
        <w:tc>
          <w:tcPr>
            <w:tcW w:w="3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Distribution of financial instruments, including,</w:t>
            </w:r>
          </w:p>
        </w:tc>
        <w:tc>
          <w:tcPr>
            <w:tcW w:w="37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Up to U.S. $5.00 per 100 ADSs (or fraction</w:t>
            </w:r>
          </w:p>
        </w:tc>
        <w:tc>
          <w:tcPr>
            <w:tcW w:w="36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7"/>
              </w:rPr>
              <w:t>without limitation, securities, other than ADSs or</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thereof) held.</w:t>
            </w:r>
          </w:p>
        </w:tc>
        <w:tc>
          <w:tcPr>
            <w:tcW w:w="3680" w:type="dxa"/>
            <w:vAlign w:val="bottom"/>
            <w:tcBorders>
              <w:right w:val="single" w:sz="8" w:color="auto"/>
            </w:tcBorders>
          </w:tcPr>
          <w:p>
            <w:pPr>
              <w:spacing w:after="0"/>
              <w:rPr>
                <w:sz w:val="18"/>
                <w:szCs w:val="18"/>
                <w:color w:val="auto"/>
              </w:rPr>
            </w:pPr>
          </w:p>
        </w:tc>
      </w:tr>
      <w:tr>
        <w:trPr>
          <w:trHeight w:val="216"/>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6"/>
              </w:rPr>
              <w:t>rights to purchase additional ADSs (</w:t>
            </w:r>
            <w:r>
              <w:rPr>
                <w:rFonts w:ascii="Arial" w:cs="Arial" w:eastAsia="Arial" w:hAnsi="Arial"/>
                <w:sz w:val="18"/>
                <w:szCs w:val="18"/>
                <w:i w:val="1"/>
                <w:iCs w:val="1"/>
                <w:color w:val="auto"/>
                <w:w w:val="96"/>
              </w:rPr>
              <w:t>e.g.</w:t>
            </w:r>
            <w:r>
              <w:rPr>
                <w:rFonts w:ascii="Arial" w:cs="Arial" w:eastAsia="Arial" w:hAnsi="Arial"/>
                <w:sz w:val="18"/>
                <w:szCs w:val="18"/>
                <w:color w:val="auto"/>
                <w:w w:val="96"/>
              </w:rPr>
              <w:t>, spin-off</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30"/>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shares and contingent value rights).</w:t>
            </w:r>
          </w:p>
        </w:tc>
        <w:tc>
          <w:tcPr>
            <w:tcW w:w="370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r>
      <w:tr>
        <w:trPr>
          <w:trHeight w:val="34"/>
        </w:trPr>
        <w:tc>
          <w:tcPr>
            <w:tcW w:w="340" w:type="dxa"/>
            <w:vAlign w:val="bottom"/>
            <w:tcBorders>
              <w:left w:val="single" w:sz="8" w:color="auto"/>
              <w:bottom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77"/>
        </w:trPr>
        <w:tc>
          <w:tcPr>
            <w:tcW w:w="340" w:type="dxa"/>
            <w:vAlign w:val="bottom"/>
            <w:tcBorders>
              <w:left w:val="single" w:sz="8" w:color="auto"/>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r>
      <w:tr>
        <w:trPr>
          <w:trHeight w:val="229"/>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99"/>
              </w:rPr>
              <w:t>(6)</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ADS Services.</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Up to U.S. $5.00 per 100 ADSs (or fraction</w:t>
            </w:r>
          </w:p>
        </w:tc>
        <w:tc>
          <w:tcPr>
            <w:tcW w:w="3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Person holding ADSs on the applicable record</w:t>
            </w:r>
          </w:p>
        </w:tc>
      </w:tr>
      <w:tr>
        <w:trPr>
          <w:trHeight w:val="216"/>
        </w:trPr>
        <w:tc>
          <w:tcPr>
            <w:tcW w:w="340" w:type="dxa"/>
            <w:vAlign w:val="bottom"/>
            <w:tcBorders>
              <w:left w:val="single" w:sz="8" w:color="auto"/>
            </w:tcBorders>
          </w:tcPr>
          <w:p>
            <w:pPr>
              <w:spacing w:after="0"/>
              <w:rPr>
                <w:sz w:val="18"/>
                <w:szCs w:val="18"/>
                <w:color w:val="auto"/>
              </w:rPr>
            </w:pPr>
          </w:p>
        </w:tc>
        <w:tc>
          <w:tcPr>
            <w:tcW w:w="35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thereof) held on the applicable record date(s)</w:t>
            </w:r>
          </w:p>
        </w:tc>
        <w:tc>
          <w:tcPr>
            <w:tcW w:w="3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date(s) established by the Depositary.</w:t>
            </w:r>
          </w:p>
        </w:tc>
      </w:tr>
      <w:tr>
        <w:trPr>
          <w:trHeight w:val="230"/>
        </w:trPr>
        <w:tc>
          <w:tcPr>
            <w:tcW w:w="340" w:type="dxa"/>
            <w:vAlign w:val="bottom"/>
            <w:tcBorders>
              <w:left w:val="single" w:sz="8" w:color="auto"/>
            </w:tcBorders>
          </w:tcPr>
          <w:p>
            <w:pPr>
              <w:spacing w:after="0"/>
              <w:rPr>
                <w:sz w:val="20"/>
                <w:szCs w:val="20"/>
                <w:color w:val="auto"/>
              </w:rPr>
            </w:pPr>
          </w:p>
        </w:tc>
        <w:tc>
          <w:tcPr>
            <w:tcW w:w="352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established by the Depositary.</w:t>
            </w:r>
          </w:p>
        </w:tc>
        <w:tc>
          <w:tcPr>
            <w:tcW w:w="3680" w:type="dxa"/>
            <w:vAlign w:val="bottom"/>
            <w:tcBorders>
              <w:right w:val="single" w:sz="8" w:color="auto"/>
            </w:tcBorders>
          </w:tcPr>
          <w:p>
            <w:pPr>
              <w:spacing w:after="0"/>
              <w:rPr>
                <w:sz w:val="20"/>
                <w:szCs w:val="20"/>
                <w:color w:val="auto"/>
              </w:rPr>
            </w:pPr>
          </w:p>
        </w:tc>
      </w:tr>
      <w:tr>
        <w:trPr>
          <w:trHeight w:val="34"/>
        </w:trPr>
        <w:tc>
          <w:tcPr>
            <w:tcW w:w="340" w:type="dxa"/>
            <w:vAlign w:val="bottom"/>
            <w:tcBorders>
              <w:left w:val="single" w:sz="8" w:color="auto"/>
              <w:bottom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77"/>
        </w:trPr>
        <w:tc>
          <w:tcPr>
            <w:tcW w:w="340" w:type="dxa"/>
            <w:vAlign w:val="bottom"/>
            <w:tcBorders>
              <w:left w:val="single" w:sz="8" w:color="auto"/>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r>
      <w:tr>
        <w:trPr>
          <w:trHeight w:val="229"/>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99"/>
              </w:rPr>
              <w:t>(7)</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Registration of ADS Transfers (</w:t>
            </w:r>
            <w:r>
              <w:rPr>
                <w:rFonts w:ascii="Arial" w:cs="Arial" w:eastAsia="Arial" w:hAnsi="Arial"/>
                <w:sz w:val="18"/>
                <w:szCs w:val="18"/>
                <w:i w:val="1"/>
                <w:iCs w:val="1"/>
                <w:color w:val="auto"/>
              </w:rPr>
              <w:t>e.g.</w:t>
            </w:r>
            <w:r>
              <w:rPr>
                <w:rFonts w:ascii="Arial" w:cs="Arial" w:eastAsia="Arial" w:hAnsi="Arial"/>
                <w:sz w:val="18"/>
                <w:szCs w:val="18"/>
                <w:color w:val="auto"/>
              </w:rPr>
              <w:t>, upon a</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Up to U.S. $5.00 per 100 ADSs (or fraction</w:t>
            </w:r>
          </w:p>
        </w:tc>
        <w:tc>
          <w:tcPr>
            <w:tcW w:w="3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Person for whom or to whom ADSs are</w:t>
            </w:r>
          </w:p>
        </w:tc>
      </w:tr>
      <w:tr>
        <w:trPr>
          <w:trHeight w:val="216"/>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3"/>
              </w:rPr>
              <w:t>registration of the transfer of registered ownership</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thereof) transferred.</w:t>
            </w:r>
          </w:p>
        </w:tc>
        <w:tc>
          <w:tcPr>
            <w:tcW w:w="3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transferred.</w:t>
            </w:r>
          </w:p>
        </w:tc>
      </w:tr>
      <w:tr>
        <w:trPr>
          <w:trHeight w:val="216"/>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8"/>
              </w:rPr>
              <w:t>of ADSs, upon a transfer of ADSs into DTC and</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30"/>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i w:val="1"/>
                <w:iCs w:val="1"/>
                <w:color w:val="auto"/>
              </w:rPr>
              <w:t>vice versa</w:t>
            </w:r>
            <w:r>
              <w:rPr>
                <w:rFonts w:ascii="Arial" w:cs="Arial" w:eastAsia="Arial" w:hAnsi="Arial"/>
                <w:sz w:val="18"/>
                <w:szCs w:val="18"/>
                <w:color w:val="auto"/>
              </w:rPr>
              <w:t>, or for any other reason).</w:t>
            </w:r>
          </w:p>
        </w:tc>
        <w:tc>
          <w:tcPr>
            <w:tcW w:w="370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r>
      <w:tr>
        <w:trPr>
          <w:trHeight w:val="34"/>
        </w:trPr>
        <w:tc>
          <w:tcPr>
            <w:tcW w:w="340" w:type="dxa"/>
            <w:vAlign w:val="bottom"/>
            <w:tcBorders>
              <w:left w:val="single" w:sz="8" w:color="auto"/>
              <w:bottom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77"/>
        </w:trPr>
        <w:tc>
          <w:tcPr>
            <w:tcW w:w="340" w:type="dxa"/>
            <w:vAlign w:val="bottom"/>
            <w:tcBorders>
              <w:left w:val="single" w:sz="8" w:color="auto"/>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r>
      <w:tr>
        <w:trPr>
          <w:trHeight w:val="229"/>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99"/>
              </w:rPr>
              <w:t>(8)</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Conversion of ADSs of one series for ADSs of</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Up to U.S. $5.00 per 100 ADSs (or fraction</w:t>
            </w:r>
          </w:p>
        </w:tc>
        <w:tc>
          <w:tcPr>
            <w:tcW w:w="3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Person for whom ADSs are converted or to</w:t>
            </w:r>
          </w:p>
        </w:tc>
      </w:tr>
      <w:tr>
        <w:trPr>
          <w:trHeight w:val="216"/>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9"/>
              </w:rPr>
              <w:t>another series (</w:t>
            </w:r>
            <w:r>
              <w:rPr>
                <w:rFonts w:ascii="Arial" w:cs="Arial" w:eastAsia="Arial" w:hAnsi="Arial"/>
                <w:sz w:val="18"/>
                <w:szCs w:val="18"/>
                <w:i w:val="1"/>
                <w:iCs w:val="1"/>
                <w:color w:val="auto"/>
                <w:w w:val="99"/>
              </w:rPr>
              <w:t>e.g.</w:t>
            </w:r>
            <w:r>
              <w:rPr>
                <w:rFonts w:ascii="Arial" w:cs="Arial" w:eastAsia="Arial" w:hAnsi="Arial"/>
                <w:sz w:val="18"/>
                <w:szCs w:val="18"/>
                <w:color w:val="auto"/>
                <w:w w:val="99"/>
              </w:rPr>
              <w:t>, upon conversion of Partial</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thereof) converted.</w:t>
            </w:r>
          </w:p>
        </w:tc>
        <w:tc>
          <w:tcPr>
            <w:tcW w:w="3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whom the converted ADSs are delivered.</w:t>
            </w:r>
          </w:p>
        </w:tc>
      </w:tr>
      <w:tr>
        <w:trPr>
          <w:trHeight w:val="216"/>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9"/>
              </w:rPr>
              <w:t>Entitlement ADSs for Full Entitlement ADSs, or</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16"/>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9"/>
              </w:rPr>
              <w:t>upon conversion of Restricted ADSs into freely</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16"/>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5"/>
              </w:rPr>
              <w:t xml:space="preserve">transferable ADSs, and </w:t>
            </w:r>
            <w:r>
              <w:rPr>
                <w:rFonts w:ascii="Arial" w:cs="Arial" w:eastAsia="Arial" w:hAnsi="Arial"/>
                <w:sz w:val="18"/>
                <w:szCs w:val="18"/>
                <w:i w:val="1"/>
                <w:iCs w:val="1"/>
                <w:color w:val="auto"/>
                <w:w w:val="95"/>
              </w:rPr>
              <w:t>vice versa</w:t>
            </w:r>
            <w:r>
              <w:rPr>
                <w:rFonts w:ascii="Arial" w:cs="Arial" w:eastAsia="Arial" w:hAnsi="Arial"/>
                <w:sz w:val="18"/>
                <w:szCs w:val="18"/>
                <w:color w:val="auto"/>
                <w:w w:val="95"/>
              </w:rPr>
              <w:t>) or conversion</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16"/>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9"/>
              </w:rPr>
              <w:t>of ADSs for unsponsored American Depositary</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16"/>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Shares (e.g., upon termination of the Deposit</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30"/>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Agreement).</w:t>
            </w:r>
          </w:p>
        </w:tc>
        <w:tc>
          <w:tcPr>
            <w:tcW w:w="370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r>
      <w:tr>
        <w:trPr>
          <w:trHeight w:val="34"/>
        </w:trPr>
        <w:tc>
          <w:tcPr>
            <w:tcW w:w="340" w:type="dxa"/>
            <w:vAlign w:val="bottom"/>
            <w:tcBorders>
              <w:left w:val="single" w:sz="8" w:color="auto"/>
              <w:bottom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ind w:left="660" w:hanging="652"/>
        <w:spacing w:after="0"/>
        <w:tabs>
          <w:tab w:leader="none" w:pos="66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(some of which may be cumulative) under the terms of the Deposit Agreement:</w:t>
      </w:r>
    </w:p>
    <w:p>
      <w:pPr>
        <w:spacing w:after="0" w:line="184" w:lineRule="exact"/>
        <w:rPr>
          <w:sz w:val="20"/>
          <w:szCs w:val="20"/>
          <w:color w:val="auto"/>
        </w:rPr>
      </w:pPr>
    </w:p>
    <w:p>
      <w:pPr>
        <w:ind w:left="5480" w:right="4620" w:hanging="5472"/>
        <w:spacing w:after="0" w:line="778" w:lineRule="auto"/>
        <w:tabs>
          <w:tab w:leader="none" w:pos="64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276" w:name="page277"/>
    <w:bookmarkEnd w:id="276"/>
    <w:p>
      <w:pPr>
        <w:ind w:left="660" w:right="300" w:hanging="652"/>
        <w:spacing w:after="0" w:line="263" w:lineRule="auto"/>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83"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70" w:lineRule="exact"/>
        <w:rPr>
          <w:rFonts w:ascii="Arial" w:cs="Arial" w:eastAsia="Arial" w:hAnsi="Arial"/>
          <w:sz w:val="18"/>
          <w:szCs w:val="18"/>
          <w:color w:val="auto"/>
        </w:rPr>
      </w:pPr>
    </w:p>
    <w:p>
      <w:pPr>
        <w:ind w:left="660" w:right="140" w:hanging="652"/>
        <w:spacing w:after="0" w:line="263" w:lineRule="auto"/>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83" w:lineRule="exact"/>
        <w:rPr>
          <w:rFonts w:ascii="Arial" w:cs="Arial" w:eastAsia="Arial" w:hAnsi="Arial"/>
          <w:sz w:val="18"/>
          <w:szCs w:val="18"/>
          <w:color w:val="auto"/>
        </w:rPr>
      </w:pPr>
    </w:p>
    <w:p>
      <w:pPr>
        <w:ind w:left="660" w:right="480" w:hanging="652"/>
        <w:spacing w:after="0" w:line="277" w:lineRule="auto"/>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fees, charges, costs and expenses incurred by the Depositary, the Custodian, or any nominee in connection with the ADR program; and</w:t>
      </w:r>
    </w:p>
    <w:p>
      <w:pPr>
        <w:spacing w:after="0" w:line="236" w:lineRule="exact"/>
        <w:rPr>
          <w:rFonts w:ascii="Arial" w:cs="Arial" w:eastAsia="Arial" w:hAnsi="Arial"/>
          <w:sz w:val="17"/>
          <w:szCs w:val="17"/>
          <w:color w:val="auto"/>
        </w:rPr>
      </w:pPr>
    </w:p>
    <w:p>
      <w:pPr>
        <w:ind w:left="660" w:right="280" w:hanging="652"/>
        <w:spacing w:after="0" w:line="277" w:lineRule="auto"/>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Deposit Agreement pursuant to any ancillary agreement to the Deposit Agreement in respect of the ADR program, the ADSs and the ADRs.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above fees and charges may at any time and from time to time be changed by agreement between the Company and the Depositary and may be assessed cumulatively based on cumulative functions of services rendered.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7" w:name="page278"/>
    <w:bookmarkEnd w:id="277"/>
    <w:p>
      <w:pPr>
        <w:ind w:left="10360"/>
        <w:spacing w:after="0"/>
        <w:rPr>
          <w:sz w:val="20"/>
          <w:szCs w:val="20"/>
          <w:color w:val="auto"/>
        </w:rPr>
      </w:pPr>
      <w:r>
        <w:rPr>
          <w:rFonts w:ascii="Arial" w:cs="Arial" w:eastAsia="Arial" w:hAnsi="Arial"/>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105535" cy="10287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8">
                      <a:extLst>
                        <a:ext uri="{28A0092B-C50C-407E-A947-70E740481C1C}"/>
                      </a:extLst>
                    </a:blip>
                    <a:srcRect/>
                    <a:stretch>
                      <a:fillRect/>
                    </a:stretch>
                  </pic:blipFill>
                  <pic:spPr bwMode="auto">
                    <a:xfrm>
                      <a:off x="0" y="0"/>
                      <a:ext cx="11055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Our ref </w:t>
      </w:r>
      <w:r>
        <w:rPr>
          <w:rFonts w:ascii="Arial" w:cs="Arial" w:eastAsia="Arial" w:hAnsi="Arial"/>
          <w:sz w:val="18"/>
          <w:szCs w:val="18"/>
          <w:color w:val="auto"/>
        </w:rPr>
        <w:t>JVZ/821544-000001/27690677v2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Trident Digital Tech Holdings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Sertus Chambers, Governors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 5-204, 23 Lime Tree Bay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2547, Grand Cayman, KY1-1104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19 October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 and/or Madams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Trident Digital Tech Holdings Ltd</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acted as Cayman Islands legal advisers to Trident Digital Tech Holdings Ltd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Company’s registration statement on Form F-1, including all amendments or supplements thereto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under the U.S. Securities Act of 1933, as amended to date, relating to the offering by the Company of certain American depositary shares (the “</w:t>
      </w:r>
      <w:r>
        <w:rPr>
          <w:rFonts w:ascii="Arial" w:cs="Arial" w:eastAsia="Arial" w:hAnsi="Arial"/>
          <w:sz w:val="17"/>
          <w:szCs w:val="17"/>
          <w:b w:val="1"/>
          <w:bCs w:val="1"/>
          <w:color w:val="auto"/>
        </w:rPr>
        <w:t>ADSs</w:t>
      </w:r>
      <w:r>
        <w:rPr>
          <w:rFonts w:ascii="Arial" w:cs="Arial" w:eastAsia="Arial" w:hAnsi="Arial"/>
          <w:sz w:val="17"/>
          <w:szCs w:val="17"/>
          <w:color w:val="auto"/>
        </w:rPr>
        <w:t>”) representing the Company’s class B ordinary shares of par value US$0.00001 each (the “</w:t>
      </w:r>
      <w:r>
        <w:rPr>
          <w:rFonts w:ascii="Arial" w:cs="Arial" w:eastAsia="Arial" w:hAnsi="Arial"/>
          <w:sz w:val="17"/>
          <w:szCs w:val="17"/>
          <w:b w:val="1"/>
          <w:bCs w:val="1"/>
          <w:color w:val="auto"/>
        </w:rPr>
        <w:t>Shares</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are furnishing this opinion as Exhibits 5.1, 8.1 and 23.2 to the Registration Statement.</w:t>
      </w:r>
    </w:p>
    <w:p>
      <w:pPr>
        <w:spacing w:after="0" w:line="221" w:lineRule="exact"/>
        <w:rPr>
          <w:sz w:val="20"/>
          <w:szCs w:val="20"/>
          <w:color w:val="auto"/>
        </w:rPr>
      </w:pPr>
    </w:p>
    <w:p>
      <w:pPr>
        <w:ind w:left="660" w:hanging="652"/>
        <w:spacing w:after="0"/>
        <w:tabs>
          <w:tab w:leader="none" w:pos="66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Reviewed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opinion, we have reviewed only originals, copies or final drafts of the following documents:</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certificate of incorporation dated 12 June 2023 and the memorandum and articles of association of the Company registered on 12 June 2023 (the “</w:t>
      </w:r>
      <w:r>
        <w:rPr>
          <w:rFonts w:ascii="Arial" w:cs="Arial" w:eastAsia="Arial" w:hAnsi="Arial"/>
          <w:sz w:val="18"/>
          <w:szCs w:val="18"/>
          <w:b w:val="1"/>
          <w:bCs w:val="1"/>
          <w:color w:val="auto"/>
        </w:rPr>
        <w:t>Pre-IPO Memorandum and Articles</w:t>
      </w:r>
      <w:r>
        <w:rPr>
          <w:rFonts w:ascii="Arial" w:cs="Arial" w:eastAsia="Arial" w:hAnsi="Arial"/>
          <w:sz w:val="18"/>
          <w:szCs w:val="18"/>
          <w:color w:val="auto"/>
        </w:rPr>
        <w:t>”)</w:t>
      </w:r>
    </w:p>
    <w:p>
      <w:pPr>
        <w:spacing w:after="0" w:line="17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amended and restated memorandum and articles of association of the Company adopted by a special resolution passed on 29 September 2023 and effective immediately prior to the completion of the Company’s initial public offering of ADSs representing its Shares (the “</w:t>
      </w:r>
      <w:r>
        <w:rPr>
          <w:rFonts w:ascii="Arial" w:cs="Arial" w:eastAsia="Arial" w:hAnsi="Arial"/>
          <w:sz w:val="18"/>
          <w:szCs w:val="18"/>
          <w:b w:val="1"/>
          <w:bCs w:val="1"/>
          <w:color w:val="auto"/>
        </w:rPr>
        <w:t>IPO</w:t>
      </w:r>
      <w:r>
        <w:rPr>
          <w:rFonts w:ascii="Arial" w:cs="Arial" w:eastAsia="Arial" w:hAnsi="Arial"/>
          <w:sz w:val="18"/>
          <w:szCs w:val="18"/>
          <w:color w:val="auto"/>
        </w:rPr>
        <w:t xml:space="preserve"> </w:t>
      </w:r>
      <w:r>
        <w:rPr>
          <w:rFonts w:ascii="Arial" w:cs="Arial" w:eastAsia="Arial" w:hAnsi="Arial"/>
          <w:sz w:val="18"/>
          <w:szCs w:val="18"/>
          <w:b w:val="1"/>
          <w:bCs w:val="1"/>
          <w:color w:val="auto"/>
        </w:rPr>
        <w:t>Memorandum and Articles</w:t>
      </w:r>
      <w:r>
        <w:rPr>
          <w:rFonts w:ascii="Arial" w:cs="Arial" w:eastAsia="Arial" w:hAnsi="Arial"/>
          <w:sz w:val="18"/>
          <w:szCs w:val="18"/>
          <w:color w:val="auto"/>
        </w:rPr>
        <w: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written resolutions of the sole director of the Company dated 29 September 2023 (the “</w:t>
      </w:r>
      <w:r>
        <w:rPr>
          <w:rFonts w:ascii="Arial" w:cs="Arial" w:eastAsia="Arial" w:hAnsi="Arial"/>
          <w:sz w:val="16"/>
          <w:szCs w:val="16"/>
          <w:b w:val="1"/>
          <w:bCs w:val="1"/>
          <w:color w:val="auto"/>
        </w:rPr>
        <w:t>Board Resolutions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8" w:name="page279"/>
    <w:bookmarkEnd w:id="278"/>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The written resolutions of the shareholders of the Company dated 29 September 2023 (the “</w:t>
      </w:r>
      <w:r>
        <w:rPr>
          <w:rFonts w:ascii="Arial" w:cs="Arial" w:eastAsia="Arial" w:hAnsi="Arial"/>
          <w:sz w:val="16"/>
          <w:szCs w:val="16"/>
          <w:b w:val="1"/>
          <w:bCs w:val="1"/>
          <w:color w:val="auto"/>
        </w:rPr>
        <w:t>Shareholders’ Resolutions</w:t>
      </w:r>
      <w:r>
        <w:rPr>
          <w:rFonts w:ascii="Arial" w:cs="Arial" w:eastAsia="Arial" w:hAnsi="Arial"/>
          <w:sz w:val="16"/>
          <w:szCs w:val="16"/>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A certificate from a director of the Company, a copy of which is attached hereto (the “</w:t>
      </w:r>
      <w:r>
        <w:rPr>
          <w:rFonts w:ascii="Arial" w:cs="Arial" w:eastAsia="Arial" w:hAnsi="Arial"/>
          <w:sz w:val="16"/>
          <w:szCs w:val="16"/>
          <w:b w:val="1"/>
          <w:bCs w:val="1"/>
          <w:color w:val="auto"/>
        </w:rPr>
        <w:t>Director’s Certificate</w:t>
      </w:r>
      <w:r>
        <w:rPr>
          <w:rFonts w:ascii="Arial" w:cs="Arial" w:eastAsia="Arial" w:hAnsi="Arial"/>
          <w:sz w:val="16"/>
          <w:szCs w:val="16"/>
          <w:color w:val="auto"/>
        </w:rPr>
        <w:t>”).</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A certificate of good standing dated 4 October 2023, issued by the Registrar of Companies in the Cayman Islands (the “</w:t>
      </w:r>
      <w:r>
        <w:rPr>
          <w:rFonts w:ascii="Arial" w:cs="Arial" w:eastAsia="Arial" w:hAnsi="Arial"/>
          <w:sz w:val="18"/>
          <w:szCs w:val="18"/>
          <w:b w:val="1"/>
          <w:bCs w:val="1"/>
          <w:color w:val="auto"/>
        </w:rPr>
        <w:t>Certificate of Good</w:t>
      </w:r>
      <w:r>
        <w:rPr>
          <w:rFonts w:ascii="Arial" w:cs="Arial" w:eastAsia="Arial" w:hAnsi="Arial"/>
          <w:sz w:val="18"/>
          <w:szCs w:val="18"/>
          <w:color w:val="auto"/>
        </w:rPr>
        <w:t xml:space="preserve"> </w:t>
      </w:r>
      <w:r>
        <w:rPr>
          <w:rFonts w:ascii="Arial" w:cs="Arial" w:eastAsia="Arial" w:hAnsi="Arial"/>
          <w:sz w:val="18"/>
          <w:szCs w:val="18"/>
          <w:b w:val="1"/>
          <w:bCs w:val="1"/>
          <w:color w:val="auto"/>
        </w:rPr>
        <w:t>Standing</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The Registration Statement.</w:t>
      </w:r>
    </w:p>
    <w:p>
      <w:pPr>
        <w:spacing w:after="0" w:line="221" w:lineRule="exact"/>
        <w:rPr>
          <w:sz w:val="20"/>
          <w:szCs w:val="20"/>
          <w:color w:val="auto"/>
        </w:rPr>
      </w:pPr>
    </w:p>
    <w:p>
      <w:pPr>
        <w:ind w:left="660" w:hanging="652"/>
        <w:spacing w:after="0"/>
        <w:tabs>
          <w:tab w:leader="none" w:pos="66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spacing w:after="0" w:line="17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Copies of documents, conformed copies or drafts of documents provided to us are true and complete copies of, or in the final forms of, the originals.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All signatures, initials and seals are genuine.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There is nothing under any law (other than the law of the Cayman Islands), which would or might affect the opinions set out below.</w:t>
      </w:r>
    </w:p>
    <w:p>
      <w:pPr>
        <w:spacing w:after="0" w:line="221" w:lineRule="exact"/>
        <w:rPr>
          <w:sz w:val="20"/>
          <w:szCs w:val="20"/>
          <w:color w:val="auto"/>
        </w:rPr>
      </w:pPr>
    </w:p>
    <w:p>
      <w:pPr>
        <w:ind w:left="660" w:hanging="652"/>
        <w:spacing w:after="0"/>
        <w:tabs>
          <w:tab w:leader="none" w:pos="66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upon the foregoing and subject to the qualifications set out below and having regard to such legal considerations as we deem relevant, we are of the opinion that:</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Company has been duly incorporated as an exempted company with limited liability and is validly existing and in good standing with the Registrar of Companies under the laws of the Cayman Islands.</w:t>
      </w:r>
    </w:p>
    <w:p>
      <w:pPr>
        <w:spacing w:after="0" w:line="170"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authorised share capital of the Company, with effect immediately prior to the completion of the Company’s initial public offering of the ADSs representing the Shares, will be US$50,000.00 divided into 5,000,000,000 shares of a par value of US$0.00001 each, comprising (i) 1,000,000,000 are designated as Class A Ordinary Shares of a par value of US$0.00001 each, (ii) 3,000,000,000 are designated as Class B Ordinary Shares of a par value of US$0.00001 each, and (iii) 1,000,000,000 shares of a par value of US$0.00001 each of such class or classes.</w:t>
      </w:r>
    </w:p>
    <w:p>
      <w:pPr>
        <w:spacing w:after="0" w:line="15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issue and allotment of the Shares have been duly authorised and when allotted, issued and paid for as contemplated in the Registration Statement, the Shares will be legally issued and allotted, fully paid and non-assessable. As a matter of Cayman law, a share is only issued when it has been entered in the register of members (shareholders).</w:t>
      </w:r>
    </w:p>
    <w:p>
      <w:pPr>
        <w:spacing w:after="0" w:line="184"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The statements under the caption “Taxation” in the prospectus forming part of the Registration Statement, to the extent that they constitute statements of Cayman Islands law, are accurate in all material respects and that such statements constitute our opinion.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9" w:name="page280"/>
    <w:bookmarkEnd w:id="279"/>
    <w:p>
      <w:pPr>
        <w:ind w:left="660" w:hanging="652"/>
        <w:spacing w:after="0"/>
        <w:tabs>
          <w:tab w:leader="none" w:pos="66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this opinion the phrase “non-assessable” means, with respect to shares in the Company, that a shareholder shall not, solely by virtue of its status as a shareholder, be liable for additional assessments or calls on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name under the headings “Enforceability of Civil Liabilities”, “Taxation” and “Legal Matters” and elsewhere in the prospectus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Maples and Calder (Hong Kong)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Maples and Calder (Hong Kong) LLP</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0" w:name="page281"/>
    <w:bookmarkEnd w:id="280"/>
    <w:p>
      <w:pPr>
        <w:jc w:val="center"/>
        <w:spacing w:after="0"/>
        <w:rPr>
          <w:sz w:val="20"/>
          <w:szCs w:val="20"/>
          <w:color w:val="auto"/>
        </w:rPr>
      </w:pPr>
      <w:r>
        <w:rPr>
          <w:rFonts w:ascii="Arial" w:cs="Arial" w:eastAsia="Arial" w:hAnsi="Arial"/>
          <w:sz w:val="16"/>
          <w:szCs w:val="16"/>
          <w:b w:val="1"/>
          <w:bCs w:val="1"/>
          <w:color w:val="auto"/>
        </w:rPr>
        <w:t>Director’s Certificate</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19 October</w:t>
      </w:r>
      <w:r>
        <w:rPr>
          <w:rFonts w:ascii="Arial" w:cs="Arial" w:eastAsia="Arial" w:hAnsi="Arial"/>
          <w:sz w:val="18"/>
          <w:szCs w:val="18"/>
          <w:color w:val="auto"/>
        </w:rPr>
        <w:t xml:space="preserve"> 2023</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Maples and Calder (Hong Kong)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26th Floor, Central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Harbour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Wanchai, Hong Kong</w:t>
      </w:r>
    </w:p>
    <w:p>
      <w:pPr>
        <w:spacing w:after="0" w:line="200" w:lineRule="exact"/>
        <w:rPr>
          <w:sz w:val="20"/>
          <w:szCs w:val="20"/>
          <w:color w:val="auto"/>
        </w:rPr>
      </w:pPr>
    </w:p>
    <w:p>
      <w:pPr>
        <w:sectPr>
          <w:pgSz w:w="11900" w:h="16838" w:orient="portrait"/>
          <w:cols w:equalWidth="0" w:num="2">
            <w:col w:w="240" w:space="420"/>
            <w:col w:w="10580"/>
          </w:cols>
          <w:pgMar w:left="320" w:top="904"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Trident Digital Tech Holdings Ltd (the “Company”)</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I, the undersigned, being the sole director of the Company, am aware that you are being asked to provide a legal opinion (the “</w:t>
      </w:r>
      <w:r>
        <w:rPr>
          <w:rFonts w:ascii="Arial" w:cs="Arial" w:eastAsia="Arial" w:hAnsi="Arial"/>
          <w:sz w:val="17"/>
          <w:szCs w:val="17"/>
          <w:b w:val="1"/>
          <w:bCs w:val="1"/>
          <w:color w:val="auto"/>
        </w:rPr>
        <w:t>Opinion</w:t>
      </w:r>
      <w:r>
        <w:rPr>
          <w:rFonts w:ascii="Arial" w:cs="Arial" w:eastAsia="Arial" w:hAnsi="Arial"/>
          <w:sz w:val="17"/>
          <w:szCs w:val="17"/>
          <w:color w:val="auto"/>
        </w:rPr>
        <w:t>”) in relation to certain aspects of Cayman Islands law. Capitalised terms used in this certificate have the meaning given to them in the Opinion. I hereby certify that:</w:t>
      </w:r>
    </w:p>
    <w:p>
      <w:pPr>
        <w:spacing w:after="0" w:line="144" w:lineRule="exact"/>
        <w:rPr>
          <w:sz w:val="20"/>
          <w:szCs w:val="20"/>
          <w:color w:val="auto"/>
        </w:rPr>
      </w:pPr>
    </w:p>
    <w:p>
      <w:pPr>
        <w:ind w:left="660" w:hanging="652"/>
        <w:spacing w:after="0" w:line="277" w:lineRule="auto"/>
        <w:tabs>
          <w:tab w:leader="none" w:pos="660"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The Pre-IPO Memorandum and Articles remain in full and effect and, except as amended by the Shareholders Resolutions adopting the IPO Memorandum and Articles, are otherwise unamended.</w:t>
      </w:r>
    </w:p>
    <w:p>
      <w:pPr>
        <w:spacing w:after="0" w:line="170" w:lineRule="exact"/>
        <w:rPr>
          <w:sz w:val="20"/>
          <w:szCs w:val="20"/>
          <w:color w:val="auto"/>
        </w:rPr>
      </w:pPr>
    </w:p>
    <w:p>
      <w:pPr>
        <w:ind w:left="660" w:hanging="652"/>
        <w:spacing w:after="0" w:line="342" w:lineRule="auto"/>
        <w:tabs>
          <w:tab w:leader="none" w:pos="660" w:val="left"/>
        </w:tabs>
        <w:numPr>
          <w:ilvl w:val="0"/>
          <w:numId w:val="244"/>
        </w:numPr>
        <w:rPr>
          <w:rFonts w:ascii="Arial" w:cs="Arial" w:eastAsia="Arial" w:hAnsi="Arial"/>
          <w:sz w:val="16"/>
          <w:szCs w:val="16"/>
          <w:b w:val="1"/>
          <w:bCs w:val="1"/>
          <w:color w:val="auto"/>
        </w:rPr>
      </w:pPr>
      <w:r>
        <w:rPr>
          <w:rFonts w:ascii="Arial" w:cs="Arial" w:eastAsia="Arial" w:hAnsi="Arial"/>
          <w:sz w:val="16"/>
          <w:szCs w:val="16"/>
          <w:color w:val="auto"/>
        </w:rPr>
        <w:t>The Board Resolutions were duly passed in the manner prescribed in the Pre-IPO Memorandum and Articles (including, without limitation, with respect to the disclosure of interests (if any) by directors of the Company) and have not been amended, varied or revoked in any respect.</w:t>
      </w:r>
    </w:p>
    <w:p>
      <w:pPr>
        <w:spacing w:after="0" w:line="124" w:lineRule="exact"/>
        <w:rPr>
          <w:sz w:val="20"/>
          <w:szCs w:val="20"/>
          <w:color w:val="auto"/>
        </w:rPr>
      </w:pPr>
    </w:p>
    <w:p>
      <w:pPr>
        <w:ind w:left="660" w:hanging="652"/>
        <w:spacing w:after="0" w:line="342" w:lineRule="auto"/>
        <w:tabs>
          <w:tab w:leader="none" w:pos="660" w:val="left"/>
        </w:tabs>
        <w:numPr>
          <w:ilvl w:val="0"/>
          <w:numId w:val="245"/>
        </w:numPr>
        <w:rPr>
          <w:rFonts w:ascii="Arial" w:cs="Arial" w:eastAsia="Arial" w:hAnsi="Arial"/>
          <w:sz w:val="16"/>
          <w:szCs w:val="16"/>
          <w:b w:val="1"/>
          <w:bCs w:val="1"/>
          <w:color w:val="auto"/>
        </w:rPr>
      </w:pPr>
      <w:r>
        <w:rPr>
          <w:rFonts w:ascii="Arial" w:cs="Arial" w:eastAsia="Arial" w:hAnsi="Arial"/>
          <w:sz w:val="16"/>
          <w:szCs w:val="16"/>
          <w:color w:val="auto"/>
        </w:rPr>
        <w:t>The Shareholders Resolutions were duly passed in the manner prescribed in the Pre-IPO Memorandum and Articles (including, without limitation, with respect to the disclosure of interests (if any) by directors of the Company) and have not been amended, varied or revoked in any respect.</w:t>
      </w:r>
    </w:p>
    <w:p>
      <w:pPr>
        <w:spacing w:after="0" w:line="124" w:lineRule="exact"/>
        <w:rPr>
          <w:sz w:val="20"/>
          <w:szCs w:val="20"/>
          <w:color w:val="auto"/>
        </w:rPr>
      </w:pPr>
    </w:p>
    <w:p>
      <w:pPr>
        <w:jc w:val="both"/>
        <w:ind w:left="660" w:right="20" w:hanging="652"/>
        <w:spacing w:after="0" w:line="263" w:lineRule="auto"/>
        <w:tabs>
          <w:tab w:leader="none" w:pos="660"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t>The authorised share capital of the Company is US$ 50,000.00 divided into 5,000,000,000 shares of a par value of US$0.00001 each, of which: (a) 1,000,000,000 are designated as Class A Ordinary Shares of a par value of US$0.00001 each; and (b) 4,000,000,000 are designated as Class B Ordinary Shares of a par value of US$0.00001 each.</w:t>
      </w:r>
    </w:p>
    <w:p>
      <w:pPr>
        <w:spacing w:after="0" w:line="184" w:lineRule="exact"/>
        <w:rPr>
          <w:sz w:val="20"/>
          <w:szCs w:val="20"/>
          <w:color w:val="auto"/>
        </w:rPr>
      </w:pPr>
    </w:p>
    <w:p>
      <w:pPr>
        <w:jc w:val="both"/>
        <w:ind w:left="660" w:hanging="652"/>
        <w:spacing w:after="0" w:line="275" w:lineRule="auto"/>
        <w:tabs>
          <w:tab w:leader="none" w:pos="660" w:val="left"/>
        </w:tabs>
        <w:numPr>
          <w:ilvl w:val="0"/>
          <w:numId w:val="247"/>
        </w:numPr>
        <w:rPr>
          <w:rFonts w:ascii="Arial" w:cs="Arial" w:eastAsia="Arial" w:hAnsi="Arial"/>
          <w:sz w:val="17"/>
          <w:szCs w:val="17"/>
          <w:b w:val="1"/>
          <w:bCs w:val="1"/>
          <w:color w:val="auto"/>
        </w:rPr>
      </w:pPr>
      <w:r>
        <w:rPr>
          <w:rFonts w:ascii="Arial" w:cs="Arial" w:eastAsia="Arial" w:hAnsi="Arial"/>
          <w:sz w:val="17"/>
          <w:szCs w:val="17"/>
          <w:color w:val="auto"/>
        </w:rPr>
        <w:t>The authorised share capital of the Company, with effect immediately prior to the completion of the Company’s initial public offering of the ADSs representing the Shares, will be US$50,000.00 divided into 5,000,000,000 shares of a par value of US$0.00001 each, comprising (i) 1,000,000,000 are designated as Class A Ordinary Shares of a par value of US$0.00001 each, (ii) 3,000,000,000 are designated as Class B Ordinary Shares of a par value of US$0.00001 each, and (iii) 1,000,000,000 shares of a par value of US$0.00001 each of such class or classes (however designated) as the board of directors may determine in accordance with the IPO Memorandum and Articles.</w:t>
      </w:r>
    </w:p>
    <w:p>
      <w:pPr>
        <w:spacing w:after="0" w:line="176" w:lineRule="exact"/>
        <w:rPr>
          <w:sz w:val="20"/>
          <w:szCs w:val="20"/>
          <w:color w:val="auto"/>
        </w:rPr>
      </w:pPr>
    </w:p>
    <w:p>
      <w:pPr>
        <w:jc w:val="both"/>
        <w:ind w:left="660" w:hanging="652"/>
        <w:spacing w:after="0" w:line="263" w:lineRule="auto"/>
        <w:tabs>
          <w:tab w:leader="none" w:pos="660" w:val="left"/>
        </w:tabs>
        <w:numPr>
          <w:ilvl w:val="0"/>
          <w:numId w:val="248"/>
        </w:numPr>
        <w:rPr>
          <w:rFonts w:ascii="Arial" w:cs="Arial" w:eastAsia="Arial" w:hAnsi="Arial"/>
          <w:sz w:val="18"/>
          <w:szCs w:val="18"/>
          <w:b w:val="1"/>
          <w:bCs w:val="1"/>
          <w:color w:val="auto"/>
        </w:rPr>
      </w:pPr>
      <w:r>
        <w:rPr>
          <w:rFonts w:ascii="Arial" w:cs="Arial" w:eastAsia="Arial" w:hAnsi="Arial"/>
          <w:sz w:val="18"/>
          <w:szCs w:val="18"/>
          <w:color w:val="auto"/>
        </w:rPr>
        <w:t>The shareholders of the Company have not restricted or limited the powers of the directors in any way and there is no contractual or other prohibition (other than as arising under Cayman Islands law) binding on the Company prohibiting it from issuing and allotting the Shares or otherwise performing its obligations under the Registration Statement.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81" w:name="page282"/>
    <w:bookmarkEnd w:id="281"/>
    <w:p>
      <w:pPr>
        <w:ind w:left="660" w:hanging="652"/>
        <w:spacing w:after="0"/>
        <w:tabs>
          <w:tab w:leader="none" w:pos="660" w:val="left"/>
        </w:tabs>
        <w:numPr>
          <w:ilvl w:val="0"/>
          <w:numId w:val="249"/>
        </w:numPr>
        <w:rPr>
          <w:rFonts w:ascii="Arial" w:cs="Arial" w:eastAsia="Arial" w:hAnsi="Arial"/>
          <w:sz w:val="18"/>
          <w:szCs w:val="18"/>
          <w:b w:val="1"/>
          <w:bCs w:val="1"/>
          <w:color w:val="auto"/>
        </w:rPr>
      </w:pPr>
      <w:r>
        <w:rPr>
          <w:rFonts w:ascii="Arial" w:cs="Arial" w:eastAsia="Arial" w:hAnsi="Arial"/>
          <w:sz w:val="18"/>
          <w:szCs w:val="18"/>
          <w:color w:val="auto"/>
        </w:rPr>
        <w:t>The director of the Company at the date of the Board Resolutions and as at the date of this certificate was and is: LIM Soon Huat.</w:t>
      </w:r>
    </w:p>
    <w:p>
      <w:pPr>
        <w:spacing w:after="0" w:line="225" w:lineRule="exact"/>
        <w:rPr>
          <w:sz w:val="20"/>
          <w:szCs w:val="20"/>
          <w:color w:val="auto"/>
        </w:rPr>
      </w:pPr>
    </w:p>
    <w:p>
      <w:pPr>
        <w:jc w:val="both"/>
        <w:ind w:left="640" w:hanging="632"/>
        <w:spacing w:after="0" w:line="263" w:lineRule="auto"/>
        <w:tabs>
          <w:tab w:leader="none" w:pos="640"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The director of the Company considers the transactions contemplated by the Registration Statement to be of commercial benefit to the Company and has acted bona fide in the best interests of the Company, and for a proper purpose of the Company in relation to the transactions which are the subject of the Opinion.</w:t>
      </w:r>
    </w:p>
    <w:p>
      <w:pPr>
        <w:spacing w:after="0" w:line="184" w:lineRule="exact"/>
        <w:rPr>
          <w:sz w:val="20"/>
          <w:szCs w:val="20"/>
          <w:color w:val="auto"/>
        </w:rPr>
      </w:pPr>
    </w:p>
    <w:p>
      <w:pPr>
        <w:jc w:val="both"/>
        <w:ind w:left="660" w:right="20" w:hanging="652"/>
        <w:spacing w:after="0" w:line="259" w:lineRule="auto"/>
        <w:tabs>
          <w:tab w:leader="none" w:pos="66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To the best of my knowledge and belief, having made due inquiry, the Company is not the subject of legal, arbitral, administrative or other proceedings in any jurisdiction and neither the directors nor Shareholders have taken any steps to have the Company struck off or placed in liquidation. Further, no steps have been taken to wind up the Company or to appoint restructuring officers or interim restructuring officers, and no receiver has been appointed in relation to any of the Company’s property or assets.</w:t>
      </w:r>
    </w:p>
    <w:p>
      <w:pPr>
        <w:spacing w:after="0" w:line="187" w:lineRule="exact"/>
        <w:rPr>
          <w:sz w:val="20"/>
          <w:szCs w:val="20"/>
          <w:color w:val="auto"/>
        </w:rPr>
      </w:pPr>
    </w:p>
    <w:p>
      <w:pPr>
        <w:ind w:left="640" w:hanging="632"/>
        <w:spacing w:after="0" w:line="277" w:lineRule="auto"/>
        <w:tabs>
          <w:tab w:leader="none" w:pos="640"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Upon the completion of the Company’s initial public offering of the ADSs representing the Shares, the Company will not be subject to the requirements of Part XVIIA of the Companies Act (As Revised) of the Cayman Islands.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confirm that you may continue to rely on this Certificate as being true and correct on the day that you issue the Opinion unless I shall have previously notified you personally to the contrary.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t>Signature: /s/ Lim Soon Huat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239141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4">
                      <a:extLst>
                        <a:ext uri="{28A0092B-C50C-407E-A947-70E740481C1C}"/>
                      </a:extLst>
                    </a:blip>
                    <a:srcRect/>
                    <a:stretch>
                      <a:fillRect/>
                    </a:stretch>
                  </pic:blipFill>
                  <pic:spPr bwMode="auto">
                    <a:xfrm>
                      <a:off x="0" y="0"/>
                      <a:ext cx="2391410" cy="17145"/>
                    </a:xfrm>
                    <a:prstGeom prst="rect">
                      <a:avLst/>
                    </a:prstGeom>
                    <a:noFill/>
                  </pic:spPr>
                </pic:pic>
              </a:graphicData>
            </a:graphic>
          </wp:anchor>
        </w:drawing>
      </w:r>
    </w:p>
    <w:p>
      <w:pPr>
        <w:spacing w:after="0" w:line="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Lim Soon Huat</w:t>
      </w:r>
    </w:p>
    <w:p>
      <w:pPr>
        <w:spacing w:after="0" w:line="3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83" w:name="page284"/>
    <w:bookmarkEnd w:id="283"/>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165735</wp:posOffset>
            </wp:positionV>
            <wp:extent cx="2143125" cy="3346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6">
                      <a:extLst>
                        <a:ext uri="{28A0092B-C50C-407E-A947-70E740481C1C}"/>
                      </a:extLst>
                    </a:blip>
                    <a:srcRect/>
                    <a:stretch>
                      <a:fillRect/>
                    </a:stretch>
                  </pic:blipFill>
                  <pic:spPr bwMode="auto">
                    <a:xfrm>
                      <a:off x="0" y="0"/>
                      <a:ext cx="214312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INDEPENDENT REGISTERED PUBLIC ACCOUNTING FIRM’S CONSENT</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inclusion in this Registration Statement of Trident Digital Tech Holdings Ltd. on the Amendment No. 1 to Form F-1 of our report dated July 7, 2023, with respect to our audits of the consolidated financial statements of Trident Digital Tech Holdings Ltd. as of December 31, 2022 and 2021 and for the years ended December 31, 2022 and 2021, which report appears in the Prospectus, which is part of this Registration Statement. We also consent to the reference to our Firm under the heading “Experts” in such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Asia CPAs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Beijing,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19, 2023</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BEIJING OFFICE ● Units 06-09 ● 46th Floor ● China World Tower B ● No. 1 Jian Guo Men Wai Avenue ● Chaoyang District ● Beijing ● 100004</w:t>
      </w:r>
    </w:p>
    <w:p>
      <w:pPr>
        <w:jc w:val="center"/>
        <w:spacing w:after="0"/>
        <w:rPr>
          <w:sz w:val="20"/>
          <w:szCs w:val="20"/>
          <w:color w:val="auto"/>
        </w:rPr>
      </w:pPr>
      <w:r>
        <w:rPr>
          <w:rFonts w:ascii="Arial" w:cs="Arial" w:eastAsia="Arial" w:hAnsi="Arial"/>
          <w:sz w:val="14"/>
          <w:szCs w:val="14"/>
          <w:color w:val="auto"/>
        </w:rPr>
        <w:t>Phone 8610.8518.7992 ● Fax 8610.8518.7993 ● www.marcumasia.com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6E4AFD"/>
    <w:multiLevelType w:val="hybridMultilevel"/>
    <w:lvl w:ilvl="0">
      <w:lvlJc w:val="left"/>
      <w:lvlText w:val="†"/>
      <w:numFmt w:val="bullet"/>
      <w:start w:val="1"/>
    </w:lvl>
  </w:abstractNum>
  <w:abstractNum w:abstractNumId="1">
    <w:nsid w:val="17A1B582"/>
    <w:multiLevelType w:val="hybridMultilevel"/>
    <w:lvl w:ilvl="0">
      <w:lvlJc w:val="left"/>
      <w:lvlText w:val="(%1)"/>
      <w:numFmt w:val="decimal"/>
      <w:start w:val="1"/>
    </w:lvl>
  </w:abstractNum>
  <w:abstractNum w:abstractNumId="2">
    <w:nsid w:val="4DF72E4E"/>
    <w:multiLevelType w:val="hybridMultilevel"/>
    <w:lvl w:ilvl="0">
      <w:lvlJc w:val="left"/>
      <w:lvlText w:val="•"/>
      <w:numFmt w:val="bullet"/>
      <w:start w:val="1"/>
    </w:lvl>
  </w:abstractNum>
  <w:abstractNum w:abstractNumId="3">
    <w:nsid w:val="5046B5A9"/>
    <w:multiLevelType w:val="hybridMultilevel"/>
    <w:lvl w:ilvl="0">
      <w:lvlJc w:val="left"/>
      <w:lvlText w:val="•"/>
      <w:numFmt w:val="bullet"/>
      <w:start w:val="1"/>
    </w:lvl>
  </w:abstractNum>
  <w:abstractNum w:abstractNumId="4">
    <w:nsid w:val="5D888A08"/>
    <w:multiLevelType w:val="hybridMultilevel"/>
    <w:lvl w:ilvl="0">
      <w:lvlJc w:val="left"/>
      <w:lvlText w:val="•"/>
      <w:numFmt w:val="bullet"/>
      <w:start w:val="1"/>
    </w:lvl>
  </w:abstractNum>
  <w:abstractNum w:abstractNumId="5">
    <w:nsid w:val="2A082C70"/>
    <w:multiLevelType w:val="hybridMultilevel"/>
    <w:lvl w:ilvl="0">
      <w:lvlJc w:val="left"/>
      <w:lvlText w:val="•"/>
      <w:numFmt w:val="bullet"/>
      <w:start w:val="1"/>
    </w:lvl>
  </w:abstractNum>
  <w:abstractNum w:abstractNumId="6">
    <w:nsid w:val="5EC6AFD4"/>
    <w:multiLevelType w:val="hybridMultilevel"/>
    <w:lvl w:ilvl="0">
      <w:lvlJc w:val="left"/>
      <w:lvlText w:val="•"/>
      <w:numFmt w:val="bullet"/>
      <w:start w:val="1"/>
    </w:lvl>
  </w:abstractNum>
  <w:abstractNum w:abstractNumId="7">
    <w:nsid w:val="19E21BB2"/>
    <w:multiLevelType w:val="hybridMultilevel"/>
    <w:lvl w:ilvl="0">
      <w:lvlJc w:val="left"/>
      <w:lvlText w:val="•"/>
      <w:numFmt w:val="bullet"/>
      <w:start w:val="1"/>
    </w:lvl>
  </w:abstractNum>
  <w:abstractNum w:abstractNumId="8">
    <w:nsid w:val="75E0858A"/>
    <w:multiLevelType w:val="hybridMultilevel"/>
    <w:lvl w:ilvl="0">
      <w:lvlJc w:val="left"/>
      <w:lvlText w:val="•"/>
      <w:numFmt w:val="bullet"/>
      <w:start w:val="1"/>
    </w:lvl>
  </w:abstractNum>
  <w:abstractNum w:abstractNumId="9">
    <w:nsid w:val="57A61A29"/>
    <w:multiLevelType w:val="hybridMultilevel"/>
    <w:lvl w:ilvl="0">
      <w:lvlJc w:val="left"/>
      <w:lvlText w:val="•"/>
      <w:numFmt w:val="bullet"/>
      <w:start w:val="1"/>
    </w:lvl>
  </w:abstractNum>
  <w:abstractNum w:abstractNumId="10">
    <w:nsid w:val="5399C654"/>
    <w:multiLevelType w:val="hybridMultilevel"/>
    <w:lvl w:ilvl="0">
      <w:lvlJc w:val="left"/>
      <w:lvlText w:val="•"/>
      <w:numFmt w:val="bullet"/>
      <w:start w:val="1"/>
    </w:lvl>
  </w:abstractNum>
  <w:abstractNum w:abstractNumId="11">
    <w:nsid w:val="20EE1348"/>
    <w:multiLevelType w:val="hybridMultilevel"/>
    <w:lvl w:ilvl="0">
      <w:lvlJc w:val="left"/>
      <w:lvlText w:val="•"/>
      <w:numFmt w:val="bullet"/>
      <w:start w:val="1"/>
    </w:lvl>
  </w:abstractNum>
  <w:abstractNum w:abstractNumId="12">
    <w:nsid w:val="4427069A"/>
    <w:multiLevelType w:val="hybridMultilevel"/>
    <w:lvl w:ilvl="0">
      <w:lvlJc w:val="left"/>
      <w:lvlText w:val="•"/>
      <w:numFmt w:val="bullet"/>
      <w:start w:val="1"/>
    </w:lvl>
  </w:abstractNum>
  <w:abstractNum w:abstractNumId="13">
    <w:nsid w:val="B37E80A"/>
    <w:multiLevelType w:val="hybridMultilevel"/>
    <w:lvl w:ilvl="0">
      <w:lvlJc w:val="left"/>
      <w:lvlText w:val="$"/>
      <w:numFmt w:val="bullet"/>
      <w:start w:val="1"/>
    </w:lvl>
  </w:abstractNum>
  <w:abstractNum w:abstractNumId="14">
    <w:nsid w:val="2157F6BC"/>
    <w:multiLevelType w:val="hybridMultilevel"/>
    <w:lvl w:ilvl="0">
      <w:lvlJc w:val="left"/>
      <w:lvlText w:val="•"/>
      <w:numFmt w:val="bullet"/>
      <w:start w:val="1"/>
    </w:lvl>
  </w:abstractNum>
  <w:abstractNum w:abstractNumId="15">
    <w:nsid w:val="704E1DD5"/>
    <w:multiLevelType w:val="hybridMultilevel"/>
    <w:lvl w:ilvl="0">
      <w:lvlJc w:val="left"/>
      <w:lvlText w:val="•"/>
      <w:numFmt w:val="bullet"/>
      <w:start w:val="1"/>
    </w:lvl>
  </w:abstractNum>
  <w:abstractNum w:abstractNumId="16">
    <w:nsid w:val="57D2F10E"/>
    <w:multiLevelType w:val="hybridMultilevel"/>
    <w:lvl w:ilvl="0">
      <w:lvlJc w:val="left"/>
      <w:lvlText w:val="•"/>
      <w:numFmt w:val="bullet"/>
      <w:start w:val="1"/>
    </w:lvl>
  </w:abstractNum>
  <w:abstractNum w:abstractNumId="17">
    <w:nsid w:val="BFFAE18"/>
    <w:multiLevelType w:val="hybridMultilevel"/>
    <w:lvl w:ilvl="0">
      <w:lvlJc w:val="left"/>
      <w:lvlText w:val="•"/>
      <w:numFmt w:val="bullet"/>
      <w:start w:val="1"/>
    </w:lvl>
  </w:abstractNum>
  <w:abstractNum w:abstractNumId="18">
    <w:nsid w:val="E3E47A8"/>
    <w:multiLevelType w:val="hybridMultilevel"/>
    <w:lvl w:ilvl="0">
      <w:lvlJc w:val="left"/>
      <w:lvlText w:val="•"/>
      <w:numFmt w:val="bullet"/>
      <w:start w:val="1"/>
    </w:lvl>
  </w:abstractNum>
  <w:abstractNum w:abstractNumId="19">
    <w:nsid w:val="2E48F044"/>
    <w:multiLevelType w:val="hybridMultilevel"/>
    <w:lvl w:ilvl="0">
      <w:lvlJc w:val="left"/>
      <w:lvlText w:val="•"/>
      <w:numFmt w:val="bullet"/>
      <w:start w:val="1"/>
    </w:lvl>
  </w:abstractNum>
  <w:abstractNum w:abstractNumId="20">
    <w:nsid w:val="49D0FEAC"/>
    <w:multiLevelType w:val="hybridMultilevel"/>
    <w:lvl w:ilvl="0">
      <w:lvlJc w:val="left"/>
      <w:lvlText w:val="•"/>
      <w:numFmt w:val="bullet"/>
      <w:start w:val="1"/>
    </w:lvl>
  </w:abstractNum>
  <w:abstractNum w:abstractNumId="21">
    <w:nsid w:val="4BEE5A5B"/>
    <w:multiLevelType w:val="hybridMultilevel"/>
    <w:lvl w:ilvl="0">
      <w:lvlJc w:val="left"/>
      <w:lvlText w:val="•"/>
      <w:numFmt w:val="bullet"/>
      <w:start w:val="1"/>
    </w:lvl>
  </w:abstractNum>
  <w:abstractNum w:abstractNumId="22">
    <w:nsid w:val="5551B9F3"/>
    <w:multiLevelType w:val="hybridMultilevel"/>
    <w:lvl w:ilvl="0">
      <w:lvlJc w:val="left"/>
      <w:lvlText w:val="•"/>
      <w:numFmt w:val="bullet"/>
      <w:start w:val="1"/>
    </w:lvl>
  </w:abstractNum>
  <w:abstractNum w:abstractNumId="23">
    <w:nsid w:val="24F6AB8E"/>
    <w:multiLevelType w:val="hybridMultilevel"/>
    <w:lvl w:ilvl="0">
      <w:lvlJc w:val="left"/>
      <w:lvlText w:val="•"/>
      <w:numFmt w:val="bullet"/>
      <w:start w:val="1"/>
    </w:lvl>
  </w:abstractNum>
  <w:abstractNum w:abstractNumId="24">
    <w:nsid w:val="634C574C"/>
    <w:multiLevelType w:val="hybridMultilevel"/>
    <w:lvl w:ilvl="0">
      <w:lvlJc w:val="left"/>
      <w:lvlText w:val="•"/>
      <w:numFmt w:val="bullet"/>
      <w:start w:val="1"/>
    </w:lvl>
  </w:abstractNum>
  <w:abstractNum w:abstractNumId="25">
    <w:nsid w:val="24E99DD7"/>
    <w:multiLevelType w:val="hybridMultilevel"/>
    <w:lvl w:ilvl="0">
      <w:lvlJc w:val="left"/>
      <w:lvlText w:val="•"/>
      <w:numFmt w:val="bullet"/>
      <w:start w:val="1"/>
    </w:lvl>
  </w:abstractNum>
  <w:abstractNum w:abstractNumId="26">
    <w:nsid w:val="2A31B62D"/>
    <w:multiLevelType w:val="hybridMultilevel"/>
    <w:lvl w:ilvl="0">
      <w:lvlJc w:val="left"/>
      <w:lvlText w:val="•"/>
      <w:numFmt w:val="bullet"/>
      <w:start w:val="1"/>
    </w:lvl>
  </w:abstractNum>
  <w:abstractNum w:abstractNumId="27">
    <w:nsid w:val="1849C29B"/>
    <w:multiLevelType w:val="hybridMultilevel"/>
    <w:lvl w:ilvl="0">
      <w:lvlJc w:val="left"/>
      <w:lvlText w:val="(%1)"/>
      <w:numFmt w:val="decimal"/>
      <w:start w:val="1"/>
    </w:lvl>
  </w:abstractNum>
  <w:abstractNum w:abstractNumId="28">
    <w:nsid w:val="7DFF9D09"/>
    <w:multiLevelType w:val="hybridMultilevel"/>
    <w:lvl w:ilvl="0">
      <w:lvlJc w:val="left"/>
      <w:lvlText w:val="•"/>
      <w:numFmt w:val="bullet"/>
      <w:start w:val="1"/>
    </w:lvl>
  </w:abstractNum>
  <w:abstractNum w:abstractNumId="29">
    <w:nsid w:val="754342"/>
    <w:multiLevelType w:val="hybridMultilevel"/>
    <w:lvl w:ilvl="0">
      <w:lvlJc w:val="left"/>
      <w:lvlText w:val="•"/>
      <w:numFmt w:val="bullet"/>
      <w:start w:val="1"/>
    </w:lvl>
  </w:abstractNum>
  <w:abstractNum w:abstractNumId="30">
    <w:nsid w:val="69E7F3E5"/>
    <w:multiLevelType w:val="hybridMultilevel"/>
    <w:lvl w:ilvl="0">
      <w:lvlJc w:val="left"/>
      <w:lvlText w:val="•"/>
      <w:numFmt w:val="bullet"/>
      <w:start w:val="1"/>
    </w:lvl>
  </w:abstractNum>
  <w:abstractNum w:abstractNumId="31">
    <w:nsid w:val="2A6DE806"/>
    <w:multiLevelType w:val="hybridMultilevel"/>
    <w:lvl w:ilvl="0">
      <w:lvlJc w:val="left"/>
      <w:lvlText w:val="(%1)"/>
      <w:numFmt w:val="lowerLetter"/>
      <w:start w:val="1"/>
    </w:lvl>
  </w:abstractNum>
  <w:abstractNum w:abstractNumId="32">
    <w:nsid w:val="1816F8C4"/>
    <w:multiLevelType w:val="hybridMultilevel"/>
    <w:lvl w:ilvl="0">
      <w:lvlJc w:val="left"/>
      <w:lvlText w:val="(%1)"/>
      <w:numFmt w:val="lowerRoman"/>
      <w:start w:val="3"/>
    </w:lvl>
  </w:abstractNum>
  <w:abstractNum w:abstractNumId="33">
    <w:nsid w:val="37DF2233"/>
    <w:multiLevelType w:val="hybridMultilevel"/>
    <w:lvl w:ilvl="0">
      <w:lvlJc w:val="left"/>
      <w:lvlText w:val="(%1)"/>
      <w:numFmt w:val="lowerRoman"/>
      <w:start w:val="1"/>
    </w:lvl>
  </w:abstractNum>
  <w:abstractNum w:abstractNumId="34">
    <w:nsid w:val="7AB49DAF"/>
    <w:multiLevelType w:val="hybridMultilevel"/>
    <w:lvl w:ilvl="0">
      <w:lvlJc w:val="left"/>
      <w:lvlText w:val="(%1)"/>
      <w:numFmt w:val="lowerRoman"/>
      <w:start w:val="2"/>
    </w:lvl>
  </w:abstractNum>
  <w:abstractNum w:abstractNumId="35">
    <w:nsid w:val="759F82CD"/>
    <w:multiLevelType w:val="hybridMultilevel"/>
    <w:lvl w:ilvl="0">
      <w:lvlJc w:val="left"/>
      <w:lvlText w:val="(%1)"/>
      <w:numFmt w:val="lowerRoman"/>
      <w:start w:val="2"/>
    </w:lvl>
  </w:abstractNum>
  <w:abstractNum w:abstractNumId="36">
    <w:nsid w:val="61E74EA3"/>
    <w:multiLevelType w:val="hybridMultilevel"/>
    <w:lvl w:ilvl="0">
      <w:lvlJc w:val="left"/>
      <w:lvlText w:val="(%1)"/>
      <w:numFmt w:val="lowerRoman"/>
      <w:start w:val="2"/>
    </w:lvl>
  </w:abstractNum>
  <w:abstractNum w:abstractNumId="37">
    <w:nsid w:val="597B4D84"/>
    <w:multiLevelType w:val="hybridMultilevel"/>
    <w:lvl w:ilvl="0">
      <w:lvlJc w:val="left"/>
      <w:lvlText w:val="•"/>
      <w:numFmt w:val="bullet"/>
      <w:start w:val="1"/>
    </w:lvl>
  </w:abstractNum>
  <w:abstractNum w:abstractNumId="38">
    <w:nsid w:val="F819E7F"/>
    <w:multiLevelType w:val="hybridMultilevel"/>
    <w:lvl w:ilvl="0">
      <w:lvlJc w:val="left"/>
      <w:lvlText w:val="•"/>
      <w:numFmt w:val="bullet"/>
      <w:start w:val="1"/>
    </w:lvl>
  </w:abstractNum>
  <w:abstractNum w:abstractNumId="39">
    <w:nsid w:val="57C7D42D"/>
    <w:multiLevelType w:val="hybridMultilevel"/>
    <w:lvl w:ilvl="0">
      <w:lvlJc w:val="left"/>
      <w:lvlText w:val="•"/>
      <w:numFmt w:val="bullet"/>
      <w:start w:val="1"/>
    </w:lvl>
  </w:abstractNum>
  <w:abstractNum w:abstractNumId="40">
    <w:nsid w:val="312167AD"/>
    <w:multiLevelType w:val="hybridMultilevel"/>
    <w:lvl w:ilvl="0">
      <w:lvlJc w:val="left"/>
      <w:lvlText w:val="•"/>
      <w:numFmt w:val="bullet"/>
      <w:start w:val="1"/>
    </w:lvl>
  </w:abstractNum>
  <w:abstractNum w:abstractNumId="41">
    <w:nsid w:val="631B64D4"/>
    <w:multiLevelType w:val="hybridMultilevel"/>
    <w:lvl w:ilvl="0">
      <w:lvlJc w:val="left"/>
      <w:lvlText w:val="•"/>
      <w:numFmt w:val="bullet"/>
      <w:start w:val="1"/>
    </w:lvl>
  </w:abstractNum>
  <w:abstractNum w:abstractNumId="42">
    <w:nsid w:val="78B5E776"/>
    <w:multiLevelType w:val="hybridMultilevel"/>
    <w:lvl w:ilvl="0">
      <w:lvlJc w:val="left"/>
      <w:lvlText w:val="•"/>
      <w:numFmt w:val="bullet"/>
      <w:start w:val="1"/>
    </w:lvl>
  </w:abstractNum>
  <w:abstractNum w:abstractNumId="43">
    <w:nsid w:val="75486E47"/>
    <w:multiLevelType w:val="hybridMultilevel"/>
    <w:lvl w:ilvl="0">
      <w:lvlJc w:val="left"/>
      <w:lvlText w:val="•"/>
      <w:numFmt w:val="bullet"/>
      <w:start w:val="1"/>
    </w:lvl>
  </w:abstractNum>
  <w:abstractNum w:abstractNumId="44">
    <w:nsid w:val="6E534CDE"/>
    <w:multiLevelType w:val="hybridMultilevel"/>
    <w:lvl w:ilvl="0">
      <w:lvlJc w:val="left"/>
      <w:lvlText w:val="•"/>
      <w:numFmt w:val="bullet"/>
      <w:start w:val="1"/>
    </w:lvl>
  </w:abstractNum>
  <w:abstractNum w:abstractNumId="45">
    <w:nsid w:val="1A0DDE32"/>
    <w:multiLevelType w:val="hybridMultilevel"/>
    <w:lvl w:ilvl="0">
      <w:lvlJc w:val="left"/>
      <w:lvlText w:val="•"/>
      <w:numFmt w:val="bullet"/>
      <w:start w:val="1"/>
    </w:lvl>
  </w:abstractNum>
  <w:abstractNum w:abstractNumId="46">
    <w:nsid w:val="65968C1C"/>
    <w:multiLevelType w:val="hybridMultilevel"/>
    <w:lvl w:ilvl="0">
      <w:lvlJc w:val="left"/>
      <w:lvlText w:val="•"/>
      <w:numFmt w:val="bullet"/>
      <w:start w:val="1"/>
    </w:lvl>
  </w:abstractNum>
  <w:abstractNum w:abstractNumId="47">
    <w:nsid w:val="46263DEC"/>
    <w:multiLevelType w:val="hybridMultilevel"/>
    <w:lvl w:ilvl="0">
      <w:lvlJc w:val="left"/>
      <w:lvlText w:val="•"/>
      <w:numFmt w:val="bullet"/>
      <w:start w:val="1"/>
    </w:lvl>
  </w:abstractNum>
  <w:abstractNum w:abstractNumId="48">
    <w:nsid w:val="260D8C4A"/>
    <w:multiLevelType w:val="hybridMultilevel"/>
    <w:lvl w:ilvl="0">
      <w:lvlJc w:val="left"/>
      <w:lvlText w:val="(%1)"/>
      <w:numFmt w:val="lowerRoman"/>
      <w:start w:val="1"/>
    </w:lvl>
  </w:abstractNum>
  <w:abstractNum w:abstractNumId="49">
    <w:nsid w:val="73D4D3C4"/>
    <w:multiLevelType w:val="hybridMultilevel"/>
    <w:lvl w:ilvl="0">
      <w:lvlJc w:val="left"/>
      <w:lvlText w:val="(%1)"/>
      <w:numFmt w:val="lowerRoman"/>
      <w:start w:val="10"/>
    </w:lvl>
  </w:abstractNum>
  <w:abstractNum w:abstractNumId="50">
    <w:nsid w:val="746F2E30"/>
    <w:multiLevelType w:val="hybridMultilevel"/>
    <w:lvl w:ilvl="0">
      <w:lvlJc w:val="left"/>
      <w:lvlText w:val="*"/>
      <w:numFmt w:val="bullet"/>
      <w:start w:val="1"/>
    </w:lvl>
  </w:abstractNum>
  <w:abstractNum w:abstractNumId="51">
    <w:nsid w:val="6FDE8AF6"/>
    <w:multiLevelType w:val="hybridMultilevel"/>
    <w:lvl w:ilvl="0">
      <w:lvlJc w:val="left"/>
      <w:lvlText w:val="•"/>
      <w:numFmt w:val="bullet"/>
      <w:start w:val="1"/>
    </w:lvl>
  </w:abstractNum>
  <w:abstractNum w:abstractNumId="52">
    <w:nsid w:val="3FC32E20"/>
    <w:multiLevelType w:val="hybridMultilevel"/>
    <w:lvl w:ilvl="0">
      <w:lvlJc w:val="left"/>
      <w:lvlText w:val="•"/>
      <w:numFmt w:val="bullet"/>
      <w:start w:val="1"/>
    </w:lvl>
  </w:abstractNum>
  <w:abstractNum w:abstractNumId="53">
    <w:nsid w:val="49C0E823"/>
    <w:multiLevelType w:val="hybridMultilevel"/>
    <w:lvl w:ilvl="0">
      <w:lvlJc w:val="left"/>
      <w:lvlText w:val="•"/>
      <w:numFmt w:val="bullet"/>
      <w:start w:val="1"/>
    </w:lvl>
  </w:abstractNum>
  <w:abstractNum w:abstractNumId="54">
    <w:nsid w:val="14D53685"/>
    <w:multiLevelType w:val="hybridMultilevel"/>
    <w:lvl w:ilvl="0">
      <w:lvlJc w:val="left"/>
      <w:lvlText w:val="•"/>
      <w:numFmt w:val="bullet"/>
      <w:start w:val="1"/>
    </w:lvl>
  </w:abstractNum>
  <w:abstractNum w:abstractNumId="55">
    <w:nsid w:val="230F856C"/>
    <w:multiLevelType w:val="hybridMultilevel"/>
    <w:lvl w:ilvl="0">
      <w:lvlJc w:val="left"/>
      <w:lvlText w:val="•"/>
      <w:numFmt w:val="bullet"/>
      <w:start w:val="1"/>
    </w:lvl>
  </w:abstractNum>
  <w:abstractNum w:abstractNumId="56">
    <w:nsid w:val="6EAA85FB"/>
    <w:multiLevelType w:val="hybridMultilevel"/>
    <w:lvl w:ilvl="0">
      <w:lvlJc w:val="left"/>
      <w:lvlText w:val="(%1)"/>
      <w:numFmt w:val="lowerRoman"/>
      <w:start w:val="6"/>
    </w:lvl>
  </w:abstractNum>
  <w:abstractNum w:abstractNumId="57">
    <w:nsid w:val="3F06ECB2"/>
    <w:multiLevelType w:val="hybridMultilevel"/>
    <w:lvl w:ilvl="0">
      <w:lvlJc w:val="left"/>
      <w:lvlText w:val="•"/>
      <w:numFmt w:val="bullet"/>
      <w:start w:val="1"/>
    </w:lvl>
  </w:abstractNum>
  <w:abstractNum w:abstractNumId="58">
    <w:nsid w:val="3B594807"/>
    <w:multiLevelType w:val="hybridMultilevel"/>
    <w:lvl w:ilvl="0">
      <w:lvlJc w:val="left"/>
      <w:lvlText w:val="*"/>
      <w:numFmt w:val="bullet"/>
      <w:start w:val="1"/>
    </w:lvl>
  </w:abstractNum>
  <w:abstractNum w:abstractNumId="59">
    <w:nsid w:val="6CAA2304"/>
    <w:multiLevelType w:val="hybridMultilevel"/>
    <w:lvl w:ilvl="0">
      <w:lvlJc w:val="left"/>
      <w:lvlText w:val="†"/>
      <w:numFmt w:val="bullet"/>
      <w:start w:val="1"/>
    </w:lvl>
  </w:abstractNum>
  <w:abstractNum w:abstractNumId="60">
    <w:nsid w:val="3F7C2FF4"/>
    <w:multiLevelType w:val="hybridMultilevel"/>
    <w:lvl w:ilvl="0">
      <w:lvlJc w:val="left"/>
      <w:lvlText w:val="††"/>
      <w:numFmt w:val="bullet"/>
      <w:start w:val="1"/>
    </w:lvl>
  </w:abstractNum>
  <w:abstractNum w:abstractNumId="61">
    <w:nsid w:val="25413BEC"/>
    <w:multiLevelType w:val="hybridMultilevel"/>
    <w:lvl w:ilvl="0">
      <w:lvlJc w:val="left"/>
      <w:lvlText w:val="(%1)"/>
      <w:numFmt w:val="decimal"/>
      <w:start w:val="1"/>
    </w:lvl>
  </w:abstractNum>
  <w:abstractNum w:abstractNumId="62">
    <w:nsid w:val="17180B0B"/>
    <w:multiLevelType w:val="hybridMultilevel"/>
    <w:lvl w:ilvl="0">
      <w:lvlJc w:val="left"/>
      <w:lvlText w:val="(%1)"/>
      <w:numFmt w:val="decimal"/>
      <w:start w:val="2"/>
    </w:lvl>
  </w:abstractNum>
  <w:abstractNum w:abstractNumId="63">
    <w:nsid w:val="579328B9"/>
    <w:multiLevelType w:val="hybridMultilevel"/>
    <w:lvl w:ilvl="0">
      <w:lvlJc w:val="left"/>
      <w:lvlText w:val="(%1)"/>
      <w:numFmt w:val="lowerRoman"/>
      <w:start w:val="2"/>
    </w:lvl>
  </w:abstractNum>
  <w:abstractNum w:abstractNumId="64">
    <w:nsid w:val="5D205E20"/>
    <w:multiLevelType w:val="hybridMultilevel"/>
    <w:lvl w:ilvl="0">
      <w:lvlJc w:val="left"/>
      <w:lvlText w:val="(%1)"/>
      <w:numFmt w:val="lowerRoman"/>
      <w:start w:val="1"/>
    </w:lvl>
  </w:abstractNum>
  <w:abstractNum w:abstractNumId="65">
    <w:nsid w:val="11CCA8BA"/>
    <w:multiLevelType w:val="hybridMultilevel"/>
    <w:lvl w:ilvl="0">
      <w:lvlJc w:val="left"/>
      <w:lvlText w:val="•"/>
      <w:numFmt w:val="bullet"/>
      <w:start w:val="1"/>
    </w:lvl>
  </w:abstractNum>
  <w:abstractNum w:abstractNumId="66">
    <w:nsid w:val="4D32AB86"/>
    <w:multiLevelType w:val="hybridMultilevel"/>
    <w:lvl w:ilvl="0">
      <w:lvlJc w:val="left"/>
      <w:lvlText w:val="(%1)"/>
      <w:numFmt w:val="decimal"/>
      <w:start w:val="2"/>
    </w:lvl>
  </w:abstractNum>
  <w:abstractNum w:abstractNumId="67">
    <w:nsid w:val="3F07ACC3"/>
    <w:multiLevelType w:val="hybridMultilevel"/>
    <w:lvl w:ilvl="0">
      <w:lvlJc w:val="left"/>
      <w:lvlText w:val="•"/>
      <w:numFmt w:val="bullet"/>
      <w:start w:val="1"/>
    </w:lvl>
  </w:abstractNum>
  <w:abstractNum w:abstractNumId="68">
    <w:nsid w:val="6B47F63E"/>
    <w:multiLevelType w:val="hybridMultilevel"/>
    <w:lvl w:ilvl="0">
      <w:lvlJc w:val="left"/>
      <w:lvlText w:val="•"/>
      <w:numFmt w:val="bullet"/>
      <w:start w:val="1"/>
    </w:lvl>
  </w:abstractNum>
  <w:abstractNum w:abstractNumId="69">
    <w:nsid w:val="5CB44A05"/>
    <w:multiLevelType w:val="hybridMultilevel"/>
    <w:lvl w:ilvl="0">
      <w:lvlJc w:val="left"/>
      <w:lvlText w:val="•"/>
      <w:numFmt w:val="bullet"/>
      <w:start w:val="1"/>
    </w:lvl>
  </w:abstractNum>
  <w:abstractNum w:abstractNumId="70">
    <w:nsid w:val="16CF80F1"/>
    <w:multiLevelType w:val="hybridMultilevel"/>
    <w:lvl w:ilvl="0">
      <w:lvlJc w:val="left"/>
      <w:lvlText w:val="•"/>
      <w:numFmt w:val="bullet"/>
      <w:start w:val="1"/>
    </w:lvl>
  </w:abstractNum>
  <w:abstractNum w:abstractNumId="71">
    <w:nsid w:val="1C695DEC"/>
    <w:multiLevelType w:val="hybridMultilevel"/>
    <w:lvl w:ilvl="0">
      <w:lvlJc w:val="left"/>
      <w:lvlText w:val="•"/>
      <w:numFmt w:val="bullet"/>
      <w:start w:val="1"/>
    </w:lvl>
  </w:abstractNum>
  <w:abstractNum w:abstractNumId="72">
    <w:nsid w:val="3FCFAED9"/>
    <w:multiLevelType w:val="hybridMultilevel"/>
    <w:lvl w:ilvl="0">
      <w:lvlJc w:val="left"/>
      <w:lvlText w:val="•"/>
      <w:numFmt w:val="bullet"/>
      <w:start w:val="1"/>
    </w:lvl>
  </w:abstractNum>
  <w:abstractNum w:abstractNumId="73">
    <w:nsid w:val="F856867"/>
    <w:multiLevelType w:val="hybridMultilevel"/>
    <w:lvl w:ilvl="0">
      <w:lvlJc w:val="left"/>
      <w:lvlText w:val="•"/>
      <w:numFmt w:val="bullet"/>
      <w:start w:val="1"/>
    </w:lvl>
  </w:abstractNum>
  <w:abstractNum w:abstractNumId="74">
    <w:nsid w:val="11B1CC33"/>
    <w:multiLevelType w:val="hybridMultilevel"/>
    <w:lvl w:ilvl="0">
      <w:lvlJc w:val="left"/>
      <w:lvlText w:val="•"/>
      <w:numFmt w:val="bullet"/>
      <w:start w:val="1"/>
    </w:lvl>
  </w:abstractNum>
  <w:abstractNum w:abstractNumId="75">
    <w:nsid w:val="2E22FBB7"/>
    <w:multiLevelType w:val="hybridMultilevel"/>
    <w:lvl w:ilvl="0">
      <w:lvlJc w:val="left"/>
      <w:lvlText w:val="•"/>
      <w:numFmt w:val="bullet"/>
      <w:start w:val="1"/>
    </w:lvl>
  </w:abstractNum>
  <w:abstractNum w:abstractNumId="76">
    <w:nsid w:val="29934699"/>
    <w:multiLevelType w:val="hybridMultilevel"/>
    <w:lvl w:ilvl="0">
      <w:lvlJc w:val="left"/>
      <w:lvlText w:val="•"/>
      <w:numFmt w:val="bullet"/>
      <w:start w:val="1"/>
    </w:lvl>
  </w:abstractNum>
  <w:abstractNum w:abstractNumId="77">
    <w:nsid w:val="77485850"/>
    <w:multiLevelType w:val="hybridMultilevel"/>
    <w:lvl w:ilvl="0">
      <w:lvlJc w:val="left"/>
      <w:lvlText w:val="•"/>
      <w:numFmt w:val="bullet"/>
      <w:start w:val="1"/>
    </w:lvl>
  </w:abstractNum>
  <w:abstractNum w:abstractNumId="78">
    <w:nsid w:val="744939A3"/>
    <w:multiLevelType w:val="hybridMultilevel"/>
    <w:lvl w:ilvl="0">
      <w:lvlJc w:val="left"/>
      <w:lvlText w:val="•"/>
      <w:numFmt w:val="bullet"/>
      <w:start w:val="1"/>
    </w:lvl>
  </w:abstractNum>
  <w:abstractNum w:abstractNumId="79">
    <w:nsid w:val="4FA0D2E3"/>
    <w:multiLevelType w:val="hybridMultilevel"/>
    <w:lvl w:ilvl="0">
      <w:lvlJc w:val="left"/>
      <w:lvlText w:val="•"/>
      <w:numFmt w:val="bullet"/>
      <w:start w:val="1"/>
    </w:lvl>
  </w:abstractNum>
  <w:abstractNum w:abstractNumId="80">
    <w:nsid w:val="6B1D2C14"/>
    <w:multiLevelType w:val="hybridMultilevel"/>
    <w:lvl w:ilvl="0">
      <w:lvlJc w:val="left"/>
      <w:lvlText w:val="(%1)"/>
      <w:numFmt w:val="lowerRoman"/>
      <w:start w:val="2"/>
    </w:lvl>
  </w:abstractNum>
  <w:abstractNum w:abstractNumId="81">
    <w:nsid w:val="68B867D3"/>
    <w:multiLevelType w:val="hybridMultilevel"/>
    <w:lvl w:ilvl="0">
      <w:lvlJc w:val="left"/>
      <w:lvlText w:val="•"/>
      <w:numFmt w:val="bullet"/>
      <w:start w:val="1"/>
    </w:lvl>
  </w:abstractNum>
  <w:abstractNum w:abstractNumId="82">
    <w:nsid w:val="3F7F5DD9"/>
    <w:multiLevelType w:val="hybridMultilevel"/>
    <w:lvl w:ilvl="0">
      <w:lvlJc w:val="left"/>
      <w:lvlText w:val="•"/>
      <w:numFmt w:val="bullet"/>
      <w:start w:val="1"/>
    </w:lvl>
  </w:abstractNum>
  <w:abstractNum w:abstractNumId="83">
    <w:nsid w:val="2AE05A34"/>
    <w:multiLevelType w:val="hybridMultilevel"/>
    <w:lvl w:ilvl="0">
      <w:lvlJc w:val="left"/>
      <w:lvlText w:val="•"/>
      <w:numFmt w:val="bullet"/>
      <w:start w:val="1"/>
    </w:lvl>
  </w:abstractNum>
  <w:abstractNum w:abstractNumId="84">
    <w:nsid w:val="32794FF7"/>
    <w:multiLevelType w:val="hybridMultilevel"/>
    <w:lvl w:ilvl="0">
      <w:lvlJc w:val="left"/>
      <w:lvlText w:val="•"/>
      <w:numFmt w:val="bullet"/>
      <w:start w:val="1"/>
    </w:lvl>
  </w:abstractNum>
  <w:abstractNum w:abstractNumId="85">
    <w:nsid w:val="5454945E"/>
    <w:multiLevelType w:val="hybridMultilevel"/>
    <w:lvl w:ilvl="0">
      <w:lvlJc w:val="left"/>
      <w:lvlText w:val="(%1)"/>
      <w:numFmt w:val="lowerLetter"/>
      <w:start w:val="1"/>
    </w:lvl>
  </w:abstractNum>
  <w:abstractNum w:abstractNumId="86">
    <w:nsid w:val="4DEFDFA0"/>
    <w:multiLevelType w:val="hybridMultilevel"/>
    <w:lvl w:ilvl="0">
      <w:lvlJc w:val="left"/>
      <w:lvlText w:val="(%1)"/>
      <w:numFmt w:val="lowerLetter"/>
      <w:start w:val="1"/>
    </w:lvl>
  </w:abstractNum>
  <w:abstractNum w:abstractNumId="87">
    <w:nsid w:val="2123D5F2"/>
    <w:multiLevelType w:val="hybridMultilevel"/>
    <w:lvl w:ilvl="0">
      <w:lvlJc w:val="left"/>
      <w:lvlText w:val="(%1)"/>
      <w:numFmt w:val="lowerLetter"/>
      <w:start w:val="1"/>
    </w:lvl>
  </w:abstractNum>
  <w:abstractNum w:abstractNumId="88">
    <w:nsid w:val="135B8110"/>
    <w:multiLevelType w:val="hybridMultilevel"/>
    <w:lvl w:ilvl="0">
      <w:lvlJc w:val="left"/>
      <w:lvlText w:val="(%1)"/>
      <w:numFmt w:val="lowerLetter"/>
      <w:start w:val="2"/>
    </w:lvl>
  </w:abstractNum>
  <w:abstractNum w:abstractNumId="89">
    <w:nsid w:val="94927A8"/>
    <w:multiLevelType w:val="hybridMultilevel"/>
    <w:lvl w:ilvl="0">
      <w:lvlJc w:val="left"/>
      <w:lvlText w:val="(%1)"/>
      <w:numFmt w:val="lowerLetter"/>
      <w:start w:val="1"/>
    </w:lvl>
  </w:abstractNum>
  <w:abstractNum w:abstractNumId="90">
    <w:nsid w:val="DCDF8F6"/>
    <w:multiLevelType w:val="hybridMultilevel"/>
    <w:lvl w:ilvl="0">
      <w:lvlJc w:val="left"/>
      <w:lvlText w:val="(%1)"/>
      <w:numFmt w:val="lowerLetter"/>
      <w:start w:val="1"/>
    </w:lvl>
  </w:abstractNum>
  <w:abstractNum w:abstractNumId="91">
    <w:nsid w:val="52D7B105"/>
    <w:multiLevelType w:val="hybridMultilevel"/>
    <w:lvl w:ilvl="0">
      <w:lvlJc w:val="left"/>
      <w:lvlText w:val="•"/>
      <w:numFmt w:val="bullet"/>
      <w:start w:val="1"/>
    </w:lvl>
  </w:abstractNum>
  <w:abstractNum w:abstractNumId="92">
    <w:nsid w:val="2E8A639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3">
    <w:nsid w:val="24E60401"/>
    <w:multiLevelType w:val="hybridMultilevel"/>
    <w:lvl w:ilvl="0">
      <w:lvlJc w:val="left"/>
      <w:lvlText w:val="\emdash "/>
      <w:numFmt w:val="bullet"/>
      <w:start w:val="1"/>
    </w:lvl>
  </w:abstractNum>
  <w:abstractNum w:abstractNumId="94">
    <w:nsid w:val="2A6AD9BE"/>
    <w:multiLevelType w:val="hybridMultilevel"/>
    <w:lvl w:ilvl="0">
      <w:lvlJc w:val="left"/>
      <w:lvlText w:val="•"/>
      <w:numFmt w:val="bullet"/>
      <w:start w:val="1"/>
    </w:lvl>
  </w:abstractNum>
  <w:abstractNum w:abstractNumId="95">
    <w:nsid w:val="BAAC1B4"/>
    <w:multiLevelType w:val="hybridMultilevel"/>
    <w:lvl w:ilvl="0">
      <w:lvlJc w:val="left"/>
      <w:lvlText w:val="•"/>
      <w:numFmt w:val="bullet"/>
      <w:start w:val="1"/>
    </w:lvl>
  </w:abstractNum>
  <w:abstractNum w:abstractNumId="96">
    <w:nsid w:val="36B2ACBC"/>
    <w:multiLevelType w:val="hybridMultilevel"/>
    <w:lvl w:ilvl="0">
      <w:lvlJc w:val="left"/>
      <w:lvlText w:val="(%1)"/>
      <w:numFmt w:val="lowerRoman"/>
      <w:start w:val="3"/>
    </w:lvl>
  </w:abstractNum>
  <w:abstractNum w:abstractNumId="97">
    <w:nsid w:val="779D8544"/>
    <w:multiLevelType w:val="hybridMultilevel"/>
    <w:lvl w:ilvl="0">
      <w:lvlJc w:val="left"/>
      <w:lvlText w:val="•"/>
      <w:numFmt w:val="bullet"/>
      <w:start w:val="1"/>
    </w:lvl>
  </w:abstractNum>
  <w:abstractNum w:abstractNumId="98">
    <w:nsid w:val="4AB26E78"/>
    <w:multiLevelType w:val="hybridMultilevel"/>
    <w:lvl w:ilvl="0">
      <w:lvlJc w:val="left"/>
      <w:lvlText w:val="•"/>
      <w:numFmt w:val="bullet"/>
      <w:start w:val="1"/>
    </w:lvl>
  </w:abstractNum>
  <w:abstractNum w:abstractNumId="99">
    <w:nsid w:val="21FAA2FA"/>
    <w:multiLevelType w:val="hybridMultilevel"/>
    <w:lvl w:ilvl="0">
      <w:lvlJc w:val="left"/>
      <w:lvlText w:val="•"/>
      <w:numFmt w:val="bullet"/>
      <w:start w:val="1"/>
    </w:lvl>
  </w:abstractNum>
  <w:abstractNum w:abstractNumId="100">
    <w:nsid w:val="5451CF49"/>
    <w:multiLevelType w:val="hybridMultilevel"/>
    <w:lvl w:ilvl="0">
      <w:lvlJc w:val="left"/>
      <w:lvlText w:val="•"/>
      <w:numFmt w:val="bullet"/>
      <w:start w:val="1"/>
    </w:lvl>
  </w:abstractNum>
  <w:abstractNum w:abstractNumId="101">
    <w:nsid w:val="6181EF69"/>
    <w:multiLevelType w:val="hybridMultilevel"/>
    <w:lvl w:ilvl="0">
      <w:lvlJc w:val="left"/>
      <w:lvlText w:val="•"/>
      <w:numFmt w:val="bullet"/>
      <w:start w:val="1"/>
    </w:lvl>
  </w:abstractNum>
  <w:abstractNum w:abstractNumId="102">
    <w:nsid w:val="3E6400E6"/>
    <w:multiLevelType w:val="hybridMultilevel"/>
    <w:lvl w:ilvl="0">
      <w:lvlJc w:val="left"/>
      <w:lvlText w:val="*"/>
      <w:numFmt w:val="bullet"/>
      <w:start w:val="1"/>
    </w:lvl>
  </w:abstractNum>
  <w:abstractNum w:abstractNumId="103">
    <w:nsid w:val="14217E23"/>
    <w:multiLevelType w:val="hybridMultilevel"/>
    <w:lvl w:ilvl="0">
      <w:lvlJc w:val="left"/>
      <w:lvlText w:val="*"/>
      <w:numFmt w:val="bullet"/>
      <w:start w:val="1"/>
    </w:lvl>
  </w:abstractNum>
  <w:abstractNum w:abstractNumId="104">
    <w:nsid w:val="710757D0"/>
    <w:multiLevelType w:val="hybridMultilevel"/>
    <w:lvl w:ilvl="0">
      <w:lvlJc w:val="left"/>
      <w:lvlText w:val="*"/>
      <w:numFmt w:val="bullet"/>
      <w:start w:val="1"/>
    </w:lvl>
  </w:abstractNum>
  <w:abstractNum w:abstractNumId="105">
    <w:nsid w:val="5015CD1A"/>
    <w:multiLevelType w:val="hybridMultilevel"/>
    <w:lvl w:ilvl="0">
      <w:lvlJc w:val="left"/>
      <w:lvlText w:val="%1."/>
      <w:numFmt w:val="decimal"/>
      <w:start w:val="1"/>
    </w:lvl>
  </w:abstractNum>
  <w:abstractNum w:abstractNumId="106">
    <w:nsid w:val="424479DA"/>
    <w:multiLevelType w:val="hybridMultilevel"/>
    <w:lvl w:ilvl="0">
      <w:lvlJc w:val="left"/>
      <w:lvlText w:val="%1."/>
      <w:numFmt w:val="decimal"/>
      <w:start w:val="2"/>
    </w:lvl>
    <w:lvl w:ilvl="1">
      <w:lvlJc w:val="left"/>
      <w:lvlText w:val="(%2)"/>
      <w:numFmt w:val="lowerLetter"/>
      <w:start w:val="1"/>
    </w:lvl>
  </w:abstractNum>
  <w:abstractNum w:abstractNumId="107">
    <w:nsid w:val="1A9A9E69"/>
    <w:multiLevelType w:val="hybridMultilevel"/>
    <w:lvl w:ilvl="0">
      <w:lvlJc w:val="left"/>
      <w:lvlText w:val="%1."/>
      <w:numFmt w:val="decimal"/>
      <w:start w:val="2"/>
    </w:lvl>
  </w:abstractNum>
  <w:abstractNum w:abstractNumId="108">
    <w:nsid w:val="475E256A"/>
    <w:multiLevelType w:val="hybridMultilevel"/>
    <w:lvl w:ilvl="0">
      <w:lvlJc w:val="left"/>
      <w:lvlText w:val="(%1)"/>
      <w:numFmt w:val="lowerLetter"/>
      <w:start w:val="3"/>
    </w:lvl>
  </w:abstractNum>
  <w:abstractNum w:abstractNumId="109">
    <w:nsid w:val="368DB37E"/>
    <w:multiLevelType w:val="hybridMultilevel"/>
    <w:lvl w:ilvl="0">
      <w:lvlJc w:val="left"/>
      <w:lvlText w:val="(%1)"/>
      <w:numFmt w:val="lowerLetter"/>
      <w:start w:val="5"/>
    </w:lvl>
  </w:abstractNum>
  <w:abstractNum w:abstractNumId="110">
    <w:nsid w:val="6A3B714C"/>
    <w:multiLevelType w:val="hybridMultilevel"/>
    <w:lvl w:ilvl="0">
      <w:lvlJc w:val="left"/>
      <w:lvlText w:val="(%1)"/>
      <w:numFmt w:val="lowerLetter"/>
      <w:start w:val="6"/>
    </w:lvl>
  </w:abstractNum>
  <w:abstractNum w:abstractNumId="111">
    <w:nsid w:val="327B517E"/>
    <w:multiLevelType w:val="hybridMultilevel"/>
    <w:lvl w:ilvl="0">
      <w:lvlJc w:val="left"/>
      <w:lvlText w:val="%1."/>
      <w:numFmt w:val="decimal"/>
      <w:start w:val="2"/>
    </w:lvl>
  </w:abstractNum>
  <w:abstractNum w:abstractNumId="112">
    <w:nsid w:val="1F461B51"/>
    <w:multiLevelType w:val="hybridMultilevel"/>
    <w:lvl w:ilvl="0">
      <w:lvlJc w:val="left"/>
      <w:lvlText w:val="•"/>
      <w:numFmt w:val="bullet"/>
      <w:start w:val="1"/>
    </w:lvl>
  </w:abstractNum>
  <w:abstractNum w:abstractNumId="113">
    <w:nsid w:val="29BACF25"/>
    <w:multiLevelType w:val="hybridMultilevel"/>
    <w:lvl w:ilvl="0">
      <w:lvlJc w:val="left"/>
      <w:lvlText w:val="%1."/>
      <w:numFmt w:val="decimal"/>
      <w:start w:val="2"/>
    </w:lvl>
  </w:abstractNum>
  <w:abstractNum w:abstractNumId="114">
    <w:nsid w:val="5D5BABB3"/>
    <w:multiLevelType w:val="hybridMultilevel"/>
    <w:lvl w:ilvl="0">
      <w:lvlJc w:val="left"/>
      <w:lvlText w:val="(%1)"/>
      <w:numFmt w:val="lowerRoman"/>
      <w:start w:val="1"/>
    </w:lvl>
  </w:abstractNum>
  <w:abstractNum w:abstractNumId="115">
    <w:nsid w:val="51BF6B48"/>
    <w:multiLevelType w:val="hybridMultilevel"/>
    <w:lvl w:ilvl="0">
      <w:lvlJc w:val="left"/>
      <w:lvlText w:val="%1."/>
      <w:numFmt w:val="decimal"/>
      <w:start w:val="2"/>
    </w:lvl>
  </w:abstractNum>
  <w:abstractNum w:abstractNumId="116">
    <w:nsid w:val="7E0F6384"/>
    <w:multiLevelType w:val="hybridMultilevel"/>
    <w:lvl w:ilvl="0">
      <w:lvlJc w:val="left"/>
      <w:lvlText w:val="%1."/>
      <w:numFmt w:val="decimal"/>
      <w:start w:val="2"/>
    </w:lvl>
  </w:abstractNum>
  <w:abstractNum w:abstractNumId="117">
    <w:nsid w:val="2B4B8B53"/>
    <w:multiLevelType w:val="hybridMultilevel"/>
    <w:lvl w:ilvl="0">
      <w:lvlJc w:val="left"/>
      <w:lvlText w:val="(%1)"/>
      <w:numFmt w:val="lowerLetter"/>
      <w:start w:val="10"/>
    </w:lvl>
  </w:abstractNum>
  <w:abstractNum w:abstractNumId="118">
    <w:nsid w:val="72E3413A"/>
    <w:multiLevelType w:val="hybridMultilevel"/>
    <w:lvl w:ilvl="0">
      <w:lvlJc w:val="left"/>
      <w:lvlText w:val="%1."/>
      <w:numFmt w:val="decimal"/>
      <w:start w:val="2"/>
    </w:lvl>
  </w:abstractNum>
  <w:abstractNum w:abstractNumId="119">
    <w:nsid w:val="116AE494"/>
    <w:multiLevelType w:val="hybridMultilevel"/>
    <w:lvl w:ilvl="0">
      <w:lvlJc w:val="left"/>
      <w:lvlText w:val="(%1)"/>
      <w:numFmt w:val="lowerLetter"/>
      <w:start w:val="12"/>
    </w:lvl>
  </w:abstractNum>
  <w:abstractNum w:abstractNumId="120">
    <w:nsid w:val="3494B2FB"/>
    <w:multiLevelType w:val="hybridMultilevel"/>
    <w:lvl w:ilvl="0">
      <w:lvlJc w:val="left"/>
      <w:lvlText w:val="%1."/>
      <w:numFmt w:val="decimal"/>
      <w:start w:val="2"/>
    </w:lvl>
  </w:abstractNum>
  <w:abstractNum w:abstractNumId="121">
    <w:nsid w:val="B13A31"/>
    <w:multiLevelType w:val="hybridMultilevel"/>
    <w:lvl w:ilvl="0">
      <w:lvlJc w:val="left"/>
      <w:lvlText w:val="(%1)"/>
      <w:numFmt w:val="lowerLetter"/>
      <w:start w:val="18"/>
    </w:lvl>
  </w:abstractNum>
  <w:abstractNum w:abstractNumId="122">
    <w:nsid w:val="64429599"/>
    <w:multiLevelType w:val="hybridMultilevel"/>
    <w:lvl w:ilvl="0">
      <w:lvlJc w:val="left"/>
      <w:lvlText w:val="(%1)"/>
      <w:numFmt w:val="lowerLetter"/>
      <w:start w:val="19"/>
    </w:lvl>
  </w:abstractNum>
  <w:abstractNum w:abstractNumId="123">
    <w:nsid w:val="631F1690"/>
    <w:multiLevelType w:val="hybridMultilevel"/>
    <w:lvl w:ilvl="0">
      <w:lvlJc w:val="left"/>
      <w:lvlText w:val="%1."/>
      <w:numFmt w:val="decimal"/>
      <w:start w:val="2"/>
    </w:lvl>
  </w:abstractNum>
  <w:abstractNum w:abstractNumId="124">
    <w:nsid w:val="25973E32"/>
    <w:multiLevelType w:val="hybridMultilevel"/>
    <w:lvl w:ilvl="0">
      <w:lvlJc w:val="left"/>
      <w:lvlText w:val="%1."/>
      <w:numFmt w:val="decimal"/>
      <w:start w:val="3"/>
    </w:lvl>
  </w:abstractNum>
  <w:abstractNum w:abstractNumId="125">
    <w:nsid w:val="EAD6F57"/>
    <w:multiLevelType w:val="hybridMultilevel"/>
    <w:lvl w:ilvl="0">
      <w:lvlJc w:val="left"/>
      <w:lvlText w:val="%1."/>
      <w:numFmt w:val="decimal"/>
      <w:start w:val="4"/>
    </w:lvl>
  </w:abstractNum>
  <w:abstractNum w:abstractNumId="126">
    <w:nsid w:val="6EC9D844"/>
    <w:multiLevelType w:val="hybridMultilevel"/>
    <w:lvl w:ilvl="0">
      <w:lvlJc w:val="left"/>
      <w:lvlText w:val="%1."/>
      <w:numFmt w:val="decimal"/>
      <w:start w:val="5"/>
    </w:lvl>
  </w:abstractNum>
  <w:abstractNum w:abstractNumId="127">
    <w:nsid w:val="5C49EAEE"/>
    <w:multiLevelType w:val="hybridMultilevel"/>
    <w:lvl w:ilvl="0">
      <w:lvlJc w:val="left"/>
      <w:lvlText w:val="%1."/>
      <w:numFmt w:val="decimal"/>
      <w:start w:val="6"/>
    </w:lvl>
  </w:abstractNum>
  <w:abstractNum w:abstractNumId="128">
    <w:nsid w:val="64AF49B"/>
    <w:multiLevelType w:val="hybridMultilevel"/>
    <w:lvl w:ilvl="0">
      <w:lvlJc w:val="left"/>
      <w:lvlText w:val="(%1)"/>
      <w:numFmt w:val="decimal"/>
      <w:start w:val="1"/>
    </w:lvl>
  </w:abstractNum>
  <w:abstractNum w:abstractNumId="129">
    <w:nsid w:val="397C46BC"/>
    <w:multiLevelType w:val="hybridMultilevel"/>
    <w:lvl w:ilvl="0">
      <w:lvlJc w:val="left"/>
      <w:lvlText w:val="%1."/>
      <w:numFmt w:val="decimal"/>
      <w:start w:val="7"/>
    </w:lvl>
  </w:abstractNum>
  <w:abstractNum w:abstractNumId="130">
    <w:nsid w:val="7E448DE9"/>
    <w:multiLevelType w:val="hybridMultilevel"/>
    <w:lvl w:ilvl="0">
      <w:lvlJc w:val="left"/>
      <w:lvlText w:val="%1."/>
      <w:numFmt w:val="decimal"/>
      <w:start w:val="8"/>
    </w:lvl>
  </w:abstractNum>
  <w:abstractNum w:abstractNumId="131">
    <w:nsid w:val="5A9CC3E5"/>
    <w:multiLevelType w:val="hybridMultilevel"/>
    <w:lvl w:ilvl="0">
      <w:lvlJc w:val="left"/>
      <w:lvlText w:val="%1."/>
      <w:numFmt w:val="decimal"/>
      <w:start w:val="8"/>
    </w:lvl>
  </w:abstractNum>
  <w:abstractNum w:abstractNumId="132">
    <w:nsid w:val="1AFE3625"/>
    <w:multiLevelType w:val="hybridMultilevel"/>
    <w:lvl w:ilvl="0">
      <w:lvlJc w:val="left"/>
      <w:lvlText w:val="%1."/>
      <w:numFmt w:val="decimal"/>
      <w:start w:val="9"/>
    </w:lvl>
  </w:abstractNum>
  <w:abstractNum w:abstractNumId="133">
    <w:nsid w:val="3CA88ECF"/>
    <w:multiLevelType w:val="hybridMultilevel"/>
    <w:lvl w:ilvl="0">
      <w:lvlJc w:val="left"/>
      <w:lvlText w:val="%1."/>
      <w:numFmt w:val="decimal"/>
      <w:start w:val="9"/>
    </w:lvl>
  </w:abstractNum>
  <w:abstractNum w:abstractNumId="134">
    <w:nsid w:val="6EBE4208"/>
    <w:multiLevelType w:val="hybridMultilevel"/>
    <w:lvl w:ilvl="0">
      <w:lvlJc w:val="left"/>
      <w:lvlText w:val="(%1)"/>
      <w:numFmt w:val="decimal"/>
      <w:start w:val="1"/>
    </w:lvl>
  </w:abstractNum>
  <w:abstractNum w:abstractNumId="135">
    <w:nsid w:val="C058DF5"/>
    <w:multiLevelType w:val="hybridMultilevel"/>
    <w:lvl w:ilvl="0">
      <w:lvlJc w:val="left"/>
      <w:lvlText w:val="(%1)"/>
      <w:numFmt w:val="decimal"/>
      <w:start w:val="1"/>
    </w:lvl>
  </w:abstractNum>
  <w:abstractNum w:abstractNumId="136">
    <w:nsid w:val="CBE5BE9"/>
    <w:multiLevelType w:val="hybridMultilevel"/>
    <w:lvl w:ilvl="0">
      <w:lvlJc w:val="left"/>
      <w:lvlText w:val="(%1)"/>
      <w:numFmt w:val="decimal"/>
      <w:start w:val="1"/>
    </w:lvl>
  </w:abstractNum>
  <w:abstractNum w:abstractNumId="137">
    <w:nsid w:val="3102BBE2"/>
    <w:multiLevelType w:val="hybridMultilevel"/>
    <w:lvl w:ilvl="0">
      <w:lvlJc w:val="left"/>
      <w:lvlText w:val="*"/>
      <w:numFmt w:val="bullet"/>
      <w:start w:val="1"/>
    </w:lvl>
  </w:abstractNum>
  <w:abstractNum w:abstractNumId="138">
    <w:nsid w:val="26A02C5E"/>
    <w:multiLevelType w:val="hybridMultilevel"/>
    <w:lvl w:ilvl="0">
      <w:lvlJc w:val="left"/>
      <w:lvlText w:val="*"/>
      <w:numFmt w:val="bullet"/>
      <w:start w:val="1"/>
    </w:lvl>
  </w:abstractNum>
  <w:abstractNum w:abstractNumId="139">
    <w:nsid w:val="541C8153"/>
    <w:multiLevelType w:val="hybridMultilevel"/>
    <w:lvl w:ilvl="0">
      <w:lvlJc w:val="left"/>
      <w:lvlText w:val="*"/>
      <w:numFmt w:val="bullet"/>
      <w:start w:val="1"/>
    </w:lvl>
  </w:abstractNum>
  <w:abstractNum w:abstractNumId="140">
    <w:nsid w:val="67906F60"/>
    <w:multiLevelType w:val="hybridMultilevel"/>
    <w:lvl w:ilvl="0">
      <w:lvlJc w:val="left"/>
      <w:lvlText w:val="*"/>
      <w:numFmt w:val="bullet"/>
      <w:start w:val="1"/>
    </w:lvl>
  </w:abstractNum>
  <w:abstractNum w:abstractNumId="141">
    <w:nsid w:val="10DB9DAA"/>
    <w:multiLevelType w:val="hybridMultilevel"/>
    <w:lvl w:ilvl="0">
      <w:lvlJc w:val="left"/>
      <w:lvlText w:val="%1."/>
      <w:numFmt w:val="decimal"/>
      <w:start w:val="1"/>
    </w:lvl>
  </w:abstractNum>
  <w:abstractNum w:abstractNumId="142">
    <w:nsid w:val="697D2D2"/>
    <w:multiLevelType w:val="hybridMultilevel"/>
    <w:lvl w:ilvl="0">
      <w:lvlJc w:val="left"/>
      <w:lvlText w:val="%1."/>
      <w:numFmt w:val="decimal"/>
      <w:start w:val="2"/>
    </w:lvl>
    <w:lvl w:ilvl="1">
      <w:lvlJc w:val="left"/>
      <w:lvlText w:val="(%2)"/>
      <w:numFmt w:val="lowerLetter"/>
      <w:start w:val="1"/>
    </w:lvl>
  </w:abstractNum>
  <w:abstractNum w:abstractNumId="143">
    <w:nsid w:val="6D68AB2"/>
    <w:multiLevelType w:val="hybridMultilevel"/>
    <w:lvl w:ilvl="0">
      <w:lvlJc w:val="left"/>
      <w:lvlText w:val="%1."/>
      <w:numFmt w:val="decimal"/>
      <w:start w:val="2"/>
    </w:lvl>
  </w:abstractNum>
  <w:abstractNum w:abstractNumId="144">
    <w:nsid w:val="3A966CD0"/>
    <w:multiLevelType w:val="hybridMultilevel"/>
    <w:lvl w:ilvl="0">
      <w:lvlJc w:val="left"/>
      <w:lvlText w:val="(%1)"/>
      <w:numFmt w:val="lowerLetter"/>
      <w:start w:val="3"/>
    </w:lvl>
  </w:abstractNum>
  <w:abstractNum w:abstractNumId="145">
    <w:nsid w:val="63F37E85"/>
    <w:multiLevelType w:val="hybridMultilevel"/>
    <w:lvl w:ilvl="0">
      <w:lvlJc w:val="left"/>
      <w:lvlText w:val="%1."/>
      <w:numFmt w:val="decimal"/>
      <w:start w:val="2"/>
    </w:lvl>
  </w:abstractNum>
  <w:abstractNum w:abstractNumId="146">
    <w:nsid w:val="5895F5FA"/>
    <w:multiLevelType w:val="hybridMultilevel"/>
    <w:lvl w:ilvl="0">
      <w:lvlJc w:val="left"/>
      <w:lvlText w:val="%1."/>
      <w:numFmt w:val="decimal"/>
      <w:start w:val="2"/>
    </w:lvl>
  </w:abstractNum>
  <w:abstractNum w:abstractNumId="147">
    <w:nsid w:val="38A5D054"/>
    <w:multiLevelType w:val="hybridMultilevel"/>
    <w:lvl w:ilvl="0">
      <w:lvlJc w:val="left"/>
      <w:lvlText w:val="(%1)"/>
      <w:numFmt w:val="lowerLetter"/>
      <w:start w:val="5"/>
    </w:lvl>
  </w:abstractNum>
  <w:abstractNum w:abstractNumId="148">
    <w:nsid w:val="F3F09D8"/>
    <w:multiLevelType w:val="hybridMultilevel"/>
    <w:lvl w:ilvl="0">
      <w:lvlJc w:val="left"/>
      <w:lvlText w:val="%1."/>
      <w:numFmt w:val="decimal"/>
      <w:start w:val="2"/>
    </w:lvl>
  </w:abstractNum>
  <w:abstractNum w:abstractNumId="149">
    <w:nsid w:val="4B793735"/>
    <w:multiLevelType w:val="hybridMultilevel"/>
    <w:lvl w:ilvl="0">
      <w:lvlJc w:val="left"/>
      <w:lvlText w:val="(%1)"/>
      <w:numFmt w:val="lowerLetter"/>
      <w:start w:val="6"/>
    </w:lvl>
  </w:abstractNum>
  <w:abstractNum w:abstractNumId="150">
    <w:nsid w:val="4A10B4E8"/>
    <w:multiLevelType w:val="hybridMultilevel"/>
    <w:lvl w:ilvl="0">
      <w:lvlJc w:val="left"/>
      <w:lvlText w:val="%1."/>
      <w:numFmt w:val="decimal"/>
      <w:start w:val="3"/>
    </w:lvl>
  </w:abstractNum>
  <w:abstractNum w:abstractNumId="151">
    <w:nsid w:val="43D3BCD4"/>
    <w:multiLevelType w:val="hybridMultilevel"/>
    <w:lvl w:ilvl="0">
      <w:lvlJc w:val="left"/>
      <w:lvlText w:val="%1."/>
      <w:numFmt w:val="decimal"/>
      <w:start w:val="4"/>
    </w:lvl>
  </w:abstractNum>
  <w:abstractNum w:abstractNumId="152">
    <w:nsid w:val="4C2A7166"/>
    <w:multiLevelType w:val="hybridMultilevel"/>
    <w:lvl w:ilvl="0">
      <w:lvlJc w:val="left"/>
      <w:lvlText w:val="%1."/>
      <w:numFmt w:val="decimal"/>
      <w:start w:val="5"/>
    </w:lvl>
  </w:abstractNum>
  <w:abstractNum w:abstractNumId="153">
    <w:nsid w:val="2E534A82"/>
    <w:multiLevelType w:val="hybridMultilevel"/>
    <w:lvl w:ilvl="0">
      <w:lvlJc w:val="left"/>
      <w:lvlText w:val="%1."/>
      <w:numFmt w:val="decimal"/>
      <w:start w:val="6"/>
    </w:lvl>
  </w:abstractNum>
  <w:abstractNum w:abstractNumId="154">
    <w:nsid w:val="26F2D364"/>
    <w:multiLevelType w:val="hybridMultilevel"/>
    <w:lvl w:ilvl="0">
      <w:lvlJc w:val="left"/>
      <w:lvlText w:val="(%1)"/>
      <w:numFmt w:val="decimal"/>
      <w:start w:val="1"/>
    </w:lvl>
  </w:abstractNum>
  <w:abstractNum w:abstractNumId="155">
    <w:nsid w:val="71C1AF98"/>
    <w:multiLevelType w:val="hybridMultilevel"/>
    <w:lvl w:ilvl="0">
      <w:lvlJc w:val="left"/>
      <w:lvlText w:val="%1."/>
      <w:numFmt w:val="decimal"/>
      <w:start w:val="7"/>
    </w:lvl>
  </w:abstractNum>
  <w:abstractNum w:abstractNumId="156">
    <w:nsid w:val="3D00B9D9"/>
    <w:multiLevelType w:val="hybridMultilevel"/>
    <w:lvl w:ilvl="0">
      <w:lvlJc w:val="left"/>
      <w:lvlText w:val="%1."/>
      <w:numFmt w:val="decimal"/>
      <w:start w:val="8"/>
    </w:lvl>
  </w:abstractNum>
  <w:abstractNum w:abstractNumId="157">
    <w:nsid w:val="15BCABA8"/>
    <w:multiLevelType w:val="hybridMultilevel"/>
    <w:lvl w:ilvl="0">
      <w:lvlJc w:val="left"/>
      <w:lvlText w:val="%1."/>
      <w:numFmt w:val="decimal"/>
      <w:start w:val="9"/>
    </w:lvl>
  </w:abstractNum>
  <w:abstractNum w:abstractNumId="158">
    <w:nsid w:val="4E0B9A87"/>
    <w:multiLevelType w:val="hybridMultilevel"/>
    <w:lvl w:ilvl="0">
      <w:lvlJc w:val="left"/>
      <w:lvlText w:val="%1."/>
      <w:numFmt w:val="decimal"/>
      <w:start w:val="9"/>
    </w:lvl>
  </w:abstractNum>
  <w:abstractNum w:abstractNumId="159">
    <w:nsid w:val="434BAE75"/>
    <w:multiLevelType w:val="hybridMultilevel"/>
    <w:lvl w:ilvl="0">
      <w:lvlJc w:val="left"/>
      <w:lvlText w:val="(%1)"/>
      <w:numFmt w:val="decimal"/>
      <w:start w:val="1"/>
    </w:lvl>
  </w:abstractNum>
  <w:abstractNum w:abstractNumId="160">
    <w:nsid w:val="4F38F265"/>
    <w:multiLevelType w:val="hybridMultilevel"/>
    <w:lvl w:ilvl="0">
      <w:lvlJc w:val="left"/>
      <w:lvlText w:val="(%1)"/>
      <w:numFmt w:val="decimal"/>
      <w:start w:val="1"/>
    </w:lvl>
  </w:abstractNum>
  <w:abstractNum w:abstractNumId="161">
    <w:nsid w:val="4C502870"/>
    <w:multiLevelType w:val="hybridMultilevel"/>
    <w:lvl w:ilvl="0">
      <w:lvlJc w:val="left"/>
      <w:lvlText w:val="(%1)"/>
      <w:numFmt w:val="decimal"/>
      <w:start w:val="1"/>
    </w:lvl>
  </w:abstractNum>
  <w:abstractNum w:abstractNumId="162">
    <w:nsid w:val="1DE8725A"/>
    <w:multiLevelType w:val="hybridMultilevel"/>
    <w:lvl w:ilvl="0">
      <w:lvlJc w:val="left"/>
      <w:lvlText w:val="(%1)"/>
      <w:numFmt w:val="decimal"/>
      <w:start w:val="1"/>
    </w:lvl>
  </w:abstractNum>
  <w:abstractNum w:abstractNumId="163">
    <w:nsid w:val="6A37288A"/>
    <w:multiLevelType w:val="hybridMultilevel"/>
    <w:lvl w:ilvl="0">
      <w:lvlJc w:val="left"/>
      <w:lvlText w:val="(%1)"/>
      <w:numFmt w:val="lowerLetter"/>
      <w:start w:val="1"/>
    </w:lvl>
  </w:abstractNum>
  <w:abstractNum w:abstractNumId="164">
    <w:nsid w:val="8F8B73F"/>
    <w:multiLevelType w:val="hybridMultilevel"/>
    <w:lvl w:ilvl="0">
      <w:lvlJc w:val="left"/>
      <w:lvlText w:val="(%1)"/>
      <w:numFmt w:val="decimal"/>
      <w:start w:val="1"/>
    </w:lvl>
  </w:abstractNum>
  <w:abstractNum w:abstractNumId="165">
    <w:nsid w:val="CA6B462"/>
    <w:multiLevelType w:val="hybridMultilevel"/>
    <w:lvl w:ilvl="0">
      <w:lvlJc w:val="left"/>
      <w:lvlText w:val="(%1)"/>
      <w:numFmt w:val="lowerRoman"/>
      <w:start w:val="1"/>
    </w:lvl>
  </w:abstractNum>
  <w:abstractNum w:abstractNumId="166">
    <w:nsid w:val="763CB680"/>
    <w:multiLevelType w:val="hybridMultilevel"/>
    <w:lvl w:ilvl="0">
      <w:lvlJc w:val="left"/>
      <w:lvlText w:val="*"/>
      <w:numFmt w:val="bullet"/>
      <w:start w:val="1"/>
    </w:lvl>
  </w:abstractNum>
  <w:abstractNum w:abstractNumId="167">
    <w:nsid w:val="15B71329"/>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168">
    <w:nsid w:val="3DA97044"/>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1"/>
    </w:lvl>
  </w:abstractNum>
  <w:abstractNum w:abstractNumId="169">
    <w:nsid w:val="1CDCE2DE"/>
    <w:multiLevelType w:val="hybridMultilevel"/>
    <w:lvl w:ilvl="0">
      <w:lvlJc w:val="left"/>
      <w:lvlText w:val="(%1)"/>
      <w:numFmt w:val="lowerRoman"/>
      <w:start w:val="3"/>
    </w:lvl>
    <w:lvl w:ilvl="1">
      <w:lvlJc w:val="left"/>
      <w:lvlText w:val="%2"/>
      <w:numFmt w:val="lowerRoman"/>
      <w:start w:val="1"/>
    </w:lvl>
    <w:lvl w:ilvl="2">
      <w:lvlJc w:val="left"/>
      <w:lvlText w:val="%3"/>
      <w:numFmt w:val="lowerRoman"/>
      <w:start w:val="1"/>
    </w:lvl>
  </w:abstractNum>
  <w:abstractNum w:abstractNumId="170">
    <w:nsid w:val="69D3947C"/>
    <w:multiLevelType w:val="hybridMultilevel"/>
    <w:lvl w:ilvl="0">
      <w:lvlJc w:val="left"/>
      <w:lvlText w:val="(%1)"/>
      <w:numFmt w:val="upperLetter"/>
      <w:start w:val="24"/>
    </w:lvl>
  </w:abstractNum>
  <w:abstractNum w:abstractNumId="171">
    <w:nsid w:val="2539DFA5"/>
    <w:multiLevelType w:val="hybridMultilevel"/>
    <w:lvl w:ilvl="0">
      <w:lvlJc w:val="left"/>
      <w:lvlText w:val="(%1)"/>
      <w:numFmt w:val="lowerRoman"/>
      <w:start w:val="1"/>
    </w:lvl>
  </w:abstractNum>
  <w:abstractNum w:abstractNumId="172">
    <w:nsid w:val="2DB88089"/>
    <w:multiLevelType w:val="hybridMultilevel"/>
    <w:lvl w:ilvl="0">
      <w:lvlJc w:val="left"/>
      <w:lvlText w:val="(%1)"/>
      <w:numFmt w:val="lowerLetter"/>
      <w:start w:val="1"/>
    </w:lvl>
  </w:abstractNum>
  <w:abstractNum w:abstractNumId="173">
    <w:nsid w:val="706B674E"/>
    <w:multiLevelType w:val="hybridMultilevel"/>
    <w:lvl w:ilvl="0">
      <w:lvlJc w:val="left"/>
      <w:lvlText w:val="(%1)"/>
      <w:numFmt w:val="lowerLetter"/>
      <w:start w:val="2"/>
    </w:lvl>
  </w:abstractNum>
  <w:abstractNum w:abstractNumId="174">
    <w:nsid w:val="2C106A57"/>
    <w:multiLevelType w:val="hybridMultilevel"/>
    <w:lvl w:ilvl="0">
      <w:lvlJc w:val="left"/>
      <w:lvlText w:val="(%1)"/>
      <w:numFmt w:val="lowerLetter"/>
      <w:start w:val="1"/>
    </w:lvl>
  </w:abstractNum>
  <w:abstractNum w:abstractNumId="175">
    <w:nsid w:val="684EED59"/>
    <w:multiLevelType w:val="hybridMultilevel"/>
    <w:lvl w:ilvl="0">
      <w:lvlJc w:val="left"/>
      <w:lvlText w:val="%1"/>
      <w:numFmt w:val="lowerLetter"/>
      <w:start w:val="1"/>
    </w:lvl>
    <w:lvl w:ilvl="1">
      <w:lvlJc w:val="left"/>
      <w:lvlText w:val="(%2)"/>
      <w:numFmt w:val="lowerLetter"/>
      <w:start w:val="2"/>
    </w:lvl>
  </w:abstractNum>
  <w:abstractNum w:abstractNumId="176">
    <w:nsid w:val="545EE5D3"/>
    <w:multiLevelType w:val="hybridMultilevel"/>
    <w:lvl w:ilvl="0">
      <w:lvlJc w:val="left"/>
      <w:lvlText w:val="(%1)"/>
      <w:numFmt w:val="lowerLetter"/>
      <w:start w:val="35"/>
    </w:lvl>
    <w:lvl w:ilvl="1">
      <w:lvlJc w:val="left"/>
      <w:lvlText w:val="(%2)"/>
      <w:numFmt w:val="lowerLetter"/>
      <w:start w:val="3"/>
    </w:lvl>
  </w:abstractNum>
  <w:abstractNum w:abstractNumId="177">
    <w:nsid w:val="4A66051"/>
    <w:multiLevelType w:val="hybridMultilevel"/>
    <w:lvl w:ilvl="0">
      <w:lvlJc w:val="left"/>
      <w:lvlText w:val="(%1)"/>
      <w:numFmt w:val="lowerRoman"/>
      <w:start w:val="2"/>
    </w:lvl>
  </w:abstractNum>
  <w:abstractNum w:abstractNumId="178">
    <w:nsid w:val="20F4BDAD"/>
    <w:multiLevelType w:val="hybridMultilevel"/>
    <w:lvl w:ilvl="0">
      <w:lvlJc w:val="left"/>
      <w:lvlText w:val="%1"/>
      <w:numFmt w:val="lowerLetter"/>
      <w:start w:val="1"/>
    </w:lvl>
    <w:lvl w:ilvl="1">
      <w:lvlJc w:val="left"/>
      <w:lvlText w:val="(%2)"/>
      <w:numFmt w:val="lowerLetter"/>
      <w:start w:val="1"/>
    </w:lvl>
  </w:abstractNum>
  <w:abstractNum w:abstractNumId="179">
    <w:nsid w:val="639DEFAC"/>
    <w:multiLevelType w:val="hybridMultilevel"/>
    <w:lvl w:ilvl="0">
      <w:lvlJc w:val="left"/>
      <w:lvlText w:val="(%1)"/>
      <w:numFmt w:val="lowerLetter"/>
      <w:start w:val="61"/>
    </w:lvl>
    <w:lvl w:ilvl="1">
      <w:lvlJc w:val="left"/>
      <w:lvlText w:val="(%2)"/>
      <w:numFmt w:val="lowerLetter"/>
      <w:start w:val="2"/>
    </w:lvl>
  </w:abstractNum>
  <w:abstractNum w:abstractNumId="180">
    <w:nsid w:val="501F9786"/>
    <w:multiLevelType w:val="hybridMultilevel"/>
    <w:lvl w:ilvl="0">
      <w:lvlJc w:val="left"/>
      <w:lvlText w:val="%1"/>
      <w:numFmt w:val="upperLetter"/>
      <w:start w:val="1"/>
    </w:lvl>
    <w:lvl w:ilvl="1">
      <w:lvlJc w:val="left"/>
      <w:lvlText w:val="(%2)"/>
      <w:numFmt w:val="lowerLetter"/>
      <w:start w:val="1"/>
    </w:lvl>
  </w:abstractNum>
  <w:abstractNum w:abstractNumId="181">
    <w:nsid w:val="6B057295"/>
    <w:multiLevelType w:val="hybridMultilevel"/>
    <w:lvl w:ilvl="0">
      <w:lvlJc w:val="left"/>
      <w:lvlText w:val="(%1)"/>
      <w:numFmt w:val="upperLetter"/>
      <w:start w:val="1"/>
    </w:lvl>
    <w:lvl w:ilvl="1">
      <w:lvlJc w:val="left"/>
      <w:lvlText w:val="(%2)"/>
      <w:numFmt w:val="lowerLetter"/>
      <w:start w:val="2"/>
    </w:lvl>
  </w:abstractNum>
  <w:abstractNum w:abstractNumId="182">
    <w:nsid w:val="2771AC80"/>
    <w:multiLevelType w:val="hybridMultilevel"/>
    <w:lvl w:ilvl="0">
      <w:lvlJc w:val="left"/>
      <w:lvlText w:val="(%1)"/>
      <w:numFmt w:val="lowerRoman"/>
      <w:start w:val="1"/>
    </w:lvl>
  </w:abstractNum>
  <w:abstractNum w:abstractNumId="183">
    <w:nsid w:val="1C4A08EC"/>
    <w:multiLevelType w:val="hybridMultilevel"/>
    <w:lvl w:ilvl="0">
      <w:lvlJc w:val="left"/>
      <w:lvlText w:val="(%1)"/>
      <w:numFmt w:val="lowerRoman"/>
      <w:start w:val="1"/>
    </w:lvl>
  </w:abstractNum>
  <w:abstractNum w:abstractNumId="184">
    <w:nsid w:val="1958BD17"/>
    <w:multiLevelType w:val="hybridMultilevel"/>
    <w:lvl w:ilvl="0">
      <w:lvlJc w:val="left"/>
      <w:lvlText w:val="(%1)"/>
      <w:numFmt w:val="lowerRoman"/>
      <w:start w:val="10"/>
    </w:lvl>
  </w:abstractNum>
  <w:abstractNum w:abstractNumId="185">
    <w:nsid w:val="4E647FE4"/>
    <w:multiLevelType w:val="hybridMultilevel"/>
    <w:lvl w:ilvl="0">
      <w:lvlJc w:val="left"/>
      <w:lvlText w:val="(%1)"/>
      <w:numFmt w:val="lowerRoman"/>
      <w:start w:val="2"/>
    </w:lvl>
  </w:abstractNum>
  <w:abstractNum w:abstractNumId="186">
    <w:nsid w:val="E0BB885"/>
    <w:multiLevelType w:val="hybridMultilevel"/>
    <w:lvl w:ilvl="0">
      <w:lvlJc w:val="left"/>
      <w:lvlText w:val="(%1)"/>
      <w:numFmt w:val="lowerLetter"/>
      <w:start w:val="1"/>
    </w:lvl>
  </w:abstractNum>
  <w:abstractNum w:abstractNumId="187">
    <w:nsid w:val="565976F1"/>
    <w:multiLevelType w:val="hybridMultilevel"/>
    <w:lvl w:ilvl="0">
      <w:lvlJc w:val="left"/>
      <w:lvlText w:val="%1"/>
      <w:numFmt w:val="lowerLetter"/>
      <w:start w:val="1"/>
    </w:lvl>
    <w:lvl w:ilvl="1">
      <w:lvlJc w:val="left"/>
      <w:lvlText w:val="(%2)"/>
      <w:numFmt w:val="lowerLetter"/>
      <w:start w:val="1"/>
    </w:lvl>
  </w:abstractNum>
  <w:abstractNum w:abstractNumId="188">
    <w:nsid w:val="64212B8C"/>
    <w:multiLevelType w:val="hybridMultilevel"/>
    <w:lvl w:ilvl="0">
      <w:lvlJc w:val="left"/>
      <w:lvlText w:val="(%1)"/>
      <w:numFmt w:val="lowerLetter"/>
      <w:start w:val="35"/>
    </w:lvl>
    <w:lvl w:ilvl="1">
      <w:lvlJc w:val="left"/>
      <w:lvlText w:val="%2"/>
      <w:numFmt w:val="lowerLetter"/>
      <w:start w:val="1"/>
    </w:lvl>
  </w:abstractNum>
  <w:abstractNum w:abstractNumId="189">
    <w:nsid w:val="5C17530C"/>
    <w:multiLevelType w:val="hybridMultilevel"/>
    <w:lvl w:ilvl="0">
      <w:lvlJc w:val="left"/>
      <w:lvlText w:val="(%1)"/>
      <w:numFmt w:val="lowerLetter"/>
      <w:start w:val="4"/>
    </w:lvl>
  </w:abstractNum>
  <w:abstractNum w:abstractNumId="190">
    <w:nsid w:val="19A52566"/>
    <w:multiLevelType w:val="hybridMultilevel"/>
    <w:lvl w:ilvl="0">
      <w:lvlJc w:val="left"/>
      <w:lvlText w:val="(%1)"/>
      <w:numFmt w:val="lowerRoman"/>
      <w:start w:val="2"/>
    </w:lvl>
  </w:abstractNum>
  <w:abstractNum w:abstractNumId="191">
    <w:nsid w:val="335A1DF1"/>
    <w:multiLevelType w:val="hybridMultilevel"/>
    <w:lvl w:ilvl="0">
      <w:lvlJc w:val="left"/>
      <w:lvlText w:val="(%1)"/>
      <w:numFmt w:val="lowerRoman"/>
      <w:start w:val="1"/>
    </w:lvl>
  </w:abstractNum>
  <w:abstractNum w:abstractNumId="192">
    <w:nsid w:val="28677B7C"/>
    <w:multiLevelType w:val="hybridMultilevel"/>
    <w:lvl w:ilvl="0">
      <w:lvlJc w:val="left"/>
      <w:lvlText w:val="(%1)"/>
      <w:numFmt w:val="lowerRoman"/>
      <w:start w:val="2"/>
    </w:lvl>
  </w:abstractNum>
  <w:abstractNum w:abstractNumId="193">
    <w:nsid w:val="378D97C0"/>
    <w:multiLevelType w:val="hybridMultilevel"/>
    <w:lvl w:ilvl="0">
      <w:lvlJc w:val="left"/>
      <w:lvlText w:val="(%1)"/>
      <w:numFmt w:val="lowerRoman"/>
      <w:start w:val="4"/>
    </w:lvl>
  </w:abstractNum>
  <w:abstractNum w:abstractNumId="194">
    <w:nsid w:val="1D91467C"/>
    <w:multiLevelType w:val="hybridMultilevel"/>
    <w:lvl w:ilvl="0">
      <w:lvlJc w:val="left"/>
      <w:lvlText w:val="(%1)"/>
      <w:numFmt w:val="lowerLetter"/>
      <w:start w:val="1"/>
    </w:lvl>
  </w:abstractNum>
  <w:abstractNum w:abstractNumId="195">
    <w:nsid w:val="316032BB"/>
    <w:multiLevelType w:val="hybridMultilevel"/>
    <w:lvl w:ilvl="0">
      <w:lvlJc w:val="left"/>
      <w:lvlText w:val="(%1)"/>
      <w:numFmt w:val="lowerLetter"/>
      <w:start w:val="1"/>
    </w:lvl>
  </w:abstractNum>
  <w:abstractNum w:abstractNumId="196">
    <w:nsid w:val="44344C22"/>
    <w:multiLevelType w:val="hybridMultilevel"/>
    <w:lvl w:ilvl="0">
      <w:lvlJc w:val="left"/>
      <w:lvlText w:val="(%1)"/>
      <w:numFmt w:val="lowerLetter"/>
      <w:start w:val="1"/>
    </w:lvl>
  </w:abstractNum>
  <w:abstractNum w:abstractNumId="197">
    <w:nsid w:val="13CDFCFC"/>
    <w:multiLevelType w:val="hybridMultilevel"/>
    <w:lvl w:ilvl="0">
      <w:lvlJc w:val="left"/>
      <w:lvlText w:val="%1"/>
      <w:numFmt w:val="lowerLetter"/>
      <w:start w:val="1"/>
    </w:lvl>
    <w:lvl w:ilvl="1">
      <w:lvlJc w:val="left"/>
      <w:lvlText w:val="(%2)"/>
      <w:numFmt w:val="decimal"/>
      <w:start w:val="1"/>
    </w:lvl>
  </w:abstractNum>
  <w:abstractNum w:abstractNumId="198">
    <w:nsid w:val="471745E4"/>
    <w:multiLevelType w:val="hybridMultilevel"/>
    <w:lvl w:ilvl="0">
      <w:lvlJc w:val="left"/>
      <w:lvlText w:val="(%1)"/>
      <w:numFmt w:val="lowerLetter"/>
      <w:start w:val="2"/>
    </w:lvl>
    <w:lvl w:ilvl="1">
      <w:lvlJc w:val="left"/>
      <w:lvlText w:val="%2"/>
      <w:numFmt w:val="decimal"/>
      <w:start w:val="1"/>
    </w:lvl>
  </w:abstractNum>
  <w:abstractNum w:abstractNumId="199">
    <w:nsid w:val="1DDBC66"/>
    <w:multiLevelType w:val="hybridMultilevel"/>
    <w:lvl w:ilvl="0">
      <w:lvlJc w:val="left"/>
      <w:lvlText w:val="%1"/>
      <w:numFmt w:val="lowerRoman"/>
      <w:start w:val="1"/>
    </w:lvl>
    <w:lvl w:ilvl="1">
      <w:lvlJc w:val="left"/>
      <w:lvlText w:val="(%2)"/>
      <w:numFmt w:val="decimal"/>
      <w:start w:val="2"/>
    </w:lvl>
  </w:abstractNum>
  <w:abstractNum w:abstractNumId="200">
    <w:nsid w:val="30AADFDA"/>
    <w:multiLevelType w:val="hybridMultilevel"/>
    <w:lvl w:ilvl="0">
      <w:lvlJc w:val="left"/>
      <w:lvlText w:val="(%1)"/>
      <w:numFmt w:val="lowerRoman"/>
      <w:start w:val="4"/>
    </w:lvl>
    <w:lvl w:ilvl="1">
      <w:lvlJc w:val="left"/>
      <w:lvlText w:val="%2"/>
      <w:numFmt w:val="decimal"/>
      <w:start w:val="1"/>
    </w:lvl>
  </w:abstractNum>
  <w:abstractNum w:abstractNumId="201">
    <w:nsid w:val="30EADA61"/>
    <w:multiLevelType w:val="hybridMultilevel"/>
    <w:lvl w:ilvl="0">
      <w:lvlJc w:val="left"/>
      <w:lvlText w:val="(%1)"/>
      <w:numFmt w:val="decimal"/>
      <w:start w:val="3"/>
    </w:lvl>
  </w:abstractNum>
  <w:abstractNum w:abstractNumId="202">
    <w:nsid w:val="27179C0B"/>
    <w:multiLevelType w:val="hybridMultilevel"/>
    <w:lvl w:ilvl="0">
      <w:lvlJc w:val="left"/>
      <w:lvlText w:val="(%1)"/>
      <w:numFmt w:val="lowerRoman"/>
      <w:start w:val="2"/>
    </w:lvl>
    <w:lvl w:ilvl="1">
      <w:lvlJc w:val="left"/>
      <w:lvlText w:val="(%2)"/>
      <w:numFmt w:val="decimal"/>
      <w:start w:val="4"/>
    </w:lvl>
  </w:abstractNum>
  <w:abstractNum w:abstractNumId="203">
    <w:nsid w:val="5E636063"/>
    <w:multiLevelType w:val="hybridMultilevel"/>
    <w:lvl w:ilvl="0">
      <w:lvlJc w:val="left"/>
      <w:lvlText w:val="(%1)"/>
      <w:numFmt w:val="decimal"/>
      <w:start w:val="5"/>
    </w:lvl>
  </w:abstractNum>
  <w:abstractNum w:abstractNumId="204">
    <w:nsid w:val="215641AF"/>
    <w:multiLevelType w:val="hybridMultilevel"/>
    <w:lvl w:ilvl="0">
      <w:lvlJc w:val="left"/>
      <w:lvlText w:val="(%1)"/>
      <w:numFmt w:val="decimal"/>
      <w:start w:val="7"/>
    </w:lvl>
  </w:abstractNum>
  <w:abstractNum w:abstractNumId="205">
    <w:nsid w:val="53280662"/>
    <w:multiLevelType w:val="hybridMultilevel"/>
    <w:lvl w:ilvl="0">
      <w:lvlJc w:val="left"/>
      <w:lvlText w:val="(%1)"/>
      <w:numFmt w:val="decimal"/>
      <w:start w:val="9"/>
    </w:lvl>
  </w:abstractNum>
  <w:abstractNum w:abstractNumId="206">
    <w:nsid w:val="46B24DBC"/>
    <w:multiLevelType w:val="hybridMultilevel"/>
    <w:lvl w:ilvl="0">
      <w:lvlJc w:val="left"/>
      <w:lvlText w:val="(%1)"/>
      <w:numFmt w:val="lowerRoman"/>
      <w:start w:val="1"/>
    </w:lvl>
  </w:abstractNum>
  <w:abstractNum w:abstractNumId="207">
    <w:nsid w:val="75B52783"/>
    <w:multiLevelType w:val="hybridMultilevel"/>
    <w:lvl w:ilvl="0">
      <w:lvlJc w:val="left"/>
      <w:lvlText w:val="(%1)"/>
      <w:numFmt w:val="lowerRoman"/>
      <w:start w:val="3"/>
    </w:lvl>
  </w:abstractNum>
  <w:abstractNum w:abstractNumId="208">
    <w:nsid w:val="57CE66B4"/>
    <w:multiLevelType w:val="hybridMultilevel"/>
    <w:lvl w:ilvl="0">
      <w:lvlJc w:val="left"/>
      <w:lvlText w:val="(%1)"/>
      <w:numFmt w:val="lowerRoman"/>
      <w:start w:val="1"/>
    </w:lvl>
  </w:abstractNum>
  <w:abstractNum w:abstractNumId="209">
    <w:nsid w:val="67A70B69"/>
    <w:multiLevelType w:val="hybridMultilevel"/>
    <w:lvl w:ilvl="0">
      <w:lvlJc w:val="left"/>
      <w:lvlText w:val="(%1)"/>
      <w:numFmt w:val="decimal"/>
      <w:start w:val="12"/>
    </w:lvl>
  </w:abstractNum>
  <w:abstractNum w:abstractNumId="210">
    <w:nsid w:val="5953172F"/>
    <w:multiLevelType w:val="hybridMultilevel"/>
    <w:lvl w:ilvl="0">
      <w:lvlJc w:val="left"/>
      <w:lvlText w:val="(%1)"/>
      <w:numFmt w:val="decimal"/>
      <w:start w:val="14"/>
    </w:lvl>
  </w:abstractNum>
  <w:abstractNum w:abstractNumId="211">
    <w:nsid w:val="27EDFE3A"/>
    <w:multiLevelType w:val="hybridMultilevel"/>
    <w:lvl w:ilvl="0">
      <w:lvlJc w:val="left"/>
      <w:lvlText w:val="(%1)"/>
      <w:numFmt w:val="decimal"/>
      <w:start w:val="15"/>
    </w:lvl>
  </w:abstractNum>
  <w:abstractNum w:abstractNumId="212">
    <w:nsid w:val="52AC7DFF"/>
    <w:multiLevelType w:val="hybridMultilevel"/>
    <w:lvl w:ilvl="0">
      <w:lvlJc w:val="left"/>
      <w:lvlText w:val="%1"/>
      <w:numFmt w:val="lowerLetter"/>
      <w:start w:val="1"/>
    </w:lvl>
    <w:lvl w:ilvl="1">
      <w:lvlJc w:val="left"/>
      <w:lvlText w:val="(%2)"/>
      <w:numFmt w:val="lowerLetter"/>
      <w:start w:val="2"/>
    </w:lvl>
  </w:abstractNum>
  <w:abstractNum w:abstractNumId="213">
    <w:nsid w:val="C4C3AF"/>
    <w:multiLevelType w:val="hybridMultilevel"/>
    <w:lvl w:ilvl="0">
      <w:lvlJc w:val="left"/>
      <w:lvlText w:val="(%1)"/>
      <w:numFmt w:val="lowerLetter"/>
      <w:start w:val="9"/>
    </w:lvl>
    <w:lvl w:ilvl="1">
      <w:lvlJc w:val="left"/>
      <w:lvlText w:val="%2"/>
      <w:numFmt w:val="lowerLetter"/>
      <w:start w:val="1"/>
    </w:lvl>
  </w:abstractNum>
  <w:abstractNum w:abstractNumId="214">
    <w:nsid w:val="44380727"/>
    <w:multiLevelType w:val="hybridMultilevel"/>
    <w:lvl w:ilvl="0">
      <w:lvlJc w:val="left"/>
      <w:lvlText w:val="(%1)"/>
      <w:numFmt w:val="lowerLetter"/>
      <w:start w:val="2"/>
    </w:lvl>
    <w:lvl w:ilvl="1">
      <w:lvlJc w:val="left"/>
      <w:lvlText w:val="%2"/>
      <w:numFmt w:val="lowerLetter"/>
      <w:start w:val="1"/>
    </w:lvl>
  </w:abstractNum>
  <w:abstractNum w:abstractNumId="215">
    <w:nsid w:val="6C053B16"/>
    <w:multiLevelType w:val="hybridMultilevel"/>
    <w:lvl w:ilvl="0">
      <w:lvlJc w:val="left"/>
      <w:lvlText w:val="%1"/>
      <w:numFmt w:val="lowerLetter"/>
      <w:start w:val="1"/>
    </w:lvl>
    <w:lvl w:ilvl="1">
      <w:lvlJc w:val="left"/>
      <w:lvlText w:val="(%2)"/>
      <w:numFmt w:val="lowerLetter"/>
      <w:start w:val="3"/>
    </w:lvl>
  </w:abstractNum>
  <w:abstractNum w:abstractNumId="216">
    <w:nsid w:val="4F294393"/>
    <w:multiLevelType w:val="hybridMultilevel"/>
    <w:lvl w:ilvl="0">
      <w:lvlJc w:val="left"/>
      <w:lvlText w:val="(%1)"/>
      <w:numFmt w:val="lowerLetter"/>
      <w:start w:val="35"/>
    </w:lvl>
    <w:lvl w:ilvl="1">
      <w:lvlJc w:val="left"/>
      <w:lvlText w:val="(%2)"/>
      <w:numFmt w:val="lowerLetter"/>
      <w:start w:val="4"/>
    </w:lvl>
  </w:abstractNum>
  <w:abstractNum w:abstractNumId="217">
    <w:nsid w:val="5243BFAC"/>
    <w:multiLevelType w:val="hybridMultilevel"/>
    <w:lvl w:ilvl="0">
      <w:lvlJc w:val="left"/>
      <w:lvlText w:val="(%1)"/>
      <w:numFmt w:val="lowerLetter"/>
      <w:start w:val="5"/>
    </w:lvl>
  </w:abstractNum>
  <w:abstractNum w:abstractNumId="218">
    <w:nsid w:val="425EB207"/>
    <w:multiLevelType w:val="hybridMultilevel"/>
    <w:lvl w:ilvl="0">
      <w:lvlJc w:val="left"/>
      <w:lvlText w:val="(%1)"/>
      <w:numFmt w:val="decimal"/>
      <w:start w:val="16"/>
    </w:lvl>
  </w:abstractNum>
  <w:abstractNum w:abstractNumId="219">
    <w:nsid w:val="334A6F1F"/>
    <w:multiLevelType w:val="hybridMultilevel"/>
    <w:lvl w:ilvl="0">
      <w:lvlJc w:val="left"/>
      <w:lvlText w:val="(%1)"/>
      <w:numFmt w:val="decimal"/>
      <w:start w:val="17"/>
    </w:lvl>
  </w:abstractNum>
  <w:abstractNum w:abstractNumId="220">
    <w:nsid w:val="2E5B12B8"/>
    <w:multiLevelType w:val="hybridMultilevel"/>
    <w:lvl w:ilvl="0">
      <w:lvlJc w:val="left"/>
      <w:lvlText w:val="%1"/>
      <w:numFmt w:val="lowerRoman"/>
      <w:start w:val="1"/>
    </w:lvl>
    <w:lvl w:ilvl="1">
      <w:lvlJc w:val="left"/>
      <w:lvlText w:val="(%2)"/>
      <w:numFmt w:val="decimal"/>
      <w:start w:val="19"/>
    </w:lvl>
  </w:abstractNum>
  <w:abstractNum w:abstractNumId="221">
    <w:nsid w:val="5C03D76D"/>
    <w:multiLevelType w:val="hybridMultilevel"/>
    <w:lvl w:ilvl="0">
      <w:lvlJc w:val="left"/>
      <w:lvlText w:val="(%1)"/>
      <w:numFmt w:val="lowerRoman"/>
      <w:start w:val="2"/>
    </w:lvl>
    <w:lvl w:ilvl="1">
      <w:lvlJc w:val="left"/>
      <w:lvlText w:val="%2"/>
      <w:numFmt w:val="decimal"/>
      <w:start w:val="1"/>
    </w:lvl>
  </w:abstractNum>
  <w:abstractNum w:abstractNumId="222">
    <w:nsid w:val="66A48D11"/>
    <w:multiLevelType w:val="hybridMultilevel"/>
    <w:lvl w:ilvl="0">
      <w:lvlJc w:val="left"/>
      <w:lvlText w:val="(%1)"/>
      <w:numFmt w:val="lowerRoman"/>
      <w:start w:val="2"/>
    </w:lvl>
    <w:lvl w:ilvl="1">
      <w:lvlJc w:val="left"/>
      <w:lvlText w:val="%2"/>
      <w:numFmt w:val="decimal"/>
      <w:start w:val="1"/>
    </w:lvl>
  </w:abstractNum>
  <w:abstractNum w:abstractNumId="223">
    <w:nsid w:val="56C28E34"/>
    <w:multiLevelType w:val="hybridMultilevel"/>
    <w:lvl w:ilvl="0">
      <w:lvlJc w:val="left"/>
      <w:lvlText w:val="(%1)"/>
      <w:numFmt w:val="decimal"/>
      <w:start w:val="20"/>
    </w:lvl>
  </w:abstractNum>
  <w:abstractNum w:abstractNumId="224">
    <w:nsid w:val="13916F2D"/>
    <w:multiLevelType w:val="hybridMultilevel"/>
    <w:lvl w:ilvl="0">
      <w:lvlJc w:val="left"/>
      <w:lvlText w:val="(%1)"/>
      <w:numFmt w:val="decimal"/>
      <w:start w:val="21"/>
    </w:lvl>
  </w:abstractNum>
  <w:abstractNum w:abstractNumId="225">
    <w:nsid w:val="435D38D"/>
    <w:multiLevelType w:val="hybridMultilevel"/>
    <w:lvl w:ilvl="0">
      <w:lvlJc w:val="left"/>
      <w:lvlText w:val="(%1)"/>
      <w:numFmt w:val="decimal"/>
      <w:start w:val="22"/>
    </w:lvl>
  </w:abstractNum>
  <w:abstractNum w:abstractNumId="226">
    <w:nsid w:val="822C0EF"/>
    <w:multiLevelType w:val="hybridMultilevel"/>
    <w:lvl w:ilvl="0">
      <w:lvlJc w:val="left"/>
      <w:lvlText w:val="%1"/>
      <w:numFmt w:val="decimal"/>
      <w:start w:val="1"/>
    </w:lvl>
    <w:lvl w:ilvl="1">
      <w:lvlJc w:val="left"/>
      <w:lvlText w:val="(%2)"/>
      <w:numFmt w:val="decimal"/>
      <w:start w:val="23"/>
    </w:lvl>
  </w:abstractNum>
  <w:abstractNum w:abstractNumId="227">
    <w:nsid w:val="57C5BB4F"/>
    <w:multiLevelType w:val="hybridMultilevel"/>
    <w:lvl w:ilvl="0">
      <w:lvlJc w:val="left"/>
      <w:lvlText w:val="(%1)"/>
      <w:numFmt w:val="decimal"/>
      <w:start w:val="30"/>
    </w:lvl>
    <w:lvl w:ilvl="1">
      <w:lvlJc w:val="left"/>
      <w:lvlText w:val="%2"/>
      <w:numFmt w:val="decimal"/>
      <w:start w:val="1"/>
    </w:lvl>
  </w:abstractNum>
  <w:abstractNum w:abstractNumId="228">
    <w:nsid w:val="1803D089"/>
    <w:multiLevelType w:val="hybridMultilevel"/>
    <w:lvl w:ilvl="0">
      <w:lvlJc w:val="left"/>
      <w:lvlText w:val="%1"/>
      <w:numFmt w:val="lowerRoman"/>
      <w:start w:val="1"/>
    </w:lvl>
    <w:lvl w:ilvl="1">
      <w:lvlJc w:val="left"/>
      <w:lvlText w:val="(%2)"/>
      <w:numFmt w:val="decimal"/>
      <w:start w:val="24"/>
    </w:lvl>
  </w:abstractNum>
  <w:abstractNum w:abstractNumId="229">
    <w:nsid w:val="4F3A06D4"/>
    <w:multiLevelType w:val="hybridMultilevel"/>
    <w:lvl w:ilvl="0">
      <w:lvlJc w:val="left"/>
      <w:lvlText w:val="(%1)"/>
      <w:numFmt w:val="lowerRoman"/>
      <w:start w:val="1"/>
    </w:lvl>
    <w:lvl w:ilvl="1">
      <w:lvlJc w:val="left"/>
      <w:lvlText w:val="%2"/>
      <w:numFmt w:val="decimal"/>
      <w:start w:val="1"/>
    </w:lvl>
  </w:abstractNum>
  <w:abstractNum w:abstractNumId="230">
    <w:nsid w:val="59A377B6"/>
    <w:multiLevelType w:val="hybridMultilevel"/>
    <w:lvl w:ilvl="0">
      <w:lvlJc w:val="left"/>
      <w:lvlText w:val="(%1)"/>
      <w:numFmt w:val="decimal"/>
      <w:start w:val="25"/>
    </w:lvl>
  </w:abstractNum>
  <w:abstractNum w:abstractNumId="231">
    <w:nsid w:val="48AEB063"/>
    <w:multiLevelType w:val="hybridMultilevel"/>
    <w:lvl w:ilvl="0">
      <w:lvlJc w:val="left"/>
      <w:lvlText w:val="(%1)"/>
      <w:numFmt w:val="lowerLetter"/>
      <w:start w:val="2"/>
    </w:lvl>
  </w:abstractNum>
  <w:abstractNum w:abstractNumId="232">
    <w:nsid w:val="24E135"/>
    <w:multiLevelType w:val="hybridMultilevel"/>
    <w:lvl w:ilvl="0">
      <w:lvlJc w:val="left"/>
      <w:lvlText w:val="%1"/>
      <w:numFmt w:val="lowerRoman"/>
      <w:start w:val="1"/>
    </w:lvl>
    <w:lvl w:ilvl="1">
      <w:lvlJc w:val="left"/>
      <w:lvlText w:val="(%2)"/>
      <w:numFmt w:val="decimal"/>
      <w:start w:val="26"/>
    </w:lvl>
  </w:abstractNum>
  <w:abstractNum w:abstractNumId="233">
    <w:nsid w:val="BB13C1"/>
    <w:multiLevelType w:val="hybridMultilevel"/>
    <w:lvl w:ilvl="0">
      <w:lvlJc w:val="left"/>
      <w:lvlText w:val="(%1)"/>
      <w:numFmt w:val="lowerRoman"/>
      <w:start w:val="4"/>
    </w:lvl>
    <w:lvl w:ilvl="1">
      <w:lvlJc w:val="left"/>
      <w:lvlText w:val="%2"/>
      <w:numFmt w:val="decimal"/>
      <w:start w:val="1"/>
    </w:lvl>
  </w:abstractNum>
  <w:abstractNum w:abstractNumId="234">
    <w:nsid w:val="271210C7"/>
    <w:multiLevelType w:val="hybridMultilevel"/>
    <w:lvl w:ilvl="0">
      <w:lvlJc w:val="left"/>
      <w:lvlText w:val="(%1)"/>
      <w:numFmt w:val="decimal"/>
      <w:start w:val="27"/>
    </w:lvl>
  </w:abstractNum>
  <w:abstractNum w:abstractNumId="235">
    <w:nsid w:val="217B22E4"/>
    <w:multiLevelType w:val="hybridMultilevel"/>
    <w:lvl w:ilvl="0">
      <w:lvlJc w:val="left"/>
      <w:lvlText w:val="%1."/>
      <w:numFmt w:val="upperLetter"/>
      <w:start w:val="35"/>
    </w:lvl>
  </w:abstractNum>
  <w:abstractNum w:abstractNumId="236">
    <w:nsid w:val="53E31A24"/>
    <w:multiLevelType w:val="hybridMultilevel"/>
    <w:lvl w:ilvl="0">
      <w:lvlJc w:val="left"/>
      <w:lvlText w:val="(%1)"/>
      <w:numFmt w:val="lowerRoman"/>
      <w:start w:val="1"/>
    </w:lvl>
  </w:abstractNum>
  <w:abstractNum w:abstractNumId="237">
    <w:nsid w:val="6DC45E83"/>
    <w:multiLevelType w:val="hybridMultilevel"/>
    <w:lvl w:ilvl="0">
      <w:lvlJc w:val="left"/>
      <w:lvlText w:val="(%1)"/>
      <w:numFmt w:val="lowerRoman"/>
      <w:start w:val="2"/>
    </w:lvl>
  </w:abstractNum>
  <w:abstractNum w:abstractNumId="238">
    <w:nsid w:val="17304A67"/>
    <w:multiLevelType w:val="hybridMultilevel"/>
    <w:lvl w:ilvl="0">
      <w:lvlJc w:val="left"/>
      <w:lvlText w:val="1"/>
      <w:numFmt w:val="bullet"/>
      <w:start w:val="1"/>
    </w:lvl>
  </w:abstractNum>
  <w:abstractNum w:abstractNumId="239">
    <w:nsid w:val="2BB180D8"/>
    <w:multiLevelType w:val="hybridMultilevel"/>
    <w:lvl w:ilvl="0">
      <w:lvlJc w:val="left"/>
      <w:lvlText w:val="2"/>
      <w:numFmt w:val="bullet"/>
      <w:start w:val="1"/>
    </w:lvl>
  </w:abstractNum>
  <w:abstractNum w:abstractNumId="240">
    <w:nsid w:val="556B69ED"/>
    <w:multiLevelType w:val="hybridMultilevel"/>
    <w:lvl w:ilvl="0">
      <w:lvlJc w:val="left"/>
      <w:lvlText w:val="3"/>
      <w:numFmt w:val="bullet"/>
      <w:start w:val="1"/>
    </w:lvl>
  </w:abstractNum>
  <w:abstractNum w:abstractNumId="241">
    <w:nsid w:val="70836196"/>
    <w:multiLevelType w:val="hybridMultilevel"/>
    <w:lvl w:ilvl="0">
      <w:lvlJc w:val="left"/>
      <w:lvlText w:val="4"/>
      <w:numFmt w:val="bullet"/>
      <w:start w:val="1"/>
    </w:lvl>
  </w:abstractNum>
  <w:abstractNum w:abstractNumId="242">
    <w:nsid w:val="539F7F12"/>
    <w:multiLevelType w:val="hybridMultilevel"/>
    <w:lvl w:ilvl="0">
      <w:lvlJc w:val="left"/>
      <w:lvlText w:val="1"/>
      <w:numFmt w:val="bullet"/>
      <w:start w:val="1"/>
    </w:lvl>
  </w:abstractNum>
  <w:abstractNum w:abstractNumId="243">
    <w:nsid w:val="2817E7EC"/>
    <w:multiLevelType w:val="hybridMultilevel"/>
    <w:lvl w:ilvl="0">
      <w:lvlJc w:val="left"/>
      <w:lvlText w:val="2"/>
      <w:numFmt w:val="bullet"/>
      <w:start w:val="1"/>
    </w:lvl>
  </w:abstractNum>
  <w:abstractNum w:abstractNumId="244">
    <w:nsid w:val="71482545"/>
    <w:multiLevelType w:val="hybridMultilevel"/>
    <w:lvl w:ilvl="0">
      <w:lvlJc w:val="left"/>
      <w:lvlText w:val="3"/>
      <w:numFmt w:val="bullet"/>
      <w:start w:val="1"/>
    </w:lvl>
  </w:abstractNum>
  <w:abstractNum w:abstractNumId="245">
    <w:nsid w:val="17D78639"/>
    <w:multiLevelType w:val="hybridMultilevel"/>
    <w:lvl w:ilvl="0">
      <w:lvlJc w:val="left"/>
      <w:lvlText w:val="4"/>
      <w:numFmt w:val="bullet"/>
      <w:start w:val="1"/>
    </w:lvl>
  </w:abstractNum>
  <w:abstractNum w:abstractNumId="246">
    <w:nsid w:val="141D2302"/>
    <w:multiLevelType w:val="hybridMultilevel"/>
    <w:lvl w:ilvl="0">
      <w:lvlJc w:val="left"/>
      <w:lvlText w:val="5"/>
      <w:numFmt w:val="bullet"/>
      <w:start w:val="1"/>
    </w:lvl>
  </w:abstractNum>
  <w:abstractNum w:abstractNumId="247">
    <w:nsid w:val="407168D8"/>
    <w:multiLevelType w:val="hybridMultilevel"/>
    <w:lvl w:ilvl="0">
      <w:lvlJc w:val="left"/>
      <w:lvlText w:val="6"/>
      <w:numFmt w:val="bullet"/>
      <w:start w:val="1"/>
    </w:lvl>
  </w:abstractNum>
  <w:abstractNum w:abstractNumId="248">
    <w:nsid w:val="6A1B45E5"/>
    <w:multiLevelType w:val="hybridMultilevel"/>
    <w:lvl w:ilvl="0">
      <w:lvlJc w:val="left"/>
      <w:lvlText w:val="7"/>
      <w:numFmt w:val="bullet"/>
      <w:start w:val="1"/>
    </w:lvl>
  </w:abstractNum>
  <w:abstractNum w:abstractNumId="249">
    <w:nsid w:val="567BD50A"/>
    <w:multiLevelType w:val="hybridMultilevel"/>
    <w:lvl w:ilvl="0">
      <w:lvlJc w:val="left"/>
      <w:lvlText w:val="8"/>
      <w:numFmt w:val="bullet"/>
      <w:start w:val="1"/>
    </w:lvl>
  </w:abstractNum>
  <w:abstractNum w:abstractNumId="250">
    <w:nsid w:val="73BBD7F8"/>
    <w:multiLevelType w:val="hybridMultilevel"/>
    <w:lvl w:ilvl="0">
      <w:lvlJc w:val="left"/>
      <w:lvlText w:val="9"/>
      <w:numFmt w:val="bullet"/>
      <w:start w:val="1"/>
    </w:lvl>
  </w:abstractNum>
  <w:abstractNum w:abstractNumId="251">
    <w:nsid w:val="1876589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7" Type="http://schemas.openxmlformats.org/officeDocument/2006/relationships/image" Target="media/image237.png"/><Relationship Id="rId254" Type="http://schemas.openxmlformats.org/officeDocument/2006/relationships/image" Target="media/image238.png"/><Relationship Id="rId255"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67" Type="http://schemas.openxmlformats.org/officeDocument/2006/relationships/image" Target="media/image245.pn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png"/><Relationship Id="rId280" Type="http://schemas.openxmlformats.org/officeDocument/2006/relationships/image" Target="media/image258.png"/><Relationship Id="rId281" Type="http://schemas.openxmlformats.org/officeDocument/2006/relationships/image" Target="media/image259.png"/><Relationship Id="rId282" Type="http://schemas.openxmlformats.org/officeDocument/2006/relationships/image" Target="media/image260.png"/><Relationship Id="rId283" Type="http://schemas.openxmlformats.org/officeDocument/2006/relationships/image" Target="media/image261.png"/><Relationship Id="rId284" Type="http://schemas.openxmlformats.org/officeDocument/2006/relationships/image" Target="media/image262.png"/><Relationship Id="rId285" Type="http://schemas.openxmlformats.org/officeDocument/2006/relationships/image" Target="media/image263.png"/><Relationship Id="rId286" Type="http://schemas.openxmlformats.org/officeDocument/2006/relationships/image" Target="media/image264.png"/><Relationship Id="rId287" Type="http://schemas.openxmlformats.org/officeDocument/2006/relationships/image" Target="media/image265.png"/><Relationship Id="rId288" Type="http://schemas.openxmlformats.org/officeDocument/2006/relationships/image" Target="media/image266.png"/><Relationship Id="rId289" Type="http://schemas.openxmlformats.org/officeDocument/2006/relationships/image" Target="media/image267.png"/><Relationship Id="rId290" Type="http://schemas.openxmlformats.org/officeDocument/2006/relationships/image" Target="media/image268.png"/><Relationship Id="rId291" Type="http://schemas.openxmlformats.org/officeDocument/2006/relationships/image" Target="media/image269.png"/><Relationship Id="rId292" Type="http://schemas.openxmlformats.org/officeDocument/2006/relationships/image" Target="media/image270.png"/><Relationship Id="rId293" Type="http://schemas.openxmlformats.org/officeDocument/2006/relationships/image" Target="media/image271.png"/><Relationship Id="rId294" Type="http://schemas.openxmlformats.org/officeDocument/2006/relationships/image" Target="media/image272.png"/><Relationship Id="rId295" Type="http://schemas.openxmlformats.org/officeDocument/2006/relationships/image" Target="media/image273.png"/><Relationship Id="rId296" Type="http://schemas.openxmlformats.org/officeDocument/2006/relationships/image" Target="media/image274.png"/><Relationship Id="rId297" Type="http://schemas.openxmlformats.org/officeDocument/2006/relationships/image" Target="media/image275.png"/><Relationship Id="rId298" Type="http://schemas.openxmlformats.org/officeDocument/2006/relationships/image" Target="media/image276.png"/><Relationship Id="rId299" Type="http://schemas.openxmlformats.org/officeDocument/2006/relationships/image" Target="media/image277.png"/><Relationship Id="rId300" Type="http://schemas.openxmlformats.org/officeDocument/2006/relationships/image" Target="media/image278.png"/><Relationship Id="rId301" Type="http://schemas.openxmlformats.org/officeDocument/2006/relationships/image" Target="media/image279.png"/><Relationship Id="rId302" Type="http://schemas.openxmlformats.org/officeDocument/2006/relationships/image" Target="media/image280.png"/><Relationship Id="rId303" Type="http://schemas.openxmlformats.org/officeDocument/2006/relationships/image" Target="media/image281.png"/><Relationship Id="rId304" Type="http://schemas.openxmlformats.org/officeDocument/2006/relationships/image" Target="media/image282.png"/><Relationship Id="rId305" Type="http://schemas.openxmlformats.org/officeDocument/2006/relationships/image" Target="media/image283.png"/><Relationship Id="rId306" Type="http://schemas.openxmlformats.org/officeDocument/2006/relationships/image" Target="media/image284.png"/><Relationship Id="rId307" Type="http://schemas.openxmlformats.org/officeDocument/2006/relationships/image" Target="media/image285.png"/><Relationship Id="rId308" Type="http://schemas.openxmlformats.org/officeDocument/2006/relationships/image" Target="media/image286.png"/><Relationship Id="rId309" Type="http://schemas.openxmlformats.org/officeDocument/2006/relationships/image" Target="media/image287.png"/><Relationship Id="rId310" Type="http://schemas.openxmlformats.org/officeDocument/2006/relationships/image" Target="media/image288.png"/><Relationship Id="rId311" Type="http://schemas.openxmlformats.org/officeDocument/2006/relationships/image" Target="media/image289.png"/><Relationship Id="rId312" Type="http://schemas.openxmlformats.org/officeDocument/2006/relationships/image" Target="media/image290.png"/><Relationship Id="rId313" Type="http://schemas.openxmlformats.org/officeDocument/2006/relationships/image" Target="media/image291.png"/><Relationship Id="rId314" Type="http://schemas.openxmlformats.org/officeDocument/2006/relationships/image" Target="media/image292.png"/><Relationship Id="rId315" Type="http://schemas.openxmlformats.org/officeDocument/2006/relationships/image" Target="media/image293.png"/><Relationship Id="rId316" Type="http://schemas.openxmlformats.org/officeDocument/2006/relationships/image" Target="media/image294.png"/><Relationship Id="rId317" Type="http://schemas.openxmlformats.org/officeDocument/2006/relationships/image" Target="media/image295.png"/><Relationship Id="rId318" Type="http://schemas.openxmlformats.org/officeDocument/2006/relationships/image" Target="media/image296.png"/><Relationship Id="rId319" Type="http://schemas.openxmlformats.org/officeDocument/2006/relationships/image" Target="media/image297.png"/><Relationship Id="rId320" Type="http://schemas.openxmlformats.org/officeDocument/2006/relationships/image" Target="media/image298.png"/><Relationship Id="rId321" Type="http://schemas.openxmlformats.org/officeDocument/2006/relationships/image" Target="media/image299.png"/><Relationship Id="rId322" Type="http://schemas.openxmlformats.org/officeDocument/2006/relationships/image" Target="media/image300.png"/><Relationship Id="rId323" Type="http://schemas.openxmlformats.org/officeDocument/2006/relationships/image" Target="media/image301.png"/><Relationship Id="rId324" Type="http://schemas.openxmlformats.org/officeDocument/2006/relationships/image" Target="media/image302.png"/><Relationship Id="rId325" Type="http://schemas.openxmlformats.org/officeDocument/2006/relationships/image" Target="media/image303.png"/><Relationship Id="rId326" Type="http://schemas.openxmlformats.org/officeDocument/2006/relationships/image" Target="media/image304.png"/><Relationship Id="rId327" Type="http://schemas.openxmlformats.org/officeDocument/2006/relationships/image" Target="media/image305.png"/><Relationship Id="rId328" Type="http://schemas.openxmlformats.org/officeDocument/2006/relationships/image" Target="media/image306.png"/><Relationship Id="rId329" Type="http://schemas.openxmlformats.org/officeDocument/2006/relationships/image" Target="media/image307.png"/><Relationship Id="rId330" Type="http://schemas.openxmlformats.org/officeDocument/2006/relationships/image" Target="media/image308.png"/><Relationship Id="rId331" Type="http://schemas.openxmlformats.org/officeDocument/2006/relationships/image" Target="media/image309.png"/><Relationship Id="rId332" Type="http://schemas.openxmlformats.org/officeDocument/2006/relationships/image" Target="media/image310.png"/><Relationship Id="rId333" Type="http://schemas.openxmlformats.org/officeDocument/2006/relationships/image" Target="media/image311.png"/><Relationship Id="rId334" Type="http://schemas.openxmlformats.org/officeDocument/2006/relationships/image" Target="media/image312.png"/><Relationship Id="rId335" Type="http://schemas.openxmlformats.org/officeDocument/2006/relationships/image" Target="media/image313.png"/><Relationship Id="rId336" Type="http://schemas.openxmlformats.org/officeDocument/2006/relationships/image" Target="media/image314.png"/><Relationship Id="rId337" Type="http://schemas.openxmlformats.org/officeDocument/2006/relationships/image" Target="media/image315.png"/><Relationship Id="rId338" Type="http://schemas.openxmlformats.org/officeDocument/2006/relationships/image" Target="media/image316.png"/><Relationship Id="rId339" Type="http://schemas.openxmlformats.org/officeDocument/2006/relationships/image" Target="media/image317.png"/><Relationship Id="rId340" Type="http://schemas.openxmlformats.org/officeDocument/2006/relationships/image" Target="media/image318.png"/><Relationship Id="rId341" Type="http://schemas.openxmlformats.org/officeDocument/2006/relationships/image" Target="media/image319.png"/><Relationship Id="rId342" Type="http://schemas.openxmlformats.org/officeDocument/2006/relationships/image" Target="media/image320.png"/><Relationship Id="rId343" Type="http://schemas.openxmlformats.org/officeDocument/2006/relationships/image" Target="media/image321.png"/><Relationship Id="rId344" Type="http://schemas.openxmlformats.org/officeDocument/2006/relationships/image" Target="media/image322.png"/><Relationship Id="rId345" Type="http://schemas.openxmlformats.org/officeDocument/2006/relationships/image" Target="media/image323.png"/><Relationship Id="rId346" Type="http://schemas.openxmlformats.org/officeDocument/2006/relationships/image" Target="media/image324.png"/><Relationship Id="rId347" Type="http://schemas.openxmlformats.org/officeDocument/2006/relationships/image" Target="media/image325.png"/><Relationship Id="rId348" Type="http://schemas.openxmlformats.org/officeDocument/2006/relationships/image" Target="media/image326.png"/><Relationship Id="rId349" Type="http://schemas.openxmlformats.org/officeDocument/2006/relationships/image" Target="media/image327.png"/><Relationship Id="rId350" Type="http://schemas.openxmlformats.org/officeDocument/2006/relationships/image" Target="media/image328.png"/><Relationship Id="rId351" Type="http://schemas.openxmlformats.org/officeDocument/2006/relationships/image" Target="media/image329.png"/><Relationship Id="rId352" Type="http://schemas.openxmlformats.org/officeDocument/2006/relationships/image" Target="media/image330.png"/><Relationship Id="rId353" Type="http://schemas.openxmlformats.org/officeDocument/2006/relationships/image" Target="media/image331.png"/><Relationship Id="rId354" Type="http://schemas.openxmlformats.org/officeDocument/2006/relationships/image" Target="media/image332.png"/><Relationship Id="rId355" Type="http://schemas.openxmlformats.org/officeDocument/2006/relationships/image" Target="media/image333.png"/><Relationship Id="rId356" Type="http://schemas.openxmlformats.org/officeDocument/2006/relationships/image" Target="media/image334.png"/><Relationship Id="rId357" Type="http://schemas.openxmlformats.org/officeDocument/2006/relationships/image" Target="media/image335.png"/><Relationship Id="rId358" Type="http://schemas.openxmlformats.org/officeDocument/2006/relationships/image" Target="media/image336.png"/><Relationship Id="rId359" Type="http://schemas.openxmlformats.org/officeDocument/2006/relationships/image" Target="media/image337.png"/><Relationship Id="rId360" Type="http://schemas.openxmlformats.org/officeDocument/2006/relationships/image" Target="media/image338.png"/><Relationship Id="rId361" Type="http://schemas.openxmlformats.org/officeDocument/2006/relationships/image" Target="media/image339.png"/><Relationship Id="rId362" Type="http://schemas.openxmlformats.org/officeDocument/2006/relationships/image" Target="media/image340.png"/><Relationship Id="rId363" Type="http://schemas.openxmlformats.org/officeDocument/2006/relationships/image" Target="media/image341.png"/><Relationship Id="rId364" Type="http://schemas.openxmlformats.org/officeDocument/2006/relationships/image" Target="media/image342.png"/><Relationship Id="rId365" Type="http://schemas.openxmlformats.org/officeDocument/2006/relationships/image" Target="media/image343.png"/><Relationship Id="rId366" Type="http://schemas.openxmlformats.org/officeDocument/2006/relationships/image" Target="media/image344.png"/><Relationship Id="rId367" Type="http://schemas.openxmlformats.org/officeDocument/2006/relationships/image" Target="media/image345.png"/><Relationship Id="rId368" Type="http://schemas.openxmlformats.org/officeDocument/2006/relationships/image" Target="media/image346.png"/><Relationship Id="rId369" Type="http://schemas.openxmlformats.org/officeDocument/2006/relationships/image" Target="media/image347.png"/><Relationship Id="rId370" Type="http://schemas.openxmlformats.org/officeDocument/2006/relationships/image" Target="media/image348.png"/><Relationship Id="rId371" Type="http://schemas.openxmlformats.org/officeDocument/2006/relationships/image" Target="media/image349.png"/><Relationship Id="rId372" Type="http://schemas.openxmlformats.org/officeDocument/2006/relationships/image" Target="media/image350.png"/><Relationship Id="rId373" Type="http://schemas.openxmlformats.org/officeDocument/2006/relationships/image" Target="media/image351.png"/><Relationship Id="rId374" Type="http://schemas.openxmlformats.org/officeDocument/2006/relationships/image" Target="media/image352.png"/><Relationship Id="rId375" Type="http://schemas.openxmlformats.org/officeDocument/2006/relationships/image" Target="media/image353.png"/><Relationship Id="rId376" Type="http://schemas.openxmlformats.org/officeDocument/2006/relationships/image" Target="media/image354.png"/><Relationship Id="rId377" Type="http://schemas.openxmlformats.org/officeDocument/2006/relationships/image" Target="media/image355.png"/><Relationship Id="rId378" Type="http://schemas.openxmlformats.org/officeDocument/2006/relationships/image" Target="media/image356.jpeg"/><Relationship Id="rId379" Type="http://schemas.openxmlformats.org/officeDocument/2006/relationships/image" Target="media/image357.png"/><Relationship Id="rId380" Type="http://schemas.openxmlformats.org/officeDocument/2006/relationships/image" Target="media/image358.png"/><Relationship Id="rId381" Type="http://schemas.openxmlformats.org/officeDocument/2006/relationships/image" Target="media/image359.png"/><Relationship Id="rId382" Type="http://schemas.openxmlformats.org/officeDocument/2006/relationships/image" Target="media/image360.png"/><Relationship Id="rId383" Type="http://schemas.openxmlformats.org/officeDocument/2006/relationships/image" Target="media/image361.png"/><Relationship Id="rId384" Type="http://schemas.openxmlformats.org/officeDocument/2006/relationships/image" Target="media/image362.png"/><Relationship Id="rId385" Type="http://schemas.openxmlformats.org/officeDocument/2006/relationships/image" Target="media/image363.png"/><Relationship Id="rId386" Type="http://schemas.openxmlformats.org/officeDocument/2006/relationships/image" Target="media/image364.jpeg"/><Relationship Id="rId241" Type="http://schemas.openxmlformats.org/officeDocument/2006/relationships/hyperlink" Target="http://www.sec.gov/Archives/edgar/data/1983550/000101376223001433/ff12023ex3-1_trident.htm" TargetMode="External"/><Relationship Id="rId242" Type="http://schemas.openxmlformats.org/officeDocument/2006/relationships/hyperlink" Target="http://www.sec.gov/Archives/edgar/data/1983550/000101376223001433/ff12023ex3-2_trident.htm" TargetMode="External"/><Relationship Id="rId246" Type="http://schemas.openxmlformats.org/officeDocument/2006/relationships/hyperlink" Target="http://www.sec.gov/Archives/edgar/data/1983550/000101376223001433/ff12023ex99-2_trident.htm" TargetMode="External"/><Relationship Id="rId248" Type="http://schemas.openxmlformats.org/officeDocument/2006/relationships/hyperlink" Target="http://www.sec.gov/Archives/edgar/data/1983550/000101376223001433/ff12023ex10-1_trident.htm" TargetMode="External"/><Relationship Id="rId249" Type="http://schemas.openxmlformats.org/officeDocument/2006/relationships/hyperlink" Target="http://www.sec.gov/Archives/edgar/data/1983550/000101376223001433/ff12023ex10-2_trident.htm" TargetMode="External"/><Relationship Id="rId250" Type="http://schemas.openxmlformats.org/officeDocument/2006/relationships/hyperlink" Target="http://www.sec.gov/Archives/edgar/data/1983550/000101376223001433/ff12023ex10-3_trident.htm" TargetMode="External"/><Relationship Id="rId251" Type="http://schemas.openxmlformats.org/officeDocument/2006/relationships/hyperlink" Target="http://www.sec.gov/Archives/edgar/data/1983550/000101376223001433/ff12023ex21-1_trident.htm" TargetMode="External"/><Relationship Id="rId252" Type="http://schemas.openxmlformats.org/officeDocument/2006/relationships/hyperlink" Target="http://www.sec.gov/Archives/edgar/data/1983550/000101376223001433/ff12023_trident.htm#T7788" TargetMode="External"/><Relationship Id="rId253" Type="http://schemas.openxmlformats.org/officeDocument/2006/relationships/hyperlink" Target="http://www.sec.gov/Archives/edgar/data/1983550/000101376223001433/ff12023ex99-1_trident.htm" TargetMode="External"/><Relationship Id="rId256" Type="http://schemas.openxmlformats.org/officeDocument/2006/relationships/hyperlink" Target="http://www.sec.gov/Archives/edgar/data/1983550/000101376223001433/ff12023ex99-3_trident.htm" TargetMode="External"/><Relationship Id="rId257" Type="http://schemas.openxmlformats.org/officeDocument/2006/relationships/hyperlink" Target="http://www.sec.gov/Archives/edgar/data/1983550/000101376223001433/ff12023ex99-4_trident.htm" TargetMode="External"/><Relationship Id="rId258" Type="http://schemas.openxmlformats.org/officeDocument/2006/relationships/hyperlink" Target="http://www.sec.gov/Archives/edgar/data/1983550/000101376223001433/ff12023ex99-5_trident.htm" TargetMode="External"/><Relationship Id="rId259" Type="http://schemas.openxmlformats.org/officeDocument/2006/relationships/hyperlink" Target="http://www.sec.gov/Archives/edgar/data/1983550/000101376223001433/ff12023ex99-6_trident.htm" TargetMode="External"/><Relationship Id="rId260" Type="http://schemas.openxmlformats.org/officeDocument/2006/relationships/hyperlink" Target="http://www.sec.gov/Archives/edgar/data/1983550/000101376223001433/ff12023ex99-7_trident.htm" TargetMode="External"/><Relationship Id="rId261" Type="http://schemas.openxmlformats.org/officeDocument/2006/relationships/hyperlink" Target="http://www.sec.gov/Archives/edgar/data/1983550/000101376223001433/ff12023ex-fee_trid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2023-10-19T08:24:56Z</dcterms:created>
  <dcterms:modified xsi:type="dcterms:W3CDTF">2023-10-19T08:24:56Z</dcterms:modified>
</cp:coreProperties>
</file>