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tabs>
          <w:tab w:leader="none" w:pos="906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15, 2024</w:t>
      </w:r>
      <w:r>
        <w:rPr>
          <w:sz w:val="20"/>
          <w:szCs w:val="20"/>
          <w:color w:val="auto"/>
        </w:rPr>
        <w:tab/>
      </w:r>
      <w:r>
        <w:rPr>
          <w:rFonts w:ascii="Times New Roman" w:cs="Times New Roman" w:eastAsia="Times New Roman" w:hAnsi="Times New Roman"/>
          <w:sz w:val="18"/>
          <w:szCs w:val="18"/>
          <w:b w:val="1"/>
          <w:bCs w:val="1"/>
          <w:color w:val="auto"/>
        </w:rPr>
        <w:t>Registration No. 333-275089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182880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PRE-EFFECTIVE AMENDMENT NO. 1 TO FORM F-6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TRIDENT DIGITAL TECH HOLDINGS LTD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122 East 42nd Street, 18th Floor</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New York, NY 10168</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+1 (800) 221-0102</w:t>
      </w:r>
    </w:p>
    <w:p>
      <w:pPr>
        <w:spacing w:after="0" w:line="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Copies to:</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40" w:type="dxa"/>
            <w:vAlign w:val="bottom"/>
            <w:gridSpan w:val="5"/>
          </w:tcPr>
          <w:p>
            <w:pPr>
              <w:jc w:val="center"/>
              <w:ind w:left="1570"/>
              <w:spacing w:after="0"/>
              <w:rPr>
                <w:sz w:val="20"/>
                <w:szCs w:val="20"/>
                <w:color w:val="auto"/>
              </w:rPr>
            </w:pPr>
            <w:r>
              <w:rPr>
                <w:rFonts w:ascii="Times New Roman" w:cs="Times New Roman" w:eastAsia="Times New Roman" w:hAnsi="Times New Roman"/>
                <w:sz w:val="18"/>
                <w:szCs w:val="18"/>
                <w:color w:val="auto"/>
                <w:w w:val="98"/>
              </w:rPr>
              <w:t>Stephanie Tang, Esq.</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Herman H. Raspé, Esq.</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Hogan Lovells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5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8"/>
              </w:rPr>
              <w:t>Patterson Belknap Webb &amp; Tyler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5"/>
          </w:tcPr>
          <w:p>
            <w:pPr>
              <w:jc w:val="center"/>
              <w:ind w:left="1570"/>
              <w:spacing w:after="0"/>
              <w:rPr>
                <w:sz w:val="20"/>
                <w:szCs w:val="20"/>
                <w:color w:val="auto"/>
              </w:rPr>
            </w:pPr>
            <w:r>
              <w:rPr>
                <w:rFonts w:ascii="Times New Roman" w:cs="Times New Roman" w:eastAsia="Times New Roman" w:hAnsi="Times New Roman"/>
                <w:sz w:val="18"/>
                <w:szCs w:val="18"/>
                <w:color w:val="auto"/>
                <w:w w:val="98"/>
              </w:rPr>
              <w:t>11th Floor, One Pacific Place</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0" w:type="dxa"/>
            <w:vAlign w:val="bottom"/>
            <w:gridSpan w:val="5"/>
          </w:tcPr>
          <w:p>
            <w:pPr>
              <w:jc w:val="center"/>
              <w:ind w:left="1530"/>
              <w:spacing w:after="0"/>
              <w:rPr>
                <w:sz w:val="20"/>
                <w:szCs w:val="20"/>
                <w:color w:val="auto"/>
              </w:rPr>
            </w:pPr>
            <w:r>
              <w:rPr>
                <w:rFonts w:ascii="Times New Roman" w:cs="Times New Roman" w:eastAsia="Times New Roman" w:hAnsi="Times New Roman"/>
                <w:sz w:val="18"/>
                <w:szCs w:val="18"/>
                <w:color w:val="auto"/>
                <w:w w:val="99"/>
              </w:rPr>
              <w:t>1133 Avenue of the Americas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5"/>
          </w:tcPr>
          <w:p>
            <w:pPr>
              <w:jc w:val="center"/>
              <w:ind w:left="1570"/>
              <w:spacing w:after="0"/>
              <w:rPr>
                <w:sz w:val="20"/>
                <w:szCs w:val="20"/>
                <w:color w:val="auto"/>
              </w:rPr>
            </w:pPr>
            <w:r>
              <w:rPr>
                <w:rFonts w:ascii="Times New Roman" w:cs="Times New Roman" w:eastAsia="Times New Roman" w:hAnsi="Times New Roman"/>
                <w:sz w:val="18"/>
                <w:szCs w:val="18"/>
                <w:color w:val="auto"/>
              </w:rPr>
              <w:t>88 Queensway Road</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0" w:type="dxa"/>
            <w:vAlign w:val="bottom"/>
            <w:gridSpan w:val="5"/>
          </w:tcPr>
          <w:p>
            <w:pPr>
              <w:jc w:val="center"/>
              <w:ind w:left="153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rPr>
              <w:t>Hong Kong</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+1 212 336 2301</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6"/>
          </w:tcPr>
          <w:p>
            <w:pPr>
              <w:jc w:val="center"/>
              <w:ind w:left="1590"/>
              <w:spacing w:after="0"/>
              <w:rPr>
                <w:sz w:val="20"/>
                <w:szCs w:val="20"/>
                <w:color w:val="auto"/>
              </w:rPr>
            </w:pPr>
            <w:r>
              <w:rPr>
                <w:rFonts w:ascii="Times New Roman" w:cs="Times New Roman" w:eastAsia="Times New Roman" w:hAnsi="Times New Roman"/>
                <w:sz w:val="18"/>
                <w:szCs w:val="18"/>
                <w:color w:val="auto"/>
                <w:w w:val="99"/>
              </w:rPr>
              <w:t>+852 2219 0888</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400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680" w:type="dxa"/>
            <w:vAlign w:val="bottom"/>
            <w:gridSpan w:val="1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gridSpan w:val="5"/>
          </w:tcPr>
          <w:p>
            <w:pPr>
              <w:ind w:left="122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1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0" w:type="dxa"/>
            <w:vAlign w:val="bottom"/>
          </w:tcPr>
          <w:p>
            <w:pPr>
              <w:spacing w:after="0"/>
              <w:rPr>
                <w:sz w:val="16"/>
                <w:szCs w:val="16"/>
                <w:color w:val="auto"/>
              </w:rPr>
            </w:pPr>
          </w:p>
        </w:tc>
        <w:tc>
          <w:tcPr>
            <w:tcW w:w="190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40" w:type="dxa"/>
            <w:vAlign w:val="bottom"/>
          </w:tcPr>
          <w:p>
            <w:pPr>
              <w:spacing w:after="0"/>
              <w:rPr>
                <w:sz w:val="16"/>
                <w:szCs w:val="16"/>
                <w:color w:val="auto"/>
              </w:rPr>
            </w:pPr>
          </w:p>
        </w:tc>
        <w:tc>
          <w:tcPr>
            <w:tcW w:w="156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20" w:type="dxa"/>
            <w:vAlign w:val="bottom"/>
          </w:tcPr>
          <w:p>
            <w:pPr>
              <w:spacing w:after="0"/>
              <w:rPr>
                <w:sz w:val="18"/>
                <w:szCs w:val="18"/>
                <w:color w:val="auto"/>
              </w:rPr>
            </w:pP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4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representing the right to receive eight (8) Class B</w:t>
            </w:r>
          </w:p>
        </w:tc>
        <w:tc>
          <w:tcPr>
            <w:tcW w:w="1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18"/>
                <w:szCs w:val="18"/>
                <w:color w:val="auto"/>
              </w:rPr>
            </w:pPr>
          </w:p>
        </w:tc>
        <w:tc>
          <w:tcPr>
            <w:tcW w:w="15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ordinary shares, par value $0.00001 per share, of</w:t>
            </w:r>
          </w:p>
        </w:tc>
        <w:tc>
          <w:tcPr>
            <w:tcW w:w="1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40" w:type="dxa"/>
            <w:vAlign w:val="bottom"/>
            <w:gridSpan w:val="5"/>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Trident Digital Tech Holdings Ltd (the “Company”)</w:t>
            </w:r>
          </w:p>
        </w:tc>
        <w:tc>
          <w:tcPr>
            <w:tcW w:w="1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Each unit represents 100 ADSs.</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468" w:right="339" w:bottom="0" w:gutter="0" w:footer="0" w:header="0"/>
        </w:sectPr>
      </w:pPr>
    </w:p>
    <w:bookmarkStart w:id="1" w:name="page2"/>
    <w:bookmarkEnd w:id="1"/>
    <w:p>
      <w:pPr>
        <w:ind w:left="275" w:hanging="275"/>
        <w:spacing w:after="0" w:line="282" w:lineRule="auto"/>
        <w:tabs>
          <w:tab w:leader="none" w:pos="2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387" w:lineRule="exact"/>
        <w:rPr>
          <w:rFonts w:ascii="Times New Roman" w:cs="Times New Roman" w:eastAsia="Times New Roman" w:hAnsi="Times New Roman"/>
          <w:sz w:val="18"/>
          <w:szCs w:val="18"/>
          <w:color w:val="auto"/>
        </w:rPr>
      </w:pPr>
    </w:p>
    <w:p>
      <w:pPr>
        <w:ind w:left="275"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357505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55"/>
          </w:cols>
          <w:pgMar w:left="305" w:top="121" w:right="63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Pre-Effective Amendment No. 1 to Registration Statement may be executed in any number of counterparts, each of which shall be deemed an original, and all of such counterparts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346075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0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0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48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4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Top Center.</w:t>
            </w:r>
          </w:p>
        </w:tc>
        <w:tc>
          <w:tcPr>
            <w:tcW w:w="0" w:type="dxa"/>
            <w:vAlign w:val="bottom"/>
          </w:tcPr>
          <w:p>
            <w:pPr>
              <w:spacing w:after="0"/>
              <w:rPr>
                <w:sz w:val="1"/>
                <w:szCs w:val="1"/>
                <w:color w:val="auto"/>
              </w:rPr>
            </w:pPr>
          </w:p>
        </w:tc>
      </w:tr>
      <w:tr>
        <w:trPr>
          <w:trHeight w:val="453"/>
        </w:trPr>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Upper right corner.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American 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Paragraphs (17) and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Paragraph (14);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material</w:t>
            </w:r>
          </w:p>
        </w:tc>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splits or plans of reorganization</w:t>
            </w:r>
          </w:p>
        </w:tc>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69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45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4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Restrictions upon the right to deposit or withdraw the</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20" w:type="dxa"/>
            <w:vAlign w:val="bottom"/>
          </w:tcPr>
          <w:p>
            <w:pPr>
              <w:spacing w:after="0"/>
              <w:rPr>
                <w:sz w:val="24"/>
                <w:szCs w:val="24"/>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725"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ind w:left="180" w:right="33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included as Exhibit A to the Form of Deposit Agreement filed as Exhibit (a) to this Pre-Effective Amendment No. 1 to Registration Statement on Form F-6 and is incorporated herein by reference.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98" w:right="14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300" w:right="380" w:hanging="644"/>
        <w:spacing w:after="0" w:line="228" w:lineRule="auto"/>
        <w:tabs>
          <w:tab w:leader="none" w:pos="1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Deposit Agreement, by and among Trident Digital Tech Holdings Ltd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Citibank, N.A.,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and all Holders and Beneficial Owners of American Depositary Shares issued thereunder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___</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Filed herewith as Exhibit (a).</w:t>
      </w:r>
    </w:p>
    <w:p>
      <w:pPr>
        <w:spacing w:after="0" w:line="205" w:lineRule="exact"/>
        <w:rPr>
          <w:rFonts w:ascii="Times New Roman" w:cs="Times New Roman" w:eastAsia="Times New Roman" w:hAnsi="Times New Roman"/>
          <w:sz w:val="17"/>
          <w:szCs w:val="17"/>
          <w:color w:val="auto"/>
        </w:rPr>
      </w:pPr>
    </w:p>
    <w:p>
      <w:pPr>
        <w:ind w:left="1300" w:right="14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right="22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4" w:lineRule="exact"/>
        <w:rPr>
          <w:rFonts w:ascii="Times New Roman" w:cs="Times New Roman" w:eastAsia="Times New Roman" w:hAnsi="Times New Roman"/>
          <w:sz w:val="18"/>
          <w:szCs w:val="18"/>
          <w:color w:val="auto"/>
        </w:rPr>
      </w:pPr>
    </w:p>
    <w:p>
      <w:pPr>
        <w:ind w:left="1300" w:hanging="644"/>
        <w:spacing w:after="0" w:line="199" w:lineRule="auto"/>
        <w:tabs>
          <w:tab w:leader="none" w:pos="1300" w:val="left"/>
        </w:tabs>
        <w:numPr>
          <w:ilvl w:val="0"/>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 xml:space="preserve">Opinion of counsel for the Depositary as to the legality of the securities to be registered. </w:t>
      </w:r>
      <w:r>
        <w:rPr>
          <w:rFonts w:ascii="Times New Roman" w:cs="Times New Roman" w:eastAsia="Times New Roman" w:hAnsi="Times New Roman"/>
          <w:sz w:val="27"/>
          <w:szCs w:val="27"/>
          <w:color w:val="auto"/>
          <w:vertAlign w:val="superscript"/>
        </w:rPr>
        <w:t>___</w:t>
      </w:r>
      <w:r>
        <w:rPr>
          <w:rFonts w:ascii="Times New Roman" w:cs="Times New Roman" w:eastAsia="Times New Roman" w:hAnsi="Times New Roman"/>
          <w:sz w:val="17"/>
          <w:szCs w:val="17"/>
          <w:color w:val="auto"/>
        </w:rPr>
        <w:t xml:space="preserve"> Previously filed as exhibit (d) to Registration Statement on Form F-6 (Reg. No. 333-275089) with the Commission on October 19, 2023, and is incorporated herein by reference.</w:t>
      </w:r>
    </w:p>
    <w:p>
      <w:pPr>
        <w:spacing w:after="0" w:line="182" w:lineRule="exact"/>
        <w:rPr>
          <w:rFonts w:ascii="Times New Roman" w:cs="Times New Roman" w:eastAsia="Times New Roman" w:hAnsi="Times New Roman"/>
          <w:sz w:val="34"/>
          <w:szCs w:val="34"/>
          <w:color w:val="auto"/>
          <w:vertAlign w:val="superscript"/>
        </w:rPr>
      </w:pPr>
    </w:p>
    <w:p>
      <w:pPr>
        <w:ind w:left="1300" w:hanging="644"/>
        <w:spacing w:after="0"/>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Deposit Agreement, by and among Trident Digital Tech Holdings Ltd, Citibank, N.A., as depositary, and all Holders and Beneficial Owners of American Depositary Shares to be issued thereunder,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New York, State of New York,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2024.</w:t>
      </w:r>
    </w:p>
    <w:p>
      <w:pPr>
        <w:spacing w:after="0" w:line="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 the American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Depositary Shares registered hereunder are to be issued, each American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Depositary Share representing the right to receive eight (8) Class B</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ordinary shares of Trident Digital Tech Holdings Ltd.</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CITIBANK, N.A., solely in its capacity as Depositary</w:t>
      </w:r>
    </w:p>
    <w:p>
      <w:pPr>
        <w:spacing w:after="0" w:line="225" w:lineRule="exact"/>
        <w:rPr>
          <w:sz w:val="20"/>
          <w:szCs w:val="20"/>
          <w:color w:val="auto"/>
        </w:rPr>
      </w:pPr>
    </w:p>
    <w:p>
      <w:pPr>
        <w:ind w:left="5860"/>
        <w:spacing w:after="0"/>
        <w:tabs>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6440"/>
        <w:spacing w:after="0"/>
        <w:tabs>
          <w:tab w:leader="none" w:pos="7100" w:val="left"/>
        </w:tabs>
        <w:rPr>
          <w:sz w:val="20"/>
          <w:szCs w:val="20"/>
          <w:color w:val="auto"/>
        </w:rPr>
      </w:pPr>
      <w:r>
        <w:rPr>
          <w:rFonts w:ascii="Times New Roman" w:cs="Times New Roman" w:eastAsia="Times New Roman" w:hAnsi="Times New Roman"/>
          <w:sz w:val="18"/>
          <w:szCs w:val="18"/>
          <w:color w:val="auto"/>
        </w:rPr>
        <w:t>Name:</w:t>
        <w:tab/>
        <w:t>Joseph Connor</w:t>
      </w:r>
    </w:p>
    <w:p>
      <w:pPr>
        <w:spacing w:after="0" w:line="23" w:lineRule="exact"/>
        <w:rPr>
          <w:sz w:val="20"/>
          <w:szCs w:val="20"/>
          <w:color w:val="auto"/>
        </w:rPr>
      </w:pPr>
    </w:p>
    <w:p>
      <w:pPr>
        <w:ind w:left="644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Attorney-in-Fact</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Trident Digital Tech Holdings Ltd certifies that it has reasonable grounds to believe that all the requirements for filing on Form F-6 are met and has duly caused this Pre-Effective Amendment No. 1 to Registration Statement on Form F-6 to be signed on its behalf by the undersigned thereunto duly authorized, in Singapore, on March 15, 2024.</w:t>
      </w:r>
    </w:p>
    <w:p>
      <w:pPr>
        <w:spacing w:after="0" w:line="1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1"/>
        </w:trPr>
        <w:tc>
          <w:tcPr>
            <w:tcW w:w="58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Pre-Effective Amendment No. 1 to Registration Statement on Form F-6 has been signed by the following persons in the following capacities on March 15, 2024.</w:t>
      </w:r>
    </w:p>
    <w:p>
      <w:pPr>
        <w:spacing w:after="0" w:line="162"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u w:val="single" w:color="auto"/>
          <w:color w:val="auto"/>
        </w:rPr>
        <w:t>Signature</w:t>
      </w:r>
      <w:r>
        <w:rPr>
          <w:sz w:val="20"/>
          <w:szCs w:val="20"/>
          <w:color w:val="auto"/>
        </w:rPr>
        <w:tab/>
      </w:r>
      <w:r>
        <w:rPr>
          <w:rFonts w:ascii="Times New Roman" w:cs="Times New Roman" w:eastAsia="Times New Roman" w:hAnsi="Times New Roman"/>
          <w:sz w:val="18"/>
          <w:szCs w:val="18"/>
          <w:u w:val="single" w:color="auto"/>
          <w:color w:val="auto"/>
        </w:rPr>
        <w:t>Title</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/s/ Soon Huat Lim</w:t>
      </w:r>
      <w:r>
        <w:rPr>
          <w:sz w:val="20"/>
          <w:szCs w:val="20"/>
          <w:color w:val="auto"/>
        </w:rPr>
        <w:tab/>
      </w: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931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Soon Huat Lim</w:t>
      </w:r>
    </w:p>
    <w:p>
      <w:pPr>
        <w:spacing w:after="0" w:line="2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 (Principal Financial</w:t>
      </w:r>
    </w:p>
    <w:p>
      <w:pPr>
        <w:spacing w:after="0" w:line="2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931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Haiyan Huang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 IN THE UNITED STATES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America has signed this registration statement or amendment thereto in New York, New York on March 15,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9400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7"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8"/>
          <w:szCs w:val="18"/>
          <w:color w:val="auto"/>
        </w:rPr>
        <w:t>Name:</w:t>
        <w:tab/>
        <w:t>Colleen A. De Vries</w:t>
      </w:r>
    </w:p>
    <w:p>
      <w:pPr>
        <w:spacing w:after="0" w:line="23"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905"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HOLDERS AND BENEFICIAL OWNERS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94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TABLE OF CONTENTS</w:t>
            </w:r>
          </w:p>
        </w:tc>
        <w:tc>
          <w:tcPr>
            <w:tcW w:w="42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9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“ADS Record Date”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“Affiliate”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1.5</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“Articles of Association”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“Beneficial Owner”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“Certificated ADS(s)”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1.8</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“Citibank”</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1.9</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“Commission”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“Company”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“Custodian”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“Deliver” and “Delivery”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1.13</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“Deposit Agreement”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1.14</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“Depositary”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1.15</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“Deposited Property”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1.16</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“Deposited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1.17</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“Dollars” and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1.18</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“DTC”</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1.19</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“DTC Participant”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1.20</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Act”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1.21</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1.22</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1.23</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“Holder(s)”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1.24</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1.25</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“Principal Office”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1.26</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1.27</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“Restricted Securities”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1.28</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1.29</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“Securities Act”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 Registrar”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1.32</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“Uncertificated ADS(s)”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1.33</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and “U.S.”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9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98"/>
        </w:trPr>
        <w:tc>
          <w:tcPr>
            <w:tcW w:w="1380" w:type="dxa"/>
            <w:vAlign w:val="bottom"/>
          </w:tcPr>
          <w:p>
            <w:pPr>
              <w:spacing w:after="0"/>
              <w:rPr>
                <w:sz w:val="17"/>
                <w:szCs w:val="17"/>
                <w:color w:val="auto"/>
              </w:rPr>
            </w:pPr>
          </w:p>
        </w:tc>
        <w:tc>
          <w:tcPr>
            <w:tcW w:w="944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w:t>
            </w:r>
          </w:p>
        </w:tc>
        <w:tc>
          <w:tcPr>
            <w:tcW w:w="42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AND SURRENDER OF RECEIPTS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9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9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Deposit of Shares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Issuance of ADSs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Lost ADRs, etc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Escheatment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Partial Entitlement ADSs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ADSs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Ownership Restrictions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8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DEPOSITED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Distributions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in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4.6</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4.7</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Redemption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4.8</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4.9</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Available Information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Reports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List of 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Taxation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8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Exoneration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Standard of Care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Custodian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Notices and Reports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Indemnification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ADS Fees and Charges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Amendment/Supplement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Termination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MISCELLANEOUS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Counterparts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Severability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Notices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7.6</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7.7</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Assignment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7.8</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7.9</w:t>
            </w:r>
          </w:p>
        </w:tc>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Cayman Islands Law References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Titles and References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8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Form of ADR.</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34"/>
        </w:trPr>
        <w:tc>
          <w:tcPr>
            <w:tcW w:w="1380" w:type="dxa"/>
            <w:vAlign w:val="bottom"/>
          </w:tcPr>
          <w:p>
            <w:pPr>
              <w:spacing w:after="0"/>
              <w:rPr>
                <w:sz w:val="20"/>
                <w:szCs w:val="20"/>
                <w:color w:val="auto"/>
              </w:rPr>
            </w:pPr>
          </w:p>
        </w:tc>
        <w:tc>
          <w:tcPr>
            <w:tcW w:w="8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Fee Schedule.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 ● ], 2024, by and among (i) TRIDENT DIGITAL TECH HOLDINGS LTD, an exempted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with limited liability under the laws of the Cayman Islands,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ADR (as hereinafter defined) facility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provide for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given to such term in Section 4.9.</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 “</w:t>
      </w:r>
      <w:r>
        <w:rPr>
          <w:rFonts w:ascii="Times New Roman" w:cs="Times New Roman" w:eastAsia="Times New Roman" w:hAnsi="Times New Roman"/>
          <w:sz w:val="18"/>
          <w:szCs w:val="18"/>
          <w:b w:val="1"/>
          <w:bCs w:val="1"/>
          <w:u w:val="single" w:color="auto"/>
          <w:color w:val="auto"/>
        </w:rPr>
        <w:t>American Depositary Receipt(s)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certificate(s) issued by the Depositary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8" w:name="page19"/>
    <w:bookmarkEnd w:id="1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1.4 “</w:t>
      </w:r>
      <w:r>
        <w:rPr>
          <w:rFonts w:ascii="Times New Roman" w:cs="Times New Roman" w:eastAsia="Times New Roman" w:hAnsi="Times New Roman"/>
          <w:sz w:val="18"/>
          <w:szCs w:val="18"/>
          <w:b w:val="1"/>
          <w:bCs w:val="1"/>
          <w:u w:val="single" w:color="auto"/>
          <w:color w:val="auto"/>
        </w:rPr>
        <w:t>American Depositary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jc w:val="both"/>
        <w:ind w:firstLine="8"/>
        <w:spacing w:after="0" w:line="251"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1.5 “</w:t>
      </w:r>
      <w:r>
        <w:rPr>
          <w:rFonts w:ascii="Times New Roman" w:cs="Times New Roman" w:eastAsia="Times New Roman" w:hAnsi="Times New Roman"/>
          <w:sz w:val="18"/>
          <w:szCs w:val="18"/>
          <w:b w:val="1"/>
          <w:bCs w:val="1"/>
          <w:u w:val="single" w:color="auto"/>
          <w:color w:val="auto"/>
        </w:rPr>
        <w:t>Articles of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memorandum and articles of association of the Company, and any other constitutional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the Company, as amended or restated and in effect from time to time.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1.6 “</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as to any ADS, any person or entity having a beneficial interest deriving from the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9" w:name="page20"/>
    <w:bookmarkEnd w:id="19"/>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1.7</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9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“Citibank” </w:t>
            </w:r>
            <w:r>
              <w:rPr>
                <w:rFonts w:ascii="Times New Roman" w:cs="Times New Roman" w:eastAsia="Times New Roman" w:hAnsi="Times New Roman"/>
                <w:sz w:val="18"/>
                <w:szCs w:val="18"/>
                <w:color w:val="auto"/>
              </w:rPr>
              <w:t>shall mean Citibank, N.A., a national banking association organized under the laws of the United States of</w:t>
            </w: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America, and its successors.</w:t>
            </w:r>
          </w:p>
        </w:tc>
        <w:tc>
          <w:tcPr>
            <w:tcW w:w="2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0" w:type="dxa"/>
            <w:vAlign w:val="bottom"/>
          </w:tcPr>
          <w:p>
            <w:pPr>
              <w:spacing w:after="0"/>
              <w:rPr>
                <w:sz w:val="20"/>
                <w:szCs w:val="20"/>
                <w:color w:val="auto"/>
              </w:rPr>
            </w:pPr>
          </w:p>
        </w:tc>
      </w:tr>
      <w:tr>
        <w:trPr>
          <w:trHeight w:val="392"/>
        </w:trPr>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9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shall mean the Securities and Exchange Commission of the United States or any successor governmental</w:t>
            </w:r>
          </w:p>
        </w:tc>
      </w:tr>
      <w:tr>
        <w:trPr>
          <w:trHeight w:val="20"/>
        </w:trPr>
        <w:tc>
          <w:tcPr>
            <w:tcW w:w="2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thereto in the United States.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1.10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Trident Digital Tech Holdings Ltd, an exempted company incorporated with limited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Cayman Islands, and its successors.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as of the date hereof, Citibank, N.A. – Hong Kong, having its principal office at 9/F Citi Tower,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Bay 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this Deposit Agreement and all exhibits hereto, as the same may from time to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supplemented from time to time in accordance with the terms of the Deposit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0" w:name="page21"/>
    <w:bookmarkEnd w:id="2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Deposit Agreement and constituting Deposited Property.</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1.17</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Dollars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refer to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1.20</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Foreign Currency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any currency other than Dollars.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1.22 “</w:t>
      </w:r>
      <w:r>
        <w:rPr>
          <w:rFonts w:ascii="Times New Roman" w:cs="Times New Roman" w:eastAsia="Times New Roman" w:hAnsi="Times New Roman"/>
          <w:sz w:val="18"/>
          <w:szCs w:val="18"/>
          <w:b w:val="1"/>
          <w:bCs w:val="1"/>
          <w:u w:val="single" w:color="auto"/>
          <w:color w:val="auto"/>
        </w:rPr>
        <w:t>Full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Full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2.12.</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1.23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1" w:name="page22"/>
    <w:bookmarkEnd w:id="2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1.24 “</w:t>
      </w:r>
      <w:r>
        <w:rPr>
          <w:rFonts w:ascii="Times New Roman" w:cs="Times New Roman" w:eastAsia="Times New Roman" w:hAnsi="Times New Roman"/>
          <w:sz w:val="18"/>
          <w:szCs w:val="18"/>
          <w:b w:val="1"/>
          <w:bCs w:val="1"/>
          <w:u w:val="single" w:color="auto"/>
          <w:color w:val="auto"/>
        </w:rPr>
        <w:t>Partial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1.25 “</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1.26 “</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1.27 “</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Shares, Deposited Securities or ADSs which (i) have been acquired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1.28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 forth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pacing w:after="0" w:line="20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1.29</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the United States Securities Act of 1933, as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1.30 “</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Sertus Incorporations (Cayman) Limited or any other institution organized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appointed by the Company from time to time to carry out the duties of registrar for the Shares, and any successor thereto.</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2" w:name="page23"/>
    <w:bookmarkEnd w:id="2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Company’s Class B ordinary shares, par value US$0.00001 per share, validly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1.32</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Uncertificated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1.33 “</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01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3" w:name="page24"/>
    <w:bookmarkEnd w:id="23"/>
    <w:p>
      <w:pPr>
        <w:jc w:val="both"/>
        <w:ind w:right="20" w:firstLine="656"/>
        <w:spacing w:after="0" w:line="263" w:lineRule="auto"/>
        <w:tabs>
          <w:tab w:leader="none" w:pos="1012"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jc w:val="both"/>
        <w:ind w:firstLine="8"/>
        <w:spacing w:after="0" w:line="252" w:lineRule="auto"/>
        <w:tabs>
          <w:tab w:leader="none" w:pos="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996"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71"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 DTC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case of Shares represented by certificates issued in registered form</w:t>
      </w:r>
      <w:r>
        <w:rPr>
          <w:rFonts w:ascii="Times New Roman" w:cs="Times New Roman" w:eastAsia="Times New Roman" w:hAnsi="Times New Roman"/>
          <w:sz w:val="18"/>
          <w:szCs w:val="18"/>
          <w:color w:val="auto"/>
        </w:rPr>
        <w:t>, appropriate instruments of transfer or endorsement, in a form reasonably satisfactory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Custodian, (ii) </w:t>
      </w:r>
      <w:r>
        <w:rPr>
          <w:rFonts w:ascii="Times New Roman" w:cs="Times New Roman" w:eastAsia="Times New Roman" w:hAnsi="Times New Roman"/>
          <w:sz w:val="18"/>
          <w:szCs w:val="18"/>
          <w:i w:val="1"/>
          <w:iCs w:val="1"/>
          <w:color w:val="auto"/>
        </w:rPr>
        <w:t>in the case of Shares represented by certificates in bearer form,</w:t>
      </w:r>
      <w:r>
        <w:rPr>
          <w:rFonts w:ascii="Times New Roman" w:cs="Times New Roman" w:eastAsia="Times New Roman" w:hAnsi="Times New Roman"/>
          <w:sz w:val="18"/>
          <w:szCs w:val="18"/>
          <w:color w:val="auto"/>
        </w:rPr>
        <w:t xml:space="preserve"> the requisite coupons and talons pertaining thereto, and (iii) </w:t>
      </w:r>
      <w:r>
        <w:rPr>
          <w:rFonts w:ascii="Times New Roman" w:cs="Times New Roman" w:eastAsia="Times New Roman" w:hAnsi="Times New Roman"/>
          <w:sz w:val="18"/>
          <w:szCs w:val="18"/>
          <w:i w:val="1"/>
          <w:iCs w:val="1"/>
          <w:color w:val="auto"/>
        </w:rPr>
        <w:t>in the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2.5 </w:t>
      </w:r>
      <w:r>
        <w:rPr>
          <w:rFonts w:ascii="Times New Roman" w:cs="Times New Roman" w:eastAsia="Times New Roman" w:hAnsi="Times New Roman"/>
          <w:sz w:val="17"/>
          <w:szCs w:val="17"/>
          <w:b w:val="1"/>
          <w:bCs w:val="1"/>
          <w:u w:val="single" w:color="auto"/>
          <w:color w:val="auto"/>
        </w:rPr>
        <w:t>Issuance of ADSs</w:t>
      </w:r>
      <w:r>
        <w:rPr>
          <w:rFonts w:ascii="Times New Roman" w:cs="Times New Roman" w:eastAsia="Times New Roman" w:hAnsi="Times New Roman"/>
          <w:sz w:val="17"/>
          <w:szCs w:val="17"/>
          <w:color w:val="auto"/>
        </w:rPr>
        <w:t>. The Depositary has made arrangements with the Custodian for the Custodian to confirm to the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and all taxes and governmental charges and fees payable in connection with such deposit and the transfer of the Shares and the issuance of the ADS(s). 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w:t>
      </w:r>
    </w:p>
    <w:p>
      <w:pPr>
        <w:spacing w:after="0" w:line="11" w:lineRule="exact"/>
        <w:rPr>
          <w:sz w:val="20"/>
          <w:szCs w:val="20"/>
          <w:color w:val="auto"/>
        </w:rPr>
      </w:pPr>
    </w:p>
    <w:p>
      <w:pPr>
        <w:jc w:val="both"/>
        <w:ind w:right="20" w:firstLine="8"/>
        <w:spacing w:after="0" w:line="255" w:lineRule="auto"/>
        <w:tabs>
          <w:tab w:leader="none" w:pos="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process such ADS conversion to the extent the Depositary has to the extent applicable instructed the Custodian to transfer the corresponding Shares from and into the applicable custody accounts maintained for the applicable ADS series. The Depositary shall only issue ADSs in whole numbers and deliver, if applicable, ADR(s) evidencing whole numbers of ADSs.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7" w:name="page28"/>
    <w:bookmarkEnd w:id="27"/>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006"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ADRs (and of the ADSs represented thereby) on the books maintained for such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184" w:lineRule="exact"/>
        <w:rPr>
          <w:rFonts w:ascii="Times New Roman" w:cs="Times New Roman" w:eastAsia="Times New Roman" w:hAnsi="Times New Roman"/>
          <w:sz w:val="18"/>
          <w:szCs w:val="18"/>
          <w:color w:val="auto"/>
        </w:rPr>
      </w:pPr>
    </w:p>
    <w:p>
      <w:pPr>
        <w:jc w:val="both"/>
        <w:ind w:firstLine="656"/>
        <w:spacing w:after="0" w:line="255" w:lineRule="auto"/>
        <w:tabs>
          <w:tab w:leader="none" w:pos="985"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split-up or combination of ADRs (and of the ADSs represented thereby)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case</w:t>
      </w:r>
      <w:r>
        <w:rPr>
          <w:rFonts w:ascii="Times New Roman" w:cs="Times New Roman" w:eastAsia="Times New Roman" w:hAnsi="Times New Roman"/>
          <w:sz w:val="18"/>
          <w:szCs w:val="18"/>
          <w:color w:val="auto"/>
        </w:rPr>
        <w:t>, to the terms and conditions of the ADRs evidencing the surrendered ADSs, of the Deposit Agreement, of the Articles of Association, and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and the rules of the applicable book-entry settlement entity, and to any provisions of or governing the Deposited Securities, in each case as in effect at the time thereof.</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9" w:name="page30"/>
    <w:bookmarkEnd w:id="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jc w:val="both"/>
        <w:ind w:firstLine="656"/>
        <w:spacing w:after="0" w:line="254" w:lineRule="auto"/>
        <w:tabs>
          <w:tab w:leader="none" w:pos="1127"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ind w:right="20" w:firstLine="8"/>
        <w:spacing w:after="0" w:line="260" w:lineRule="auto"/>
        <w:tabs>
          <w:tab w:leader="none" w:pos="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177" w:lineRule="exact"/>
        <w:rPr>
          <w:rFonts w:ascii="Times New Roman" w:cs="Times New Roman" w:eastAsia="Times New Roman" w:hAnsi="Times New Roman"/>
          <w:sz w:val="18"/>
          <w:szCs w:val="18"/>
          <w:color w:val="auto"/>
        </w:rPr>
      </w:pPr>
    </w:p>
    <w:p>
      <w:pPr>
        <w:jc w:val="both"/>
        <w:ind w:firstLine="656"/>
        <w:spacing w:after="0" w:line="256" w:lineRule="auto"/>
        <w:tabs>
          <w:tab w:leader="none" w:pos="1025"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23"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0" w:name="page31"/>
    <w:bookmarkEnd w:id="30"/>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 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(i)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5" w:lineRule="exact"/>
        <w:rPr>
          <w:sz w:val="20"/>
          <w:szCs w:val="20"/>
          <w:color w:val="auto"/>
        </w:rPr>
      </w:pPr>
    </w:p>
    <w:p>
      <w:pPr>
        <w:jc w:val="both"/>
        <w:ind w:firstLine="8"/>
        <w:spacing w:after="0" w:line="250" w:lineRule="auto"/>
        <w:tabs>
          <w:tab w:leader="none" w:pos="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2" w:name="page33"/>
    <w:bookmarkEnd w:id="32"/>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color w:val="auto"/>
        </w:rPr>
        <w:t>If the Restricted ADRs, the Restricted ADSs and the Restricted Shares cease to be Restricted Securities, the Depositary, upon receipt of</w:t>
      </w:r>
    </w:p>
    <w:p>
      <w:pPr>
        <w:spacing w:after="0" w:line="27" w:lineRule="exact"/>
        <w:rPr>
          <w:sz w:val="20"/>
          <w:szCs w:val="20"/>
          <w:color w:val="auto"/>
        </w:rPr>
      </w:pPr>
    </w:p>
    <w:p>
      <w:pPr>
        <w:jc w:val="both"/>
        <w:ind w:firstLine="8"/>
        <w:spacing w:after="0" w:line="251" w:lineRule="auto"/>
        <w:tabs>
          <w:tab w:leader="none" w:pos="2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interested in such ADSs and the nature of such interest and various other matters, whether or not they are Holders and/or Beneficial Owners at the time of such request. The Depositary shall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the Deposit Agreement or any ADR(s)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03"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4.1</w:t>
      </w:r>
      <w:r>
        <w:rPr>
          <w:sz w:val="20"/>
          <w:szCs w:val="20"/>
          <w:color w:val="auto"/>
        </w:rPr>
        <w:tab/>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respect of any Deposited Securities, the Company shall give notice thereof to the Depositary at least twenty (20) days (or such other number of days as the Depositary and the Company may agree in writing at such time)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shall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of, Shares, the Company shall give notice thereof to the Depositary at least twenty (20) days prior to the proposed distribution, specifying,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shall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sixty (60) days (or such other number of days as the Depositary and the Company may agree in writing at such time)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shall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9" w:name="page40"/>
    <w:bookmarkEnd w:id="39"/>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3" w:lineRule="auto"/>
        <w:tabs>
          <w:tab w:leader="none" w:pos="99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 subscribe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Shares, the Company shall give notice thereof to the Depositary at least sixty (60) days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reasonably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0" w:name="page41"/>
    <w:bookmarkEnd w:id="40"/>
    <w:p>
      <w:pPr>
        <w:jc w:val="both"/>
        <w:ind w:firstLine="656"/>
        <w:spacing w:after="0" w:line="256" w:lineRule="auto"/>
        <w:tabs>
          <w:tab w:leader="none" w:pos="97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9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 arrange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sale of the rights upon the terms described in Section 4.4(b), the Depositary shall allow such rights to lapse.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55" w:lineRule="auto"/>
        <w:tabs>
          <w:tab w:leader="none" w:pos="1033"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7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63"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2" w:name="page43"/>
    <w:bookmarkEnd w:id="42"/>
    <w:p>
      <w:pPr>
        <w:jc w:val="both"/>
        <w:ind w:firstLine="656"/>
        <w:spacing w:after="0" w:line="266" w:lineRule="auto"/>
        <w:tabs>
          <w:tab w:leader="none" w:pos="97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shall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vote all Deposited Securities in accordance with the voting instructions received timely from a majority of Holders of ADSs who provided voting instructions, and (b) </w:t>
      </w:r>
      <w:r>
        <w:rPr>
          <w:rFonts w:ascii="Times New Roman" w:cs="Times New Roman" w:eastAsia="Times New Roman" w:hAnsi="Times New Roman"/>
          <w:sz w:val="18"/>
          <w:szCs w:val="18"/>
          <w:i w:val="1"/>
          <w:iCs w:val="1"/>
          <w:color w:val="auto"/>
        </w:rPr>
        <w:t>in the event voting takes place at a shareholders’ meeting by poll</w:t>
      </w:r>
      <w:r>
        <w:rPr>
          <w:rFonts w:ascii="Times New Roman" w:cs="Times New Roman" w:eastAsia="Times New Roman" w:hAnsi="Times New Roman"/>
          <w:sz w:val="18"/>
          <w:szCs w:val="18"/>
          <w:color w:val="auto"/>
        </w:rPr>
        <w:t xml:space="preserve"> ,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jc w:val="both"/>
        <w:ind w:firstLine="8"/>
        <w:spacing w:after="0" w:line="251"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7" w:name="page48"/>
    <w:bookmarkEnd w:id="47"/>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notify the Company of any such removal or appointment as commercially practicable.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0" w:name="page51"/>
    <w:bookmarkEnd w:id="5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 Hong Kong as Custodian for the purpose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2" w:name="page53"/>
    <w:bookmarkEnd w:id="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also transmit to the Depositary (a) an English language version of the other notices, reports and communications which are made generally available by the Company to holders of its Shares or other Deposited Securities and (b) the English 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3" w:name="page54"/>
    <w:bookmarkEnd w:id="5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jc w:val="both"/>
        <w:ind w:firstLine="8"/>
        <w:spacing w:after="0" w:line="251"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9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and/or the Custodian (for as long as the Custodian is a branch of Citibank) under the terms hereof due to the negligence or bad faith of the Depositary and/or the Custodian (for as long as the Custodian is a branch of Citibank).</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4" w:name="page55"/>
    <w:bookmarkEnd w:id="5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the Custodian or any of their respective directors, officers, employees, agents or Affiliates against any liability or expense arising out of information relating to the Depositary or such Custodian , as the case may be, furnished in writing by the Depositary to the Company, executed by the Depositary or such Custodian expressly for use in any registration statement, proxy statement, prospectus, preliminary prospectus or any other offering documents relating to any Deposited Securities represented by the ADSs.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color w:val="auto"/>
        </w:rPr>
        <w:t>. The Company, the Holders, the Beneficial Owners, persons depositing Shares or withdrawing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Deposited 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5" w:name="page56"/>
    <w:bookmarkEnd w:id="5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6" w:name="page57"/>
    <w:bookmarkEnd w:id="5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7" w:name="page58"/>
    <w:bookmarkEnd w:id="5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jc w:val="both"/>
        <w:ind w:firstLine="8"/>
        <w:spacing w:after="0" w:line="252" w:lineRule="auto"/>
        <w:tabs>
          <w:tab w:leader="none" w:pos="2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8" w:name="page59"/>
    <w:bookmarkEnd w:id="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the ADS fees and charges of, and reimbursement of the applicable expenses incurred by, the Depositary.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9" w:name="page60"/>
    <w:bookmarkEnd w:id="5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mail, air courier or cable, telex or facsimile transmission, confirmed by letter personally delivered or sent by mail or air courier, addressed to Suntec Tower 3, 8 Temasek Boulevard Road, #24-03, Singapore, 038988,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Chief Executive Officer, or to any other address which the Company may specify in writing to the Depositary.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(including claims arising under the Exchange Act or the Securities Act), and, for such purposes, each irrevocably submits to the non-exclusive jurisdiction of such courts.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(including, but not limited to, any underwriters retained by the Company), arising out of or relating in any way to this Deposit Agreement, the American Depositary Shares or Receipts, or the transactions contemplated hereby or thereby or by virtue of ownership thereof, including without limitation claims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1" w:name="page62"/>
    <w:bookmarkEnd w:id="6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hereby irrevocably designates, appoints and empowers Cogency Global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jc w:val="both"/>
        <w:ind w:firstLine="8"/>
        <w:spacing w:after="0" w:line="252" w:lineRule="auto"/>
        <w:tabs>
          <w:tab w:leader="none" w:pos="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u w:val="single" w:color="auto"/>
          <w:color w:val="auto"/>
        </w:rPr>
        <w:t>Compliance with, and No Disclaimer under, U.S. Securities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99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5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Cayman Islands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the laws and regulations of the Cayman Islands and of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3" w:name="page64"/>
    <w:bookmarkEnd w:id="63"/>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01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8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 paragraphs,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on following page]</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TRIDENT DIGITAL TECH HOLDINGS LTD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8780" w:type="dxa"/>
            <w:vAlign w:val="bottom"/>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8780" w:type="dxa"/>
            <w:vAlign w:val="bottom"/>
          </w:tcPr>
          <w:p>
            <w:pPr>
              <w:ind w:left="6680"/>
              <w:spacing w:after="0"/>
              <w:rPr>
                <w:sz w:val="20"/>
                <w:szCs w:val="20"/>
                <w:color w:val="auto"/>
              </w:rPr>
            </w:pPr>
            <w:r>
              <w:rPr>
                <w:rFonts w:ascii="Times New Roman" w:cs="Times New Roman" w:eastAsia="Times New Roman" w:hAnsi="Times New Roman"/>
                <w:sz w:val="18"/>
                <w:szCs w:val="18"/>
                <w:color w:val="auto"/>
              </w:rPr>
              <w:t>CUSIP NUMBER: _______</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8780" w:type="dxa"/>
            <w:vAlign w:val="bottom"/>
            <w:vMerge w:val="restart"/>
          </w:tcPr>
          <w:p>
            <w:pPr>
              <w:ind w:left="4860"/>
              <w:spacing w:after="0"/>
              <w:rPr>
                <w:sz w:val="20"/>
                <w:szCs w:val="20"/>
                <w:color w:val="auto"/>
              </w:rPr>
            </w:pPr>
            <w:r>
              <w:rPr>
                <w:rFonts w:ascii="Times New Roman" w:cs="Times New Roman" w:eastAsia="Times New Roman" w:hAnsi="Times New Roman"/>
                <w:sz w:val="18"/>
                <w:szCs w:val="18"/>
                <w:color w:val="auto"/>
              </w:rPr>
              <w:t>American Depositary Shares (each American</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Depositary Share representing the right to receive</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7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eight (8) fully paid Class B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50"/>
              <w:spacing w:after="0"/>
              <w:rPr>
                <w:sz w:val="20"/>
                <w:szCs w:val="20"/>
                <w:color w:val="auto"/>
              </w:rPr>
            </w:pPr>
            <w:r>
              <w:rPr>
                <w:rFonts w:ascii="Times New Roman" w:cs="Times New Roman" w:eastAsia="Times New Roman" w:hAnsi="Times New Roman"/>
                <w:sz w:val="18"/>
                <w:szCs w:val="18"/>
                <w:color w:val="auto"/>
                <w:w w:val="99"/>
              </w:rPr>
              <w:t>DEPOSITED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4"/>
                <w:szCs w:val="24"/>
                <w:color w:val="auto"/>
              </w:rPr>
            </w:pPr>
          </w:p>
        </w:tc>
        <w:tc>
          <w:tcPr>
            <w:tcW w:w="8780" w:type="dxa"/>
            <w:vAlign w:val="bottom"/>
          </w:tcPr>
          <w:p>
            <w:pPr>
              <w:jc w:val="center"/>
              <w:ind w:right="2430"/>
              <w:spacing w:after="0"/>
              <w:rPr>
                <w:sz w:val="20"/>
                <w:szCs w:val="20"/>
                <w:color w:val="auto"/>
              </w:rPr>
            </w:pPr>
            <w:r>
              <w:rPr>
                <w:rFonts w:ascii="Times New Roman" w:cs="Times New Roman" w:eastAsia="Times New Roman" w:hAnsi="Times New Roman"/>
                <w:sz w:val="18"/>
                <w:szCs w:val="18"/>
                <w:color w:val="auto"/>
                <w:w w:val="98"/>
              </w:rPr>
              <w:t>TRIDENT DIGITAL TECH HOLDINGS LTD</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 is the owner of ______________ American Depositary Shares (hereinafter “ADS”) representing</w:t>
      </w:r>
    </w:p>
    <w:p>
      <w:pPr>
        <w:ind w:right="40"/>
        <w:spacing w:after="0" w:line="252" w:lineRule="auto"/>
        <w:rPr>
          <w:sz w:val="20"/>
          <w:szCs w:val="20"/>
          <w:color w:val="auto"/>
        </w:rPr>
      </w:pPr>
      <w:r>
        <w:rPr>
          <w:rFonts w:ascii="Times New Roman" w:cs="Times New Roman" w:eastAsia="Times New Roman" w:hAnsi="Times New Roman"/>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ADS represents the right to receive eight (8)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6" w:name="page67"/>
    <w:bookmarkEnd w:id="66"/>
    <w:p>
      <w:pPr>
        <w:ind w:right="20" w:firstLine="656"/>
        <w:spacing w:after="0" w:line="253" w:lineRule="auto"/>
        <w:tabs>
          <w:tab w:leader="none" w:pos="153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to be issued upon the terms and conditions set forth in the Deposit Agreement, dated as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2024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ind w:firstLine="656"/>
        <w:spacing w:after="0" w:line="253" w:lineRule="auto"/>
        <w:tabs>
          <w:tab w:leader="none" w:pos="1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7" w:name="page68"/>
    <w:bookmarkEnd w:id="67"/>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8" w:name="page69"/>
    <w:bookmarkEnd w:id="68"/>
    <w:p>
      <w:pPr>
        <w:ind w:firstLine="656"/>
        <w:spacing w:after="0" w:line="254" w:lineRule="auto"/>
        <w:tabs>
          <w:tab w:leader="none" w:pos="153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ind w:right="280" w:firstLine="8"/>
        <w:spacing w:after="0" w:line="255"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ind w:right="20" w:firstLine="656"/>
        <w:spacing w:after="0" w:line="254" w:lineRule="auto"/>
        <w:tabs>
          <w:tab w:leader="none" w:pos="153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9" w:name="page70"/>
    <w:bookmarkEnd w:id="69"/>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right="40" w:firstLine="656"/>
        <w:spacing w:after="0" w:line="257" w:lineRule="auto"/>
        <w:tabs>
          <w:tab w:leader="none" w:pos="15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54" w:lineRule="auto"/>
        <w:tabs>
          <w:tab w:leader="none" w:pos="15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0" w:name="page71"/>
    <w:bookmarkEnd w:id="70"/>
    <w:p>
      <w:pPr>
        <w:ind w:left="-20" w:firstLine="656"/>
        <w:spacing w:after="0" w:line="256" w:lineRule="auto"/>
        <w:tabs>
          <w:tab w:leader="none" w:pos="151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2" w:lineRule="exact"/>
        <w:rPr>
          <w:rFonts w:ascii="Times New Roman" w:cs="Times New Roman" w:eastAsia="Times New Roman" w:hAnsi="Times New Roman"/>
          <w:sz w:val="18"/>
          <w:szCs w:val="18"/>
          <w:b w:val="1"/>
          <w:bCs w:val="1"/>
          <w:color w:val="auto"/>
        </w:rPr>
      </w:pPr>
    </w:p>
    <w:p>
      <w:pPr>
        <w:ind w:left="-20" w:firstLine="656"/>
        <w:spacing w:after="0" w:line="253" w:lineRule="auto"/>
        <w:tabs>
          <w:tab w:leader="none" w:pos="151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71" w:name="page72"/>
    <w:bookmarkEnd w:id="71"/>
    <w:p>
      <w:pPr>
        <w:ind w:right="40" w:firstLine="656"/>
        <w:spacing w:after="0" w:line="254" w:lineRule="auto"/>
        <w:tabs>
          <w:tab w:leader="none" w:pos="153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53" w:lineRule="auto"/>
        <w:tabs>
          <w:tab w:leader="none" w:pos="144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89" w:lineRule="exact"/>
        <w:rPr>
          <w:rFonts w:ascii="Times New Roman" w:cs="Times New Roman" w:eastAsia="Times New Roman" w:hAnsi="Times New Roman"/>
          <w:sz w:val="18"/>
          <w:szCs w:val="18"/>
          <w:b w:val="1"/>
          <w:bCs w:val="1"/>
          <w:color w:val="auto"/>
        </w:rPr>
      </w:pPr>
    </w:p>
    <w:p>
      <w:pPr>
        <w:ind w:left="1440" w:hanging="784"/>
        <w:spacing w:after="0"/>
        <w:tabs>
          <w:tab w:leader="none" w:pos="14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(some of which may be cumulative) are payable under the terms of the Deposit</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4" w:lineRule="exact"/>
        <w:rPr>
          <w:rFonts w:ascii="Times New Roman" w:cs="Times New Roman" w:eastAsia="Times New Roman" w:hAnsi="Times New Roman"/>
          <w:sz w:val="18"/>
          <w:szCs w:val="18"/>
          <w:b w:val="1"/>
          <w:bCs w:val="1"/>
          <w:color w:val="auto"/>
        </w:rPr>
      </w:pPr>
    </w:p>
    <w:p>
      <w:pPr>
        <w:ind w:left="1960" w:right="160" w:hanging="656"/>
        <w:spacing w:after="0" w:line="290" w:lineRule="auto"/>
        <w:tabs>
          <w:tab w:leader="none" w:pos="196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ADS Issuance Fee</w:t>
      </w:r>
      <w:r>
        <w:rPr>
          <w:rFonts w:ascii="Times New Roman" w:cs="Times New Roman" w:eastAsia="Times New Roman" w:hAnsi="Times New Roman"/>
          <w:sz w:val="17"/>
          <w:szCs w:val="17"/>
          <w:color w:val="auto"/>
        </w:rPr>
        <w:t>: by any person for whom ADSs are issued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55" w:lineRule="exact"/>
        <w:rPr>
          <w:rFonts w:ascii="Times New Roman" w:cs="Times New Roman" w:eastAsia="Times New Roman" w:hAnsi="Times New Roman"/>
          <w:sz w:val="17"/>
          <w:szCs w:val="17"/>
          <w:color w:val="auto"/>
        </w:rPr>
      </w:pPr>
    </w:p>
    <w:p>
      <w:pPr>
        <w:ind w:left="1960" w:right="180" w:hanging="656"/>
        <w:spacing w:after="0" w:line="267"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72" w:name="page73"/>
    <w:bookmarkEnd w:id="72"/>
    <w:p>
      <w:pPr>
        <w:ind w:left="1960" w:right="60" w:hanging="656"/>
        <w:spacing w:after="0" w:line="282"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1960" w:right="160" w:hanging="656"/>
        <w:spacing w:after="0" w:line="266"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ind w:left="1960" w:right="160" w:hanging="656"/>
        <w:spacing w:after="0" w:line="266"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 contingent value rights);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and</w:t>
      </w:r>
    </w:p>
    <w:p>
      <w:pPr>
        <w:spacing w:after="0" w:line="161" w:lineRule="exact"/>
        <w:rPr>
          <w:rFonts w:ascii="Times New Roman" w:cs="Times New Roman" w:eastAsia="Times New Roman" w:hAnsi="Times New Roman"/>
          <w:sz w:val="18"/>
          <w:szCs w:val="18"/>
          <w:color w:val="auto"/>
        </w:rPr>
      </w:pPr>
    </w:p>
    <w:p>
      <w:pPr>
        <w:ind w:left="1960" w:right="40" w:hanging="656"/>
        <w:spacing w:after="0" w:line="261"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3" w:name="page74"/>
    <w:bookmarkEnd w:id="73"/>
    <w:p>
      <w:pPr>
        <w:ind w:left="1300" w:right="540" w:hanging="320"/>
        <w:spacing w:after="0" w:line="312"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39" w:lineRule="exact"/>
        <w:rPr>
          <w:rFonts w:ascii="Times New Roman" w:cs="Times New Roman" w:eastAsia="Times New Roman" w:hAnsi="Times New Roman"/>
          <w:sz w:val="17"/>
          <w:szCs w:val="17"/>
          <w:color w:val="auto"/>
        </w:rPr>
      </w:pPr>
    </w:p>
    <w:p>
      <w:pPr>
        <w:ind w:left="1300" w:right="300" w:hanging="320"/>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4" w:name="page75"/>
    <w:bookmarkEnd w:id="74"/>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40" w:firstLine="656"/>
        <w:spacing w:after="0" w:line="254" w:lineRule="auto"/>
        <w:tabs>
          <w:tab w:leader="none" w:pos="144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ind w:right="60" w:firstLine="656"/>
        <w:spacing w:after="0" w:line="256" w:lineRule="auto"/>
        <w:tabs>
          <w:tab w:leader="none" w:pos="144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5" w:name="page76"/>
    <w:bookmarkEnd w:id="75"/>
    <w:p>
      <w:pPr>
        <w:ind w:firstLine="656"/>
        <w:spacing w:after="0" w:line="256" w:lineRule="auto"/>
        <w:tabs>
          <w:tab w:leader="none" w:pos="144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69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69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698" w:right="339" w:bottom="1440" w:gutter="0" w:footer="0" w:header="0"/>
          <w:type w:val="continuous"/>
        </w:sectPr>
      </w:pP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03" w:lineRule="exact"/>
        <w:rPr>
          <w:sz w:val="20"/>
          <w:szCs w:val="20"/>
          <w:color w:val="auto"/>
        </w:rPr>
      </w:pPr>
    </w:p>
    <w:p>
      <w:pPr>
        <w:ind w:left="1440" w:hanging="804"/>
        <w:spacing w:after="0"/>
        <w:tabs>
          <w:tab w:leader="none" w:pos="14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20" w:firstLine="656"/>
        <w:spacing w:after="0" w:line="252" w:lineRule="auto"/>
        <w:tabs>
          <w:tab w:leader="none" w:pos="8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of a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98" w:right="339" w:bottom="1440" w:gutter="0" w:footer="0" w:header="0"/>
        </w:sectPr>
      </w:pPr>
    </w:p>
    <w:bookmarkStart w:id="77" w:name="page78"/>
    <w:bookmarkEnd w:id="77"/>
    <w:p>
      <w:pPr>
        <w:ind w:firstLine="656"/>
        <w:spacing w:after="0" w:line="274" w:lineRule="auto"/>
        <w:tabs>
          <w:tab w:leader="none" w:pos="90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Share Distributions</w:t>
      </w:r>
      <w:r>
        <w:rPr>
          <w:rFonts w:ascii="Times New Roman" w:cs="Times New Roman" w:eastAsia="Times New Roman" w:hAnsi="Times New Roman"/>
          <w:sz w:val="17"/>
          <w:szCs w:val="17"/>
          <w:color w:val="auto"/>
        </w:rPr>
        <w:t>: Upon the timely receipt by the Depositary of a notice from the Company that it intends to make a distribution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ind w:firstLine="8"/>
        <w:spacing w:after="0" w:line="250" w:lineRule="auto"/>
        <w:tabs>
          <w:tab w:leader="none" w:pos="2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Times New Roman" w:cs="Times New Roman" w:eastAsia="Times New Roman" w:hAnsi="Times New Roman"/>
          <w:sz w:val="18"/>
          <w:szCs w:val="18"/>
          <w:color w:val="auto"/>
        </w:rPr>
      </w:pPr>
    </w:p>
    <w:p>
      <w:pPr>
        <w:ind w:right="80" w:firstLine="8"/>
        <w:spacing w:after="0" w:line="253"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8" w:name="page79"/>
    <w:bookmarkEnd w:id="78"/>
    <w:p>
      <w:pPr>
        <w:ind w:right="240" w:firstLine="656"/>
        <w:spacing w:after="0" w:line="256" w:lineRule="auto"/>
        <w:tabs>
          <w:tab w:leader="none" w:pos="89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3" w:lineRule="exact"/>
        <w:rPr>
          <w:rFonts w:ascii="Times New Roman" w:cs="Times New Roman" w:eastAsia="Times New Roman" w:hAnsi="Times New Roman"/>
          <w:sz w:val="18"/>
          <w:szCs w:val="18"/>
          <w:color w:val="auto"/>
        </w:rPr>
      </w:pPr>
    </w:p>
    <w:p>
      <w:pPr>
        <w:ind w:firstLine="8"/>
        <w:spacing w:after="0" w:line="251"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5" w:lineRule="exact"/>
        <w:rPr>
          <w:rFonts w:ascii="Times New Roman" w:cs="Times New Roman" w:eastAsia="Times New Roman" w:hAnsi="Times New Roman"/>
          <w:sz w:val="18"/>
          <w:szCs w:val="18"/>
          <w:color w:val="auto"/>
        </w:rPr>
      </w:pPr>
    </w:p>
    <w:p>
      <w:pPr>
        <w:ind w:right="100" w:firstLine="656"/>
        <w:spacing w:after="0" w:line="252" w:lineRule="auto"/>
        <w:tabs>
          <w:tab w:leader="none" w:pos="90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9" w:name="page80"/>
    <w:bookmarkEnd w:id="79"/>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0" w:name="page81"/>
    <w:bookmarkEnd w:id="80"/>
    <w:p>
      <w:pPr>
        <w:ind w:right="60" w:firstLine="656"/>
        <w:spacing w:after="0" w:line="254" w:lineRule="auto"/>
        <w:tabs>
          <w:tab w:leader="none" w:pos="8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83"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firstLine="656"/>
        <w:spacing w:after="0" w:line="252" w:lineRule="auto"/>
        <w:tabs>
          <w:tab w:leader="none" w:pos="144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81" w:name="page82"/>
    <w:bookmarkEnd w:id="81"/>
    <w:p>
      <w:pPr>
        <w:ind w:left="-20" w:firstLine="656"/>
        <w:spacing w:after="0" w:line="254" w:lineRule="auto"/>
        <w:tabs>
          <w:tab w:leader="none" w:pos="142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ind w:left="-20" w:right="40" w:firstLine="656"/>
        <w:spacing w:after="0" w:line="254" w:lineRule="auto"/>
        <w:tabs>
          <w:tab w:leader="none" w:pos="142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82" w:name="page83"/>
    <w:bookmarkEnd w:id="82"/>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event voting takes place at a shareholders’ meeting by poll</w:t>
      </w:r>
      <w:r>
        <w:rPr>
          <w:rFonts w:ascii="Times New Roman" w:cs="Times New Roman" w:eastAsia="Times New Roman" w:hAnsi="Times New Roman"/>
          <w:sz w:val="18"/>
          <w:szCs w:val="18"/>
          <w:color w:val="auto"/>
        </w:rPr>
        <w:t>, the Depositary will instruct the Custodian to vote the Deposited Securities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3" w:name="page84"/>
    <w:bookmarkEnd w:id="83"/>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20" w:firstLine="656"/>
        <w:spacing w:after="0" w:line="267" w:lineRule="auto"/>
        <w:tabs>
          <w:tab w:leader="none" w:pos="1442" w:val="left"/>
        </w:tabs>
        <w:numPr>
          <w:ilvl w:val="1"/>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7" w:lineRule="exact"/>
        <w:rPr>
          <w:rFonts w:ascii="Times New Roman" w:cs="Times New Roman" w:eastAsia="Times New Roman" w:hAnsi="Times New Roman"/>
          <w:sz w:val="17"/>
          <w:szCs w:val="17"/>
          <w:b w:val="1"/>
          <w:bCs w:val="1"/>
          <w:color w:val="auto"/>
        </w:rPr>
      </w:pPr>
    </w:p>
    <w:p>
      <w:pPr>
        <w:ind w:firstLine="8"/>
        <w:spacing w:after="0" w:line="250"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exposure or loss incurred in connection with such sale, or (iii) any liability to the purchaser of such Deposited Property.</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4" w:name="page85"/>
    <w:bookmarkEnd w:id="84"/>
    <w:p>
      <w:pPr>
        <w:ind w:left="-20" w:firstLine="656"/>
        <w:spacing w:after="0" w:line="252" w:lineRule="auto"/>
        <w:tabs>
          <w:tab w:leader="none" w:pos="142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85" w:name="page86"/>
    <w:bookmarkEnd w:id="85"/>
    <w:p>
      <w:pPr>
        <w:ind w:firstLine="656"/>
        <w:spacing w:after="0" w:line="256" w:lineRule="auto"/>
        <w:tabs>
          <w:tab w:leader="none" w:pos="144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86" w:name="page87"/>
    <w:bookmarkEnd w:id="86"/>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40" w:firstLine="656"/>
        <w:spacing w:after="0" w:line="268" w:lineRule="auto"/>
        <w:tabs>
          <w:tab w:leader="none" w:pos="1442"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Resignation and Removal of the Depositary; Appointment of Successor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Depositary may at any time resign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7" w:name="page88"/>
    <w:bookmarkEnd w:id="87"/>
    <w:p>
      <w:pPr>
        <w:ind w:left="-8" w:firstLine="656"/>
        <w:spacing w:after="0" w:line="252" w:lineRule="auto"/>
        <w:tabs>
          <w:tab w:leader="none" w:pos="1434"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86" w:lineRule="exact"/>
        <w:rPr>
          <w:rFonts w:ascii="Times New Roman" w:cs="Times New Roman" w:eastAsia="Times New Roman" w:hAnsi="Times New Roman"/>
          <w:sz w:val="18"/>
          <w:szCs w:val="18"/>
          <w:b w:val="1"/>
          <w:bCs w:val="1"/>
          <w:color w:val="auto"/>
        </w:rPr>
      </w:pPr>
    </w:p>
    <w:p>
      <w:pPr>
        <w:ind w:left="-8" w:right="160" w:firstLine="656"/>
        <w:spacing w:after="0" w:line="259" w:lineRule="auto"/>
        <w:tabs>
          <w:tab w:leader="none" w:pos="1434"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ind w:left="-8" w:right="20" w:firstLine="8"/>
        <w:spacing w:after="0" w:line="251" w:lineRule="auto"/>
        <w:tabs>
          <w:tab w:leader="none" w:pos="2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2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98" w:right="339" w:bottom="1440" w:gutter="0" w:footer="0" w:header="0"/>
        </w:sectPr>
      </w:pPr>
    </w:p>
    <w:bookmarkStart w:id="88" w:name="page89"/>
    <w:bookmarkEnd w:id="88"/>
    <w:p>
      <w:pPr>
        <w:ind w:right="80"/>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9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spacing w:after="0" w:line="169" w:lineRule="exact"/>
        <w:rPr>
          <w:sz w:val="20"/>
          <w:szCs w:val="20"/>
          <w:color w:val="auto"/>
        </w:rPr>
      </w:pPr>
    </w:p>
    <w:p>
      <w:pPr>
        <w:ind w:left="1000" w:hanging="344"/>
        <w:spacing w:after="0"/>
        <w:tabs>
          <w:tab w:leader="none" w:pos="10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656"/>
        <w:spacing w:after="0" w:line="266" w:lineRule="auto"/>
        <w:tabs>
          <w:tab w:leader="none" w:pos="89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this ADR or the Deposit 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89" w:name="page90"/>
    <w:bookmarkEnd w:id="89"/>
    <w:p>
      <w:pPr>
        <w:ind w:left="-8" w:right="60" w:firstLine="656"/>
        <w:spacing w:after="0" w:line="266" w:lineRule="auto"/>
        <w:tabs>
          <w:tab w:leader="none" w:pos="8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left="-8" w:firstLine="656"/>
        <w:spacing w:after="0" w:line="268" w:lineRule="auto"/>
        <w:tabs>
          <w:tab w:leader="none" w:pos="1434" w:val="left"/>
        </w:tabs>
        <w:numPr>
          <w:ilvl w:val="1"/>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Third Party Beneficiaries/Acknowledgements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 Agreement is for the exclusive benefit of the parties hereto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7"/>
          <w:szCs w:val="17"/>
          <w:b w:val="1"/>
          <w:bCs w:val="1"/>
          <w:color w:val="auto"/>
        </w:rPr>
      </w:pPr>
    </w:p>
    <w:p>
      <w:pPr>
        <w:ind w:left="-8" w:right="60" w:firstLine="8"/>
        <w:spacing w:after="0" w:line="251" w:lineRule="auto"/>
        <w:tabs>
          <w:tab w:leader="none" w:pos="2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ind w:left="-8" w:firstLine="656"/>
        <w:spacing w:after="0" w:line="257" w:lineRule="auto"/>
        <w:tabs>
          <w:tab w:leader="none" w:pos="1434"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28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702" w:right="359" w:bottom="1440" w:gutter="0" w:footer="0" w:header="0"/>
        </w:sectPr>
      </w:pPr>
    </w:p>
    <w:bookmarkStart w:id="90" w:name="page91"/>
    <w:bookmarkEnd w:id="90"/>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 the undersigned Holder hereby sell(s), assign(s) and transfer(s) unto________________________ whose taxpayer identification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is __________________________and whose address including postal zip code is ________________, the within ADR and all rights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irrevocably constituting and appointing ________________________ attorney-in-fact to transfer said ADR on the books of the Depositary with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24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Legends</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(some of which may be cumulative)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 ratio, ADS conversions, or for any other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reason), excluding issuances as a result of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described in 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 in the ADS(s)-to-Share(s) ratio, ADS</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conversions,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Agreement,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 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52"/>
        </w:trPr>
        <w:tc>
          <w:tcPr>
            <w:tcW w:w="30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financial instruments, including,</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without limitation, securities, other than ADSs or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and contingent value rights).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00" w:type="dxa"/>
            <w:vAlign w:val="bottom"/>
            <w:tcBorders>
              <w:lef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for unsponsored American Depositary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(e.g.,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21"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94" w:name="page95"/>
    <w:bookmarkEnd w:id="94"/>
    <w:p>
      <w:pPr>
        <w:ind w:left="660" w:right="30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660" w:right="432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fees and charges may at any time and from time to time be changed by agreement between the Company and the Depositary and may be assessed cumulatively based on cumulative functions of services rendered.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1"/>
    </w:lvl>
    <w:lvl w:ilvl="1">
      <w:lvlJc w:val="left"/>
      <w:lvlText w:val="(%2)"/>
      <w:numFmt w:val="lowerLetter"/>
      <w:start w:val="2"/>
    </w:lvl>
  </w:abstractNum>
  <w:abstractNum w:abstractNumId="6">
    <w:nsid w:val="3804823E"/>
    <w:multiLevelType w:val="hybridMultilevel"/>
    <w:lvl w:ilvl="0">
      <w:lvlJc w:val="left"/>
      <w:lvlText w:val="(%1)"/>
      <w:numFmt w:val="lowerLetter"/>
      <w:start w:val="35"/>
    </w:lvl>
    <w:lvl w:ilvl="1">
      <w:lvlJc w:val="left"/>
      <w:lvlText w:val="(%2)"/>
      <w:numFmt w:val="lowerLetter"/>
      <w:start w:val="3"/>
    </w:lvl>
  </w:abstractNum>
  <w:abstractNum w:abstractNumId="7">
    <w:nsid w:val="77465F01"/>
    <w:multiLevelType w:val="hybridMultilevel"/>
    <w:lvl w:ilvl="0">
      <w:lvlJc w:val="left"/>
      <w:lvlText w:val="(%1)"/>
      <w:numFmt w:val="lowerRoman"/>
      <w:start w:val="2"/>
    </w:lvl>
  </w:abstractNum>
  <w:abstractNum w:abstractNumId="8">
    <w:nsid w:val="7724C67E"/>
    <w:multiLevelType w:val="hybridMultilevel"/>
    <w:lvl w:ilvl="0">
      <w:lvlJc w:val="left"/>
      <w:lvlText w:val="%1"/>
      <w:numFmt w:val="lowerLetter"/>
      <w:start w:val="1"/>
    </w:lvl>
    <w:lvl w:ilvl="1">
      <w:lvlJc w:val="left"/>
      <w:lvlText w:val="(%2)"/>
      <w:numFmt w:val="lowerLetter"/>
      <w:start w:val="1"/>
    </w:lvl>
  </w:abstractNum>
  <w:abstractNum w:abstractNumId="9">
    <w:nsid w:val="5C482A97"/>
    <w:multiLevelType w:val="hybridMultilevel"/>
    <w:lvl w:ilvl="0">
      <w:lvlJc w:val="left"/>
      <w:lvlText w:val="(%1)"/>
      <w:numFmt w:val="lowerLetter"/>
      <w:start w:val="61"/>
    </w:lvl>
    <w:lvl w:ilvl="1">
      <w:lvlJc w:val="left"/>
      <w:lvlText w:val="(%2)"/>
      <w:numFmt w:val="lowerLetter"/>
      <w:start w:val="2"/>
    </w:lvl>
  </w:abstractNum>
  <w:abstractNum w:abstractNumId="10">
    <w:nsid w:val="2463B9EA"/>
    <w:multiLevelType w:val="hybridMultilevel"/>
    <w:lvl w:ilvl="0">
      <w:lvlJc w:val="left"/>
      <w:lvlText w:val="%1"/>
      <w:numFmt w:val="upperLetter"/>
      <w:start w:val="1"/>
    </w:lvl>
    <w:lvl w:ilvl="1">
      <w:lvlJc w:val="left"/>
      <w:lvlText w:val="(%2)"/>
      <w:numFmt w:val="lowerLetter"/>
      <w:start w:val="1"/>
    </w:lvl>
  </w:abstractNum>
  <w:abstractNum w:abstractNumId="11">
    <w:nsid w:val="5E884ADC"/>
    <w:multiLevelType w:val="hybridMultilevel"/>
    <w:lvl w:ilvl="0">
      <w:lvlJc w:val="left"/>
      <w:lvlText w:val="(%1)"/>
      <w:numFmt w:val="upperLetter"/>
      <w:start w:val="2"/>
    </w:lvl>
    <w:lvl w:ilvl="1">
      <w:lvlJc w:val="left"/>
      <w:lvlText w:val="(%2)"/>
      <w:numFmt w:val="lowerLetter"/>
      <w:start w:val="2"/>
    </w:lvl>
  </w:abstractNum>
  <w:abstractNum w:abstractNumId="12">
    <w:nsid w:val="51EAD36B"/>
    <w:multiLevelType w:val="hybridMultilevel"/>
    <w:lvl w:ilvl="0">
      <w:lvlJc w:val="left"/>
      <w:lvlText w:val="(%1)"/>
      <w:numFmt w:val="lowerRoman"/>
      <w:start w:val="10"/>
    </w:lvl>
  </w:abstractNum>
  <w:abstractNum w:abstractNumId="13">
    <w:nsid w:val="2D517796"/>
    <w:multiLevelType w:val="hybridMultilevel"/>
    <w:lvl w:ilvl="0">
      <w:lvlJc w:val="left"/>
      <w:lvlText w:val="(%1)"/>
      <w:numFmt w:val="lowerRoman"/>
      <w:start w:val="2"/>
    </w:lvl>
  </w:abstractNum>
  <w:abstractNum w:abstractNumId="14">
    <w:nsid w:val="580BD78F"/>
    <w:multiLevelType w:val="hybridMultilevel"/>
    <w:lvl w:ilvl="0">
      <w:lvlJc w:val="left"/>
      <w:lvlText w:val="(%1)"/>
      <w:numFmt w:val="lowerRoman"/>
      <w:start w:val="10"/>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Letter"/>
      <w:start w:val="2"/>
    </w:lvl>
  </w:abstractNum>
  <w:abstractNum w:abstractNumId="17">
    <w:nsid w:val="70A64E2A"/>
    <w:multiLevelType w:val="hybridMultilevel"/>
    <w:lvl w:ilvl="0">
      <w:lvlJc w:val="left"/>
      <w:lvlText w:val="%1"/>
      <w:numFmt w:val="lowerLetter"/>
      <w:start w:val="1"/>
    </w:lvl>
    <w:lvl w:ilvl="1">
      <w:lvlJc w:val="left"/>
      <w:lvlText w:val="(%2)"/>
      <w:numFmt w:val="lowerLetter"/>
      <w:start w:val="1"/>
    </w:lvl>
  </w:abstractNum>
  <w:abstractNum w:abstractNumId="18">
    <w:nsid w:val="6A2342EC"/>
    <w:multiLevelType w:val="hybridMultilevel"/>
    <w:lvl w:ilvl="0">
      <w:lvlJc w:val="left"/>
      <w:lvlText w:val="(%1)"/>
      <w:numFmt w:val="lowerLetter"/>
      <w:start w:val="35"/>
    </w:lvl>
    <w:lvl w:ilvl="1">
      <w:lvlJc w:val="left"/>
      <w:lvlText w:val="%2"/>
      <w:numFmt w:val="lowerLetter"/>
      <w:start w:val="1"/>
    </w:lvl>
  </w:abstractNum>
  <w:abstractNum w:abstractNumId="19">
    <w:nsid w:val="2A487CB0"/>
    <w:multiLevelType w:val="hybridMultilevel"/>
    <w:lvl w:ilvl="0">
      <w:lvlJc w:val="left"/>
      <w:lvlText w:val="(%1)"/>
      <w:numFmt w:val="lowerLetter"/>
      <w:start w:val="4"/>
    </w:lvl>
  </w:abstractNum>
  <w:abstractNum w:abstractNumId="20">
    <w:nsid w:val="1D4ED43B"/>
    <w:multiLevelType w:val="hybridMultilevel"/>
    <w:lvl w:ilvl="0">
      <w:lvlJc w:val="left"/>
      <w:lvlText w:val="(%1)"/>
      <w:numFmt w:val="lowerRoman"/>
      <w:start w:val="2"/>
    </w:lvl>
  </w:abstractNum>
  <w:abstractNum w:abstractNumId="21">
    <w:nsid w:val="725A06FB"/>
    <w:multiLevelType w:val="hybridMultilevel"/>
    <w:lvl w:ilvl="0">
      <w:lvlJc w:val="left"/>
      <w:lvlText w:val="(%1)"/>
      <w:numFmt w:val="lowerRoman"/>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lowerRoman"/>
      <w:start w:val="2"/>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2"/>
    </w:lvl>
  </w:abstractNum>
  <w:abstractNum w:abstractNumId="29">
    <w:nsid w:val="7644A45C"/>
    <w:multiLevelType w:val="hybridMultilevel"/>
    <w:lvl w:ilvl="0">
      <w:lvlJc w:val="left"/>
      <w:lvlText w:val="(%1)"/>
      <w:numFmt w:val="decimal"/>
      <w:start w:val="3"/>
    </w:lvl>
  </w:abstractNum>
  <w:abstractNum w:abstractNumId="30">
    <w:nsid w:val="32FFF902"/>
    <w:multiLevelType w:val="hybridMultilevel"/>
    <w:lvl w:ilvl="0">
      <w:lvlJc w:val="left"/>
      <w:lvlText w:val="(%1)"/>
      <w:numFmt w:val="lowerRoman"/>
      <w:start w:val="2"/>
    </w:lvl>
    <w:lvl w:ilvl="1">
      <w:lvlJc w:val="left"/>
      <w:lvlText w:val="(%2)"/>
      <w:numFmt w:val="decimal"/>
      <w:start w:val="4"/>
    </w:lvl>
  </w:abstractNum>
  <w:abstractNum w:abstractNumId="31">
    <w:nsid w:val="684A481A"/>
    <w:multiLevelType w:val="hybridMultilevel"/>
    <w:lvl w:ilvl="0">
      <w:lvlJc w:val="left"/>
      <w:lvlText w:val="(%1)"/>
      <w:numFmt w:val="decimal"/>
      <w:start w:val="5"/>
    </w:lvl>
  </w:abstractNum>
  <w:abstractNum w:abstractNumId="32">
    <w:nsid w:val="579478FE"/>
    <w:multiLevelType w:val="hybridMultilevel"/>
    <w:lvl w:ilvl="0">
      <w:lvlJc w:val="left"/>
      <w:lvlText w:val="(%1)"/>
      <w:numFmt w:val="decimal"/>
      <w:start w:val="7"/>
    </w:lvl>
  </w:abstractNum>
  <w:abstractNum w:abstractNumId="33">
    <w:nsid w:val="749ABB43"/>
    <w:multiLevelType w:val="hybridMultilevel"/>
    <w:lvl w:ilvl="0">
      <w:lvlJc w:val="left"/>
      <w:lvlText w:val="(%1)"/>
      <w:numFmt w:val="decimal"/>
      <w:start w:val="9"/>
    </w:lvl>
    <w:lvl w:ilvl="1">
      <w:lvlJc w:val="left"/>
      <w:lvlText w:val="(%2)"/>
      <w:numFmt w:val="lowerRoman"/>
      <w:start w:val="1"/>
    </w:lvl>
  </w:abstractNum>
  <w:abstractNum w:abstractNumId="34">
    <w:nsid w:val="3DC240FB"/>
    <w:multiLevelType w:val="hybridMultilevel"/>
    <w:lvl w:ilvl="0">
      <w:lvlJc w:val="left"/>
      <w:lvlText w:val="(%1)"/>
      <w:numFmt w:val="lowerRoman"/>
      <w:start w:val="3"/>
    </w:lvl>
  </w:abstractNum>
  <w:abstractNum w:abstractNumId="35">
    <w:nsid w:val="1BA026FA"/>
    <w:multiLevelType w:val="hybridMultilevel"/>
    <w:lvl w:ilvl="0">
      <w:lvlJc w:val="left"/>
      <w:lvlText w:val="(%1)"/>
      <w:numFmt w:val="lowerRoman"/>
      <w:start w:val="1"/>
    </w:lvl>
  </w:abstractNum>
  <w:abstractNum w:abstractNumId="36">
    <w:nsid w:val="79A1DEAA"/>
    <w:multiLevelType w:val="hybridMultilevel"/>
    <w:lvl w:ilvl="0">
      <w:lvlJc w:val="left"/>
      <w:lvlText w:val="(%1)"/>
      <w:numFmt w:val="lowerRoman"/>
      <w:start w:val="3"/>
    </w:lvl>
  </w:abstractNum>
  <w:abstractNum w:abstractNumId="37">
    <w:nsid w:val="75C6C33A"/>
    <w:multiLevelType w:val="hybridMultilevel"/>
    <w:lvl w:ilvl="0">
      <w:lvlJc w:val="left"/>
      <w:lvlText w:val="(%1)"/>
      <w:numFmt w:val="decimal"/>
      <w:start w:val="12"/>
    </w:lvl>
  </w:abstractNum>
  <w:abstractNum w:abstractNumId="38">
    <w:nsid w:val="12E685FB"/>
    <w:multiLevelType w:val="hybridMultilevel"/>
    <w:lvl w:ilvl="0">
      <w:lvlJc w:val="left"/>
      <w:lvlText w:val="(%1)"/>
      <w:numFmt w:val="decimal"/>
      <w:start w:val="14"/>
    </w:lvl>
  </w:abstractNum>
  <w:abstractNum w:abstractNumId="39">
    <w:nsid w:val="70C6A529"/>
    <w:multiLevelType w:val="hybridMultilevel"/>
    <w:lvl w:ilvl="0">
      <w:lvlJc w:val="left"/>
      <w:lvlText w:val="(%1)"/>
      <w:numFmt w:val="decimal"/>
      <w:start w:val="15"/>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lvl w:ilvl="1">
      <w:lvlJc w:val="left"/>
      <w:lvlText w:val="(%2)"/>
      <w:numFmt w:val="lowerLetter"/>
      <w:start w:val="2"/>
    </w:lvl>
  </w:abstractNum>
  <w:abstractNum w:abstractNumId="42">
    <w:nsid w:val="4F4EF005"/>
    <w:multiLevelType w:val="hybridMultilevel"/>
    <w:lvl w:ilvl="0">
      <w:lvlJc w:val="left"/>
      <w:lvlText w:val="(%1)"/>
      <w:numFmt w:val="lowerLetter"/>
      <w:start w:val="9"/>
    </w:lvl>
    <w:lvl w:ilvl="1">
      <w:lvlJc w:val="left"/>
      <w:lvlText w:val="%2"/>
      <w:numFmt w:val="lowerLetter"/>
      <w:start w:val="1"/>
    </w:lvl>
  </w:abstractNum>
  <w:abstractNum w:abstractNumId="43">
    <w:nsid w:val="23F9C13C"/>
    <w:multiLevelType w:val="hybridMultilevel"/>
    <w:lvl w:ilvl="0">
      <w:lvlJc w:val="left"/>
      <w:lvlText w:val="(%1)"/>
      <w:numFmt w:val="lowerLetter"/>
      <w:start w:val="2"/>
    </w:lvl>
    <w:lvl w:ilvl="1">
      <w:lvlJc w:val="left"/>
      <w:lvlText w:val="%2"/>
      <w:numFmt w:val="lowerLetter"/>
      <w:start w:val="1"/>
    </w:lvl>
  </w:abstractNum>
  <w:abstractNum w:abstractNumId="44">
    <w:nsid w:val="649BB77C"/>
    <w:multiLevelType w:val="hybridMultilevel"/>
    <w:lvl w:ilvl="0">
      <w:lvlJc w:val="left"/>
      <w:lvlText w:val="%1"/>
      <w:numFmt w:val="lowerLetter"/>
      <w:start w:val="1"/>
    </w:lvl>
    <w:lvl w:ilvl="1">
      <w:lvlJc w:val="left"/>
      <w:lvlText w:val="(%2)"/>
      <w:numFmt w:val="lowerLetter"/>
      <w:start w:val="3"/>
    </w:lvl>
  </w:abstractNum>
  <w:abstractNum w:abstractNumId="45">
    <w:nsid w:val="275AC794"/>
    <w:multiLevelType w:val="hybridMultilevel"/>
    <w:lvl w:ilvl="0">
      <w:lvlJc w:val="left"/>
      <w:lvlText w:val="(%1)"/>
      <w:numFmt w:val="lowerLetter"/>
      <w:start w:val="35"/>
    </w:lvl>
    <w:lvl w:ilvl="1">
      <w:lvlJc w:val="left"/>
      <w:lvlText w:val="(%2)"/>
      <w:numFmt w:val="lowerLetter"/>
      <w:start w:val="4"/>
    </w:lvl>
  </w:abstractNum>
  <w:abstractNum w:abstractNumId="46">
    <w:nsid w:val="39386575"/>
    <w:multiLevelType w:val="hybridMultilevel"/>
    <w:lvl w:ilvl="0">
      <w:lvlJc w:val="left"/>
      <w:lvlText w:val="(%1)"/>
      <w:numFmt w:val="lowerLetter"/>
      <w:start w:val="5"/>
    </w:lvl>
  </w:abstractNum>
  <w:abstractNum w:abstractNumId="47">
    <w:nsid w:val="1CF10FD8"/>
    <w:multiLevelType w:val="hybridMultilevel"/>
    <w:lvl w:ilvl="0">
      <w:lvlJc w:val="left"/>
      <w:lvlText w:val="(%1)"/>
      <w:numFmt w:val="decimal"/>
      <w:start w:val="16"/>
    </w:lvl>
  </w:abstractNum>
  <w:abstractNum w:abstractNumId="48">
    <w:nsid w:val="180115BE"/>
    <w:multiLevelType w:val="hybridMultilevel"/>
    <w:lvl w:ilvl="0">
      <w:lvlJc w:val="left"/>
      <w:lvlText w:val="(%1)"/>
      <w:numFmt w:val="decimal"/>
      <w:start w:val="17"/>
    </w:lvl>
  </w:abstractNum>
  <w:abstractNum w:abstractNumId="49">
    <w:nsid w:val="235BA861"/>
    <w:multiLevelType w:val="hybridMultilevel"/>
    <w:lvl w:ilvl="0">
      <w:lvlJc w:val="left"/>
      <w:lvlText w:val="%1"/>
      <w:numFmt w:val="lowerRoman"/>
      <w:start w:val="1"/>
    </w:lvl>
    <w:lvl w:ilvl="1">
      <w:lvlJc w:val="left"/>
      <w:lvlText w:val="(%2)"/>
      <w:numFmt w:val="decimal"/>
      <w:start w:val="19"/>
    </w:lvl>
  </w:abstractNum>
  <w:abstractNum w:abstractNumId="50">
    <w:nsid w:val="47398C89"/>
    <w:multiLevelType w:val="hybridMultilevel"/>
    <w:lvl w:ilvl="0">
      <w:lvlJc w:val="left"/>
      <w:lvlText w:val="(%1)"/>
      <w:numFmt w:val="lowerRoman"/>
      <w:start w:val="2"/>
    </w:lvl>
    <w:lvl w:ilvl="1">
      <w:lvlJc w:val="left"/>
      <w:lvlText w:val="%2"/>
      <w:numFmt w:val="decimal"/>
      <w:start w:val="1"/>
    </w:lvl>
  </w:abstractNum>
  <w:abstractNum w:abstractNumId="51">
    <w:nsid w:val="354FE9F9"/>
    <w:multiLevelType w:val="hybridMultilevel"/>
    <w:lvl w:ilvl="0">
      <w:lvlJc w:val="left"/>
      <w:lvlText w:val="(%1)"/>
      <w:numFmt w:val="lowerRoman"/>
      <w:start w:val="2"/>
    </w:lvl>
    <w:lvl w:ilvl="1">
      <w:lvlJc w:val="left"/>
      <w:lvlText w:val="%2"/>
      <w:numFmt w:val="decimal"/>
      <w:start w:val="1"/>
    </w:lvl>
  </w:abstractNum>
  <w:abstractNum w:abstractNumId="52">
    <w:nsid w:val="15B5AF5C"/>
    <w:multiLevelType w:val="hybridMultilevel"/>
    <w:lvl w:ilvl="0">
      <w:lvlJc w:val="left"/>
      <w:lvlText w:val="(%1)"/>
      <w:numFmt w:val="decimal"/>
      <w:start w:val="20"/>
    </w:lvl>
  </w:abstractNum>
  <w:abstractNum w:abstractNumId="53">
    <w:nsid w:val="741226BB"/>
    <w:multiLevelType w:val="hybridMultilevel"/>
    <w:lvl w:ilvl="0">
      <w:lvlJc w:val="left"/>
      <w:lvlText w:val="(%1)"/>
      <w:numFmt w:val="decimal"/>
      <w:start w:val="21"/>
    </w:lvl>
  </w:abstractNum>
  <w:abstractNum w:abstractNumId="54">
    <w:nsid w:val="D34B6A8"/>
    <w:multiLevelType w:val="hybridMultilevel"/>
    <w:lvl w:ilvl="0">
      <w:lvlJc w:val="left"/>
      <w:lvlText w:val="(%1)"/>
      <w:numFmt w:val="decimal"/>
      <w:start w:val="22"/>
    </w:lvl>
  </w:abstractNum>
  <w:abstractNum w:abstractNumId="55">
    <w:nsid w:val="10233C99"/>
    <w:multiLevelType w:val="hybridMultilevel"/>
    <w:lvl w:ilvl="0">
      <w:lvlJc w:val="left"/>
      <w:lvlText w:val="%1"/>
      <w:numFmt w:val="lowerRoman"/>
      <w:start w:val="1"/>
    </w:lvl>
    <w:lvl w:ilvl="1">
      <w:lvlJc w:val="left"/>
      <w:lvlText w:val="(%2)"/>
      <w:numFmt w:val="decimal"/>
      <w:start w:val="23"/>
    </w:lvl>
  </w:abstractNum>
  <w:abstractNum w:abstractNumId="56">
    <w:nsid w:val="3F6AB60F"/>
    <w:multiLevelType w:val="hybridMultilevel"/>
    <w:lvl w:ilvl="0">
      <w:lvlJc w:val="left"/>
      <w:lvlText w:val="(%1)"/>
      <w:numFmt w:val="lowerRoman"/>
      <w:start w:val="2"/>
    </w:lvl>
    <w:lvl w:ilvl="1">
      <w:lvlJc w:val="left"/>
      <w:lvlText w:val="%2"/>
      <w:numFmt w:val="decimal"/>
      <w:start w:val="1"/>
    </w:lvl>
  </w:abstractNum>
  <w:abstractNum w:abstractNumId="57">
    <w:nsid w:val="61574095"/>
    <w:multiLevelType w:val="hybridMultilevel"/>
    <w:lvl w:ilvl="0">
      <w:lvlJc w:val="left"/>
      <w:lvlText w:val="(%1)"/>
      <w:numFmt w:val="decimal"/>
      <w:start w:val="25"/>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1"/>
      <w:numFmt w:val="lowerRoman"/>
      <w:start w:val="1"/>
    </w:lvl>
    <w:lvl w:ilvl="1">
      <w:lvlJc w:val="left"/>
      <w:lvlText w:val="(%2)"/>
      <w:numFmt w:val="decimal"/>
      <w:start w:val="26"/>
    </w:lvl>
  </w:abstractNum>
  <w:abstractNum w:abstractNumId="61">
    <w:nsid w:val="310C50B3"/>
    <w:multiLevelType w:val="hybridMultilevel"/>
    <w:lvl w:ilvl="0">
      <w:lvlJc w:val="left"/>
      <w:lvlText w:val="(%1)"/>
      <w:numFmt w:val="lowerRoman"/>
      <w:start w:val="4"/>
    </w:lvl>
    <w:lvl w:ilvl="1">
      <w:lvlJc w:val="left"/>
      <w:lvlText w:val="(%2)"/>
      <w:numFmt w:val="decimal"/>
      <w:start w:val="27"/>
    </w:lvl>
  </w:abstractNum>
  <w:abstractNum w:abstractNumId="62">
    <w:nsid w:val="5FF87E05"/>
    <w:multiLevelType w:val="hybridMultilevel"/>
    <w:lvl w:ilvl="0">
      <w:lvlJc w:val="left"/>
      <w:lvlText w:val="%1."/>
      <w:numFmt w:val="upperLetter"/>
      <w:start w:val="9"/>
    </w:lvl>
  </w:abstractNum>
  <w:abstractNum w:abstractNumId="63">
    <w:nsid w:val="2F305DEF"/>
    <w:multiLevelType w:val="hybridMultilevel"/>
    <w:lvl w:ilvl="0">
      <w:lvlJc w:val="left"/>
      <w:lvlText w:val="%1."/>
      <w:numFmt w:val="upperLetter"/>
      <w:start w:val="35"/>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2024-03-15T13:18:39Z</dcterms:created>
  <dcterms:modified xsi:type="dcterms:W3CDTF">2024-03-15T13:18:39Z</dcterms:modified>
</cp:coreProperties>
</file>