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filename1.htm"/>
      <w:bookmarkStart w:id="1" w:name="ksfilename1"/>
      <w:bookmarkEnd w:id="0"/>
      <w:bookmarkEnd w:id="1"/>
      <w:r>
        <w:rPr>
          <w:rFonts w:ascii="Times New Roman PS Std;serif" w:hAnsi="Times New Roman PS Std;serif"/>
          <w:b/>
          <w:i w:val="false"/>
          <w:caps w:val="false"/>
          <w:smallCaps w:val="false"/>
          <w:sz w:val="20"/>
        </w:rPr>
        <w:t xml:space="preserve">This is a draft registration statement that is being confidentially submitted to the </w:t>
        <w:br/>
        <w:t>Securities and Exchange Commission on July 7, 2023.</w:t>
      </w:r>
    </w:p>
    <w:p>
      <w:pPr>
        <w:pStyle w:val="TextBody"/>
        <w:keepNext w:val="false"/>
        <w:pageBreakBefore w:val="false"/>
        <w:widowControl/>
        <w:pBdr/>
        <w:bidi w:val="0"/>
        <w:spacing w:before="40" w:after="283"/>
        <w:ind w:left="0" w:right="80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        </w:t>
      </w:r>
    </w:p>
    <w:p>
      <w:pPr>
        <w:pStyle w:val="TextBody"/>
        <w:keepNext w:val="true"/>
        <w:pageBreakBefore w:val="false"/>
        <w:widowControl/>
        <w:pBdr/>
        <w:bidi w:val="0"/>
        <w:spacing w:before="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AND EXCHANGE COMMISSION</w:t>
        <w:br/>
        <w:t>WASHINGTON, D.C. 20549</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F-1</w:t>
        <w:br/>
        <w:t>REGISTRATION STATEMENT</w:t>
        <w:br/>
        <w:t>UNDER</w:t>
      </w:r>
      <w:r>
        <w:rPr>
          <w:rFonts w:ascii="Times New Roman PS Std;serif" w:hAnsi="Times New Roman PS Std;serif"/>
          <w:b/>
          <w:i/>
          <w:caps w:val="false"/>
          <w:smallCaps w:val="false"/>
          <w:sz w:val="20"/>
        </w:rPr>
        <w:br/>
      </w:r>
      <w:r>
        <w:rPr>
          <w:rFonts w:ascii="Times New Roman PS Std;serif" w:hAnsi="Times New Roman PS Std;serif"/>
          <w:b/>
          <w:i w:val="false"/>
          <w:caps w:val="false"/>
          <w:smallCaps w:val="false"/>
          <w:sz w:val="20"/>
        </w:rPr>
        <w:t>THE SECURITIES ACT OF 1933</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Trident Digital Tech Holdings Ltd</w:t>
        <w:br/>
      </w:r>
      <w:r>
        <w:rPr>
          <w:rFonts w:ascii="Times New Roman PS Std;serif" w:hAnsi="Times New Roman PS Std;serif"/>
          <w:b w:val="false"/>
          <w:i w:val="false"/>
          <w:caps w:val="false"/>
          <w:smallCaps w:val="false"/>
          <w:sz w:val="20"/>
        </w:rPr>
        <w:t>(Exact Name of Registrant as Specified in Its Charter)</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br/>
      </w:r>
      <w:r>
        <w:rPr>
          <w:rFonts w:ascii="Times New Roman PS Std;serif" w:hAnsi="Times New Roman PS Std;serif"/>
          <w:b w:val="false"/>
          <w:i w:val="false"/>
          <w:caps w:val="false"/>
          <w:smallCaps w:val="false"/>
          <w:sz w:val="20"/>
        </w:rPr>
        <w:t>(Translation of Registrant’s Name into English)</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tbl>
      <w:tblPr>
        <w:tblW w:w="8590" w:type="dxa"/>
        <w:jc w:val="left"/>
        <w:tblInd w:w="0" w:type="dxa"/>
        <w:tblLayout w:type="fixed"/>
        <w:tblCellMar>
          <w:top w:w="0" w:type="dxa"/>
          <w:left w:w="0" w:type="dxa"/>
          <w:bottom w:w="0" w:type="dxa"/>
          <w:right w:w="0" w:type="dxa"/>
        </w:tblCellMar>
      </w:tblPr>
      <w:tblGrid>
        <w:gridCol w:w="3046"/>
        <w:gridCol w:w="146"/>
        <w:gridCol w:w="2911"/>
        <w:gridCol w:w="146"/>
        <w:gridCol w:w="2341"/>
      </w:tblGrid>
      <w:tr>
        <w:trPr/>
        <w:tc>
          <w:tcPr>
            <w:tcW w:w="30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tc>
      </w:tr>
      <w:tr>
        <w:trPr/>
        <w:tc>
          <w:tcPr>
            <w:tcW w:w="30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(State or Other Jurisdiction of </w:t>
              <w:br/>
              <w:t>Incorporation or Organization)</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(Primary Standard Industrial </w:t>
              <w:br/>
              <w:t>Classification Code Number)</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(IRS Employer </w:t>
              <w:br/>
              <w:t>Identification Number)</w:t>
            </w:r>
          </w:p>
        </w:tc>
      </w:tr>
    </w:tbl>
    <w:p>
      <w:pPr>
        <w:pStyle w:val="TextBody"/>
        <w:keepNext w:val="true"/>
        <w:pageBreakBefore w:val="false"/>
        <w:widowControl/>
        <w:pBdr/>
        <w:bidi w:val="0"/>
        <w:spacing w:before="1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Suntec Tower 3,</w:t>
        <w:br/>
        <w:t>8 Temasek Boulevard Road, #24-03</w:t>
        <w:br/>
        <w:t>Singapore, 038988</w:t>
        <w:br/>
        <w:t>+65 8813 1312</w:t>
        <w:br/>
      </w:r>
      <w:r>
        <w:rPr>
          <w:rFonts w:ascii="Times New Roman PS Std;serif" w:hAnsi="Times New Roman PS Std;serif"/>
          <w:b w:val="false"/>
          <w:i w:val="false"/>
          <w:caps w:val="false"/>
          <w:smallCaps w:val="false"/>
          <w:sz w:val="20"/>
        </w:rPr>
        <w:t>(Address, Including Zip Code, and Telephone Number, Including Area Code, of Registrant’s Principal Executive Offices)</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w:t>
      </w:r>
    </w:p>
    <w:p>
      <w:pPr>
        <w:pStyle w:val="TextBody"/>
        <w:keepNext w:val="true"/>
        <w:pageBreakBefore w:val="false"/>
        <w:widowControl/>
        <w:pBdr/>
        <w:bidi w:val="0"/>
        <w:spacing w:before="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to:</w:t>
      </w:r>
    </w:p>
    <w:tbl>
      <w:tblPr>
        <w:tblW w:w="6928" w:type="dxa"/>
        <w:jc w:val="left"/>
        <w:tblInd w:w="0" w:type="dxa"/>
        <w:tblLayout w:type="fixed"/>
        <w:tblCellMar>
          <w:top w:w="0" w:type="dxa"/>
          <w:left w:w="0" w:type="dxa"/>
          <w:bottom w:w="0" w:type="dxa"/>
          <w:right w:w="0" w:type="dxa"/>
        </w:tblCellMar>
      </w:tblPr>
      <w:tblGrid>
        <w:gridCol w:w="3301"/>
        <w:gridCol w:w="146"/>
        <w:gridCol w:w="3481"/>
      </w:tblGrid>
      <w:tr>
        <w:trPr/>
        <w:tc>
          <w:tcPr>
            <w:tcW w:w="3301" w:type="dxa"/>
            <w:tcBorders/>
          </w:tcPr>
          <w:p>
            <w:pPr>
              <w:pStyle w:val="TableContents"/>
              <w:keepNext w:val="false"/>
              <w:widowControl/>
              <w:pBdr/>
              <w:bidi w:val="0"/>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Stephanie Tang, Esq.</w:t>
              <w:br/>
              <w:t>Hogan Lovells</w:t>
              <w:br/>
              <w:t>11th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 One Pacific Place</w:t>
              <w:br/>
              <w:t>88 Queensway Road</w:t>
              <w:br/>
              <w:t>Hong Kong</w:t>
              <w:br/>
              <w:t>+852 2219 0888</w:t>
            </w:r>
          </w:p>
        </w:tc>
        <w:tc>
          <w:tcPr>
            <w:tcW w:w="146" w:type="dxa"/>
            <w:tcBorders/>
          </w:tcPr>
          <w:p>
            <w:pPr>
              <w:pStyle w:val="TableContents"/>
              <w:bidi w:val="0"/>
              <w:spacing w:before="0" w:after="283"/>
              <w:jc w:val="left"/>
              <w:rPr/>
            </w:pPr>
            <w:r>
              <w:rPr/>
              <w:t> </w:t>
            </w:r>
          </w:p>
        </w:tc>
        <w:tc>
          <w:tcPr>
            <w:tcW w:w="3481" w:type="dxa"/>
            <w:tcBorders/>
          </w:tcPr>
          <w:p>
            <w:pPr>
              <w:pStyle w:val="TableContents"/>
              <w:keepNext w:val="false"/>
              <w:widowControl/>
              <w:pBdr/>
              <w:bidi w:val="0"/>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Ross David Carmel, Esq.</w:t>
              <w:br/>
              <w:t>Barry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Biggar, Esq.</w:t>
              <w:br/>
              <w:t>Carmel Milazzo &amp; Feil LLP</w:t>
              <w:br/>
              <w:t>55 West 39th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Street, 4th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w:t>
              <w:br/>
              <w:t>New York, NY 10018</w:t>
              <w:br/>
              <w:t>+1 212 658 0458</w:t>
            </w:r>
          </w:p>
        </w:tc>
      </w:tr>
    </w:tbl>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false"/>
        <w:pageBreakBefore w:val="false"/>
        <w:widowControl/>
        <w:pBdr/>
        <w:bidi w:val="0"/>
        <w:spacing w:before="120" w:after="283"/>
        <w:ind w:left="0" w:right="0" w:firstLine="48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Approximate date of commencement of proposed sale to the public: as soon as practicable after the effective date of this registration statement.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Indicate by check mark whether the registrant is an emerging growth company as defined in Rule 405 of the Securities Act of 1933.</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Emerging growth company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term “new or revised financial accounting standard” refers to any update issued by the Financial Accounting Standards Board to its Accounting Standards Codification after April 5, 2012.</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CALCULATION OF REGISTRATION FEE</w:t>
      </w:r>
    </w:p>
    <w:tbl>
      <w:tblPr>
        <w:tblW w:w="9205" w:type="dxa"/>
        <w:jc w:val="left"/>
        <w:tblInd w:w="0" w:type="dxa"/>
        <w:tblLayout w:type="fixed"/>
        <w:tblCellMar>
          <w:top w:w="0" w:type="dxa"/>
          <w:left w:w="0" w:type="dxa"/>
          <w:bottom w:w="0" w:type="dxa"/>
          <w:right w:w="0" w:type="dxa"/>
        </w:tblCellMar>
      </w:tblPr>
      <w:tblGrid>
        <w:gridCol w:w="6196"/>
        <w:gridCol w:w="146"/>
        <w:gridCol w:w="1246"/>
        <w:gridCol w:w="146"/>
        <w:gridCol w:w="1471"/>
      </w:tblGrid>
      <w:tr>
        <w:trPr/>
        <w:tc>
          <w:tcPr>
            <w:tcW w:w="61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 of Each of Securities To Be Registered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Proposed </w:t>
              <w:br/>
              <w:t xml:space="preserve">Maximum </w:t>
              <w:br/>
              <w:t xml:space="preserve">Aggregate </w:t>
              <w:br/>
              <w:t xml:space="preserve">Offering </w:t>
              <w:br/>
              <w:t>Price(1)</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 of </w:t>
              <w:br/>
              <w:t xml:space="preserve">Registration </w:t>
              <w:br/>
              <w:t>Fee</w:t>
            </w:r>
          </w:p>
        </w:tc>
      </w:tr>
      <w:tr>
        <w:trPr/>
        <w:tc>
          <w:tcPr>
            <w:tcW w:w="6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par value US$0.00001 per share(2)(3)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Estimated solely for the purpose of determining the amount of registration fee in accordance with Rule 457(o) under the Securities Act of 1933.</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Class B ordinary shares that are issuable upon the exercise of the underwriters’ option to purchase additional ADSs. Also includes Class B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B ordinary shares are not being registered for the purpose of sales outside the United States.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American depositary shares issuable upon deposit of Class B ordinary shares registered hereby will be registered under a separate registration statement on Form F-6 (Registration No. 333-            ). Each American depositary share represents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color w:val="D2232A"/>
          <w:sz w:val="20"/>
        </w:rPr>
        <w:t>PRELIMINARY PROSPECTUS (Subject to Completion)</w:t>
        <w:br/>
      </w:r>
      <w:r>
        <w:rPr>
          <w:rFonts w:ascii="Times New Roman PS Std;serif" w:hAnsi="Times New Roman PS Std;serif"/>
          <w:b w:val="false"/>
          <w:i w:val="false"/>
          <w:caps w:val="false"/>
          <w:smallCaps w:val="false"/>
          <w:color w:val="D2232A"/>
          <w:sz w:val="20"/>
        </w:rPr>
        <w:t>Dated            , 2023.</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American Depositary Shares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[Company Logo]</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Trident Digital Tech Holdings Ltd</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tbl>
      <w:tblPr>
        <w:tblW w:w="5503" w:type="dxa"/>
        <w:jc w:val="left"/>
        <w:tblInd w:w="0" w:type="dxa"/>
        <w:tblLayout w:type="fixed"/>
        <w:tblCellMar>
          <w:top w:w="0" w:type="dxa"/>
          <w:left w:w="0" w:type="dxa"/>
          <w:bottom w:w="0" w:type="dxa"/>
          <w:right w:w="0" w:type="dxa"/>
        </w:tblCellMar>
      </w:tblPr>
      <w:tblGrid>
        <w:gridCol w:w="1921"/>
        <w:gridCol w:w="146"/>
        <w:gridCol w:w="3436"/>
      </w:tblGrid>
      <w:tr>
        <w:trPr/>
        <w:tc>
          <w:tcPr>
            <w:tcW w:w="192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Representing</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Class B Ordinary Shares</w:t>
            </w:r>
          </w:p>
        </w:tc>
      </w:tr>
    </w:tbl>
    <w:p>
      <w:pPr>
        <w:pStyle w:val="TextBody"/>
        <w:keepNext w:val="false"/>
        <w:pageBreakBefore w:val="false"/>
        <w:widowControl/>
        <w:pBdr/>
        <w:bidi w:val="0"/>
        <w:spacing w:before="8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false"/>
        <w:pageBreakBefore w:val="false"/>
        <w:widowControl/>
        <w:pBdr/>
        <w:bidi w:val="0"/>
        <w:spacing w:before="2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the initial public offering of American depositary shares, or ADSs, of Trident Digital Tech Holdings Ltd. We are offering            ADSs. Each ADS represents            Class B ordinary shares, par value US$0.00001 per share. We anticipate that the initial public offering price per ADS will be between US$            and US$            .</w:t>
      </w:r>
    </w:p>
    <w:p>
      <w:pPr>
        <w:pStyle w:val="TextBody"/>
        <w:keepNext w:val="false"/>
        <w:pageBreakBefore w:val="false"/>
        <w:widowControl/>
        <w:pBdr/>
        <w:bidi w:val="0"/>
        <w:spacing w:before="2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public market for our ADSs or our Class B ordinary shares. We intend to list the ADSs on the            under the symbol “            .”</w:t>
      </w:r>
    </w:p>
    <w:p>
      <w:pPr>
        <w:pStyle w:val="TextBody"/>
        <w:keepNext w:val="false"/>
        <w:pageBreakBefore w:val="false"/>
        <w:widowControl/>
        <w:pBdr/>
        <w:bidi w:val="0"/>
        <w:spacing w:before="2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under applicable U.S. federal securities laws and are eligible for reduced public company reporting requirements.</w:t>
      </w:r>
    </w:p>
    <w:p>
      <w:pPr>
        <w:pStyle w:val="TextBody"/>
        <w:keepNext w:val="false"/>
        <w:pageBreakBefore w:val="false"/>
        <w:widowControl/>
        <w:pBdr/>
        <w:bidi w:val="0"/>
        <w:spacing w:before="8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ADSs involves risks. See “</w:t>
      </w:r>
      <w:r>
        <w:rPr>
          <w:rFonts w:ascii="Times New Roman PS Std;serif" w:hAnsi="Times New Roman PS Std;serif"/>
          <w:b/>
          <w:i/>
          <w:caps w:val="false"/>
          <w:smallCaps w:val="false"/>
          <w:sz w:val="20"/>
          <w:u w:val="single"/>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11.</w:t>
      </w:r>
    </w:p>
    <w:p>
      <w:pPr>
        <w:pStyle w:val="TextBody"/>
        <w:keepNext w:val="true"/>
        <w:pageBreakBefore w:val="false"/>
        <w:widowControl/>
        <w:pBdr/>
        <w:bidi w:val="0"/>
        <w:spacing w:before="240" w:after="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PRICE US$            PER ADS</w:t>
      </w:r>
    </w:p>
    <w:p>
      <w:pPr>
        <w:pStyle w:val="TextBody"/>
        <w:keepNext w:val="false"/>
        <w:pageBreakBefore w:val="false"/>
        <w:widowControl/>
        <w:pBdr/>
        <w:bidi w:val="0"/>
        <w:spacing w:before="8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tbl>
      <w:tblPr>
        <w:tblW w:w="6295" w:type="dxa"/>
        <w:jc w:val="left"/>
        <w:tblInd w:w="0" w:type="dxa"/>
        <w:tblLayout w:type="fixed"/>
        <w:tblCellMar>
          <w:top w:w="0" w:type="dxa"/>
          <w:left w:w="0" w:type="dxa"/>
          <w:bottom w:w="0" w:type="dxa"/>
          <w:right w:w="0" w:type="dxa"/>
        </w:tblCellMar>
      </w:tblPr>
      <w:tblGrid>
        <w:gridCol w:w="4411"/>
        <w:gridCol w:w="146"/>
        <w:gridCol w:w="931"/>
        <w:gridCol w:w="146"/>
        <w:gridCol w:w="661"/>
      </w:tblGrid>
      <w:tr>
        <w:trPr/>
        <w:tc>
          <w:tcPr>
            <w:tcW w:w="44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ADS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 price</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discounts and commissions(1)</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us</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See “Underwriting” for additional disclosure regarding underwriting compensation payable by us.</w:t>
      </w:r>
    </w:p>
    <w:p>
      <w:pPr>
        <w:pStyle w:val="TextBody"/>
        <w:keepNext w:val="false"/>
        <w:pageBreakBefore w:val="false"/>
        <w:widowControl/>
        <w:pBdr/>
        <w:bidi w:val="0"/>
        <w:spacing w:before="2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our total cash expenses for this offering (including cash expenses payable to our underwriters for their out-of-pocket expenses) to be approximately US$            , exclusive of the above discounts and commissions. In addition, we will pay additional items of value in connection with this offering that are viewed by the Financial Industry Regulatory Authority, or FINRA, as underwriting compensation. These payments will further reduce proceeds available to us before expenses. See “Underwriting.”</w:t>
      </w:r>
    </w:p>
    <w:p>
      <w:pPr>
        <w:pStyle w:val="TextBody"/>
        <w:keepNext w:val="false"/>
        <w:pageBreakBefore w:val="false"/>
        <w:widowControl/>
        <w:pBdr/>
        <w:bidi w:val="0"/>
        <w:spacing w:before="2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granted the underwriters an option to purchase up to an additional            ADSs to cover over-allotments.</w:t>
      </w:r>
    </w:p>
    <w:p>
      <w:pPr>
        <w:pStyle w:val="TextBody"/>
        <w:keepNext w:val="false"/>
        <w:pageBreakBefore w:val="false"/>
        <w:widowControl/>
        <w:pBdr/>
        <w:bidi w:val="0"/>
        <w:spacing w:before="20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keepNext w:val="false"/>
        <w:pageBreakBefore w:val="false"/>
        <w:widowControl/>
        <w:pBdr/>
        <w:bidi w:val="0"/>
        <w:spacing w:before="2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expect to deliver the ADSs against payment in U.S. dollars to purchasers on or about            , 2023.</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US Tiger Securities, Inc.</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Prospectus dated            , 2023</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[Page intentionally left blank for graphics]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7">
              <w:r>
                <w:rPr>
                  <w:rStyle w:val="InternetLink"/>
                  <w:rFonts w:ascii="Times New Roman PS Std;serif" w:hAnsi="Times New Roman PS Std;serif"/>
                  <w:b w:val="false"/>
                  <w:i w:val="false"/>
                  <w:caps w:val="false"/>
                  <w:smallCaps w:val="false"/>
                  <w:sz w:val="20"/>
                </w:rPr>
                <w:t>PROSPECTUS SUMMARY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6">
              <w:r>
                <w:rPr>
                  <w:rStyle w:val="InternetLink"/>
                  <w:rFonts w:ascii="Times New Roman PS Std;serif" w:hAnsi="Times New Roman PS Std;serif"/>
                  <w:b w:val="false"/>
                  <w:i w:val="false"/>
                  <w:caps w:val="false"/>
                  <w:smallCaps w:val="false"/>
                  <w:sz w:val="20"/>
                </w:rPr>
                <w:t>RISK FACTORS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5">
              <w:r>
                <w:rPr>
                  <w:rStyle w:val="InternetLink"/>
                  <w:rFonts w:ascii="Times New Roman PS Std;serif" w:hAnsi="Times New Roman PS Std;serif"/>
                  <w:b w:val="false"/>
                  <w:i w:val="false"/>
                  <w:caps w:val="false"/>
                  <w:smallCaps w:val="false"/>
                  <w:sz w:val="20"/>
                </w:rPr>
                <w:t>SPECIAL NOTE REGARDING FORWARD-LOOKING STATEMENTS AND INDUSTRY DATA</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4">
              <w:r>
                <w:rPr>
                  <w:rStyle w:val="InternetLink"/>
                  <w:rFonts w:ascii="Times New Roman PS Std;serif" w:hAnsi="Times New Roman PS Std;serif"/>
                  <w:b w:val="false"/>
                  <w:i w:val="false"/>
                  <w:caps w:val="false"/>
                  <w:smallCaps w:val="false"/>
                  <w:sz w:val="20"/>
                </w:rPr>
                <w:t>USE OF PROCEEDS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3">
              <w:r>
                <w:rPr>
                  <w:rStyle w:val="InternetLink"/>
                  <w:rFonts w:ascii="Times New Roman PS Std;serif" w:hAnsi="Times New Roman PS Std;serif"/>
                  <w:b w:val="false"/>
                  <w:i w:val="false"/>
                  <w:caps w:val="false"/>
                  <w:smallCaps w:val="false"/>
                  <w:sz w:val="20"/>
                </w:rPr>
                <w:t>DIVIDEND POLICY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2">
              <w:r>
                <w:rPr>
                  <w:rStyle w:val="InternetLink"/>
                  <w:rFonts w:ascii="Times New Roman PS Std;serif" w:hAnsi="Times New Roman PS Std;serif"/>
                  <w:b w:val="false"/>
                  <w:i w:val="false"/>
                  <w:caps w:val="false"/>
                  <w:smallCaps w:val="false"/>
                  <w:sz w:val="20"/>
                </w:rPr>
                <w:t>CAPITALIZATION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DILUTION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ENFORCEABILITY OF CIVIL LIABILITIES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CORPORATE HISTORY AND STRUCTURE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SELECTED CONSOLIDATED FINANCIAL DATA</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INDUSTRY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BUSINESS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REGULATION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MANAGEMENT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PRINCIPAL SHAREHOLDERS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RELATED PARTY TRANSACTIONS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DESCRIPTION OF SHARE CAPITAL</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DESCRIPTION OF AMERICAN DEPOSITARY SHARES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SHARES ELIGIBLE FOR FUTURE SALE</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TAXATION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UNDERWRITING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EXPENSES RELATED TO THIS OFFERING</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LEGAL MATTERS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EXPERTS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WHERE YOU CAN FIND ADDITIONAL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INDEX TO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any of the underwriters have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 about and observe any restrictions relating to the offering of the ADSs and the distribution of this prospectus or any filed free writing prospectus outside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Until             , 2023 (the 25th</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3" w:name="T27"/>
      <w:bookmarkEnd w:id="3"/>
      <w:r>
        <w:rPr>
          <w:rFonts w:ascii="Times New Roman PS Std;serif" w:hAnsi="Times New Roman PS Std;serif"/>
          <w:b/>
          <w:i w:val="false"/>
          <w:caps w:val="false"/>
          <w:smallCaps w:val="false"/>
          <w:sz w:val="20"/>
          <w:bdr w:val="single" w:sz="8" w:space="10" w:color="000000"/>
        </w:rPr>
        <w:t>PROSPECTUS SUMMARY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summary is qualified in its entirety by, and should be read in conjunction with, the more detailed information and financial statements appearing elsewhere in this prospectus, especially our consolidated financial statements and the related notes and sections titled “Risk Factors,” “Business,” and “Management’s Discussion and Analysis of Financial Condition and Results of Operations.” This prospectus contains information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leading digital transformation enabler in Singapore. We offer business and technology solutions which are designed to optimize our clients’ experiences with their customers by driving digital adoption and self-service.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small and medium enterprise, or SME segment of e-commerce enablement and digital optimizing services market in Singapore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Business consulting:    </w:t>
      </w:r>
      <w:r>
        <w:rPr>
          <w:rFonts w:ascii="Times New Roman PS Std;serif" w:hAnsi="Times New Roman PS Std;serif"/>
          <w:b w:val="false"/>
          <w:i w:val="false"/>
          <w:caps w:val="false"/>
          <w:smallCaps w:val="false"/>
          <w:sz w:val="20"/>
          <w:bdr w:val="single" w:sz="8" w:space="10" w:color="00000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IT customization:    </w:t>
      </w:r>
      <w:r>
        <w:rPr>
          <w:rFonts w:ascii="Times New Roman PS Std;serif" w:hAnsi="Times New Roman PS Std;serif"/>
          <w:b w:val="false"/>
          <w:i w:val="false"/>
          <w:caps w:val="false"/>
          <w:smallCaps w:val="false"/>
          <w:sz w:val="20"/>
          <w:bdr w:val="single" w:sz="8" w:space="10" w:color="00000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Digital technology continues to impact our world through its transformative capability and pervasive impact. Leveraging our successful track record of applying our proprietary technologies to respond to changing business needs and evolving client demands, we plan to launch a Web 3.0 e-commerce platform whereby customers and merchants can transact in a transparent and secure way, or Tridentity, in the third quarter of 2023. We believe Tridentity addresses a massive market opportunity today and provides us with an attractive runway for growth.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According to the Frost &amp; Sullivan Report, the market size of global Web 3.0-enabled e-commerce is expected to reach US$189.3 billion and US$1,587.4 billion in 2023 and 2027, respectively, representing a CAGR of 70.2% from 2023 to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Strengths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the following strengths have contributed to our continued success: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leading digital transformation enabler in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proprietary technology architecture;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unique perspective and efficient operational capabilities;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seasoned and visionary management team with international perspective.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intend to further grow our business by pursuing the following strategies: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capitalize on a generational shift to Web 3.0;</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expand and grow our client base;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broaden our geographical reach;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selectively pursue strategic acquisitions.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Business and Industry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rapid growth may not be sustainable or indicative of our future growth. Our business could be harmed if we fail to manage our infrastructure to support future growth.</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Substantially all of our revenues are generated by sales to clients in our targeted verticals, and factors, including Singapore and global market and economic conditions, that adversely affect the applicable industry could also adversely affect us.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are not able to introduce new features or services successfully and to make enhancements to our solutions and services, our business and results of operations could be adversely affected.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face intense competition, which could limit our ability to maintain or expand market share within our industry, and if we do not maintain or expand our market share, our business, financial condition, and operating results will be harmed.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expect fluctuations in our operating results, making it difficult to project future results, and if we fail to meet the expectations of securities analysts or investors with respect to our operating results, the market price of our ADSs could decline.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might not implement our growth strategies successfully which would limit our growth and cause the market price of our ADS to decline.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Interruptions or performance problems associated with our infrastructure may adversely affect our business, results of operations and financial condition.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depend on the reliable performance of Internet infrastructure, bandwidth providers, data center providers, cloud providers, mobile infrastructure, and other third parties.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business generates and processes a large amount of consumer data, and the improper use, collection or disclosure of such data could subject us to significant reputational, financial, legal and operational consequences.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Failure to protect our intellectual property or proprietary rights could substantially harm our business and results of operations.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rely on the performance of senior management team and highly skilled personnel; if we are unable to retain or motivate key personnel or hire, retain and motivate qualified personnel, our business would be harmed.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subject to legal proceedings in the ordinary course of our business. If the outcomes of these proceedings are adverse to us, it could have a material adverse effect on our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the Jurisdictions Where We Operate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exposed to risks in respect of acts of war, terrorist attacks, epidemics, political unrest, natural disasters, adverse weather and other uncontrollable events.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ADSs and This Offering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active trading market for our ordinary shares or our ADSs may not develop and the trading price for our ADSs may fluctuate significantly.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an emerging growth company within the meaning of the Securities Act and may take advantage of certain reduced reporting requirements.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History and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June and July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completion of the reorganization, Quality Zone Technologies Pte. Ltd. became a wholly-owned subsidiary of Trident Digital Tech Holdings Ltd and Trident Digital Tech Pte. Ltd. became a wholly-owned subsidiary of Quality Zone Technologies Pte. Ltd.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diagram below illustrates our corporate structure as of the date of this prospectus:</w:t>
      </w:r>
    </w:p>
    <w:p>
      <w:pPr>
        <w:pStyle w:val="TextBody"/>
        <w:keepNext w:val="false"/>
        <w:pageBreakBefore w:val="false"/>
        <w:widowControl/>
        <w:pBdr/>
        <w:bidi w:val="0"/>
        <w:spacing w:before="160" w:after="283"/>
        <w:jc w:val="center"/>
        <w:rPr>
          <w:caps w:val="false"/>
          <w:smallCaps w:val="false"/>
          <w:bdr w:val="single" w:sz="8" w:space="10" w:color="000000"/>
        </w:rPr>
      </w:pPr>
      <w:r>
        <w:rPr>
          <w:caps w:val="false"/>
          <w:smallCaps w:val="false"/>
          <w:bdr w:val="single" w:sz="8" w:space="10" w:color="000000"/>
        </w:rPr>
        <w:drawing>
          <wp:inline distT="0" distB="0" distL="0" distR="0">
            <wp:extent cx="3371850" cy="20694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71850" cy="2069465"/>
                    </a:xfrm>
                    <a:prstGeom prst="rect">
                      <a:avLst/>
                    </a:prstGeom>
                  </pic:spPr>
                </pic:pic>
              </a:graphicData>
            </a:graphic>
          </wp:inline>
        </w:drawing>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 of Being an Emerging Growth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remain an emerging growth company until the earliest of (i) the last day of the fiscal year during which we have total annual gross revenues of at least US$1.235 billion; (ii) the last day of our fiscal year following the fifth anniversary of the completion of this offering;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Controlled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Upon the completion of this offering, Mr. Soon Huat Lim, our founder, chairman of board of directors and chief executive officer will beneficially own [            ]% of our total issued and outstanding ordinary shares, representing [            ]% of the total voting power, assuming that the underwriters do not exercise their over-allotment option, or [            ]% of our total issued and outstanding ordinary shares, representing [            ]% of the total voting power, assuming that the over-allotment option is exercised in full. As a result, we will be a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caps w:val="false"/>
          <w:smallCaps w:val="false"/>
          <w:bdr w:val="single" w:sz="8" w:space="10" w:color="000000"/>
        </w:rPr>
      </w:pPr>
      <w:r>
        <w:rPr>
          <w:caps w:val="false"/>
          <w:smallCaps w:val="false"/>
          <w:bdr w:val="single" w:sz="8" w:space="10" w:color="000000"/>
        </w:rPr>
        <w:t>“</w:t>
      </w:r>
      <w:r>
        <w:rPr>
          <w:rFonts w:ascii="Times New Roman PS Std;serif" w:hAnsi="Times New Roman PS Std;serif"/>
          <w:b w:val="false"/>
          <w:i w:val="false"/>
          <w:caps w:val="false"/>
          <w:smallCaps w:val="false"/>
          <w:sz w:val="20"/>
          <w:bdr w:val="single" w:sz="8" w:space="10" w:color="000000"/>
        </w:rPr>
        <w:t>controlled company” as defined under the [Nasdaq Stock Market Rules/NYSE Listed Company Manual] because Mr. Lim will hold more than 50% of the voting power for the election of directors. As a “controlled company,” we are permitted to elect not to comply with certain corporate governance requirements. See “Risk Factors — Risks Relating to Our ADSs and This Offering — We will be a “controlled company” under the [Nasdaq Stock Market Rules/NYSE Listed Company Manual] upon the completion of this offering and, as a result, may rely on exemptions from certain corporate governance requirements that provide protection to shareholders of other companies.”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Foreign Private Issuer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Global Market/New York Stock Exchange] corporate governance listing standards. See “Risk Factors — Risks Related to Our ADSs and This Offering — As a company incorporated in the Cayman Islands, we are permitted to adopt certain home country practices in relation to corporate governance matters that differ significantly from the [Nasdaq Stock Market Rules/NYSE Listed Company Manual].”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principal executive office is located at Suntec Tower 3, 8 Temasek Boulevard Road, #24-03, Singapore, 038988. Our telephone number at this address is +65 8813 1312. Our registered office in the Cayman Islands is located at Sertus Chambers, P.O. Box 905, Quastisky Building, Road Town, Tortola, British Virgin Islands. Our agent for service of process in the United States is [            ], located at [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Investors should contact us for any inquiries through the address and telephone number of our principal executive offices. Our website is [            ]. The information contained on our website is not a part of this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Conventions That Apply To This Prospectus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Except where the context otherwise requires and for purposes of this prospectus only: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ADRs” refers to the American depositary receipts that evidence our ADSs;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ADSs” refers to our American depositary shares, each of which represents            Class B ordinary shares;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CAGR” refers to compound annual growth rate;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Class A ordinary shares” refers to our Class A ordinary shares, par value US$0.00001 per share;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Class B ordinary shares” refers to our Class B ordinary shares, par value US$0.00001 per share;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GDP” refers to gross domestic product;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IMDA” refers to Infocomm Media Development Authority, a statutory board under the Singapore Ministry of Communications and Information of the Republic of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ordinary shares” refers to our Class A and Class B ordinary shares, par value US$0.00001 per share;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QZT” refers to Quality Zone Technologies Pte. Ltd., a company incorporated in Singapore, and a direct wholly-owned subsidiary of our Company;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 or “SGD” refers to the Singapore dollar, the legal currency of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SEC” refers to the United States Securities and Exchange Commission;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Singapore” refers to the Republic of Singapore;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SME” refers to small and medium enterprises;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Trident Singapore” refers to Trident Digital Tech Pte. Ltd., a company incorporated in Singapore, and an indirect wholly-owned subsidiary of our Company;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 “$,” “dollars,” or “U.S. dollars” refers to the legal currency of the United States;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 GAAP” refers to generally accepted accounting principles in the United States;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“us,” “our company,” the “Company,” “Trident Cayman” and “our” refer to Trident Digital Tech Holdings Ltd, a Cayman Islands company and its subsidiaries.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Substantially all of our revenues and expenditures are denominated in SGD, whereas our reporting currency is the U.S. dollar. This prospectus contains translations of SGD into U.S. dollars solely for the convenience of the reader. Unless otherwise stated, all translations of SGD into U.S. dollars in this prospectus were made at the rate of SGD1.3404 to US$1.00, the noon buying rate on December 31, 2022, as set forth in the H.10 statistical release of the U.S. Federal Reserve Board. We make no representation that the SGD or U.S. dollar amounts referred to in this prospectus could have been or could be converted into U.S. dollars or SGD, as the case may be, at any particular rate or at all.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assumes that the underwriters will not exercise their option to purchase additional ADSs in the offering, unless otherwise indicated.</w:t>
      </w:r>
    </w:p>
    <w:tbl>
      <w:tblPr>
        <w:tblW w:w="10205" w:type="dxa"/>
        <w:jc w:val="left"/>
        <w:tblInd w:w="0" w:type="dxa"/>
        <w:tblLayout w:type="fixed"/>
        <w:tblCellMar>
          <w:top w:w="0" w:type="dxa"/>
          <w:left w:w="0" w:type="dxa"/>
          <w:bottom w:w="0" w:type="dxa"/>
          <w:right w:w="0" w:type="dxa"/>
        </w:tblCellMar>
      </w:tblPr>
      <w:tblGrid>
        <w:gridCol w:w="1756"/>
        <w:gridCol w:w="146"/>
        <w:gridCol w:w="8303"/>
      </w:tblGrid>
      <w:tr>
        <w:trPr/>
        <w:tc>
          <w:tcPr>
            <w:tcW w:w="17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Price</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the initial public offering price will be between US$            and US$            per ADS.</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ADSs offered by us</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ADSs (or            ADSs if the underwriters exercise their option to purchase additional ADSs in full).</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ADSs Outstanding immediately after this offering</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            ADSs (or            ADSs if the underwriters exercise their option to purchase additional ADS in full).</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outstanding immediately after this offering</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            Class A ordinary shares and            Class B ordinary shares (or            Class B ordinary shares if the underwriters exercise their option to purchase additional ADS in full).</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ADS represents            Class B ordinary shares, par value US$0.00001 per share. The ADSs generally are uncertificated.</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hold the Class B ordinary shares underlying your ADSs and you will have rights as provided in the deposit agreement.</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declare dividends on our Class B ordinary shares, the depositary will pay you the cash dividends and other distributions it receives on our Class B ordinary shares, after deducting its fees and expenses in accordance with the terms set forth in the deposit agreement.</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surrender your ADSs to the depositary in exchange for our Class B ordinary shares. The depositary will charge you fees for any exchange. We may amend or terminate the deposit agreement without your consent. If you continue to hold your ADSs, you agree to be bound by the deposit agreement as amended.</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 to purchase additional ADSs</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granted to the underwriters an option, which is exercisable within            days from the date of this prospectus, to purchase up to            additional ADSs.</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we will receive net proceeds of approximately US$            million from this offering (or US$            million if the underwriters exercise their option to purchase additional ADSs in full), after deducting the underwriting discounts, commissions, and estimated offering expenses payable by us and assuming an initial public offering price of US$            per ADS, being the mid-point of the estimated range of the initial public offering price shown on the front cover of this prospectus.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use the net proceeds we receive from this offering to invest in research and development, the Singapore market, and for general corporate purposes. See “Use of Proceeds” for additional information.</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92"/>
        <w:gridCol w:w="146"/>
        <w:gridCol w:w="8667"/>
      </w:tblGrid>
      <w:tr>
        <w:trPr/>
        <w:tc>
          <w:tcPr>
            <w:tcW w:w="139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Lock-up</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our directors and executive officers, and principal shareholders are expected to enter into lock-up agreements with the Underwriter not to sell, transfer, or dispose of any Class B ordinary shares for a period of up to six months after this offering is completed.] See “Underwriting” for more information.</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[Directed Share Program]</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request, the underwriters have reserved for sale, at the initial public offering price, up to an aggregate of            ADSs offered in this offering to our directors, officers, employees, business associates and related persons.]</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“Risk Factors” and other information included in this prospectus for a discussion of the risks you should carefully consider before investing in the ADSs.</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Listing</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apply to have the ADSs listed on the [Nasdaq Global Market/New York Stock Exchange] under the symbol “            .” Our ADSs and Class B ordinary shares will not be listed on any other stock exchanges or traded on any automated quotation system.</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and Settlement</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are expected to be delivered against payment on            , 2023. They will be registered in the name of a nominee of The Depository Trust Company, or DTC.</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Depositary</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number of ordinary shares that will be issued and outstanding immediately after this offering: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is based on            issued and outstanding ordinary shares as of the date of this prospectus;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includes            Class B ordinary shares in the form of ADSs that we will issue and sell in this offering, assuming the underwriters do not exercise their option to purchase additional ADSs;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CONSOLIDATED FINANCIAL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following table presents our summary consolidated statements of operations data for the periods indicated. </w:t>
      </w:r>
    </w:p>
    <w:tbl>
      <w:tblPr>
        <w:tblW w:w="10205" w:type="dxa"/>
        <w:jc w:val="left"/>
        <w:tblInd w:w="0" w:type="dxa"/>
        <w:tblLayout w:type="fixed"/>
        <w:tblCellMar>
          <w:top w:w="0" w:type="dxa"/>
          <w:left w:w="0" w:type="dxa"/>
          <w:bottom w:w="0" w:type="dxa"/>
          <w:right w:w="0" w:type="dxa"/>
        </w:tblCellMar>
      </w:tblPr>
      <w:tblGrid>
        <w:gridCol w:w="6382"/>
        <w:gridCol w:w="146"/>
        <w:gridCol w:w="241"/>
        <w:gridCol w:w="1306"/>
        <w:gridCol w:w="196"/>
        <w:gridCol w:w="146"/>
        <w:gridCol w:w="241"/>
        <w:gridCol w:w="1306"/>
        <w:gridCol w:w="241"/>
      </w:tblGrid>
      <w:tr>
        <w:trPr/>
        <w:tc>
          <w:tcPr>
            <w:tcW w:w="63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136,576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156,220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155,475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before income tax expense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29,661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earnings per ordinary share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(0.0028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0.0001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summary consolidated balance sheet data as of the dates indicated.</w:t>
      </w:r>
    </w:p>
    <w:tbl>
      <w:tblPr>
        <w:tblW w:w="7573" w:type="dxa"/>
        <w:jc w:val="left"/>
        <w:tblInd w:w="0" w:type="dxa"/>
        <w:tblLayout w:type="fixed"/>
        <w:tblCellMar>
          <w:top w:w="0" w:type="dxa"/>
          <w:left w:w="0" w:type="dxa"/>
          <w:bottom w:w="0" w:type="dxa"/>
          <w:right w:w="0" w:type="dxa"/>
        </w:tblCellMar>
      </w:tblPr>
      <w:tblGrid>
        <w:gridCol w:w="4276"/>
        <w:gridCol w:w="146"/>
        <w:gridCol w:w="241"/>
        <w:gridCol w:w="1291"/>
        <w:gridCol w:w="196"/>
        <w:gridCol w:w="146"/>
        <w:gridCol w:w="241"/>
        <w:gridCol w:w="1036"/>
      </w:tblGrid>
      <w:tr>
        <w:trPr/>
        <w:tc>
          <w:tcPr>
            <w:tcW w:w="427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15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27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422,242</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424,656</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471,332</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selected consolidated statements of cash flow data for the periods indicated.</w:t>
      </w:r>
    </w:p>
    <w:tbl>
      <w:tblPr>
        <w:tblW w:w="8219" w:type="dxa"/>
        <w:jc w:val="left"/>
        <w:tblInd w:w="0" w:type="dxa"/>
        <w:tblLayout w:type="fixed"/>
        <w:tblCellMar>
          <w:top w:w="0" w:type="dxa"/>
          <w:left w:w="0" w:type="dxa"/>
          <w:bottom w:w="0" w:type="dxa"/>
          <w:right w:w="0" w:type="dxa"/>
        </w:tblCellMar>
      </w:tblPr>
      <w:tblGrid>
        <w:gridCol w:w="5056"/>
        <w:gridCol w:w="146"/>
        <w:gridCol w:w="226"/>
        <w:gridCol w:w="1066"/>
        <w:gridCol w:w="181"/>
        <w:gridCol w:w="146"/>
        <w:gridCol w:w="226"/>
        <w:gridCol w:w="946"/>
        <w:gridCol w:w="226"/>
      </w:tblGrid>
      <w:tr>
        <w:trPr/>
        <w:tc>
          <w:tcPr>
            <w:tcW w:w="5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1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5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9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year</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273,593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26"/>
      <w:bookmarkEnd w:id="4"/>
      <w:r>
        <w:rPr>
          <w:rFonts w:ascii="Times New Roman PS Std;serif" w:hAnsi="Times New Roman PS Std;serif"/>
          <w:b/>
          <w:i w:val="false"/>
          <w:caps w:val="false"/>
          <w:smallCaps w:val="false"/>
          <w:sz w:val="20"/>
        </w:rPr>
        <w:t>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 and Industry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rapid growth may not be sustainable or indicative of our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could be harmed if we fail to manage our infrastructure to support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Substantially all of our revenues are generated by sales to clients in our targeted verticals, and factors, including Singapore and global market and economic conditions, that adversely affect the applicable industry could also adversely affect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substantially all of our sales are to clients in the e-commerce, food and beverage, fintech, healthcare and service, wholesale and retail industries</w:t>
      </w:r>
      <w:r>
        <w:rPr>
          <w:rFonts w:ascii="Times New Roman PS Std;serif" w:hAnsi="Times New Roman PS Std;serif"/>
          <w:b w:val="false"/>
          <w:i/>
          <w:caps w:val="false"/>
          <w:smallCaps w:val="false"/>
          <w:sz w:val="20"/>
        </w:rPr>
        <w:t xml:space="preserve">. </w:t>
      </w:r>
      <w:r>
        <w:rPr>
          <w:rFonts w:ascii="Times New Roman PS Std;serif" w:hAnsi="Times New Roman PS Std;serif"/>
          <w:b w:val="false"/>
          <w:i w:val="false"/>
          <w:caps w:val="false"/>
          <w:smallCaps w:val="false"/>
          <w:sz w:val="20"/>
        </w:rPr>
        <w:t>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not able to introduce new features or services successfully and to make enhancements to our solutions and services, our business and results of operations could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attract new clients and increase revenue from existing clients depends in part on our ability to enhance and improve our solutions and to introduce new features and services. For example, we plan to introduce Tridentity, our Web 3.0-enabled e-commerce platform whereby customers and merchants can transact in a transparent and secure way, in the third quarter of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 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solutions, services or pricing models may not accurately reflect the optimal pricing necessary to attract new clients and retain existing clients as the market matures.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offer high-quality client support, if we experience complaints regarding our client support or if our support is more expensive than anticipated, our business and reputation could suffer.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Real or perceived errors, failures or bugs in our solutions could adversely affect our business, results of operations, financial condition, and growth prospects.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testing by us,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face intense competition, which could limit our ability to maintain or expand market share within our industry, and if we do not maintain or expand our market share, our business, financial condition, and operating results will be harmed.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in light of these advantages, even if our solutions and services are more effective than the offerings of our competitors, current or potential clients might accept our competitors’ offerings in lieu of purchasing our solutions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incurred net losses on an annual basis since we were founded, anticipate increasing our operating expenses in the future, and may not achieve or sustain profitability.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net losses of US$1.1 million in fiscal year 2022. We must generate and sustain higher revenue levels in future periods to become profitable, and, even if we do, we may not be able to maintain or increase our profitability. We expect to continue to incur losses for the foreseeable future as we expend substantial financial and other resources on,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and marketing, including expanding our direct sales team and online marketing programs;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investments in the development of new solutions and new features for, and enhancements of, our existing services;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expansion of our operations and infrastructure organically and through acquisitions and strategic partnerships;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administration, including legal, risk management, accounting, and other expenses related to being a public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expect fluctuations in our operating results, making it difficult to project future results, and if we fail to meet the expectations of securities analysts or investors with respect to our operating results, the market price of our ADSs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other risks described herein, factors that may affect our operating results include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demand for our digital solutions and e-commerce offerings;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new clients and retain and increase adoption by our existing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client preference for cloud-based services as a result of security breaches in the industry or privacy concerns, or other security or reliability concerns regarding our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client budgets and in the timing of their budget and billing cycles and purchasing decisions;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implementation timeline of our solutions with new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and existing clients choosing our competitors’ solutions or developing their own solutions in-house;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development or introduction of new solutions that are easier to use or more advanced than our current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adoption or retention of more entrenched or rival services in the markets where we compete or plan to compete;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control costs, including our operating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payment for operating expenses, particularly research and development and sales and marketing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non-cash expenses, including share-based compensation, goodwill impairments and other non-cash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costs associated with recruiting, training and integrating new employees, and retaining and motivating existing employees;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effects of acquisitions and their integration;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(including inflation), as well as economic conditions specifically affecting industries in which our clients operate;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new accounting pronouncements;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competitive dynamics of our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security breaches of, technical difficulties with, or interruptions to, the delivery and use of our solutions from our technology vendors, and/or our own developed technology;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awareness of our brand and our reputation in our target markets.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in the past, and may in the future, incur indebtedness that could adversely affect our financial flexibility and expose us to risks that could materially adversely affect our liquidity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we had approximately US$0.6 million of outstanding principal amount of the term loans under our existing credit facility at interest rates which are subject to market fluctuation. These term loans mature in 2026 and 2027. Our indebtedness and related obligations could have important future consequences to us,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ability to borrow additional amounts to fund capital expenditures, acquisitions, debt service requirements, execution of our growth strategy and other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ability to make investments, including acquisitions, loans and advances, and to sell, transfer or otherwise dispose of assets;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placing us at a competitive disadvantage compared with our competitors that have less debt;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exposing us to risks inherent in interest rate fluctuations if our future borrowings are at variable rates of interest, which could result in higher interest expense in the event of increases in interest rates.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might not implement our growth strategies successfully which would limit our growth and cause the market price of our ADS to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profitability will depend, in part, on our ability to implement successfully our growth strategies. We expect to invest substantial amounts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our Tridentity offerings;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build new solutions and add features and functionality to existing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grow our salesforce and marketing to win new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relationships with our existing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into new verticals and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pursue strategic acquisitions or strategic investments;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improve our technology infrastructure, including systems architecture, scalability, availability, performance and network security;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comply with regulatory requirements and risk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in these programs will affect adversely our short-term profitability. This would impact revenues adversely and cause our business to suffer.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unsuccessful in entering new market segments or further penetrating our existing market segments, our revenue or revenue growth could be materially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results depend, in part, on our ability to successfully penetrate new markets, as well as to expand further into our existing markets. In order to grow our business, we may expand to other project-focused markets in which we may have less experience. Expanding into new markets requires both considerable investment and coordination of technical, support, sales, marketing and financial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difficulties or unforeseen expenditures in integrating the business, technologies, solutions, personnel or operations of any company that we acquire, particularly if key personnel of the acquired company decide not to work for 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be able to realize anticipated synergies;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acquisition may disrupt our ongoing business, divert resources, increase our expenses, and distract our management;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challenges integrating the employees of the acquired company into our company culture;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difficulties in, or may be unable to, successfully sell any acquired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use of cash to pay for acquisitions would limit other potential uses for our cash;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incur debt to fund any acquisitions, such debt may subject us to material restrictions on our ability to conduct our business financial maintenance covenants;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issue a significant amount of equity securities in connection with future acquisitions, existing shareholders may be diluted and earnings per share may decrease.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occurrence of any of these risks could have an adverse effect on our business, results of operations and financial condition.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Interruptions or performance problems associated with our infrastructure may adversely affect our business, results of operations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depend on the reliable performance of Internet infrastructure, bandwidth providers, data center providers, cloud providers, mobile infrastructure, and other third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generates and processes a large amount of consumer data, and the improper use, collection or disclosure of such data could subject us to significant reputational, financial, legal and operational consequences.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protect our intellectual property or proprietary rights could substantially harm our business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and ability to compete depends in part on our intellectual property. As of June 30, 2023, we have one registered trademark in Singapore. See “</w:t>
      </w:r>
      <w:r>
        <w:rPr>
          <w:rFonts w:ascii="Times New Roman PS Std;serif" w:hAnsi="Times New Roman PS Std;serif"/>
          <w:b w:val="false"/>
          <w:i/>
          <w:caps w:val="false"/>
          <w:smallCaps w:val="false"/>
          <w:sz w:val="20"/>
        </w:rPr>
        <w:t>Business — Intellectual Property.</w:t>
      </w:r>
      <w:r>
        <w:rPr>
          <w:rFonts w:ascii="Times New Roman PS Std;serif" w:hAnsi="Times New Roman PS Std;serif"/>
          <w:b w:val="false"/>
          <w:i w:val="false"/>
          <w:caps w:val="false"/>
          <w:smallCaps w:val="false"/>
          <w:sz w:val="20"/>
        </w:rPr>
        <w:t>” Any use of trademarks by third parties which are similar or identical to ours may also result in imitation of our platform, which may adversely affect our business, prospects, financial condition and results of operation.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 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certain technology and software licensed from third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part of our business, we employ certain technology and software licensed from third parties, such as Amazon Web Services and Tencent. We typically do not enter into long-term agreements for the licensing of such software and tools, and the license agreements are typically on subscription and short-term bases. Accordingly, there is no assurance that such third parties will continue to extend such licenses to us after the expiry of the current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Some of our services and technologies may use “open source” software, which may restrict how we use or distribute our services or require that we release the source code of certain solutions subject to those licenses.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the performance of senior management team and highly skilled personnel; if we are unable to retain or motivate key personnel or hire, retain and motivate qualified personnel, our business would be harmed.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 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While these numbers are based on what we believe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legal proceedings in the ordinary course of our business. If the outcomes of these proceedings are adverse to us, it could have a material adverse effect on our business, results of operations,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limited insurance coverage, which could expose us to significant costs and business disruption.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Jurisdictions Where We Operate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exposed to risks in respect of acts of war, terrorist attacks, epidemics, political unrest, natural disasters, adverse weather and other uncontrollable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consumer confidence. Any such events may cause damage or disruption to our business, markets, clients and suppliers, any of which could materially and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evolving laws, regulations, standards and policies, and any actual or perceived failure to comply could harm our reputation and brand, subject us to significant fines and liability, or otherwise adversely affect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ADSs and This Offering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active trading market for our ordinary shares or our ADSs may not develop and the trading price for our ADSs may fluctuate significantly.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list our ADSs on the [Nasdaq Global Market/New York Stock Exchange].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underwriters based upon several factors, and the trading price of our ADSs after this offering could decline below the initial public offering price. As a result, investors in our securities may experience a significant decrease in the value of their ADSs.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within the meaning of the Securities Act and may take advantage of certain reduced reporting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have a dual-class share structure after the completion of this offering such that our ordinary shares will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proposed dual-class share structure. We will sell Class B ordinary shares represented by our ADSs in this offering. Each Class A ordinary share is convertible into one Class B ordinary share at any time by the holder thereof, while Class B ordinary shares are not convertible into Class A ordinary shares under any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this offering, our founder, chairman of board of directors and chief executive officer, Mr. Soon Huat Lim, will together beneficially own all of our issued Class A ordinary shares. These Class A ordinary shares will constitute approximately [          ]% of our total issued and outstanding share capital immediately after the completion of this offering and [          ]% of the aggregate voting power of our total issued and outstanding share capital due to the disparate voting powers associated with our dual-class share structure, assuming the underwriters do not exercise their over-allotment option.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dual-class voting structure may render the ADSs representing our Class B ordinary shares ineligible for inclusion in certain stock market indices, and thus adversely affect the trading price and liquidity of the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cease to publish research or reports about our business, or if they adversely change their recommendations regarding the ADSs, the market price for the ADSs and trading volume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do not expect to pay dividends in the foreseeable future after this offering and you must rely on price appreciation of our ADSs for return on your investment.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post-offering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our initial public offering price is substantially higher than our net tangible book value per share, you will experience immediate and substantial dilution.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purchase ADSs in this offering, you will pay more for your ADSs than the amount paid by our existing shareholders for their ordinary shares on a per ADS basis. As a result, you will experience immediate and substantial dilution, representing the difference between the initial public offering price per ADS, and our net tangible book value per ADS, after giving effect to the net proceeds to us from this offering. In addition, you may experience further dilution in connection with the issuance of ordinary shares upon the exercise or vesting, as the case may be, of our share incentive awards. See “Dilution” for a more complete description of how the value of your investment in our ADSs will be diluted upon completion of this offering.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not determined a specific use for a portion of the net proceeds from this offering and we may use these proceeds in ways with which you may not agree.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would improve our results of operations or increase the ADS price, nor that these net proceeds will be placed only in investments that generate income or appreciate in value.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Substantial future sales or perceived potential sales of our ADSs in the public market could cause the price of our ADSs to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our ADSs in the public market after this offering, or the perception that these sales could occur, could cause the market price of our ADSs to decline. All ADSs sold in this offering will be freely transferable without restriction or additional registration under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post-offering memorandum and articles of association contain anti-takeover provisions that could have a material adverse effect on the rights of holders of our ordinary shares and the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adopt an amended and restated memorandum and articles of association that will become effective immediately prior to the completion of this offering. Our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post-offering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our company. The deposit agreement provides that, subject to the depositary’s right to require a claim to be submitted to arbitration,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us and the depositary that may arise out of or relate in any way to the deposit agreement including without limitation claims under the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post-offering memorandum and articles of association or the deposit agreement to be inapplicable or unenforceable in an action, we may incur additional costs associated with resolving such action in other jurisdictions. If upheld, the forum selection clause in our post-offering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post-offering memorandum and articles of association and deposit agreement. In addition, the forum selection provision of the deposit agreement does not affect the right of the depositary to require any claim arising directly or indirectly from the relationship created by the deposit agreement to be submitted to arbitration or to commence an action in any court in aid of that arbitration provision or to enter judgment upon or enforce any arbitration award.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voting rights of holders of ADSs are limited by the terms of the deposit agreement, and you may not be able to exercise your right to direct the voting of the underlying ordinary shares represented by your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event of voting by poll, the depository bank will vote (or cause the custodian to vote) the ordinary shares held on deposit in accordance with the voting instructions received from the holders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deposit agreement, if voting is by poll and the depositary does not timely receive voting instructions from you, the depositary may give us a discretionary proxy to vote the ordinary shares underlying the ADSs at shareholders’ meetings if we have timely provided the depositary with notice of meeting and related voting materials and (i) we have instructed the depositary that we wish a discretionary proxy to be given, (ii) we have informed the depositary that there is no substantial opposition as to a matter to be voted on at the meeting, and (iii) a matter to be voted on at the meeting would not have a material adverse impact on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ADS holder’s right to pursue claims against the depositary is limited by the terms of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provides that the depositary may, in its sole discretion, require any dispute or difference arising from the relationship created by the deposit agreement to be referred to and finally settled by an arbitration conducted under the terms described in the deposit agreement, although the arbitration provisions do not preclude you from pursuing any claim under the Securities Act or the Exchange Act in state or federal courts. See “Description of American Depositary Shares” for more information.]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entitled to amend the deposit agreement and to change the rights of ADS holders under the terms of such agreement, or to terminate the deposit agreement, without the prior consent of the ADS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be subject to limitations on transfer of your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experience dilution of your holdings due to inability to participate in rights offerings.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post-offering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the section of this prospectus captioned “Description of Share Capital — Differences in Corporate Law.”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judgments obtained against us by our shareholders may not be enforceable.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 For more information regarding the relevant laws of the Cayman Islands and Singapore, see “Enforceability of Civil Liabilities.”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ADS holders may not be entitled to a jury trial with respect to claims arising under the deposit agreement, which could result in less favorable outcomes to the plaintiff(s) in any such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governing the ADSs representing our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 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company incorporated in the Cayman Islands, we are permitted to adopt certain home country practices in relation to corporate governance matters that differ significantly from the [Nasdaq Stock Market Rules/NYSE Listed Company Manual].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Cayman Islands company listed on the [Nasdaq Global Market/New York Stock Exchange], we are subject to the [Nasdaq Stock Market Rules/NYSE Listed Company Manual], which requires listed companies to have, among other things, a majority of their board members to be independent and independent director oversight of executive compensation and nomination of directors. However, [Nasdaq Stock Market Rules/NYSE Listed Company Manual] permit a foreign private issuer like us to follow the corporate governance practices of its home country. Certain corporate governance practices in the Cayman Islands, which is our home country, may differ significantly from the [Nasdaq Stock Market Rules/NYSE Listed Company Manual].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Rules/NYSE Listed Company Manual].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 foreign private issuer within the meaning of the rules under the Exchange Act, and as such we are exempt from certain provisions applicable to U.S. domestic public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rules under the Exchange Act requiring the filing of quarterly reports on Form 10-Q or current reports on Form 8-K with the SEC;</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of the Exchange Act regulating the solicitation of proxies, consents, or authorizations in respect of a security registered under the Exchange Act;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selective disclosure rules by issuers of material nonpublic information under Regulation FD;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audit committee independence requirements in Rule 10A-3 of the Exchange Act.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however, be required to file an annual report on Form 20-F within four months of the end of each fiscal year. In addition, we intend to publish our results on a quarterly basis through press releases, distributed pursuant to the rules and regulations of the [Nasdaq Global Market/New York Stock Exchange].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 foreign private issuer whose securities are listed on the [Nasdaq Global Market/New York Stock Exchange], is permitted to follow certain home country corporate governance practices in lieu of the requirements of the [Nasdaq Stock Market Rules/NYSE Listed Company Manual]. If we rely on exemptions available to foreign private issuers, our shareholders may be afforded less protection than they otherwise would under the [Nasdaq Stock Market Rules/NYSE Listed Company Manual] applicable to U.S. domestic issuers.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We will be a “controlled company” under the [Nasdaq Stock Market Rules/NYSE Listed Company Manual]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upon the completion of this offering and, as a result, may rely on exemptions from certain corporate governance requirements that provide protection to shareholders of other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a “controlled company” as defined under the [Nasdaq Stock Market Rules/NYSE Listed Company Manual] upon the completion of this offering. Our founder, chairman of board of directors and chief executive officer, Mr. Soon Huat Lim, will hold more than 50% of the aggregate voting power of our Company after the completion of this offering.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can be no assurance that we will not be classified as a passive foreign investment company for U.S. federal income tax purposes, which could result in adverse U.S. federal income tax consequences to U.S. Holders of our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our current and projected income and assets, including the proceeds from this offering, and projections as to the value of our assets immediately following this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are classified as a PFIC for any taxable year during which a U.S. Holder (as defined in “Taxation — United States Federal Income Tax Considerations”) holds our ADSs or ordinary shares, the PFIC tax rules discussed under “Taxation — United States Federal Income Tax Considerations — Passive Foreign Investment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Rules” will generally apply to such U.S. Holder for such taxable year and, unless the U.S. Holder makes a “mark-to-market” election, will apply in future years even if we cease to be a PFIC. See the discussion under “Taxation — United States Federal Income Tax Considerations — Passive Foreign Investment Company Rules” concerning the U.S. federal income tax considerations of an investment in our ADSs or ordinary shares if we are or become classified as a PFIC and the possibility of making such election.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incur increased costs as a result of being a public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this offering, we will become a public company and expect to incur significant legal, accounting and other expenses that we did not incur as a private company. The Sarbanes-Oxley Act of 2002, as well as rules subsequently implemented by the SEC and [Nasdaq Global Market/New York Stock Exchange], impose various requirements on the corporate governance practices of public companies. We expect these rules and regulations to increase our legal and financial compliance costs and to make some corporate activities more time-consuming and costly.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reporting requirements of the Exchange Act of 1934, or Exchange Act, the Sarbanes-Oxley Act of and the rules and regulations of the [Nasdaq Global Market/New York Stock Exchange].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prospectus, we identified two material weaknesses in our internal control over financial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and ii) lack of robust and formal period-end financial reporting policies and procedures in place to address complex U.S. GAAP technical accounting and the SEC reporting requirements.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response to the material weaknesses identified prior to this offering, we are in the process of implementing a number of measures to address the material weaknesses identified, including but not limited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 and implement a comprehensive set of processes and internal controls to timely and appropriately;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transactions that may be subject to complex U.S. GAAP accounting treatment;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analyze the transactions in accordance with the relevant U.S. GAAP;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the accounting technical analysis;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an ongoing training program to provide sufficient and appropriate trainings for accounting and financial reporting personnel, including trainings related to U.S. GAAP and SEC reporting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we cannot assure you that we will not identify additional material weaknesses or significant deficiencies in the future. In addition, if we are unable to meet the requirements of Section 404 of the Sarbanes-Oxley Act, our ADSs may not be able to remain listed on the [Nasdaq Global Market/New York Stock Exchange].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reported financial results may be adversely affected by changes in accounting principles generally accepted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estimates or judgments relating to our critical accounting policies prove to be incorrect, our results of operations could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 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25"/>
      <w:bookmarkEnd w:id="5"/>
      <w:r>
        <w:rPr>
          <w:rFonts w:ascii="Times New Roman PS Std;serif" w:hAnsi="Times New Roman PS Std;serif"/>
          <w:b/>
          <w:i w:val="false"/>
          <w:caps w:val="false"/>
          <w:smallCaps w:val="false"/>
          <w:sz w:val="20"/>
        </w:rPr>
        <w:t>SPECIAL NOTE REGARDING FORWARD-LOOKING STATEMENTS AND INDUSTRY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goals and strategies;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business development, financial condition and results of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outlook of the digital solutions and e-commerce market in Singapore, Southeast Asia and globally;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expected changes in our revenue, costs or expenditures;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our industry;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proposed use of proceeds;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 policies and regulations relating to our industry;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business conditions in Singapore, Southeast Asia and globally.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certain data and information that we obtained from industry publications and reports generated by third-party providers of market intelligence. We have not independently verified the accuracy or completeness of the data and information contained in these publications and reports. Statistical data in these publications also include projections based on a number of assumptions. Failure of these markets to grow at the projected rate may have a material and adverse effect on our business and the market price of the ADSs. If any one or more of the assumptions underlying the market data are later found to be incorrect, actual results may differ from the projections based on these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not rely upon forward-looking statements as predictions of future events. We undertake no obligation to update or revise any forward-looking statements, whether as a result of new information, future events or otherwise.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24"/>
      <w:bookmarkEnd w:id="6"/>
      <w:r>
        <w:rPr>
          <w:rFonts w:ascii="Times New Roman PS Std;serif" w:hAnsi="Times New Roman PS Std;serif"/>
          <w:b/>
          <w:i w:val="false"/>
          <w:caps w:val="false"/>
          <w:smallCaps w:val="false"/>
          <w:sz w:val="20"/>
        </w:rPr>
        <w:t>USE OF PROCEEDS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aggregate net proceeds to us from this offering of approximately US$            million, after deducting underwriting discounts and estimated expenses payable by us in connection with this offering, and assuming an initial offering price of US$            per ADS, being the midpoint of the estimated range of the initial public offering price shown on the cover page of this prospectus. Assuming the number of ADSs offered by us as set forth on the cover page of this prospectus remains the same, and after deduction of underwriting discounts and estimated expenses payable by us in connection with this offering, a US$1.00 increase (decrease) in the assumed initial public offering price of US$            per ADS would increase (decrease) the net proceeds of this offering by approximately US$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purposes of this offering are to increase our capitalization and financial flexibility, create a public market for our shares, and retain talented employees by providing them with equity incentives and enable access to the public equity markets for us and our shareholders. We plan to use the net proceeds of this offering for the following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35% of the net proceeds for research and development, including development of infrastructure for our Web 3.0 e-commerce platform and further investment in our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25% of the net proceeds for investment in the Singapore market;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40% of the net proceeds for general corporate purposes, which may include potential strategic investments and acquisitions in Southeast Asia and globally, although we have not identified any specific investments or acquisition opportunities at this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represents our current intentions based upon our present plans and business conditions to use and allocate the net proceeds of this offering. Our management, however, will have discretion in the application of net proceeds to us from this offering, and investors will be relying on the judgment of our management regarding the use of these net proceeds. If an unforeseen event occurs or business conditions change, we may use the proceeds of this offering differently than as described in this prospectus. See “Risk Factors — Risks Relating to Our ADSs and This Offering — We have not determined a specific use for a portion of the net proceeds from this offering and we may use these proceeds in ways with which you may not agree.”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made in this prospectus relate only to events or information as of the date on which these statements are made in this prospectus. We undertake no obligation to update or revise any forward-looking statements, whether as a result of new information, future events or otherwise, after the date of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23"/>
      <w:bookmarkEnd w:id="7"/>
      <w:r>
        <w:rPr>
          <w:rFonts w:ascii="Times New Roman PS Std;serif" w:hAnsi="Times New Roman PS Std;serif"/>
          <w:b/>
          <w:i w:val="false"/>
          <w:caps w:val="false"/>
          <w:smallCaps w:val="false"/>
          <w:sz w:val="20"/>
        </w:rPr>
        <w:t>DIVIDEND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never declared or paid cash dividends on our ordinary shares. We do not have any present plan to pay any cash dividends on our ordinary shares in the foreseeable future after this offering. We currently intend to retain most, if not all, of our available funds and any future earnings to operate and grow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22"/>
      <w:bookmarkEnd w:id="8"/>
      <w:r>
        <w:rPr>
          <w:rFonts w:ascii="Times New Roman PS Std;serif" w:hAnsi="Times New Roman PS Std;serif"/>
          <w:b/>
          <w:i w:val="false"/>
          <w:caps w:val="false"/>
          <w:smallCaps w:val="false"/>
          <w:sz w:val="20"/>
        </w:rPr>
        <w:t>CAPITALIZATION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capitalization as of December 31, 2022:</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actual basis;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 pro forma as adjusted basis to reflect the issuance and sale of [            ] Class B ordinary shares in the form of ADSs by us in this offering at an assumed initial public offering price of US$[            ] per ADS, the midpoint of the estimated range of the initial public offering price shown on the front cover this prospectus, after deducting the underwriting discounts and commissions and estimated offering expenses payable by us, assuming the underwriters do not exercise the option to purchase additional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table together with our consolidated financial statements and the related notes included elsewhere in this prospectus and the information under “Management’s Discussion and Analysis of Financial Condition and Results of Operations.”</w:t>
      </w:r>
    </w:p>
    <w:tbl>
      <w:tblPr>
        <w:tblW w:w="10205" w:type="dxa"/>
        <w:jc w:val="left"/>
        <w:tblInd w:w="0" w:type="dxa"/>
        <w:tblLayout w:type="fixed"/>
        <w:tblCellMar>
          <w:top w:w="0" w:type="dxa"/>
          <w:left w:w="0" w:type="dxa"/>
          <w:bottom w:w="0" w:type="dxa"/>
          <w:right w:w="0" w:type="dxa"/>
        </w:tblCellMar>
      </w:tblPr>
      <w:tblGrid>
        <w:gridCol w:w="6727"/>
        <w:gridCol w:w="146"/>
        <w:gridCol w:w="241"/>
        <w:gridCol w:w="1291"/>
        <w:gridCol w:w="196"/>
        <w:gridCol w:w="146"/>
        <w:gridCol w:w="241"/>
        <w:gridCol w:w="991"/>
        <w:gridCol w:w="226"/>
      </w:tblGrid>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(par value $0.00001 per share; 1,000,000,000 Class A ordinary shares authorized, 50,000,000 and 50,000,000 Class A ordinary shares issued and outstanding as of December 31, 2022 and 2021, respectively; 4,000,000,000 Class B ordinary shares authorized, 360,205,000 and 360,205,000 Class B ordinary shares issued and outstanding as of December 31, 2022 and 2021, respectively.)</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receivable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(deficit)/earnings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(1,323,341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35,349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(37,788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21"/>
      <w:bookmarkEnd w:id="9"/>
      <w:r>
        <w:rPr>
          <w:rFonts w:ascii="Times New Roman PS Std;serif" w:hAnsi="Times New Roman PS Std;serif"/>
          <w:b/>
          <w:i w:val="false"/>
          <w:caps w:val="false"/>
          <w:smallCaps w:val="false"/>
          <w:sz w:val="20"/>
        </w:rPr>
        <w:t>DILUTION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net tangible book value as of December 31, 2022 was approximately US$            million, or US$          per ordinary share as of that date and US$            per ADS.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Without taking into account any other changes in net tangible book value after December 31, 2022, other than to give effect to our sale of the ADSs offered in this offering at the assumed initial public offering price of US$            per ADS, which is the midpoint of the estimated initial public offering price range shown on the front cover of this prospectus, after deduction of the underwriting discounts and commissions and estimated offering expenses payable by us, our as adjusted net tangible book value as of                      would have been US$            , or US$            per ordinary share and US$            per ADS. This represents an immediate increase in net tangible book value of US$            per ordinary share and US$            per ADS to the existing shareholders and an immediate dilution in net tangible book value of US$            per ordinary share and US$            per ADS to investors purchasing ADSs in this offering. The following table illustrates such dilution:</w:t>
      </w:r>
    </w:p>
    <w:tbl>
      <w:tblPr>
        <w:tblW w:w="10205" w:type="dxa"/>
        <w:jc w:val="left"/>
        <w:tblInd w:w="0" w:type="dxa"/>
        <w:tblLayout w:type="fixed"/>
        <w:tblCellMar>
          <w:top w:w="0" w:type="dxa"/>
          <w:left w:w="0" w:type="dxa"/>
          <w:bottom w:w="0" w:type="dxa"/>
          <w:right w:w="0" w:type="dxa"/>
        </w:tblCellMar>
      </w:tblPr>
      <w:tblGrid>
        <w:gridCol w:w="7041"/>
        <w:gridCol w:w="146"/>
        <w:gridCol w:w="1940"/>
        <w:gridCol w:w="146"/>
        <w:gridCol w:w="932"/>
      </w:tblGrid>
      <w:tr>
        <w:trPr/>
        <w:tc>
          <w:tcPr>
            <w:tcW w:w="70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4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ordinary share</w:t>
            </w:r>
          </w:p>
        </w:tc>
        <w:tc>
          <w:tcPr>
            <w:tcW w:w="146" w:type="dxa"/>
            <w:tcBorders/>
            <w:vAlign w:val="bottom"/>
          </w:tcPr>
          <w:p>
            <w:pPr>
              <w:pStyle w:val="TableContents"/>
              <w:bidi w:val="0"/>
              <w:spacing w:before="0" w:after="283"/>
              <w:jc w:val="left"/>
              <w:rPr/>
            </w:pPr>
            <w:r>
              <w:rPr/>
              <w:t> </w:t>
            </w:r>
          </w:p>
        </w:tc>
        <w:tc>
          <w:tcPr>
            <w:tcW w:w="93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ADS</w:t>
            </w:r>
          </w:p>
        </w:tc>
      </w:tr>
      <w:tr>
        <w:trPr/>
        <w:tc>
          <w:tcPr>
            <w:tcW w:w="70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Assumed initial public offering price</w:t>
            </w:r>
          </w:p>
        </w:tc>
        <w:tc>
          <w:tcPr>
            <w:tcW w:w="146" w:type="dxa"/>
            <w:tcBorders/>
            <w:shd w:fill="CCEEFF" w:val="clear"/>
            <w:vAlign w:val="bottom"/>
          </w:tcPr>
          <w:p>
            <w:pPr>
              <w:pStyle w:val="TableContents"/>
              <w:bidi w:val="0"/>
              <w:spacing w:before="0" w:after="283"/>
              <w:jc w:val="left"/>
              <w:rPr/>
            </w:pPr>
            <w:r>
              <w:rPr/>
              <w:t> </w:t>
            </w:r>
          </w:p>
        </w:tc>
        <w:tc>
          <w:tcPr>
            <w:tcW w:w="194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70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tangible book value as of December 31, 2022</w:t>
            </w:r>
          </w:p>
        </w:tc>
        <w:tc>
          <w:tcPr>
            <w:tcW w:w="146" w:type="dxa"/>
            <w:tcBorders/>
            <w:vAlign w:val="bottom"/>
          </w:tcPr>
          <w:p>
            <w:pPr>
              <w:pStyle w:val="TableContents"/>
              <w:bidi w:val="0"/>
              <w:spacing w:before="0" w:after="283"/>
              <w:jc w:val="left"/>
              <w:rPr/>
            </w:pPr>
            <w:r>
              <w:rPr/>
              <w:t> </w:t>
            </w:r>
          </w:p>
        </w:tc>
        <w:tc>
          <w:tcPr>
            <w:tcW w:w="194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vAlign w:val="bottom"/>
          </w:tcPr>
          <w:p>
            <w:pPr>
              <w:pStyle w:val="TableContents"/>
              <w:bidi w:val="0"/>
              <w:spacing w:before="0" w:after="283"/>
              <w:jc w:val="left"/>
              <w:rPr/>
            </w:pPr>
            <w:r>
              <w:rPr/>
              <w:t> </w:t>
            </w:r>
          </w:p>
        </w:tc>
        <w:tc>
          <w:tcPr>
            <w:tcW w:w="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70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adjusted net tangible book value after giving effect to this offering</w:t>
            </w:r>
          </w:p>
        </w:tc>
        <w:tc>
          <w:tcPr>
            <w:tcW w:w="146" w:type="dxa"/>
            <w:tcBorders/>
            <w:shd w:fill="CCEEFF" w:val="clear"/>
            <w:vAlign w:val="bottom"/>
          </w:tcPr>
          <w:p>
            <w:pPr>
              <w:pStyle w:val="TableContents"/>
              <w:bidi w:val="0"/>
              <w:spacing w:before="0" w:after="283"/>
              <w:jc w:val="left"/>
              <w:rPr/>
            </w:pPr>
            <w:r>
              <w:rPr/>
              <w:t> </w:t>
            </w:r>
          </w:p>
        </w:tc>
        <w:tc>
          <w:tcPr>
            <w:tcW w:w="194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70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of dilution in net tangible book value to new investors in this offering</w:t>
            </w:r>
          </w:p>
        </w:tc>
        <w:tc>
          <w:tcPr>
            <w:tcW w:w="146" w:type="dxa"/>
            <w:tcBorders/>
            <w:vAlign w:val="bottom"/>
          </w:tcPr>
          <w:p>
            <w:pPr>
              <w:pStyle w:val="TableContents"/>
              <w:bidi w:val="0"/>
              <w:spacing w:before="0" w:after="283"/>
              <w:jc w:val="left"/>
              <w:rPr/>
            </w:pPr>
            <w:r>
              <w:rPr/>
              <w:t> </w:t>
            </w:r>
          </w:p>
        </w:tc>
        <w:tc>
          <w:tcPr>
            <w:tcW w:w="194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vAlign w:val="bottom"/>
          </w:tcPr>
          <w:p>
            <w:pPr>
              <w:pStyle w:val="TableContents"/>
              <w:bidi w:val="0"/>
              <w:spacing w:before="0" w:after="283"/>
              <w:jc w:val="left"/>
              <w:rPr/>
            </w:pPr>
            <w:r>
              <w:rPr/>
              <w:t> </w:t>
            </w:r>
          </w:p>
        </w:tc>
        <w:tc>
          <w:tcPr>
            <w:tcW w:w="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US$1.00 increase (decrease) in the assumed initial public offering price of US$            per ADS would increase (decrease) our as adjusted net tangible book value after giving effect to this offering by US$            , the as adjusted net tangible book value per ordinary share and per ADS after giving effect to this offering by US$            per ordinary share and US$            per ADS, and the dilution in as adjusted net tangible book value per ordinary share and per ADS to new investors in this offering by US$            per ordinary share and US$            per ADS, assuming no change to the number of ADSs offered by us as set forth on the front cover of this prospectus, and after deducting underwriting discounts and commissions and estimated offering expenses payable by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on an as adjusted basis as of December 31, 2022,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tbl>
      <w:tblPr>
        <w:tblW w:w="10020" w:type="dxa"/>
        <w:jc w:val="left"/>
        <w:tblInd w:w="0" w:type="dxa"/>
        <w:tblLayout w:type="fixed"/>
        <w:tblCellMar>
          <w:top w:w="0" w:type="dxa"/>
          <w:left w:w="0" w:type="dxa"/>
          <w:bottom w:w="0" w:type="dxa"/>
          <w:right w:w="0" w:type="dxa"/>
        </w:tblCellMar>
      </w:tblPr>
      <w:tblGrid>
        <w:gridCol w:w="2221"/>
        <w:gridCol w:w="146"/>
        <w:gridCol w:w="1370"/>
        <w:gridCol w:w="214"/>
        <w:gridCol w:w="1325"/>
        <w:gridCol w:w="146"/>
        <w:gridCol w:w="946"/>
        <w:gridCol w:w="150"/>
        <w:gridCol w:w="853"/>
        <w:gridCol w:w="150"/>
        <w:gridCol w:w="146"/>
        <w:gridCol w:w="1081"/>
        <w:gridCol w:w="146"/>
        <w:gridCol w:w="1126"/>
      </w:tblGrid>
      <w:tr>
        <w:trPr/>
        <w:tc>
          <w:tcPr>
            <w:tcW w:w="22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0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Ordinary Shares Purchased</w:t>
            </w:r>
          </w:p>
        </w:tc>
        <w:tc>
          <w:tcPr>
            <w:tcW w:w="146" w:type="dxa"/>
            <w:tcBorders/>
            <w:vAlign w:val="bottom"/>
          </w:tcPr>
          <w:p>
            <w:pPr>
              <w:pStyle w:val="TableContents"/>
              <w:bidi w:val="0"/>
              <w:spacing w:before="0" w:after="283"/>
              <w:jc w:val="left"/>
              <w:rPr/>
            </w:pPr>
            <w:r>
              <w:rPr/>
              <w:t> </w:t>
            </w:r>
          </w:p>
        </w:tc>
        <w:tc>
          <w:tcPr>
            <w:tcW w:w="209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Consideration</w:t>
            </w:r>
          </w:p>
        </w:tc>
        <w:tc>
          <w:tcPr>
            <w:tcW w:w="146" w:type="dxa"/>
            <w:tcBorders/>
            <w:vAlign w:val="bottom"/>
          </w:tcPr>
          <w:p>
            <w:pPr>
              <w:pStyle w:val="TableContents"/>
              <w:bidi w:val="0"/>
              <w:spacing w:before="0" w:after="283"/>
              <w:jc w:val="left"/>
              <w:rPr/>
            </w:pPr>
            <w:r>
              <w:rPr/>
              <w:t> </w:t>
            </w:r>
          </w:p>
        </w:tc>
        <w:tc>
          <w:tcPr>
            <w:tcW w:w="108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Price Per </w:t>
              <w:br/>
              <w:t xml:space="preserve">Ordinary </w:t>
              <w:br/>
              <w:t>Share</w:t>
            </w:r>
          </w:p>
        </w:tc>
        <w:tc>
          <w:tcPr>
            <w:tcW w:w="146" w:type="dxa"/>
            <w:vMerge w:val="restart"/>
            <w:tcBorders/>
            <w:vAlign w:val="bottom"/>
          </w:tcPr>
          <w:p>
            <w:pPr>
              <w:pStyle w:val="TableContents"/>
              <w:bidi w:val="0"/>
              <w:spacing w:before="0" w:after="283"/>
              <w:jc w:val="left"/>
              <w:rPr/>
            </w:pPr>
            <w:r>
              <w:rPr/>
              <w:t> </w:t>
            </w:r>
          </w:p>
        </w:tc>
        <w:tc>
          <w:tcPr>
            <w:tcW w:w="112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Price Per </w:t>
              <w:br/>
              <w:t>ADS</w:t>
            </w:r>
          </w:p>
        </w:tc>
      </w:tr>
      <w:tr>
        <w:trPr/>
        <w:tc>
          <w:tcPr>
            <w:tcW w:w="22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214" w:type="dxa"/>
            <w:tcBorders/>
            <w:vAlign w:val="bottom"/>
          </w:tcPr>
          <w:p>
            <w:pPr>
              <w:pStyle w:val="TableContents"/>
              <w:bidi w:val="0"/>
              <w:spacing w:before="0" w:after="283"/>
              <w:jc w:val="left"/>
              <w:rPr/>
            </w:pPr>
            <w:r>
              <w:rPr/>
              <w:t> </w:t>
            </w:r>
          </w:p>
        </w:tc>
        <w:tc>
          <w:tcPr>
            <w:tcW w:w="13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50" w:type="dxa"/>
            <w:tcBorders/>
            <w:vAlign w:val="bottom"/>
          </w:tcPr>
          <w:p>
            <w:pPr>
              <w:pStyle w:val="TableContents"/>
              <w:bidi w:val="0"/>
              <w:spacing w:before="0" w:after="283"/>
              <w:jc w:val="left"/>
              <w:rPr/>
            </w:pPr>
            <w:r>
              <w:rPr/>
              <w:t> </w:t>
            </w:r>
          </w:p>
        </w:tc>
        <w:tc>
          <w:tcPr>
            <w:tcW w:w="100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08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26" w:type="dxa"/>
            <w:vMerge w:val="continue"/>
            <w:tcBorders/>
            <w:vAlign w:val="bottom"/>
          </w:tcPr>
          <w:p>
            <w:pPr>
              <w:pStyle w:val="Normal"/>
              <w:bidi w:val="0"/>
              <w:jc w:val="left"/>
              <w:rPr/>
            </w:pPr>
            <w:r>
              <w:rPr/>
            </w:r>
          </w:p>
        </w:tc>
      </w:tr>
      <w:tr>
        <w:trPr/>
        <w:tc>
          <w:tcPr>
            <w:tcW w:w="22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shareholders</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50"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w:t>
            </w:r>
          </w:p>
        </w:tc>
        <w:tc>
          <w:tcPr>
            <w:tcW w:w="150"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22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investors</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4" w:type="dxa"/>
            <w:tcBorders/>
            <w:vAlign w:val="bottom"/>
          </w:tcPr>
          <w:p>
            <w:pPr>
              <w:pStyle w:val="TableContents"/>
              <w:bidi w:val="0"/>
              <w:spacing w:before="0" w:after="283"/>
              <w:jc w:val="left"/>
              <w:rPr/>
            </w:pPr>
            <w:r>
              <w:rPr/>
              <w:t> </w:t>
            </w:r>
          </w:p>
        </w:tc>
        <w:tc>
          <w:tcPr>
            <w:tcW w:w="13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50" w:type="dxa"/>
            <w:tcBorders/>
            <w:vAlign w:val="bottom"/>
          </w:tcPr>
          <w:p>
            <w:pPr>
              <w:pStyle w:val="TableContents"/>
              <w:bidi w:val="0"/>
              <w:spacing w:before="0" w:after="283"/>
              <w:jc w:val="left"/>
              <w:rPr/>
            </w:pPr>
            <w:r>
              <w:rPr/>
              <w:t> </w:t>
            </w:r>
          </w:p>
        </w:tc>
        <w:tc>
          <w:tcPr>
            <w:tcW w:w="8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w:t>
            </w:r>
          </w:p>
        </w:tc>
        <w:tc>
          <w:tcPr>
            <w:tcW w:w="1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22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3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4" w:type="dxa"/>
            <w:tcBorders/>
            <w:shd w:fill="CCEEFF" w:val="clear"/>
            <w:vAlign w:val="bottom"/>
          </w:tcPr>
          <w:p>
            <w:pPr>
              <w:pStyle w:val="TableContents"/>
              <w:bidi w:val="0"/>
              <w:spacing w:before="0" w:after="283"/>
              <w:jc w:val="left"/>
              <w:rPr/>
            </w:pPr>
            <w:r>
              <w:rPr/>
              <w:t> </w:t>
            </w:r>
          </w:p>
        </w:tc>
        <w:tc>
          <w:tcPr>
            <w:tcW w:w="132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50" w:type="dxa"/>
            <w:tcBorders/>
            <w:shd w:fill="CCEEFF" w:val="clear"/>
            <w:vAlign w:val="bottom"/>
          </w:tcPr>
          <w:p>
            <w:pPr>
              <w:pStyle w:val="TableContents"/>
              <w:bidi w:val="0"/>
              <w:spacing w:before="0" w:after="283"/>
              <w:jc w:val="left"/>
              <w:rPr/>
            </w:pPr>
            <w:r>
              <w:rPr/>
              <w:t> </w:t>
            </w:r>
          </w:p>
        </w:tc>
        <w:tc>
          <w:tcPr>
            <w:tcW w:w="8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20"/>
      <w:bookmarkEnd w:id="10"/>
      <w:r>
        <w:rPr>
          <w:rFonts w:ascii="Times New Roman PS Std;serif" w:hAnsi="Times New Roman PS Std;serif"/>
          <w:b/>
          <w:i w:val="false"/>
          <w:caps w:val="false"/>
          <w:smallCaps w:val="false"/>
          <w:sz w:val="20"/>
        </w:rPr>
        <w:t>ENFORCEABILITY OF CIVIL LIABILITIES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political and economic stability;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effective judicial system;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favorable tax system;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exchange control or currency restrictions;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professional and support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certain disadvantages accompany incorporation in the Cayman Islands. These disadvantages include but are not limited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Cayman Islands has a less developed body of securities laws as compared to the United States and these securities laws provide significantly less protection to investors as compared to the United States;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Cayman Islands companies may not have standing to sue before the federal courts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memorandum and articles of association do not contain provisions requiring that disputes, including those arising under the securities laws of the United States, between us, our officers, directors and shareholders, be arbitrated.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appointed [            ], located at [            ], as our agent upon whom process may be served in any action brought against us under the securities laws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courts of the Cayman Islands have yet to rule on whether such judgments are penal or punitive in nature, it is uncertain whether such civil liability judgments from U.S. courts would be enforceable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Cayman Islands court may stay enforcement proceedings if concurrent proceedings are being brought elsewhere.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making a determination as to enforceability of a judgment of the courts of the United States, and subject to the Singapore courts having jurisdiction over the judgment debtor, the Singapore courts would have regard to whether the judgment was final and conclusive and on the merits of the case, given by a court of law of competent jurisdiction, and was expressed to be for a fixed sum of money.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general, an </w:t>
      </w:r>
      <w:r>
        <w:rPr>
          <w:rFonts w:ascii="Times New Roman PS Std;serif" w:hAnsi="Times New Roman PS Std;serif"/>
          <w:b w:val="false"/>
          <w:i/>
          <w:caps w:val="false"/>
          <w:smallCaps w:val="false"/>
          <w:sz w:val="20"/>
        </w:rPr>
        <w:t>in personam</w:t>
      </w:r>
      <w:r>
        <w:rPr>
          <w:rFonts w:ascii="Times New Roman PS Std;serif" w:hAnsi="Times New Roman PS Std;serif"/>
          <w:b w:val="false"/>
          <w:i w:val="false"/>
          <w:caps w:val="false"/>
          <w:smallCaps w:val="false"/>
          <w:sz w:val="20"/>
        </w:rPr>
        <w:t xml:space="preserve"> foreign judgment that is final and conclusive (that is, in general, a judgment that makes a final determination of rights between the parties and cannot be re-opened or altered by the court that delivered it, or be overridden by another body not being an appellate or supervisory body, although it may be subject to an appeal),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fundamental public policy, or if the judgment would conflict with earlier judgment(s) from Singapore or earlier foreign judgment(s) recognized in Singapore, or if the judgment would amount to the direct or indirect enforcement of foreign penal, revenue or other public laws (save where any such component of the judgment can be duly severed from the rest of the judgment sought to be enforced).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Civil liability provisions of the federal and state securities law of the United States permit the award of punitive damages against us, our directors and officers. Singapore courts would not recognize or enforce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19"/>
      <w:bookmarkEnd w:id="11"/>
      <w:r>
        <w:rPr>
          <w:rFonts w:ascii="Times New Roman PS Std;serif" w:hAnsi="Times New Roman PS Std;serif"/>
          <w:b/>
          <w:i w:val="false"/>
          <w:caps w:val="false"/>
          <w:smallCaps w:val="false"/>
          <w:sz w:val="20"/>
        </w:rPr>
        <w:t>CORPORATE HISTORY AND STRUCTURE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History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commenced our operations in 2014 through QZT, a company incorporated under the laws of Singapore. Our primary business was to offer services and solutions to operate, optimize and transform business processes. In May 2022, we incorporated Trident Singapore to expand our business in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and July 2023, to facilitate our financing and listing opportunities outside Singapore, we established Trident Digital Tech Holdings Ltd, or Trident Cayman, our holding company incorporated under the laws of the Cayman Islands. Shortly following its incorporation, Trident Cayman acquired 100% interest in QZT and then QZT acquired 100% interest in Trident Singapore as part of our reorganization. Upon the completion of the reorganization, QZT became a wholly-owned subsidiary of Trident Cayman and Trident Singapore became a wholly-owned subsidiary of QZT.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diagram below illustrates our corporate structure as of the date of this prospectus:</w:t>
      </w:r>
    </w:p>
    <w:p>
      <w:pPr>
        <w:pStyle w:val="TextBody"/>
        <w:keepNext w:val="false"/>
        <w:pageBreakBefore w:val="false"/>
        <w:widowControl/>
        <w:pBdr/>
        <w:bidi w:val="0"/>
        <w:spacing w:before="160" w:after="283"/>
        <w:ind w:left="0" w:right="0" w:hanging="0"/>
        <w:jc w:val="center"/>
        <w:rPr>
          <w:caps w:val="false"/>
          <w:smallCaps w:val="false"/>
        </w:rPr>
      </w:pPr>
      <w:r>
        <w:rPr>
          <w:caps w:val="false"/>
          <w:smallCaps w:val="false"/>
        </w:rPr>
        <w:drawing>
          <wp:inline distT="0" distB="0" distL="0" distR="0">
            <wp:extent cx="3371850" cy="20694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71850" cy="206946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18"/>
      <w:bookmarkEnd w:id="12"/>
      <w:r>
        <w:rPr>
          <w:rFonts w:ascii="Times New Roman PS Std;serif" w:hAnsi="Times New Roman PS Std;serif"/>
          <w:b/>
          <w:i w:val="false"/>
          <w:caps w:val="false"/>
          <w:smallCaps w:val="false"/>
          <w:sz w:val="20"/>
        </w:rPr>
        <w:t>SELECTED CONSOLIDATED FINANCIAL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summary consolidated statements of operations data for the periods indicated.</w:t>
      </w:r>
    </w:p>
    <w:tbl>
      <w:tblPr>
        <w:tblW w:w="10205" w:type="dxa"/>
        <w:jc w:val="left"/>
        <w:tblInd w:w="0" w:type="dxa"/>
        <w:tblLayout w:type="fixed"/>
        <w:tblCellMar>
          <w:top w:w="0" w:type="dxa"/>
          <w:left w:w="0" w:type="dxa"/>
          <w:bottom w:w="0" w:type="dxa"/>
          <w:right w:w="0" w:type="dxa"/>
        </w:tblCellMar>
      </w:tblPr>
      <w:tblGrid>
        <w:gridCol w:w="6382"/>
        <w:gridCol w:w="146"/>
        <w:gridCol w:w="241"/>
        <w:gridCol w:w="1306"/>
        <w:gridCol w:w="196"/>
        <w:gridCol w:w="146"/>
        <w:gridCol w:w="241"/>
        <w:gridCol w:w="1306"/>
        <w:gridCol w:w="241"/>
      </w:tblGrid>
      <w:tr>
        <w:trPr/>
        <w:tc>
          <w:tcPr>
            <w:tcW w:w="63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155,475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before income tax expense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29,661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earnings per ordinary share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(0.0028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0.0001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summary consolidated balance sheet data as of the dates indicated.</w:t>
      </w:r>
    </w:p>
    <w:tbl>
      <w:tblPr>
        <w:tblW w:w="7573" w:type="dxa"/>
        <w:jc w:val="left"/>
        <w:tblInd w:w="0" w:type="dxa"/>
        <w:tblLayout w:type="fixed"/>
        <w:tblCellMar>
          <w:top w:w="0" w:type="dxa"/>
          <w:left w:w="0" w:type="dxa"/>
          <w:bottom w:w="0" w:type="dxa"/>
          <w:right w:w="0" w:type="dxa"/>
        </w:tblCellMar>
      </w:tblPr>
      <w:tblGrid>
        <w:gridCol w:w="4276"/>
        <w:gridCol w:w="146"/>
        <w:gridCol w:w="241"/>
        <w:gridCol w:w="1291"/>
        <w:gridCol w:w="196"/>
        <w:gridCol w:w="146"/>
        <w:gridCol w:w="241"/>
        <w:gridCol w:w="1036"/>
      </w:tblGrid>
      <w:tr>
        <w:trPr/>
        <w:tc>
          <w:tcPr>
            <w:tcW w:w="42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5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422,242</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424,656</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471,332</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Total liabilities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selected consolidated statements of cash flow data for the periods indicated.</w:t>
      </w:r>
    </w:p>
    <w:tbl>
      <w:tblPr>
        <w:tblW w:w="8159" w:type="dxa"/>
        <w:jc w:val="left"/>
        <w:tblInd w:w="0" w:type="dxa"/>
        <w:tblLayout w:type="fixed"/>
        <w:tblCellMar>
          <w:top w:w="0" w:type="dxa"/>
          <w:left w:w="0" w:type="dxa"/>
          <w:bottom w:w="0" w:type="dxa"/>
          <w:right w:w="0" w:type="dxa"/>
        </w:tblCellMar>
      </w:tblPr>
      <w:tblGrid>
        <w:gridCol w:w="5056"/>
        <w:gridCol w:w="146"/>
        <w:gridCol w:w="226"/>
        <w:gridCol w:w="1066"/>
        <w:gridCol w:w="181"/>
        <w:gridCol w:w="146"/>
        <w:gridCol w:w="226"/>
        <w:gridCol w:w="886"/>
        <w:gridCol w:w="226"/>
      </w:tblGrid>
      <w:tr>
        <w:trPr/>
        <w:tc>
          <w:tcPr>
            <w:tcW w:w="5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5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5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year</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17"/>
      <w:bookmarkEnd w:id="13"/>
      <w:r>
        <w:rPr>
          <w:rFonts w:ascii="Times New Roman PS Std;serif" w:hAnsi="Times New Roman PS Std;serif"/>
          <w:b/>
          <w:i w:val="false"/>
          <w:caps w:val="false"/>
          <w:smallCaps w:val="false"/>
          <w:sz w:val="20"/>
        </w:rPr>
        <w:t xml:space="preserve">MANAGEMENT’S DISCUSSION AND ANALYSIS OF FINANCIAL CONDITION AND </w:t>
        <w:br/>
        <w:t>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 should read the following discussion of our financial condition and results of operations in conjunction with the consolidated financial statements and the notes to those statements included elsewhere in this prospectus. The discussion in this prospectus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such as statements of our plans, objectives, expectations and intentions. The cautionary statements made in this prospectus should be read as applying to all related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wherever they appear in this prospectus. Our actual results could differ materially from those discussed here. Factors that could cause or contribute to these differences include those discussed in “Risk Factors,” as well as those discussed elsewhere. See “Risk Factors” and “Special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leading digital transformation enabler in Singapore.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Business consulting:    </w:t>
      </w: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IT customization:    </w:t>
      </w:r>
      <w:r>
        <w:rPr>
          <w:rFonts w:ascii="Times New Roman PS Std;serif" w:hAnsi="Times New Roman PS Std;serif"/>
          <w:b w:val="false"/>
          <w:i w:val="false"/>
          <w:caps w:val="false"/>
          <w:smallCaps w:val="false"/>
          <w:sz w:val="2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customized offerings that address the specific needs of clients in our strategic vertical markets. As of June 30,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technology continues to impact our world through its transformative capability and pervasive impact. Leveraging our successful track record of applying our proprietary technologies to respond to changing business needs and evolving client demands, we plan to launch a Web 3.0 e-commerce platform whereby customers and merchants can transact in a transparent and secure way, or Tridentity, in the third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Factors Affecting Our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growth and future success of our business depends on many factors. While these factors present significant opportunities for our business, they also pose important challenges we must successfully address in order to sustain our growth.</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Expanding our solutions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launch Tridentity in the third quarter of 2023. We may expend significant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Acquiring new clients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Expanding into new verticals and new markets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Continued investment in innovation and growth</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and abroad and deepen our penetration with existing clients. We are in the process of increasing our general and administrative spending to support our growing operations and prepare for operating as a public company. With our revenue growth objectives, we expect to continue to make such investments for the foreseeable future.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Components of Our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derive revenues principally from providing business consulting services and IT customization services.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Business consulting.    </w:t>
      </w:r>
      <w:r>
        <w:rPr>
          <w:rFonts w:ascii="Times New Roman PS Std;serif" w:hAnsi="Times New Roman PS Std;serif"/>
          <w:b w:val="false"/>
          <w:i w:val="false"/>
          <w:caps w:val="false"/>
          <w:smallCaps w:val="false"/>
          <w:sz w:val="20"/>
        </w:rPr>
        <w:t>We provide a wide range of business consulting services to customers of various industries, from business strategy advisory, design of business workflows and processes, brand and reputation, to digital marketing in achieving organization objectives such as enhancing cost efficiency, productivity and customer experience.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IT customization.    </w:t>
      </w:r>
      <w:r>
        <w:rPr>
          <w:rFonts w:ascii="Times New Roman PS Std;serif" w:hAnsi="Times New Roman PS Std;serif"/>
          <w:b w:val="false"/>
          <w:i w:val="false"/>
          <w:caps w:val="false"/>
          <w:smallCaps w:val="false"/>
          <w:sz w:val="20"/>
        </w:rPr>
        <w:t>We offer IT customization services, including tailor-made IT solutions or packaged software solutions to meet clients’ objectives. Our services cover end-to-end solutions, including IT consultancy, design of the system architecture, planning and design of the solution, implementation, quality assurance, as well as maintenance support services.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 represents costs and expenses incurred in order to generate revenue. Our cost of revenues primarily consists of (i) fees paid to service suppliers, such as outsourcing service cost, (ii) direct labor costs, (iii) commission costs, which is incremental costs to obtain new sales contract, and (iv) miscellaneous costs.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include general and administrative expenses, selling expenses and research and development expenses. General and administrative expenses mainly consist of (i) salary and social welfare expenses to the management team, (ii) rental cost for offices, and (iii) depreciation expenses. Our selling expenses mainly consist of (i) salary and social welfare expenses to the marketing team, and (ii) advertising costs and market promotion expenses. Our research and development expenses mainly consist of system development expenses for Tridentity, our Web 3.0 e-commerce platform.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mainly consists of (i) tax subsidies and deductions, (ii) non-refundable service fee received from terminated consulting projects, (iii) sales commission received, and (iv) interest expenses.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consolidated statements of income for the years ended December 31, 2022 and 2021, respectively.</w:t>
      </w:r>
    </w:p>
    <w:tbl>
      <w:tblPr>
        <w:tblW w:w="10205" w:type="dxa"/>
        <w:jc w:val="left"/>
        <w:tblInd w:w="0" w:type="dxa"/>
        <w:tblLayout w:type="fixed"/>
        <w:tblCellMar>
          <w:top w:w="0" w:type="dxa"/>
          <w:left w:w="0" w:type="dxa"/>
          <w:bottom w:w="0" w:type="dxa"/>
          <w:right w:w="0" w:type="dxa"/>
        </w:tblCellMar>
      </w:tblPr>
      <w:tblGrid>
        <w:gridCol w:w="3280"/>
        <w:gridCol w:w="146"/>
        <w:gridCol w:w="226"/>
        <w:gridCol w:w="1291"/>
        <w:gridCol w:w="196"/>
        <w:gridCol w:w="146"/>
        <w:gridCol w:w="226"/>
        <w:gridCol w:w="1081"/>
        <w:gridCol w:w="196"/>
        <w:gridCol w:w="146"/>
        <w:gridCol w:w="226"/>
        <w:gridCol w:w="1291"/>
        <w:gridCol w:w="196"/>
        <w:gridCol w:w="146"/>
        <w:gridCol w:w="1066"/>
        <w:gridCol w:w="346"/>
      </w:tblGrid>
      <w:tr>
        <w:trPr/>
        <w:tc>
          <w:tcPr>
            <w:tcW w:w="328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6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171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 </w:t>
              <w:br/>
              <w:t>amount</w:t>
            </w:r>
          </w:p>
        </w:tc>
        <w:tc>
          <w:tcPr>
            <w:tcW w:w="146" w:type="dxa"/>
            <w:vMerge w:val="restart"/>
            <w:tcBorders/>
            <w:vAlign w:val="bottom"/>
          </w:tcPr>
          <w:p>
            <w:pPr>
              <w:pStyle w:val="TableContents"/>
              <w:bidi w:val="0"/>
              <w:spacing w:before="0" w:after="283"/>
              <w:jc w:val="left"/>
              <w:rPr/>
            </w:pPr>
            <w:r>
              <w:rPr/>
              <w:t> </w:t>
            </w:r>
          </w:p>
        </w:tc>
        <w:tc>
          <w:tcPr>
            <w:tcW w:w="1412"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of change</w:t>
            </w:r>
          </w:p>
        </w:tc>
      </w:tr>
      <w:tr>
        <w:trPr/>
        <w:tc>
          <w:tcPr>
            <w:tcW w:w="32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50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71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12" w:type="dxa"/>
            <w:gridSpan w:val="2"/>
            <w:vMerge w:val="continue"/>
            <w:tcBorders/>
            <w:vAlign w:val="bottom"/>
          </w:tcPr>
          <w:p>
            <w:pPr>
              <w:pStyle w:val="Normal"/>
              <w:bidi w:val="0"/>
              <w:jc w:val="left"/>
              <w:rPr/>
            </w:pPr>
            <w:r>
              <w:rPr/>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605,807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92.20</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(544,044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119.14</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61,763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30.81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(117,811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95.37</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(815,397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467.61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3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(1,220,786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409.78</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(1,256,486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(97,463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(1,159,023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1189.19</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131,790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155,475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(23,685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(Loss)/profit before income tax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(1,182,708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-2038.73</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23,252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(loss)/profit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(1,159,456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-3869.11</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breakdown of revenues by revenue streams for the years ended December 31, 2022 and 2021 is summarized below:</w:t>
      </w:r>
    </w:p>
    <w:tbl>
      <w:tblPr>
        <w:tblW w:w="7280" w:type="dxa"/>
        <w:jc w:val="left"/>
        <w:tblInd w:w="0" w:type="dxa"/>
        <w:tblLayout w:type="fixed"/>
        <w:tblCellMar>
          <w:top w:w="0" w:type="dxa"/>
          <w:left w:w="0" w:type="dxa"/>
          <w:bottom w:w="0" w:type="dxa"/>
          <w:right w:w="0" w:type="dxa"/>
        </w:tblCellMar>
      </w:tblPr>
      <w:tblGrid>
        <w:gridCol w:w="2311"/>
        <w:gridCol w:w="146"/>
        <w:gridCol w:w="1201"/>
        <w:gridCol w:w="146"/>
        <w:gridCol w:w="991"/>
        <w:gridCol w:w="146"/>
        <w:gridCol w:w="991"/>
        <w:gridCol w:w="146"/>
        <w:gridCol w:w="856"/>
        <w:gridCol w:w="346"/>
      </w:tblGrid>
      <w:tr>
        <w:trPr/>
        <w:tc>
          <w:tcPr>
            <w:tcW w:w="23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233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Variances</w:t>
            </w:r>
          </w:p>
        </w:tc>
      </w:tr>
      <w:tr>
        <w:trPr/>
        <w:tc>
          <w:tcPr>
            <w:tcW w:w="23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bidi w:val="0"/>
              <w:spacing w:before="0" w:after="283"/>
              <w:jc w:val="left"/>
              <w:rPr/>
            </w:pPr>
            <w:r>
              <w:rPr/>
              <w:t> </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consulting</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629,434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260,455</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368,979</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141.67</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IT customizatio</w:t>
            </w:r>
            <w:r>
              <w:rPr>
                <w:rFonts w:ascii="Times New Roman PS Std;serif" w:hAnsi="Times New Roman PS Std;serif"/>
                <w:b w:val="false"/>
                <w:i w:val="false"/>
                <w:caps w:val="false"/>
                <w:smallCaps w:val="false"/>
                <w:sz w:val="20"/>
              </w:rPr>
              <w:t>n</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633,465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396,637</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236,828</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59.71</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consulting</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522,013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396,637</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125,376</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software</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111,452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111,452</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3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1,262,899</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657,092</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605,807</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92.20</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revenues significantly increased from US$657,092 in 2021 to US$1,262,899 in 2022, representing a year-on-year increase of 92.20%. The increase was primarily due to our success in helping our clients to optimize and grow their business, resulting in positive feedback and our brand and services developing and expanding in the market and industry, which has brought us more clients and projects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Business consulting.    </w:t>
      </w:r>
      <w:r>
        <w:rPr>
          <w:rFonts w:ascii="Times New Roman PS Std;serif" w:hAnsi="Times New Roman PS Std;serif"/>
          <w:b w:val="false"/>
          <w:i w:val="false"/>
          <w:caps w:val="false"/>
          <w:smallCaps w:val="false"/>
          <w:sz w:val="20"/>
        </w:rPr>
        <w:t>Net revenues from business consulting services increased from US$260,455 in 2021 to US$629,434 in 2022, primarily attributed to we offered more comprehensive brand consulting services to assist our customers in building international brands in 2022, those contract prices are higher compared to the essential branding services for the local market in 2021.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IT customization.    </w:t>
      </w:r>
      <w:r>
        <w:rPr>
          <w:rFonts w:ascii="Times New Roman PS Std;serif" w:hAnsi="Times New Roman PS Std;serif"/>
          <w:b w:val="false"/>
          <w:i w:val="false"/>
          <w:caps w:val="false"/>
          <w:smallCaps w:val="false"/>
          <w:sz w:val="20"/>
        </w:rPr>
        <w:t>Net revenues from IT customization increased from US$396,637 in 2021 to US$633,465 in 2022, primarily due to (i) more IT customization projects were completed, delivered and accepted by customers in 2022 and (ii) our newly engaged business line in providing management software solutions and the revenue was recognized in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breakdown of cost of revenues for the years ended December 31, 2022 and 2021 is summarized below:</w:t>
      </w:r>
    </w:p>
    <w:tbl>
      <w:tblPr>
        <w:tblW w:w="7565" w:type="dxa"/>
        <w:jc w:val="left"/>
        <w:tblInd w:w="0" w:type="dxa"/>
        <w:tblLayout w:type="fixed"/>
        <w:tblCellMar>
          <w:top w:w="0" w:type="dxa"/>
          <w:left w:w="0" w:type="dxa"/>
          <w:bottom w:w="0" w:type="dxa"/>
          <w:right w:w="0" w:type="dxa"/>
        </w:tblCellMar>
      </w:tblPr>
      <w:tblGrid>
        <w:gridCol w:w="2596"/>
        <w:gridCol w:w="146"/>
        <w:gridCol w:w="1201"/>
        <w:gridCol w:w="146"/>
        <w:gridCol w:w="991"/>
        <w:gridCol w:w="146"/>
        <w:gridCol w:w="991"/>
        <w:gridCol w:w="146"/>
        <w:gridCol w:w="856"/>
        <w:gridCol w:w="346"/>
      </w:tblGrid>
      <w:tr>
        <w:trPr/>
        <w:tc>
          <w:tcPr>
            <w:tcW w:w="25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233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Variances</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bidi w:val="0"/>
              <w:spacing w:before="0" w:after="283"/>
              <w:jc w:val="left"/>
              <w:rPr/>
            </w:pPr>
            <w:r>
              <w:rPr/>
              <w:t> </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fees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710,793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232,290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478,503</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205.99</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labor costs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239,296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199,749</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39,547</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19.80</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Commission cost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10,082</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4,389</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77.09</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 cost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40,518</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21,605</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114.23</w:t>
            </w:r>
          </w:p>
        </w:tc>
        <w:tc>
          <w:tcPr>
            <w:tcW w:w="3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1,000,689</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456,645</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544,044</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119.14</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cost of revenues increased from US$456,645 in 2021 to US$1,000,689 in 2022, representing a year-on-year increase of 119.14%.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Service fees.    </w:t>
      </w:r>
      <w:r>
        <w:rPr>
          <w:rFonts w:ascii="Times New Roman PS Std;serif" w:hAnsi="Times New Roman PS Std;serif"/>
          <w:b w:val="false"/>
          <w:i w:val="false"/>
          <w:caps w:val="false"/>
          <w:smallCaps w:val="false"/>
          <w:sz w:val="20"/>
        </w:rPr>
        <w:t>Service fees increased from US$232,290 in 2021 to US$710,793 in 2022, primarily due to the increase of service fees paid to suppliers or outsourcers, as a result of the fulfillment of increased project demands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Direct labor costs.    </w:t>
      </w:r>
      <w:r>
        <w:rPr>
          <w:rFonts w:ascii="Times New Roman PS Std;serif" w:hAnsi="Times New Roman PS Std;serif"/>
          <w:b w:val="false"/>
          <w:i w:val="false"/>
          <w:caps w:val="false"/>
          <w:smallCaps w:val="false"/>
          <w:sz w:val="20"/>
        </w:rPr>
        <w:t>Direct labor costs increased from US$199,749 in 2021 to US$239,296 in 2022, primarily related to increases in base salaries and bonuses to our staff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Commission costs.    </w:t>
      </w:r>
      <w:r>
        <w:rPr>
          <w:rFonts w:ascii="Times New Roman PS Std;serif" w:hAnsi="Times New Roman PS Std;serif"/>
          <w:b w:val="false"/>
          <w:i w:val="false"/>
          <w:caps w:val="false"/>
          <w:smallCaps w:val="false"/>
          <w:sz w:val="20"/>
        </w:rPr>
        <w:t>Commission costs increased from US$5,693 in 2021 to US$10,082 in 2022, primarily attributed to the incremental commission costs needed to obtain new sales contracts related to our newly engaged business line in providing management software solutions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Miscellaneous costs.    </w:t>
      </w:r>
      <w:r>
        <w:rPr>
          <w:rFonts w:ascii="Times New Roman PS Std;serif" w:hAnsi="Times New Roman PS Std;serif"/>
          <w:b w:val="false"/>
          <w:i w:val="false"/>
          <w:caps w:val="false"/>
          <w:smallCaps w:val="false"/>
          <w:sz w:val="20"/>
        </w:rPr>
        <w:t>Miscellaneous cost increased from US$18,913 in 2021 to US$40,518 in 2022, primarily due to the increase of our outsourcing contractor fee for general project’s support, which is in line with the increase of our revenues in 2022.</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increased from US$297,910 in 2021 to US$1,518,696 in 2022, representing a year-on-year increase of 409.78%.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Selling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selling and marketing expenses increased from US$123,533 in 2021 to US$241,344 in 2022, primarily as a result of the business development persons hired in the new subsidiary in 2022 for the exploration of business opportunities and preparation to initiate our Web 3.0 e-commerce platform.</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general and administrative expenses increased from US$174,377 in 2021 to US$989,774 in 2022. The increase was primarily due to (i) the increase in staff costs from US$87,472 in 2021 to US$501,943 in 2022 as a result of an increase in the number of employees hired to meet our business needs, especially for our newly established subsidiary, (ii) the increase in professional service fees from US$6,139 in 2021 to US$134,523 in 2022 related to the initiation of the Web 3.0 e-commerce platform, and (iii) the increase of other overhead expenses, as a result of our expansion of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research and development expenses increased from nil in 2021 to US$287,578 in 2022, primarily as a result of the system development expenses for the Web 3.0 e-commerce platform in 2022.</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mainly consists of (i) tax subsidies and deductions, (ii) non-refundable service fees received from terminated consulting projects, (iii) sales commission received, and (iv) interest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other income decreased from US$155,475 in 2021 to US$131,790 in 2022, primarily due to the decrease of sales commissions received for client referrals.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(loss)/income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we incurred a net loss of US$1,129,489 in 2022, and recorded net income of US$29,967 in 2021. The net loss in 2022 was primarily due to our early-stage input on initiating Web 3.0 e-commerce platform, which led to a significant increase of our operating expenses in 2022.</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subsidiaries incorporated in Singapore are subject to the Singapore Corporate Tax of 17%.</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primary sources of liquidity have been cash flows from our operating activities, capital contributions from shareholders and loans from banks. As of December 31, 2022, we had cash of US$945,265 and a total working capital deficit of US$1,236,728. We received financing in the amount of US$7,000,000 from our shareholders in January and June 2023, which allows us to meet the temporary capital turnover demand.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current cash and expected cash provided by this offering will be sufficient to meet our current and anticipated working capital requirements and capital expenditures for at least the next 12 months.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flows for the periods indicated:</w:t>
      </w:r>
    </w:p>
    <w:tbl>
      <w:tblPr>
        <w:tblW w:w="8294" w:type="dxa"/>
        <w:jc w:val="left"/>
        <w:tblInd w:w="0" w:type="dxa"/>
        <w:tblLayout w:type="fixed"/>
        <w:tblCellMar>
          <w:top w:w="0" w:type="dxa"/>
          <w:left w:w="0" w:type="dxa"/>
          <w:bottom w:w="0" w:type="dxa"/>
          <w:right w:w="0" w:type="dxa"/>
        </w:tblCellMar>
      </w:tblPr>
      <w:tblGrid>
        <w:gridCol w:w="5056"/>
        <w:gridCol w:w="146"/>
        <w:gridCol w:w="241"/>
        <w:gridCol w:w="1066"/>
        <w:gridCol w:w="181"/>
        <w:gridCol w:w="146"/>
        <w:gridCol w:w="241"/>
        <w:gridCol w:w="991"/>
        <w:gridCol w:w="226"/>
      </w:tblGrid>
      <w:tr>
        <w:trPr/>
        <w:tc>
          <w:tcPr>
            <w:tcW w:w="5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9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5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671,672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255,956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beginning of period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end of period</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945,265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273,593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in 2022 was US$609,946, primarily attributable to (i) our net loss of US$1,129,489, as adjusted by the reconciliation of net loss to net cash used in operating activities, which primarily comprised depreciation of right-of-use assets of US$101,099 and depreciation and amortization of US$16,867, and (ii) changes in operating assets and liabilities, which was primarily the result of (a) an increase in prepaid expenses and other current assets of US$111,981, (b) an increase in contract cost assets of US$268,509, and (c) a decrease in operating lease liabilities of US$127,196, partially offset by (a) an increase in deferred revenue of US$461,128; (b) an increase in accrued expenses and other current liabilities of US$249,052; and (c) an increase in accounts payable of US$166,358.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in 2021 was US$244,100, primarily attributable to (i) our net income of US$29,967, as adjusted by the reconciliation of net income to net cash provided by operating activities, which primarily comprised depreciation of right-of-use asset of US$5,996 and depreciation and amortization of US$5,363, and (ii) changes in operating assets and liabilities, which was primarily the result of (a) an increase in deferred revenue of US$192,935; (b) an increase in accrued expenses and other current liabilities of US$54,678, and (c) an increase in accounts payable of US$51,491, partially offset by (a) an increase in accounts receivable, net of US$118,779.</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in 2022 was US$73,885, which was primarily attributable to purchase of property and equipment in the amount of US$73,885 for our newly established subsidiary.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in 2021 was US$53,313, which was primarily attributable to purchase of property and equipment in the amount of US$53,313 for business expansion.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in 2022 was US$1,378,257, which primarily comprised (i) loans from related parties of US$748,533, (ii) proceeds from long-term bank loans of US$652,789, and (iii) subscription fees advance from a shareholder of US$ 524,560, partially offset by (i) repayment of loans from related parties of US$239,357, and (iii) dividend distribution of US$229,201.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in 2021 was US$66,030, which primarily comprised (i) proceeds from long-term bank loans of US$48,370 and (ii) loans from related parties of US$44,650, partially offset by repayment of loans from related parties of US$22,325 and (ii) repayment of long-term bank loans of US$4,665.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Expenditures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capital expenditures are primarily incurred for purposes of purchasing office and electric equipment and investments in office renovation. Our capital expenditures were US$73,885 and US$53,313 in 2022 and 2021, respectively. We intend to fund our future capital expenditures with our existing cash balance and proceeds from this offering. We will continue to make well-planned capital expenditures to meet the expected growth of our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Contractual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future minimum lease payments under the non-cancellable operating lease with respect to the office and the warehouse as of December 31, 2022 are payable as follows:</w:t>
      </w:r>
    </w:p>
    <w:tbl>
      <w:tblPr>
        <w:tblW w:w="2892" w:type="dxa"/>
        <w:jc w:val="left"/>
        <w:tblInd w:w="0" w:type="dxa"/>
        <w:tblLayout w:type="fixed"/>
        <w:tblCellMar>
          <w:top w:w="0" w:type="dxa"/>
          <w:left w:w="0" w:type="dxa"/>
          <w:bottom w:w="0" w:type="dxa"/>
          <w:right w:w="0" w:type="dxa"/>
        </w:tblCellMar>
      </w:tblPr>
      <w:tblGrid>
        <w:gridCol w:w="616"/>
        <w:gridCol w:w="146"/>
        <w:gridCol w:w="359"/>
        <w:gridCol w:w="1771"/>
      </w:tblGrid>
      <w:tr>
        <w:trPr/>
        <w:tc>
          <w:tcPr>
            <w:tcW w:w="6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Lease Commitment</w:t>
            </w:r>
          </w:p>
        </w:tc>
      </w:tr>
      <w:tr>
        <w:trPr/>
        <w:tc>
          <w:tcPr>
            <w:tcW w:w="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345,255</w:t>
            </w:r>
          </w:p>
        </w:tc>
      </w:tr>
      <w:tr>
        <w:trPr/>
        <w:tc>
          <w:tcPr>
            <w:tcW w:w="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227,798</w:t>
            </w:r>
          </w:p>
        </w:tc>
      </w:tr>
      <w:tr>
        <w:trPr/>
        <w:tc>
          <w:tcPr>
            <w:tcW w:w="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5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1,649,507</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nature of our business does not appear to be affected by seasonal variations.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Management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own historical data and other assumptions that we believe are reasonable after taking account of our circumstances and expectations for the future based on available information. We evaluate these estimates and assumptions on an ongoing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prospectus. When reviewing our financial statements, you should consider.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our selection of critical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judgments and other uncertainties affecting the application of such policies;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sensitivity of reported results to changes in conditions and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critical accounting policies and practices include the following: (i) accounts receivable, net; (ii) 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allowance for doubtful accounts for accounts receivable and (ii) valuation allowance of deferred tax assets.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Allowance for doubtful accounts for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is stated at the original amount less an allowance for doubtful receivable. Accounts receivable is recognized in the period when we have delivered goods or rendered services to our customers and when the right to consideration is unconditional. The amounts due are stated at their net estimated realizable value. We review the accounts receivable on a periodic basis and makes general and specific allowances when there is doubt as to the collectability of individual balances. We consider factors in assessing the collectability of our receivables, such as historical bad debts, changes in customers’ payment patterns, credit-worthiness and financial condition of the customers, current economic trends and other specific circumstances related to the accounts. An allowance for doubtful accounts is recorded in the period in which a loss is determined to be probable. Accounts receivable balances are written off after all collection efforts have been exhausted. There was no provision of allowance for doubtful accounts as of December 31, 2022 and December 31, 2021.</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Valuation of deferred tax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December 31, 2022 and 2021. Thus, management decided to record all of the valuation allowance. Valuation allowance amounted to US$238,081 and US$30,974 as of December 31, 2022 and 2021,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2016, the FASB issued ASU No. 2016-13, “Financial Instruments — Credit Losses (Topic 326)”, which will require the measurement of all expected credit losses for financial assets held at the reporting date based on historical experience, current conditions, and reasonable and supportable forecasts. Subsequently, the FASB issued ASU No. 2018-19, Codification Improvements to Topic 326, to clarify that receivables arising from operating leases are within the scope of lease accounting standards. Further, the FASB issued ASU No. 2020-04, ASU 2020-05, ASU 2020-10, ASU 2020-11 and ASU 2021-02 to provide additional guidance on the credit losses standard. For all other entities, the amendments for ASU 2016-13 are effective for fiscal years beginning after December 15, 2022, including interim periods within those fiscal years, with early adoption permitted. Adoption of the ASUs is on a modified retrospective basis. We adopted ASU 2016-13 from January 1, 2023. We are in the process of evaluating the effect of the adoption of this ASU.</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accounting standards that have been issued by FASB that do not require adoption until a future date are not expected to have a material impact on the consolidated financial statements upon adoption. We do not discuss recent standards that are not anticipated to have an impact on or are unrelated to our consolidated balance sheets, statements of income and comprehensive income and statements of cash flows.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Inflation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interest rate risk while it has bank loans. Although interest rates for our loans are about fixed for the terms of the loans, and interest rates are subject to change upon renewal.</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Foreign currency translation and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16"/>
      <w:bookmarkEnd w:id="14"/>
      <w:r>
        <w:rPr>
          <w:rFonts w:ascii="Times New Roman PS Std;serif" w:hAnsi="Times New Roman PS Std;serif"/>
          <w:b/>
          <w:i w:val="false"/>
          <w:caps w:val="false"/>
          <w:smallCaps w:val="false"/>
          <w:sz w:val="20"/>
        </w:rPr>
        <w:t>INDUSTRY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of Digital Solutions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solutions involve the design, supply, integration, operation and maintenance of technology-related tools for the deployment of digital activities. According to the Frost &amp; Sullivan Report, in Singapore, digital solutions have different service coverages, namely (i) e-commerce enablement and digital optimizing; (ii) branding, design and marketing consulting services; (iii) application development and user experience and user interface interfacing; and (iv) IT consulting solution.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Companies engaging in the e-commerce enablement and digital optimizing offer e-commerce platforms, integrated channels, content and order management systems, payment processing, fulfillment integration, digital marketing solutions and services to help businesses build and optimize their digital commerce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Branding, design and marketing consulting services encompass the provision of design, analysis, strategic planning, implementation and marketing services for companies to build, develop and optimize a brand proposition, reputation and positioning in order to promote and sell their services or products.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applications are interactive programs that run on a web server, while mobile applications are software programs that are designed to run on specific hardware, such as tablets and smartphones. Web and mobile application development is the process of creating, revamping and developing user experience and user interfacing design on designated platform, as well as conducting user acceptance testing which serve as convenient ways to for merchants and users to conduct transactions and access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consulting solutions are solutions that revamp and integrate different information technology systems and operational systems within an organization to work more efficiently. This integration can be achieved through various methods such as data sharing, system linking, and process automation. It involves designing, developing, and implementing custom software solutions that can integrate with existing systems or platforms. IT and operational systems solutions help businesses digitize, automate and streamline their core operations and business processes.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Drivers of Digital Solutions in Singapore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Demand for operational efficiency.    </w:t>
      </w:r>
      <w:r>
        <w:rPr>
          <w:rFonts w:ascii="Times New Roman PS Std;serif" w:hAnsi="Times New Roman PS Std;serif"/>
          <w:b w:val="false"/>
          <w:i w:val="false"/>
          <w:caps w:val="false"/>
          <w:smallCaps w:val="false"/>
          <w:sz w:val="20"/>
        </w:rPr>
        <w:t>Particularly for market entrants of e-commerce platforms of traditional brick-and-mortar stores, managing e-commerce operations involves coordinating many complex processes, involving the maintenance of online store, handling orders and payments, managing inventory across channels, shipping and fulfillment, providing customer service, as well as customer and operational data analysis etc. Performing all these functions efficiently and at scale requires sophisticated tools and systems to streamline workflows, minimize costs, and maximize productivity. E-commerce enablement and digital optimizing solution providers aim to remedy that by supplying companies with platforms to unify systems, simplify workflows and focus on strategic growth rather than troubleshooting inefficiencies or technical issues. By handling the complex infrastructure, integrations and optimization needs of digital business, solution providers allow companies to redirect resources toward engaging customers and expanding market opportunities.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Robust demand for omnichannel customer experience.    </w:t>
      </w:r>
      <w:r>
        <w:rPr>
          <w:rFonts w:ascii="Times New Roman PS Std;serif" w:hAnsi="Times New Roman PS Std;serif"/>
          <w:b w:val="false"/>
          <w:i w:val="false"/>
          <w:caps w:val="false"/>
          <w:smallCaps w:val="false"/>
          <w:sz w:val="20"/>
        </w:rPr>
        <w:t xml:space="preserve">With thriving numbers of Internet users in Southeast Asia, increasing from 355.5 million in 2017 to 516.5 million in 2022, representing a CAGR of approximately 7.8%, coupled with the burgeoning market size of e-commerce in Southeast Asia, surging from US$14.0 billion to US$113.6 billion during 2017 to 2022, representing a CAGR of approximately 52.0%, the demand for omnichannel customer experience is developing profoundly. Modern customers expect a seamless shopping experience across all channels — online, mobile, social and in-store.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view to meeting these omnichannel expectations, the retail industry in Southeast Asia has been evolving towards an omnichannel model, with numerous physical stores including e-commerce and mobile commerce into their businesses. E-commerce enablement and digital optimizing providers aim to enable omnichannel commerce with features such as native mobile web experiences, integration with major e-marketplaces such as Shopee and Lazada, integration with digital tools, payment gateways to support online and offline payments, and integrations with existing order and warehouse management systems for a unified order fulfillment workflow. As omnichannel strategy is key to customer retention and growth nowadays, the demand for e-commerce enablement and digital optimizing is heavily underpinned.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Government effort in promoting digital economy and society.    </w:t>
      </w:r>
      <w:r>
        <w:rPr>
          <w:rFonts w:ascii="Times New Roman PS Std;serif" w:hAnsi="Times New Roman PS Std;serif"/>
          <w:b w:val="false"/>
          <w:i w:val="false"/>
          <w:caps w:val="false"/>
          <w:smallCaps w:val="false"/>
          <w:sz w:val="20"/>
        </w:rPr>
        <w:t>Singapore government has promulgated the “Smart Nation initiative” to accelerate the process of integrating technology into the economy and aim to make Singapore a fully technology-driven country. For instance, most transactions and interactions between citizens and the government today can be done online, and integrated apps that reduce the time taken to fulfil inter-agency requests have been growing in number. With effort such as the implementation of fifth-generation mobile network (5G) starting from 2020, entailing greater speed and higher reliability of data transmission, lower latency and greater number of connected devices, information transmission and transparency has been continuously elevated. With the government support, the demand to delegate third party digital solutions providers would be continuously propelled.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Significant impetus from SMEs.    </w:t>
      </w:r>
      <w:r>
        <w:rPr>
          <w:rFonts w:ascii="Times New Roman PS Std;serif" w:hAnsi="Times New Roman PS Std;serif"/>
          <w:b w:val="false"/>
          <w:i w:val="false"/>
          <w:caps w:val="false"/>
          <w:smallCaps w:val="false"/>
          <w:sz w:val="20"/>
        </w:rPr>
        <w:t>Government support for SME digitalization and skills upgrading is fueling demand for digital solutions. In Singapore, there were more than 200,000 SMEs in 2022 and they make up 99% of enterprises, contributing nearly half of the national GDP. Accordingly, enabling SME’s digital transformation is key to sustainable economic growth. Government agencies such as IMDA, Enterprise Singapore and e-commerce marketplaces provide strong funding and incentives for SMEs to build e-commerce channels, digitize operations and upgrade IT skills. For instance, the IMDA’s SMEs Go Digital program offers advice and grants to help SMEs adopt technology in areas like e-commerce, digital marketing and business process re-engineering. Digital solutions providers will benefit from the SME segment’s demand at scale and government backing for the technology investment required to serve SME segment needs.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Rise of Web 3.0 propelling e-commerce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enablement</w:t>
      </w:r>
      <w:r>
        <w:rPr>
          <w:rFonts w:ascii="Times New Roman PS Std;serif" w:hAnsi="Times New Roman PS Std;serif"/>
          <w:b w:val="false"/>
          <w:i w:val="false"/>
          <w:caps w:val="false"/>
          <w:smallCaps w:val="false"/>
          <w:sz w:val="20"/>
        </w:rPr>
        <w:t>.    Web 3.0 primarily focuses on leveraging artificial intelligence, blockchain, virtual reality, augmented reality and other emerging technologies to enable smart, customized and secure digital experiences. The rise of Web 3.0, marked by greater decentralization and use of artificial intelligence, creates new opportunities for e-commerce enablement and digital optimization solution providers.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 By enabling features such as access to artificial intelligence-enhanced personalization, augmented reality-powered virtual showrooms and secure payments and supply chain management, the expertise of e-commerce enablement and digital optimization providers in emerging tech deployment for e-commerce and digital channels positions them to help companies navigate Web 3.0 opportunities and complexities.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Demand for advancement in IT infrastructure and analytical tools.    </w:t>
      </w:r>
      <w:r>
        <w:rPr>
          <w:rFonts w:ascii="Times New Roman PS Std;serif" w:hAnsi="Times New Roman PS Std;serif"/>
          <w:b w:val="false"/>
          <w:i w:val="false"/>
          <w:caps w:val="false"/>
          <w:smallCaps w:val="false"/>
          <w:sz w:val="20"/>
        </w:rPr>
        <w:t xml:space="preserve">Advancements in IT are disrupting every industry and transforming how businesses operate. To keep up, companies in Singapore are investing heavily in upgrading and transforming their IT infrastructure, and adoption of modern information technology. In particular, increasing impetus for companies to automate processes, digitize operations and offer digital customer experiences necessitates the demand for scalable, robust and agile IT infrastructure to support their technology needs and power their growth. Additionally, these companies are moving to the cloud to gain flexibility, scalability and cost benefits which is driving demand for incorporating cloud infrastructure by engaging solution providers. Besides, these companies are looking to leverage data analytical tools such as data mining, Internet of Things (IoT), cloud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computing, and artificial intelligence algorithms to gain insights, improve decision making and optimize operations which puts the spotlight on digital solutions providers with competent data management infrastructure, high performance computing and artificial intelligence capabilities.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Competitive Landscape of Digital Solutions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industry in Singapore is highly fragmented due to the industry’s diverse client base, high degree of industry segmentation, and different service coverages, according to the Frost &amp; Sullivan Report. The majority of digital solutions providers operate on the market by providing all-in-one solutions or partial solutions. Major players include e-commerce platform providers such as Shopify, Lazada, Shopee, integrated e-commerce enablers such as our Company, as well as well-known companies with the advantages of social media platforms, such as Google, Facebook, and LinkedIn.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market in Singapore is highly competitive and diverse, and numerous niche players and startups are entering the market with cutting-edge technologies such as virtual reality, augmented reality, artificial intelligence, and blockchain. However, established companies typically have a larger market share and higher profit margins due to their mature business models and higher levels of technology, whereas small players in digital solutions face fierce market competition and limited business opportunities due to service homogenization and lower profit margins. Moreover, as an increasing number of multinational corporations relocate their headquarters to Singapore, a significant international financial center, the demand for localization is likely to create more market space for local digital solution providers.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Competitive Landscape of Digital Solutions in SMEs Go Digital Program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Singapore Department of Statistics, 99% of Singapore’s businesses in 2021 were SMEs. To assist Singapore’s SMEs in enhancing their productivity and competitiveness, Singapore government has launched the SMEs Go Digital program as part of its “Smart Nation Initiative” to provide SMEs with a variety of digital solutions and services, such as e-commerce platforms, digital marketing tools, and data analytics software.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program is led by IMDA. Only those digital solutions providers that have been approved by IMDA can participate in the program and provide services to SMEs. Our Company is one of the pre-approved digital solution vendors.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program also offers financial assistance to eligible SMEs in order to reduce costs. In addition, consulting and training services, such as seminars and one-on-one consultations with digital experts, are provided to assist SMEs in developing digital capabilities and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 the Singapore-based companies who have participated in the SMEs Go Digital program led by the IMDA, the top five players have contributed to 17.2% of the entire market in terms of revenue in 2022. Our Company ranked fourth with a market share of 1.5%, according to the Frost &amp; Sullivan Report.</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34025" cy="20878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34025" cy="2087880"/>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of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is the next generation of the World Wide Web which aims to establish an Internet that is smarter, more secure, and decentralized.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Application of the blockchain technology, smart contracts, decentralized applications, and decentralized autonomous organizations at various stages of, and in diversified contexts in, Web 3.0 enables the construction of a decentralized web eventually which is not controlled by a central authority. Meanwhile, Web 3.0 aims to accommodate the use of metadata and other structured data to create a smarter Web that can comprehend and process information in a more meaningful manner, thereby providing users with more advanced search capabilities and personalized experiences.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signifies a significant transition towards a decentralized and user-centric Internet. According to the Frost &amp; Sullivan Report, Web 3.0 users are forecasted to reach 1 billion by 2031. Increasing numbers of Internet consumers are migrating to this more open, transparent, and secure environment.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Introduction of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will enable a decentralized commerce model where merchants list their products on a decentralized marketplace and customers can access them directly without any intermediaries.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34025" cy="2819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34025" cy="2819400"/>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Drivers of Web 3.0 E-Commerce in Southeast Asia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Improved security, transparency and trust.    </w:t>
      </w:r>
      <w:r>
        <w:rPr>
          <w:rFonts w:ascii="Times New Roman PS Std;serif" w:hAnsi="Times New Roman PS Std;serif"/>
          <w:b w:val="false"/>
          <w:i w:val="false"/>
          <w:caps w:val="false"/>
          <w:smallCaps w:val="false"/>
          <w:sz w:val="20"/>
        </w:rPr>
        <w:t>The key technological advances in Web 3.0, including, among others, blockchain, decentralization and smart contracts have the potential to significantly improve the security of payments and reduce risks for e-commerce businesses. Improved transparency and trust afforded by Web 3.0 platforms are critical in Southeast Asian e-commerce due to issues like fraud, lack of visibility into supply chains, and payment security concerns that limit industry growth. The use of blockchain in Web 3.0, for example, offers an immutable record of transactions and data that gives consumers visibility into the entire history of orders, payments, product information, trustworthy record of supply chain data and product provenance and smart contract execution. This transparency, combined with the reduced ability to alter records or commit fraud on the network, helps build the trust necessary for e-commerce to flourish by verifying transactions, ensuring fulfillment of obligations, and giving visibility into supply chain details. The transparency and traceability features of Web 3.0 address the core issues undermining trust in Southeast Asian e-commerce today, and thus provide a compelling value proposition for the adoption of Web 3.0 e-commerce in the Southeast Asia region.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Enhanced personalized digital experience.    </w:t>
      </w:r>
      <w:r>
        <w:rPr>
          <w:rFonts w:ascii="Times New Roman PS Std;serif" w:hAnsi="Times New Roman PS Std;serif"/>
          <w:b w:val="false"/>
          <w:i w:val="false"/>
          <w:caps w:val="false"/>
          <w:smallCaps w:val="false"/>
          <w:sz w:val="20"/>
        </w:rPr>
        <w:t>Consumers nowadays expect personalized digital experiences and are more likely to shop with brands that provide personally relevant offers and recommendations. As an advancement of Web2.0, application of artificial intelligence in Web 3.0 can tailor content, services, products and interactions to individual interests based on behaviors and preferences. With a highly connected mobile population, consumers are generating huge amounts of data through daily digital activities. Web 3.0 allows for processing this data to gain customer insights using artificial intelligence, machine learning and predictive algorithms. Brands can then customize experiences based on understanding each customer’s journey, profiles, preferences and pain points. Web 3.0 excels in such aspect over Web 2.0 and bring about immense opportunities in analyzing and catering to consumers’ preference.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Variety of user experience.    </w:t>
      </w:r>
      <w:r>
        <w:rPr>
          <w:rFonts w:ascii="Times New Roman PS Std;serif" w:hAnsi="Times New Roman PS Std;serif"/>
          <w:b w:val="false"/>
          <w:i w:val="false"/>
          <w:caps w:val="false"/>
          <w:smallCaps w:val="false"/>
          <w:sz w:val="20"/>
        </w:rPr>
        <w:t>Web 3.0 features advanced technology such as virtual/augmented reality and IoT connectivity. Web 3.0 also leverages edge computing, mesh networks, and integrated devices to create an infrastructure that is fast, reliable, and available anywhere. This allows Web 3.0 services to run anywhere, anytime, offering virtual reality shopping, livestream shopping, and seamless checkout using facial recognition, which in turn attract more customers to e-commerce platforms.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A growing consumer base that embraces technology.    </w:t>
      </w:r>
      <w:r>
        <w:rPr>
          <w:rFonts w:ascii="Times New Roman PS Std;serif" w:hAnsi="Times New Roman PS Std;serif"/>
          <w:b w:val="false"/>
          <w:i w:val="false"/>
          <w:caps w:val="false"/>
          <w:smallCaps w:val="false"/>
          <w:sz w:val="20"/>
        </w:rPr>
        <w:t>With a high Internet penetration rate, a large proportion of the population in Southeast Asia has access to the Internet and can engage with Web 3.0 e-commerce platforms. In addition, surging smartphone penetration, and adoption rate of digital payments have been thriving in Southeast Asia, which create a large market receptive to the value propositions of Web 3.0 e-commerce applications and platforms. This fast-paced technology adoption creates a large market of consumers and businesses ready for innovative e-commerce solutions that Web 3.0 can provide.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Government endeavor.    </w:t>
      </w:r>
      <w:r>
        <w:rPr>
          <w:rFonts w:ascii="Times New Roman PS Std;serif" w:hAnsi="Times New Roman PS Std;serif"/>
          <w:b w:val="false"/>
          <w:i w:val="false"/>
          <w:caps w:val="false"/>
          <w:smallCaps w:val="false"/>
          <w:sz w:val="20"/>
        </w:rPr>
        <w:t>Governments in Southeast Asia have generally taken a progressive stance toward blockchain technology, creating an enabling regulatory environment that encourages innovation and adoption for e-commerce applications. For instance, Thailand has established a regulatory sandbox for fintech startups focused on Web 3.0-enabled e-commerce. Singapore and Malaysia have also expressed support for blockchain innovation and are developing frameworks to govern the technology responsibly. This generally innovation-friendly regulatory environment has helped spur blockchain projects aimed at improving transparency, efficiency and traceability for e-commerce businesses.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Cross-border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trade.    </w:t>
      </w:r>
      <w:r>
        <w:rPr>
          <w:rFonts w:ascii="Times New Roman PS Std;serif" w:hAnsi="Times New Roman PS Std;serif"/>
          <w:b w:val="false"/>
          <w:i w:val="false"/>
          <w:caps w:val="false"/>
          <w:smallCaps w:val="false"/>
          <w:sz w:val="20"/>
        </w:rPr>
        <w:t>In 2021, the Southeast Asia countries signed the ASEAN Agreement on Electronic Commerce, which has fostered the emergence of a cohesive, aligned, and inclusive environment that helps facilitate cross-border e-commerce transactions for goods and services. The competitive advantage of Web 3.0 e-commerce such as transparency and traceability of transactions across borders and end-to-end visibility can help overcome challenges like weak trade infrastructure, trade barriers and lack of trust that currently limit intra-regional trade within Southeast Asia. Therefore, Web 3.0 e-commerce has the potential to significantly increase cross-border business-to-business and business-to-consumer transactions within Southeast Asia.</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 Opportunities of Web 3.0 E-Commerce in Southeast Asia and Globally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e-commerce platforms offer a more advanced and immersive shopping experience compared to Web 2.0 e-commerce platforms. Web 3.0 e-commerce is still in its early stages of development and adoption, presenting tremendous growth opportunities as, among other things, the number of Internet users continues to grow, the e-commerce industry evolves, and the adoption of various technology applications (such as artificial intelligence) in Web 3.0 increases.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Nominal GDP in Southeast Asia.    </w:t>
      </w:r>
      <w:r>
        <w:rPr>
          <w:rFonts w:ascii="Times New Roman PS Std;serif" w:hAnsi="Times New Roman PS Std;serif"/>
          <w:b w:val="false"/>
          <w:i w:val="false"/>
          <w:caps w:val="false"/>
          <w:smallCaps w:val="false"/>
          <w:sz w:val="20"/>
        </w:rPr>
        <w:t>According to The International Monetary Fund, the nominal GDP in Southeast Asia has increased from US$2,842.2 billion to US$3,644.7 billion from 2017 to 2022, representing a CAGR of 5.1%. The expected nominal GDP between 2023 and 2027 is approximately 7.4%, reaching to approximately US$5,232.3 billion by 2027. It is expected that the economy will recover in the next years with the alleviation of the COVID-19 pandemic.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Number of Internet users in Southeast Asia.    </w:t>
      </w:r>
      <w:r>
        <w:rPr>
          <w:rFonts w:ascii="Times New Roman PS Std;serif" w:hAnsi="Times New Roman PS Std;serif"/>
          <w:b w:val="false"/>
          <w:i w:val="false"/>
          <w:caps w:val="false"/>
          <w:smallCaps w:val="false"/>
          <w:sz w:val="20"/>
        </w:rPr>
        <w:t>In 2022, the number of Internet users in Southeast Asia was 516.5 million, representing more than 70% of the region’s population, making Southeast Asia one of the world’s fastest-growing regions in terms of Internet adoption. Due to the increasing affordability and availability of smartphones, rising number of middle class, and increasing investment in improving Internet infrastructure, the Internet adoption in Southeast Asia is on the rise. The number of Internet users in Southeast Asia is forecasted to continuously increase between 2023 and 2027 reaching 591.7 million in 2027.</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Market size of e-commerce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 Southeast Asia.    </w:t>
      </w:r>
      <w:r>
        <w:rPr>
          <w:rFonts w:ascii="Times New Roman PS Std;serif" w:hAnsi="Times New Roman PS Std;serif"/>
          <w:b w:val="false"/>
          <w:i w:val="false"/>
          <w:caps w:val="false"/>
          <w:smallCaps w:val="false"/>
          <w:sz w:val="20"/>
        </w:rPr>
        <w:t>The e-commerce industry in the region has grown rapidly due to several factors, including economic development, increased Internet penetration, and the COVID-19 pandemic. The pandemic led to the implementation of pandemic prevention and control policies such as social distancing and quarantine measures, which prompted citizens to switch from traditional brick-and-mortar purchases to e-commerce platforms. This trend has resulted in the market size of the e-commerce industry in Southeast Asia growing from US$14.0 billion to US$113.6 billion between 2017 and 2022, representing a CAGR of 52.0%. The success of leading e-commerce platforms in Indonesia, Singapore, Malaysia, Vietnam and Thailand has been a driving force behind the industry’s continuous growth. It is expected that the e-commerce industry in Southeast Asia will continue to grow, with the market size expected to reach approximately US$276.7 billion in 2027, representing a CAGR of 17.3%.</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105400" cy="205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105400" cy="205422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size of Web 3.0-enabled e-commerce in Southeast Asia is expected to grow at a CAGR of 100.3% from 2023 to 2027, reaching US$47.0 billion in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457700" cy="247205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457700" cy="247205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Market size of global e-commerce.    </w:t>
      </w:r>
      <w:r>
        <w:rPr>
          <w:rFonts w:ascii="Times New Roman PS Std;serif" w:hAnsi="Times New Roman PS Std;serif"/>
          <w:b w:val="false"/>
          <w:i w:val="false"/>
          <w:caps w:val="false"/>
          <w:smallCaps w:val="false"/>
          <w:sz w:val="20"/>
        </w:rPr>
        <w:t>Rapid urbanization across the globe is one of the key factors driving the growth of the market. Furthermore, increasing Internet penetration and usage of devices, such as smartphones, laptops and tablets to access e-commerce portals, is also providing a boost to the market growth of global e-commerce. The market size of global e-commerce increased from US$2,382.0 billion in 2017 to US$5,717.0 billion in 2022, at a CAGR of 19.1%. E-commerce enables organizations to conduct business without maintaining a physical presence, thereby minimizing the infrastructure, communication and overhead costs. The market is further driven by the increasing preference for online shopping, especially among women, and the growing influence of social networking platforms on shopping habits. The market size of global e-commerce is expected to increase at a CAGR of 8.7% from 2023 to 2027, reaching US$8,819.0 billion in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010150" cy="191706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010150" cy="191706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3.0-enabled e-commerce is a new area of innovation in the global e-commerce industry, with many businesses and startups exploring the potential of innovative technology applications in Web 3.0 for improving supply chain management, increasing transparency, and enhancing customer experiences. The market size of global Web 3.0-enabled e-commerce is expected to reach US$ 1,587.4 billion in 2027, representing a CAGR of 70.2% from 2023 to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200525" cy="229806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200525" cy="229806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15"/>
      <w:bookmarkEnd w:id="15"/>
      <w:r>
        <w:rPr>
          <w:rFonts w:ascii="Times New Roman PS Std;serif" w:hAnsi="Times New Roman PS Std;serif"/>
          <w:b/>
          <w:i w:val="false"/>
          <w:caps w:val="false"/>
          <w:smallCaps w:val="false"/>
          <w:sz w:val="20"/>
        </w:rPr>
        <w:t>BUSINESS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Mission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mission is to be the leader in Web 3.0 enablement, bridging business to a trusted and secure e-commerce platform with curated customer experience.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leading digital transformation enabler in Singapore. We offer business and technology solutions which are designed to optimize our clients’ experiences with their customers by driving digital adoption and self-service.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Singapore. According to the Frost &amp; Sullivan Report, among the Singapore-based companies who have been approved to participate in the SMEs Go Digital program led by IMDA, we ranked fourth, contributing to 1.5% of the SME segment of e-commerce enablement and digital optimizing services market in Singapore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Business consulting:    </w:t>
      </w: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IT customization:    </w:t>
      </w:r>
      <w:r>
        <w:rPr>
          <w:rFonts w:ascii="Times New Roman PS Std;serif" w:hAnsi="Times New Roman PS Std;serif"/>
          <w:b w:val="false"/>
          <w:i w:val="false"/>
          <w:caps w:val="false"/>
          <w:smallCaps w:val="false"/>
          <w:sz w:val="2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technology continues to impact our world through its transformative capability and pervasive impact. Leveraging our successful track record of applying our proprietary technologies to respond to changing business needs and evolving client demands, we plan to launch a Web 3.0 e-commerce platform whereby customers and merchants can transact in a transparent and secure way, or Tridentity, in the third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Strengths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following strengths have contributed to our continued success: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Leading digital transformation enabler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2014, our founding team pioneered digital transformation for clients in Singapore. In 2021, we were one of first pre-approved vendors to participate in the SMEs Go Digital program led by IMDA, which is to provide SMEs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one of the leaders in the digital transformation of the SME segment in Singapore. According to the Frost &amp; Sullivan Report, among the Singapore-based companies who are pre-approved vendors to participate in the SMEs Go Digital program led by IMDA, we ranked fourth, contributing to 1.5% of the SME segment of e-commerce enablement and digital optimizing services market in Singapore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 accumulation of industry domain knowledge over the years, we have in-depth understanding and expertise in the industry pain points, tailored solutions for each client, and the application of emerging technologies such as: artificial intelligence, cloud computing, Internet of Things, blockchain and big data analytics. All these enabled us to expand deeper into each industry vertical, helping our clients to capture the values of digital transformation.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Proprietary Technology Architecture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last three years providing IT customization services in our core vertical markets, we offer one-stop business and technology solutions that simplify customer engagement by driving digital adoption and self-service capabilities. Our solutions are largely SaaS-based cloud solutions, carefully designed to provide the systems with security, scalability and the ease of integration. Our in-house proprietary design of the technology architecture and our coding framework are key towards operation scalability and sustainability, to maximize growth and profitability.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architecture enables us to innovate quickly while delivering new features to our clients simultaneously and at lower operating costs compared to legacy providers. Our ability to innovate quickly is critical to maintaining the leadership of our enabling services provided. Our proprietary technology architecture also provides financial benefits to us through operational scalability. Our developing Web 3.0 e-commerce platform is developed using this proprietary technology architecture, which contains all of the functionality that users expect from modern cloud software, as well as scalable architecture, cloud security, elegant and easy-to-use interfaces, common APIs, robust mobile accessibility, and data integration.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Unique Perspective and Efficient Operational Capabilities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our experiences in providing business consulting services to the various verticals over the years, we have developed a unique perspective into the processes and systems needed to drive the operations and business success of the market participants within these industries. Our approach enables us to deliver industry-tailored solutions, including business management software, customer engagement applications, and billing and payment solutions, to address vertical-specific workflows and customer requirements. We also have an efficient and diversified go-to-market strategy tailored to each vertical we serve.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these unique perspectives and the efficient operational capabilities can be applied to our developing Web 3.0 e-commerce platform which accelerates merchants and customers’ acquisition and increases their stickiness.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Seasoned and Visionary Management Team with International Perspective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team members have tremendous experience in their respective areas of expertise. Our founder, chairman of board of directors and chief executive officer, Mr. Soon Huat Lim, is an innovative entrepreneur and recognized leader with combined expertise in sales, supply chain, retail and services, tourism, entertainment and media, e-commerce, and technology industries. He has over 30 years of management experience with a strong network and resources and the know-how that established our company as a leading digital transformation enabler. Our chief technology officer, Mr. Poh Kiong Tan, has been a Practicing Management Consultant certified by The Singapore Business Advisors and Consultants Council since 2018. His qualifications include multidisciplinary expertise ranging from branding, human resource management to productivity diagnosis and technology adoption, which are instrumental to our success.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senior management team members have on average 15 years of management experience and extensive and complementary industry experiences in a wide range of fields, such as finance, market acquisition, risk and compliance, and operations, which enable us to develop innovative tailored solutions that meet the evolving needs of our clients and expand our global footprint.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further grow our business by pursuing the following strategies: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Capitalize on a Generational Shift to Web 3.0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is the next generation of the World Wide Web which aims to establish an Internet that is smarter and more secure. Web 3.0 primarily focuses on leveraging artificial intelligence, blockchain, virtual reality, augmented reality and other emerging technologies to enable smart, customized and secure digital experiences.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Mission-critical applications are increasingly being delivered more reliably and securely via Web 3.0-enabled platforms, which can more readily enable real-time collaboration and provide access to valuable data from anywhere, anytime, on any device. As more merchants and customers embrace innovative technology applications in Web 3.0, they drive the accelerated adoption of Web 3.0 capabilities across the market participants, including our company which will operate Tridentity, a Web 3.0 e-commerce platform whereby customers and merchants can transact in a transparent and secure way, to be launched in the third quarter of 2023. According to the Frost &amp; Sullivan Report, the market size of global Web 3.0-enabled e-commerce is expected to reach US$189.3 billion and US$1,587.4 billion in 2023 and 2027, respectively, representing a CAGR of 70.2% from 2023 to 2027. We believe we are well positioned to capture a strong adoption cycle of Web 3.0-enabled solutions by merchants and customers globally.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 and Grow our Client Base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grow our existing clients by adding product features and additional functionality to our solutions and continuing to drive digital adoption of our existing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verticals are large, underpenetrated, and non-cyclical with significant whitespace, low digital adoption, and growing usage of software solutions. We believe there is a significant opportunity to attract new clients with our current offerings in our vertical end-markets and new verticals. We plan to continue winning new clients by investing in our salesforce, improving the awareness of our brands and solutions, and building new partnerships and integrations. We intend to continue winning market share by driving product leadership and adoption of our industry-tailored solutions.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Broaden our Geographical Reach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there is a significant need for our solutions and services on a global basis and, accordingly, an opportunity for us to grow our business through further international expansion. We will broaden our global footprint and intend to establish a presence in additional international markets.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Selectively Pursue Strategic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pursue strategic acquisitions that we believe will be complementary to our existing verticals and offerings and increase the value proposition we deliver to our clients. For example, we may pursue acquisitions that we believe will help us expand within existing or new industry verticals or enter new markets.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Business Consulting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approach, with an eye on execution, combines creative thinking and industry expertise to enable companies to achieve market-leading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market intelligence to our clients by identifying the objectives and audience, formulating customized digital marketing strategies in order to magnify their brand positioning and enhance operational efficiency.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data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Visual identity elements design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Strategic planning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Digital marketing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IT Customization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Consulting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IT consulting services include a full range of consulting and technical services relating to the software solutions, from the early design and planning stages of an implementation to end-user training and after-implementation consulting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analysis and evaluation of client’s business requirements, especially with regard to the size and complexity of the projects to be supported, as well as the client’s customized needs;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identification of the key problems and challenges of the current business operation and workflow;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 of a proposed software solution based on client’s requirements;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customization of the system features to fulfill our client’s business by revamping and integrating different information technology systems and operational systems;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administration of the project’s lifecycle by certified professionals;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fine-tuned adjustment and customization of software solutions to meet the client’s business needs such as project plan or solution proposal, etc.;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 of an implementation strategy that assesses operational impacts and improves ease of learning about the new computerized operations;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operational assistance with face-to-face or online professional training and reinforcement.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Management Software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a range of management software solutions to customers via annual subscriptions, including client relationship management solutions, inventory management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Web 3.0 E-Commerce Platform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third quarter of 2023, we plan to launch Tridentity, a Web 3.0 e-commerce platform whereby customers and merchants can transact in a transparent and secure way.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designed to enable merchants to execute their commerce strategy,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 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Clients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diversified client base spanning a range of industry verticals, including e-commerce, food and beverage, fintech, healthcare and service, wholesale and retail. As of June 30, 2023, we served over 200 clients across our core verticals such as food and beverage, wholesale and retail, all of whom utilize our services and talent to help them evolve the digital capabilities within their organizations.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Technology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solutions are designed from the ground up for speed-to-market, scalability, security, durability, and reliability. The foundational technology that enables these benefits includes: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Maintenance and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and Marketing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Proven track record and reputation in the industry;</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Service customization;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innovation, quality, functionality and design;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Solid partnerships with upstream and downstream partners;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Deep vertical domain experience;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strong commitment to security and privacy.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headquartered in Singapore where we lease two corporate offices under leases that expire in 2024. We also lease one corporate office under lease in Vietnam which expires in 2025. We believe our facilities are adequate and suitable for our current needs, and that should it be needed, suitable additional or alternative space will be available to accommodate our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Protecting our intellectual property rights is important to our business. We plan to invest in research and development to enhance our domain knowledge and create complex, specialized solutions for our clients. As of June 30, 2023, we have registered one trademark “TRIDENTITY” (trademark number 40202251004W) in Singapore under Classes 09, 35, 38, 42 and 45 under the International Classification of Goods and Services.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registered and maintained the domain name “Qzonetech.com” for our business operations to ensure that we maintain the ability to engage with our clients, employees, and the public.</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2023, we had a total of 33 full-time employees. We are highly dependent on our management, highly-skilled software engineers, sales and marketing personnel, and other professionals, and it is crucial that we continue to attract and retain valuable employees.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provide foreign workers medical insurance and work injury compensation insurance for our employees as required by applicable law and in line with general market practice.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currently not a party to any other legal or administrative proceedings and are not aware of any other pending or threatened legal or administrative proceedings against us in any material respects. We may from time to time become a party to various legal or administrative proceedings arising in the ordinary course of our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14"/>
      <w:bookmarkEnd w:id="16"/>
      <w:r>
        <w:rPr>
          <w:rFonts w:ascii="Times New Roman PS Std;serif" w:hAnsi="Times New Roman PS Std;serif"/>
          <w:b/>
          <w:i w:val="false"/>
          <w:caps w:val="false"/>
          <w:smallCaps w:val="false"/>
          <w:sz w:val="20"/>
        </w:rPr>
        <w:t>REGULATION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Regulations in Singapore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Data Protection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Personal Data Protection Act 2012 (2020 Rev Ed) of Singapore (the “</w:t>
      </w:r>
      <w:r>
        <w:rPr>
          <w:rFonts w:ascii="Times New Roman PS Std;serif" w:hAnsi="Times New Roman PS Std;serif"/>
          <w:b/>
          <w:i w:val="false"/>
          <w:caps w:val="false"/>
          <w:smallCaps w:val="false"/>
          <w:sz w:val="20"/>
        </w:rPr>
        <w:t>PDPA</w:t>
      </w:r>
      <w:r>
        <w:rPr>
          <w:rFonts w:ascii="Times New Roman PS Std;serif" w:hAnsi="Times New Roman PS Std;serif"/>
          <w:b w:val="false"/>
          <w:i w:val="false"/>
          <w:caps w:val="false"/>
          <w:smallCaps w:val="false"/>
          <w:sz w:val="20"/>
        </w:rPr>
        <w:t>”) establishes the Singapore regime for the protection of personal data, and governs the collection, use and disclosure of personal data by organizations. In this regard, “personal data” as defined under the PDPA refers to data, whether true or not, about an individual who can be identified from that data or other information to which the organization has or is likely to have access.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organization is required to comply with, amongst other things, the following obligations prescribed by the PDPA: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caps w:val="false"/>
          <w:smallCaps w:val="false"/>
          <w:sz w:val="20"/>
        </w:rPr>
        <w:t>Purpose limitation obligation </w:t>
      </w:r>
      <w:r>
        <w:rPr>
          <w:rFonts w:ascii="Times New Roman PS Std;serif" w:hAnsi="Times New Roman PS Std;serif"/>
          <w:b w:val="false"/>
          <w:i w:val="false"/>
          <w:caps w:val="false"/>
          <w:smallCaps w:val="false"/>
          <w:sz w:val="20"/>
        </w:rPr>
        <w:t>— personal data must be collected, used or disclosed only for purposes that a reasonable person would consider appropriate in the circumstances, and if applicable, have been notified to the individual concerned;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caps w:val="false"/>
          <w:smallCaps w:val="false"/>
          <w:sz w:val="20"/>
        </w:rPr>
        <w:t>Notification obligation </w:t>
      </w:r>
      <w:r>
        <w:rPr>
          <w:rFonts w:ascii="Times New Roman PS Std;serif" w:hAnsi="Times New Roman PS Std;serif"/>
          <w:b w:val="false"/>
          <w:i w:val="false"/>
          <w:caps w:val="false"/>
          <w:smallCaps w:val="false"/>
          <w:sz w:val="20"/>
        </w:rPr>
        <w:t>— individuals must be notified of the purposes for the collection, use or disclosure of their personal data, prior to such collection, use or disclosure;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w:t>
      </w:r>
      <w:r>
        <w:rPr>
          <w:rFonts w:ascii="Times New Roman PS Std;serif" w:hAnsi="Times New Roman PS Std;serif"/>
          <w:b w:val="false"/>
          <w:i/>
          <w:caps w:val="false"/>
          <w:smallCaps w:val="false"/>
          <w:sz w:val="20"/>
        </w:rPr>
        <w:t>Consent obligation </w:t>
      </w:r>
      <w:r>
        <w:rPr>
          <w:rFonts w:ascii="Times New Roman PS Std;serif" w:hAnsi="Times New Roman PS Std;serif"/>
          <w:b w:val="false"/>
          <w:i w:val="false"/>
          <w:caps w:val="false"/>
          <w:smallCaps w:val="false"/>
          <w:sz w:val="20"/>
        </w:rPr>
        <w:t>— the consent of individuals must be obtained for any collection, use or disclosure of their personal data, unless exceptions apply. Additionally, an organization must allow the withdrawal of consent which has been given or is deemed to have been given;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w:t>
      </w:r>
      <w:r>
        <w:rPr>
          <w:rFonts w:ascii="Times New Roman PS Std;serif" w:hAnsi="Times New Roman PS Std;serif"/>
          <w:b w:val="false"/>
          <w:i/>
          <w:caps w:val="false"/>
          <w:smallCaps w:val="false"/>
          <w:sz w:val="20"/>
        </w:rPr>
        <w:t>Access and correction obligations </w:t>
      </w:r>
      <w:r>
        <w:rPr>
          <w:rFonts w:ascii="Times New Roman PS Std;serif" w:hAnsi="Times New Roman PS Std;serif"/>
          <w:b w:val="false"/>
          <w:i w:val="false"/>
          <w:caps w:val="false"/>
          <w:smallCaps w:val="false"/>
          <w:sz w:val="20"/>
        </w:rPr>
        <w:t>— when requested by an individual and unless exceptions apply, an organization must: (a) provide that individual with access to his personal data in the possession or under the control of the organization and information about the ways in which his personal data may have been used or disclosed during the past year, and/or (b) correct an error or omission in his personal data that is in the possession or under the control of the organization;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w:t>
      </w:r>
      <w:r>
        <w:rPr>
          <w:rFonts w:ascii="Times New Roman PS Std;serif" w:hAnsi="Times New Roman PS Std;serif"/>
          <w:b w:val="false"/>
          <w:i/>
          <w:caps w:val="false"/>
          <w:smallCaps w:val="false"/>
          <w:sz w:val="20"/>
        </w:rPr>
        <w:t>Accuracy obligation </w:t>
      </w:r>
      <w:r>
        <w:rPr>
          <w:rFonts w:ascii="Times New Roman PS Std;serif" w:hAnsi="Times New Roman PS Std;serif"/>
          <w:b w:val="false"/>
          <w:i w:val="false"/>
          <w:caps w:val="false"/>
          <w:smallCaps w:val="false"/>
          <w:sz w:val="20"/>
        </w:rPr>
        <w:t>— an organization must make reasonable efforts to ensure that personal data collected by or on its behalf is accurate and complete if such data is likely to be used by the organization to make a decision affecting the individual to whom the personal data relates or if such data is likely to be disclosed to another organization;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w:t>
      </w:r>
      <w:r>
        <w:rPr>
          <w:rFonts w:ascii="Times New Roman PS Std;serif" w:hAnsi="Times New Roman PS Std;serif"/>
          <w:b w:val="false"/>
          <w:i/>
          <w:caps w:val="false"/>
          <w:smallCaps w:val="false"/>
          <w:sz w:val="20"/>
        </w:rPr>
        <w:t>Protection obligation </w:t>
      </w:r>
      <w:r>
        <w:rPr>
          <w:rFonts w:ascii="Times New Roman PS Std;serif" w:hAnsi="Times New Roman PS Std;serif"/>
          <w:b w:val="false"/>
          <w:i w:val="false"/>
          <w:caps w:val="false"/>
          <w:smallCaps w:val="false"/>
          <w:sz w:val="20"/>
        </w:rPr>
        <w:t>— an organization must implement reasonable security arrangements for the protection of personal data in its possession or under its control;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w:t>
      </w:r>
      <w:r>
        <w:rPr>
          <w:rFonts w:ascii="Times New Roman PS Std;serif" w:hAnsi="Times New Roman PS Std;serif"/>
          <w:b w:val="false"/>
          <w:i/>
          <w:caps w:val="false"/>
          <w:smallCaps w:val="false"/>
          <w:sz w:val="20"/>
        </w:rPr>
        <w:t>Retention limitation obligation </w:t>
      </w:r>
      <w:r>
        <w:rPr>
          <w:rFonts w:ascii="Times New Roman PS Std;serif" w:hAnsi="Times New Roman PS Std;serif"/>
          <w:b w:val="false"/>
          <w:i w:val="false"/>
          <w:caps w:val="false"/>
          <w:smallCaps w:val="false"/>
          <w:sz w:val="20"/>
        </w:rPr>
        <w:t>— an organization must not keep personal data for longer than it is necessary to fulfil (a) the purposes for which it was collected, or (b) a legal or business purpose;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w:t>
      </w:r>
      <w:r>
        <w:rPr>
          <w:rFonts w:ascii="Times New Roman PS Std;serif" w:hAnsi="Times New Roman PS Std;serif"/>
          <w:b w:val="false"/>
          <w:i/>
          <w:caps w:val="false"/>
          <w:smallCaps w:val="false"/>
          <w:sz w:val="20"/>
        </w:rPr>
        <w:t>Transfer limitation obligation </w:t>
      </w:r>
      <w:r>
        <w:rPr>
          <w:rFonts w:ascii="Times New Roman PS Std;serif" w:hAnsi="Times New Roman PS Std;serif"/>
          <w:b w:val="false"/>
          <w:i w:val="false"/>
          <w:caps w:val="false"/>
          <w:smallCaps w:val="false"/>
          <w:sz w:val="20"/>
        </w:rPr>
        <w:t>— personal data must not be transferred out of Singapore except in accordance with the requirements prescribed under the PDPA;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w:t>
      </w:r>
      <w:r>
        <w:rPr>
          <w:rFonts w:ascii="Times New Roman PS Std;serif" w:hAnsi="Times New Roman PS Std;serif"/>
          <w:b w:val="false"/>
          <w:i/>
          <w:caps w:val="false"/>
          <w:smallCaps w:val="false"/>
          <w:sz w:val="20"/>
        </w:rPr>
        <w:t>Openness obligation </w:t>
      </w:r>
      <w:r>
        <w:rPr>
          <w:rFonts w:ascii="Times New Roman PS Std;serif" w:hAnsi="Times New Roman PS Std;serif"/>
          <w:b w:val="false"/>
          <w:i w:val="false"/>
          <w:caps w:val="false"/>
          <w:smallCaps w:val="false"/>
          <w:sz w:val="20"/>
        </w:rPr>
        <w:t>— an organization must implement the necessary policies and procedures in order to meet the obligations under the PDPA and shall make information about its policies and procedures available on request.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Organizations have mandatory obligations to assess data breaches they suffer, and to notify the Singapore Personal Data Protection Commission (“</w:t>
      </w:r>
      <w:r>
        <w:rPr>
          <w:rFonts w:ascii="Times New Roman PS Std;serif" w:hAnsi="Times New Roman PS Std;serif"/>
          <w:b/>
          <w:i w:val="false"/>
          <w:caps w:val="false"/>
          <w:smallCaps w:val="false"/>
          <w:sz w:val="20"/>
        </w:rPr>
        <w:t>PDPC</w:t>
      </w:r>
      <w:r>
        <w:rPr>
          <w:rFonts w:ascii="Times New Roman PS Std;serif" w:hAnsi="Times New Roman PS Std;serif"/>
          <w:b w:val="false"/>
          <w:i w:val="false"/>
          <w:caps w:val="false"/>
          <w:smallCaps w:val="false"/>
          <w:sz w:val="20"/>
        </w:rPr>
        <w:t>”) and the relevant individuals where the data breach is of a certain severity.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general data protection obligations imposed under the PDPA, the PDPA also generally prohibits organizations and individuals from sending direct marketing messages (in the form of voice calls, text or fax messages) to Singapore telephone numbers, including mobile, fixed-line, residential and business numbers, registered with the Do Not Call Registry (the “</w:t>
      </w:r>
      <w:r>
        <w:rPr>
          <w:rFonts w:ascii="Times New Roman PS Std;serif" w:hAnsi="Times New Roman PS Std;serif"/>
          <w:b/>
          <w:i w:val="false"/>
          <w:caps w:val="false"/>
          <w:smallCaps w:val="false"/>
          <w:sz w:val="20"/>
        </w:rPr>
        <w:t>DNC Registry</w:t>
      </w:r>
      <w:r>
        <w:rPr>
          <w:rFonts w:ascii="Times New Roman PS Std;serif" w:hAnsi="Times New Roman PS Std;serif"/>
          <w:b w:val="false"/>
          <w:i w:val="false"/>
          <w:caps w:val="false"/>
          <w:smallCaps w:val="false"/>
          <w:sz w:val="20"/>
        </w:rPr>
        <w:t>”), as maintained by the PDPC (the “</w:t>
      </w:r>
      <w:r>
        <w:rPr>
          <w:rFonts w:ascii="Times New Roman PS Std;serif" w:hAnsi="Times New Roman PS Std;serif"/>
          <w:b/>
          <w:i w:val="false"/>
          <w:caps w:val="false"/>
          <w:smallCaps w:val="false"/>
          <w:sz w:val="20"/>
        </w:rPr>
        <w:t>DNC Obligations</w:t>
      </w:r>
      <w:r>
        <w:rPr>
          <w:rFonts w:ascii="Times New Roman PS Std;serif" w:hAnsi="Times New Roman PS Std;serif"/>
          <w:b w:val="false"/>
          <w:i w:val="false"/>
          <w:caps w:val="false"/>
          <w:smallCaps w:val="false"/>
          <w:sz w:val="20"/>
        </w:rPr>
        <w:t>”). The DNC Obligations only apply to the sending of“ specified messages” as defined in the PDPA, which are marketing messages that offer, promote or advertise goods or services. Such specified messages typically include messages which offer to supply, advertise or promote a property or a supplier of property.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DNC Obligations, before an organization sends any specified messages to a Singapore telephone number, it must first check whether that Singapore telephone number is listed in the relevant register of the DNC Registry. A failure to check the relevant register is an offense under the PDPA, unless certain exceptions apply.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Labor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Employment Act 1968 (2020 Rev Ed) of Singapore (the “</w:t>
      </w:r>
      <w:r>
        <w:rPr>
          <w:rFonts w:ascii="Times New Roman PS Std;serif" w:hAnsi="Times New Roman PS Std;serif"/>
          <w:b/>
          <w:i w:val="false"/>
          <w:caps w:val="false"/>
          <w:smallCaps w:val="false"/>
          <w:sz w:val="20"/>
        </w:rPr>
        <w:t>Employment Act</w:t>
      </w:r>
      <w:r>
        <w:rPr>
          <w:rFonts w:ascii="Times New Roman PS Std;serif" w:hAnsi="Times New Roman PS Std;serif"/>
          <w:b w:val="false"/>
          <w:i w:val="false"/>
          <w:caps w:val="false"/>
          <w:smallCaps w:val="false"/>
          <w:sz w:val="20"/>
        </w:rPr>
        <w:t>”) generally extends to all employees, with the exception of certain groups of employees. It provides employees falling within its ambit protections such as minimum notice periods, maximum working hours, a maximum amount of deductions from wages, minimum holidays and rest days, maternity/paternity leave, paid childcare leave, sick leave, etc. The Employment Act also applies to employees who are foreigners so long as they fall within the definition of “employee” under the Employment Act. In addition, the employment of foreign manpower in Singapore is also governed by the Employment of Foreign Manpower Act 1990 (2020 Rev Ed) of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Aside from minimum benefits in respect of the aforesaid terms of employment in the Employment Act, employees in Singapore are entitled to contributions to the central provident fund by the employer as prescribed under the Central Provident Fund Act 1953 (2020 Rev Ed)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SGD750 a month, the employer’s contribution rate is 17% of the employee’s wages.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COVID-19</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COVID-19 (Temporary Measures) Act 2020 (No. 14 of 2020) of Singapore (“</w:t>
      </w:r>
      <w:r>
        <w:rPr>
          <w:rFonts w:ascii="Times New Roman PS Std;serif" w:hAnsi="Times New Roman PS Std;serif"/>
          <w:b/>
          <w:i w:val="false"/>
          <w:caps w:val="false"/>
          <w:smallCaps w:val="false"/>
          <w:sz w:val="20"/>
        </w:rPr>
        <w:t>COVID-19</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Act</w:t>
      </w:r>
      <w:r>
        <w:rPr>
          <w:rFonts w:ascii="Times New Roman PS Std;serif" w:hAnsi="Times New Roman PS Std;serif"/>
          <w:b w:val="false"/>
          <w:i w:val="false"/>
          <w:caps w:val="false"/>
          <w:smallCaps w:val="false"/>
          <w:sz w:val="20"/>
        </w:rPr>
        <w:t>”) came into effect in Singapore on April 7, 2020. Under the COVID-19 Act, the Minister of Health may make regulations and make control orders for the purpose of preventing, protecting against, delaying or otherwise controlling the incidence or transmission of COVID-19 in Singapore. Control orders may make provisions including among others the following: (i) requiring people or certain people to stay at or in, and not leave, a specified place (whether or not a place of accommodation); (ii) restricting movement of or contact between people, including prohibiting or limiting group activities or other activities of people within the specified place in paragraph (i), restricting the use of any facilities at that place and limiting movement to and from that place, whether by time or location; (iii) requiring closing or limiting access to any premises or facility at a specified time, in a specified manner or to a specified extent, in relation to any premises or facility used to carry out any business, undertaking or work; (iv) restricting the time, manner or extent for the carrying out of any business, undertaking or work, including prescribing restrictions on the maximum number of people, opening hours or facilities provided, for the carrying on of the business, undertaking or work.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13"/>
      <w:bookmarkEnd w:id="17"/>
      <w:r>
        <w:rPr>
          <w:rFonts w:ascii="Times New Roman PS Std;serif" w:hAnsi="Times New Roman PS Std;serif"/>
          <w:b/>
          <w:i w:val="false"/>
          <w:caps w:val="false"/>
          <w:smallCaps w:val="false"/>
          <w:sz w:val="20"/>
        </w:rPr>
        <w:t>MANAGEMENT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our directors and executive officers as of the date of this prospectus.</w:t>
      </w:r>
    </w:p>
    <w:tbl>
      <w:tblPr>
        <w:tblW w:w="8575" w:type="dxa"/>
        <w:jc w:val="left"/>
        <w:tblInd w:w="0" w:type="dxa"/>
        <w:tblLayout w:type="fixed"/>
        <w:tblCellMar>
          <w:top w:w="0" w:type="dxa"/>
          <w:left w:w="0" w:type="dxa"/>
          <w:bottom w:w="0" w:type="dxa"/>
          <w:right w:w="0" w:type="dxa"/>
        </w:tblCellMar>
      </w:tblPr>
      <w:tblGrid>
        <w:gridCol w:w="3436"/>
        <w:gridCol w:w="146"/>
        <w:gridCol w:w="496"/>
        <w:gridCol w:w="146"/>
        <w:gridCol w:w="4351"/>
      </w:tblGrid>
      <w:tr>
        <w:trPr/>
        <w:tc>
          <w:tcPr>
            <w:tcW w:w="3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43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Position/Title</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shd w:fill="CCEEFF" w:val="clear"/>
            <w:vAlign w:val="bottom"/>
          </w:tcPr>
          <w:p>
            <w:pPr>
              <w:pStyle w:val="TableContents"/>
              <w:bidi w:val="0"/>
              <w:spacing w:before="0" w:after="283"/>
              <w:jc w:val="left"/>
              <w:rPr/>
            </w:pPr>
            <w:r>
              <w:rPr/>
              <w:t> </w:t>
            </w:r>
          </w:p>
        </w:tc>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Chairman, Chief Executive Officer</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Haiyan Huang</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vAlign w:val="bottom"/>
          </w:tcPr>
          <w:p>
            <w:pPr>
              <w:pStyle w:val="TableContents"/>
              <w:bidi w:val="0"/>
              <w:spacing w:before="0" w:after="283"/>
              <w:jc w:val="left"/>
              <w:rPr/>
            </w:pPr>
            <w:r>
              <w:rPr/>
              <w:t> </w:t>
            </w:r>
          </w:p>
        </w:tc>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shd w:fill="CCEEFF" w:val="clear"/>
            <w:vAlign w:val="bottom"/>
          </w:tcPr>
          <w:p>
            <w:pPr>
              <w:pStyle w:val="TableContents"/>
              <w:bidi w:val="0"/>
              <w:spacing w:before="0" w:after="283"/>
              <w:jc w:val="left"/>
              <w:rPr/>
            </w:pPr>
            <w:r>
              <w:rPr/>
              <w:t> </w:t>
            </w:r>
          </w:p>
        </w:tc>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 Soon Huat Lim</w:t>
      </w:r>
      <w:r>
        <w:rPr>
          <w:rFonts w:ascii="Times New Roman PS Std;serif" w:hAnsi="Times New Roman PS Std;serif"/>
          <w:b w:val="false"/>
          <w:i w:val="false"/>
          <w:caps w:val="false"/>
          <w:smallCaps w:val="false"/>
          <w:sz w:val="20"/>
        </w:rPr>
        <w:t xml:space="preserve"> is our founder, and has served as the chairman of the board of directors and chief 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Ms. Haiyan Huang</w:t>
      </w:r>
      <w:r>
        <w:rPr>
          <w:rFonts w:ascii="Times New Roman PS Std;serif" w:hAnsi="Times New Roman PS Std;serif"/>
          <w:b w:val="false"/>
          <w:i w:val="false"/>
          <w:caps w:val="false"/>
          <w:smallCaps w:val="false"/>
          <w:sz w:val="20"/>
        </w:rPr>
        <w:t xml:space="preserve"> has served as our chief financial officer since the Company’s inception. Ms. Huang has more than 20 years of experience in the financial sector. From June 2018 to April 2022, Ms. Huang first served as the chief financial officer of Zengame Technology Holding Limited (HKSE: 2660), an established mobile game developer and operator in the People’s Republic of China with special focus on card and board and other casual mobile games.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 Poh Kiong Tan</w:t>
      </w:r>
      <w:r>
        <w:rPr>
          <w:rFonts w:ascii="Times New Roman PS Std;serif" w:hAnsi="Times New Roman PS Std;serif"/>
          <w:b w:val="false"/>
          <w:i w:val="false"/>
          <w:caps w:val="false"/>
          <w:smallCaps w:val="false"/>
          <w:sz w:val="20"/>
        </w:rPr>
        <w:t xml:space="preserve"> has served as our chief technology officer since the Company’s inception. Mr. Tan has more than 9 years of experience in the software industry. Mr. Tan has served as a director and chief executive officer of QZT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will consist of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(i) such director, if the director’s interest (whether direct or indirect) in such contract or arrangement is material, has declared the nature of his or her interest at the earliest meeting of the board at which it is practicable for such director to do so, either specifically or by way of a general notice and (ii)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Committees of the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Audit Committee.    </w:t>
      </w:r>
      <w:r>
        <w:rPr>
          <w:rFonts w:ascii="Times New Roman PS Std;serif" w:hAnsi="Times New Roman PS Std;serif"/>
          <w:b w:val="false"/>
          <w:i w:val="false"/>
          <w:caps w:val="false"/>
          <w:smallCaps w:val="false"/>
          <w:sz w:val="20"/>
        </w:rPr>
        <w:t>Our audit committee will initially consist of three directors, namely            ,              and             . Each of those three directors satisfies the “independence” requirements under [Rule 5605(c)(2) of the Listing Rules of the NASDAQ Stock Market/Section 303A of the Corporate Governance Rules of the New York Stock Exchange] and meets the independence standards under Rule 10A-3 under the Exchange Act. We have determined that [            ] qualifies as an “audit committee financial expert.” The audit committee oversees our accounting and financial reporting processes and the audits of the financial statements of our company. The audit committee is responsible for,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Selecting and appointing the independent auditors and pre-approving all auditing and non-auditing services permitted to be performed by such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the independent auditors any audit problems or difficulties and management’s response;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all proposed related party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the annual audited financial statements with management and the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our accounting and internal control policies and procedures and any steps taken to monitor and control major financial risk exposures;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meeting separately and periodically with management and our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reporting regularly to the full board of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compliance with our code of business conduct and ethics, including reviewing the adequacy and effectiveness of our procedures to ensure proper compliance;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matters that are specifically assigned to our audit committee by our board of directors from time to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Compensation Committee.    </w:t>
      </w:r>
      <w:r>
        <w:rPr>
          <w:rFonts w:ascii="Times New Roman PS Std;serif" w:hAnsi="Times New Roman PS Std;serif"/>
          <w:b w:val="false"/>
          <w:i w:val="false"/>
          <w:caps w:val="false"/>
          <w:smallCaps w:val="false"/>
          <w:sz w:val="20"/>
        </w:rPr>
        <w:t>Our compensation committee will initially consist of three members, namely            ,            and            . Each of those three directors satisfies the “independence” requirements of [Rule 5605(a)(2) of the Listing Rules of the NASDAQ Stock Market/ Section 303A of the Corporate Governance Rules of the New York Stock Exchange].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to the board with respect to the compensation for our chief executive officer and other executive officers;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and overseeing the total compensation package for our executives other than the most senior executive officers;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recommending to the board with respect to the compensation of our non-employee directors;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periodically and approving any long-term incentive compensation or equity plans, programs or arrangements of similar nature such as annual bonuses, employee pension and welfare benefit plans.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Nominating and corporate governance committee.    </w:t>
      </w:r>
      <w:r>
        <w:rPr>
          <w:rFonts w:ascii="Times New Roman PS Std;serif" w:hAnsi="Times New Roman PS Std;serif"/>
          <w:b w:val="false"/>
          <w:i w:val="false"/>
          <w:caps w:val="false"/>
          <w:smallCaps w:val="false"/>
          <w:sz w:val="20"/>
        </w:rPr>
        <w:t xml:space="preserve">Our nominating and corporate governance committee will initially consist of three directors, namely,            ,            and            . Each of those three directors satisfies the “independence” requirements under [Rule 5605(a)(2) of the Listing Rules of the NASDAQ Stock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Market/Section 303A of the Corporate Governance Rules of the New York Stock Exchange] and meets the independence standards under Rule 10A-3 under the Exchange Act.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and recommending nominees for election by the shareholders or appointment by the board of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annually with the board of directors about its current composition with regards to characteristics such as independence, age, skills, experience, diversity and availability of service to 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of directors on the frequency and structure of board meetings and monitoring the functioning of the committees of the board;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Duties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all the powers necessary for managing, and for directing and supervising, our business affairs. The functions and powers of our board of directors include, among others: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convening shareholders’ annual and extraordinary general meetings and reporting its work to shareholders at such meetings;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declaring dividends and distributions;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officers and determining the term of office and responsibilities of the officers;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exercising the borrowing powers of our company and mortgaging the property of our company;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the transfer of shares in our company, including the registration of such shares in our register of members.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Terms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such director’s office be vacated; (v) is prohibited by law from being a director, or (vi) is removed from office pursuant to any other provision of our memorandum and articles of association, as amended and restated from time to time. Our officers are elected by and serve at the discretion of the board of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 and Indemnification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completion of this offering, we plan to enter into new employment agreements with our senior executive officers to replace the employment agreements currently in effect. Pursuant to these new agreements, we will be entitled to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 officer may terminate his or her 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will also agree that we shall own all the intellectual property developed by such officer during his or her employment.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enter into indemnification agreements with our directors and executive officers. Under these agreements, we may agree to indemnify our directors and executive officers against certain liabilities and expenses incurred by such persons in connection with claims made due to their being a director or officer of our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2022, we paid an aggregate of approximately US$0.6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(2020 Rev Ed). The specific contribution rate to be made varies depending on whether the employee is a Singapore citizen or permanent resident and the age group and wage band of the employee.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Incentive Plan</w:t>
      </w:r>
    </w:p>
    <w:p>
      <w:pPr>
        <w:pStyle w:val="TextBody"/>
        <w:keepNext w:val="true"/>
        <w:pageBreakBefore w:val="false"/>
        <w:widowControl/>
        <w:pBdr/>
        <w:bidi w:val="0"/>
        <w:spacing w:before="240" w:after="283"/>
        <w:ind w:left="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2023 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2023 Equity Incentive Plan was adopted on            ,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number of ordinary shares may be subject to awards pursuant to the 2023 Equity Incentive Plan is [ ] initially. The aggregate number of ordinary shares available for issuance under the 2023 Equity Incentive Plan will be increased (i) on January 1 of the fiscal year immediately following the fiscal year in which an initial public offering of our shares, or a Qualified IPO, is consummated, by an amount equal to [ ]% of the total number of ordinary shares issued and outstanding on December 31 of the immediately preceding fiscal year, and (ii) on January 1 of each fiscal year during the period beginning with the second fiscal year following the fiscal year in which a Qualified IPO is consummated, by an amount equal to [ ]% of the total number of ordinary shares issued and outstanding on December 31 of the immediately preceding fiscal year.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Awards under the 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 Options.    </w:t>
      </w:r>
      <w:r>
        <w:rPr>
          <w:rFonts w:ascii="Times New Roman PS Std;serif" w:hAnsi="Times New Roman PS Std;serif"/>
          <w:b w:val="false"/>
          <w:i w:val="false"/>
          <w:caps w:val="false"/>
          <w:smallCaps w:val="false"/>
          <w:sz w:val="20"/>
        </w:rPr>
        <w:t>Share options may be granted under the 2023 Equity Incentive Plan. The administrator determines the exercise price for each option award, which is stated in the award agreement and should in no case be lower than the par value of our ordinary shares in no case. [One-third(1/3) of the shares subject to an option will vest on each of the first, second and third annual anniversaries of the vesting commencement date, unless otherwise provided in the award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Shares.    </w:t>
      </w:r>
      <w:r>
        <w:rPr>
          <w:rFonts w:ascii="Times New Roman PS Std;serif" w:hAnsi="Times New Roman PS Std;serif"/>
          <w:b w:val="false"/>
          <w:i w:val="false"/>
          <w:caps w:val="false"/>
          <w:smallCaps w:val="false"/>
          <w:sz w:val="20"/>
        </w:rPr>
        <w:t>A restricted share award agreement will specify restrictions on the duration of the 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Share Units.    </w:t>
      </w:r>
      <w:r>
        <w:rPr>
          <w:rFonts w:ascii="Times New Roman PS Std;serif" w:hAnsi="Times New Roman PS Std;serif"/>
          <w:b w:val="false"/>
          <w:i w:val="false"/>
          <w:caps w:val="false"/>
          <w:smallCaps w:val="false"/>
          <w:sz w:val="20"/>
        </w:rPr>
        <w:t>Awards of restricted share units may be granted by the administrator. At the time 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Control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change in control, the administrator may provide for acceleration of awards, purchase of awards from holders or replacement of awards.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terminated earlier, the 2023 Equity Incentive Plan will continue in effect for a term of ten years from the date of its adoption.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Amendment and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shareholders’ approval and certain exceptions, the board of directors may at any time amend or terminate the 2023 Equity Incentive Plan.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12"/>
      <w:bookmarkEnd w:id="18"/>
      <w:r>
        <w:rPr>
          <w:rFonts w:ascii="Times New Roman PS Std;serif" w:hAnsi="Times New Roman PS Std;serif"/>
          <w:b/>
          <w:i w:val="false"/>
          <w:caps w:val="false"/>
          <w:smallCaps w:val="false"/>
          <w:sz w:val="20"/>
        </w:rPr>
        <w:t>PRINCIPAL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specifically noted, the following table sets forth information with respect to the beneficial ownership of our ordinary shares as of the date of this prospectus by: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executive officers;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principal shareholders who beneficially own 5% or more of our total outstanding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calculations in the table below are based on [            ] ordinary shares issued and outstanding as of the date of this prospectus, and [            ] Class A ordinary shares and [            ] Class B ordinary shares issued and outstanding immediately after the completion of this offering, assuming the underwriters do not exercise their option to purchase additional ADSs. All of our issued and outstanding shares are fully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tbl>
      <w:tblPr>
        <w:tblW w:w="10997" w:type="dxa"/>
        <w:jc w:val="left"/>
        <w:tblInd w:w="0" w:type="dxa"/>
        <w:tblLayout w:type="fixed"/>
        <w:tblCellMar>
          <w:top w:w="0" w:type="dxa"/>
          <w:left w:w="0" w:type="dxa"/>
          <w:bottom w:w="0" w:type="dxa"/>
          <w:right w:w="0" w:type="dxa"/>
        </w:tblCellMar>
      </w:tblPr>
      <w:tblGrid>
        <w:gridCol w:w="1286"/>
        <w:gridCol w:w="146"/>
        <w:gridCol w:w="1186"/>
        <w:gridCol w:w="146"/>
        <w:gridCol w:w="1306"/>
        <w:gridCol w:w="146"/>
        <w:gridCol w:w="1036"/>
        <w:gridCol w:w="146"/>
        <w:gridCol w:w="1066"/>
        <w:gridCol w:w="146"/>
        <w:gridCol w:w="901"/>
        <w:gridCol w:w="146"/>
        <w:gridCol w:w="901"/>
        <w:gridCol w:w="146"/>
        <w:gridCol w:w="1036"/>
        <w:gridCol w:w="146"/>
        <w:gridCol w:w="1111"/>
      </w:tblGrid>
      <w:tr>
        <w:trPr/>
        <w:tc>
          <w:tcPr>
            <w:tcW w:w="12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0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Shares </w:t>
              <w:br/>
              <w:t xml:space="preserve">Beneficially Owned </w:t>
              <w:br/>
              <w:t>Prior to This Offering</w:t>
            </w:r>
          </w:p>
        </w:tc>
        <w:tc>
          <w:tcPr>
            <w:tcW w:w="146" w:type="dxa"/>
            <w:tcBorders/>
            <w:vAlign w:val="bottom"/>
          </w:tcPr>
          <w:p>
            <w:pPr>
              <w:pStyle w:val="TableContents"/>
              <w:bidi w:val="0"/>
              <w:spacing w:before="0" w:after="283"/>
              <w:jc w:val="left"/>
              <w:rPr/>
            </w:pPr>
            <w:r>
              <w:rPr/>
              <w:t> </w:t>
            </w:r>
          </w:p>
        </w:tc>
        <w:tc>
          <w:tcPr>
            <w:tcW w:w="43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Shares </w:t>
              <w:br/>
              <w:t xml:space="preserve">Beneficially Owned </w:t>
              <w:br/>
              <w:t>After This Offering</w:t>
            </w:r>
          </w:p>
        </w:tc>
      </w:tr>
      <w:tr>
        <w:trPr/>
        <w:tc>
          <w:tcPr>
            <w:tcW w:w="1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Ordinary</w:t>
              <w:br/>
              <w:t>Shares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Ordinary</w:t>
              <w:br/>
              <w:t>Shares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 Total</w:t>
              <w:br/>
              <w:t>Ordinary</w:t>
              <w:br/>
              <w:t>Shares</w:t>
              <w:br/>
              <w:t>on An</w:t>
              <w:br/>
              <w:t>As-</w:t>
              <w:br/>
              <w:t>converted</w:t>
              <w:br/>
              <w:t>Basis†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Aggregate</w:t>
              <w:br/>
              <w:t>Voting</w:t>
              <w:br/>
              <w:t>Power††</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Ordinary</w:t>
              <w:br/>
              <w:t>Shares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Ordinary</w:t>
              <w:br/>
              <w:t>Shares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Total</w:t>
              <w:br/>
              <w:t>Ordinary</w:t>
              <w:br/>
              <w:t>Shares</w:t>
              <w:br/>
              <w:t>on An</w:t>
              <w:br/>
              <w:t>As-</w:t>
              <w:br/>
              <w:t>converted</w:t>
              <w:br/>
              <w:t>Basis</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Aggregate</w:t>
              <w:br/>
              <w:t>Voting</w:t>
              <w:br/>
              <w:t>Power</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Soon Huat Lim</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275,705,000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65.1</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95.0</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Poh Kiong Tan</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0.3</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Haiyan Huang</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All directors and executive officers as a group</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290,705,000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68.1</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95.4</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Shareholders: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Trident Digital Tech Ltd</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Trident Group Holdings Ltd</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 Wealth Ltd</w:t>
            </w:r>
            <w:r>
              <w:rPr>
                <w:rFonts w:ascii="Times New Roman PS Std;serif" w:hAnsi="Times New Roman PS Std;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125,705,000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25.1</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Soon Tai Lee</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Yat Hong Lo</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25,000,000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0.7</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Except as indicated otherwise below, the business address of our directors and executive officers is Suntec Tower 3, 8 Temasek Boulevard Road, #24-03 Singapore, 038988.</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For each person and group included in this table, percentage ownership is calculated by dividing the number of shares beneficially owned by such person or group by the sum of (i) the number of ordinary shares outstanding as of the date of this prospectus, and (ii) the number of ordinary shares underlying share options held by such person or group that are exercisable within 60 days after the date of this prospectus.</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For each person and group included in this column, percentage of voting power is calculated by dividing the voting power beneficially owned by such person or group by the voting power of all of our ordinary shares as a single class. 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(i) 50,000,000 Class A ordinary shares held by Trident Digital Tech Ltd, a company limited by shares incorporated in British Virgin Islands which is wholly owned by Mr. Soon Huat Lim; (ii) 150,000,000 Class B ordinary shares held by Trident Group Holdings Ltd, a company limited by shares incorporated in British Virgin Islands which is wholly owned by Mr. Soon Huat Lim; and (iii) 125,705,000 Class B ordinary shares held by Tri Wealth Ltd, a company 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10,000,000 Class B ordinary shares directly held by Mr. Poh Kiong Tan.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5,000,000 Class B ordinary shares held by Trident Verse Ltd, a company limited by shares incorporated in British Virgin Islands which is wholly owned by Ms. Haiyan Huang. The registered address of Trident Verse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Represents 150,000,000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Represents 125,705,000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Represents 75,000,000 Class B ordinary shares directly held by Mr. Soon Tai Lee.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Represents 25,000,000 Class B ordinary shares directly held by Mr. Yat Hong Lo.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none of our ordinary shares are held by record holders in the United States. None of our existing shareholders will have different voting rights from other shareholders after the completion of this offering. We are not aware of any arrangement that may, at a subsequent date, result in a change of control of our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11"/>
      <w:bookmarkEnd w:id="19"/>
      <w:r>
        <w:rPr>
          <w:rFonts w:ascii="Times New Roman PS Std;serif" w:hAnsi="Times New Roman PS Std;serif"/>
          <w:b/>
          <w:i w:val="false"/>
          <w:caps w:val="false"/>
          <w:smallCaps w:val="false"/>
          <w:sz w:val="20"/>
        </w:rPr>
        <w:t>RELATED PARTY TRANSACTIONS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Placements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“Description of Share Capital — History of Securities Issuances.”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 and Indemnification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“Management — Employment Agreements and Indemnification Agreements.”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“Management — Equity Incentive Plan.”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Related Party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from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2022, Trident Consultancy Pte. Ltd., a wholly-owned company of Mr. Soon Huat Lim, our founder, chairman of board of directors and chief executive officer, provided an interest-free loan to us to support our operations. The loan was due on demand. The remaining balance of the loan was fully settled in January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Lim has also historically provided short-term financing for us to support our operation. The financing was provided in the form of interest-free short-term borrowings. The short-term borrowings did not have a fixed term and were repayable upon demand. The remaining balance of the shot-term borrowings was fully settled in June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Poh Kiong Tan, our chief technology officer, has historically provided short-term financing for us to support our operation. The financing was provided in the form of interest-free short-term borrowings. The short-term borrowings did not have a fixed term and were repayable upon demand. The remaining balance of the shot-term borrowings was fully settled in January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receive any financing from related parties after completion of this offering.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10"/>
      <w:bookmarkEnd w:id="20"/>
      <w:r>
        <w:rPr>
          <w:rFonts w:ascii="Times New Roman PS Std;serif" w:hAnsi="Times New Roman PS Std;serif"/>
          <w:b/>
          <w:i w:val="false"/>
          <w:caps w:val="false"/>
          <w:smallCaps w:val="false"/>
          <w:sz w:val="20"/>
        </w:rPr>
        <w:t>DESCRIPTION OF SHARE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incorporated as an exempted company with limited liability in the Cayman Islands on June 12, 2023. Our affairs are currently governed by our memorandum and articles of association and the Companies Act, Cap 22 (Law 3 of 1961, as consolidated and revised) of the Cayman Islands, or the Companies Act in this section.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our authorized share capital is US$50,000 divided into 5,000,000,000 ordinary shares with a par value of US$0.00001 each, comprising (i) 1,000,000,000 Class A ordinary shares, (ii) 4,000,000,000 Class B ordinary shares. As of the date of this prospectus, (i)            Class A ordinary shares, and (ii)            Class B ordinary shares are issued and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adopt, subject to the approval of the existing shareholders, an amended and restated memorandum and articles of association, which will become effective upon completion of this offering and replace the current memorandum and articles of association in its entirety immediately prior to the completion of this offering. Our authorized share capital immediately prior to the completion of the offering will be US$50,000 divided into 5,000,000,000 ordinary shares with a par value of US$0.00001 each, comprising (i) 1,000,000,000 Class A ordinary shares, (ii) 4,000,000,000 Class B ordinary shares. We will issue            Class B ordinary shares represented by ADSs in this offering. All options, regardless of grant dates, will entitle holders to an equivalent number of ordinary shares once the vesting and exercising conditions are met.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summaries of material provisions of our post-offering amended and restated memorandum and articles of association and the Companies Act insofar as they relate to the material terms of our ordinary shares that we expect will become effective immediately prior to the completion of this offering.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General.    </w:t>
      </w:r>
      <w:r>
        <w:rPr>
          <w:rFonts w:ascii="Times New Roman PS Std;serif" w:hAnsi="Times New Roman PS Std;serif"/>
          <w:b w:val="false"/>
          <w:i w:val="false"/>
          <w:caps w:val="false"/>
          <w:smallCaps w:val="false"/>
          <w:sz w:val="20"/>
        </w:rPr>
        <w:t>Our ordinary shares are divided into Class A ordinary shares and Class B ordinary shares. 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Conversion.    </w:t>
      </w:r>
      <w:r>
        <w:rPr>
          <w:rFonts w:ascii="Times New Roman PS Std;serif" w:hAnsi="Times New Roman PS Std;serif"/>
          <w:b w:val="false"/>
          <w:i w:val="false"/>
          <w:caps w:val="false"/>
          <w:smallCaps w:val="false"/>
          <w:sz w:val="20"/>
        </w:rPr>
        <w:t>Class A ordinary shares may be converted into the same number of Class B ordinary shares by the holders thereof at any time, while Class B ordinary shares cannot be converted into Class A ordinary shares under any circumstances. Upon any sale, transfer, assignment or disposition of Class A ordinary shares by a holder thereof to any person other than holders of Class A ordinary shares or their affiliates, such Class A ordinary shares shall be automatically and immediately converted into the same number of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Dividends.    </w:t>
      </w:r>
      <w:r>
        <w:rPr>
          <w:rFonts w:ascii="Times New Roman PS Std;serif" w:hAnsi="Times New Roman PS Std;serif"/>
          <w:b w:val="false"/>
          <w:i w:val="false"/>
          <w:caps w:val="false"/>
          <w:smallCaps w:val="false"/>
          <w:sz w:val="20"/>
        </w:rPr>
        <w:t>Subject to the Companies Act, our directors may declare dividends in any currency to be 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also pay interim dividends, whenever our financial position, in the opinion of our directors, justifies such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deduct from any dividend or bonus payable to any shareholder all sums of money (if any) presently payable by such shareholder to us on account of calls or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Voting Rights.    </w:t>
      </w:r>
      <w:r>
        <w:rPr>
          <w:rFonts w:ascii="Times New Roman PS Std;serif" w:hAnsi="Times New Roman PS Std;serif"/>
          <w:b w:val="false"/>
          <w:i w:val="false"/>
          <w:caps w:val="false"/>
          <w:smallCaps w:val="false"/>
          <w:sz w:val="20"/>
        </w:rPr>
        <w:t>On a show of hands each shareholder is entitled to one vote or, on a poll, each shareholder is entitled to one vote for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poll may be demanded by the chairman of such meeting or any shareholder present in person or by proxy.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shareholder shall be entitled to vote or be reckoned in a quorum, in respect of any share, unless such shareholder is duly registered as our shareholder and all calls or instalments due by such shareholder to us have been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Transfer of Ordinary Shares.    </w:t>
      </w:r>
      <w:r>
        <w:rPr>
          <w:rFonts w:ascii="Times New Roman PS Std;serif" w:hAnsi="Times New Roman PS Std;serif"/>
          <w:b w:val="false"/>
          <w:i w:val="false"/>
          <w:caps w:val="false"/>
          <w:smallCaps w:val="false"/>
          <w:sz w:val="20"/>
        </w:rPr>
        <w:t>Subject to any applicable restrictions set forth in our articles of 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[NASDAQ/NYSE] or in another form that our directors may approve.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decline to register any transfer of any share which is not paid up or on which we have a lien. Our directors may also decline to register any transfer of any share unless: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lodged with us and is accompanied by the certificate for the shares to which it relates and such other evidence as our directors may reasonably require to show the right of the transferor to make the transfer;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in respect of only one class of share;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properly stamped (in circumstances where stamping is required);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fee of such maximum sum as the [NASDAQ/NYSE] may determine to be payable or such lesser sum as our directors may from time to time require is paid to us in respect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Liquidation.    </w:t>
      </w:r>
      <w:r>
        <w:rPr>
          <w:rFonts w:ascii="Times New Roman PS Std;serif" w:hAnsi="Times New Roman PS Std;serif"/>
          <w:b w:val="false"/>
          <w:i w:val="false"/>
          <w:caps w:val="false"/>
          <w:smallCaps w:val="false"/>
          <w:sz w:val="20"/>
        </w:rPr>
        <w:t>Subject to any future shares which are issued with specific rights, (1) if we are wound up 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Calls on Ordinary Shares and Forfeiture of Ordinary Shares.    </w:t>
      </w:r>
      <w:r>
        <w:rPr>
          <w:rFonts w:ascii="Times New Roman PS Std;serif" w:hAnsi="Times New Roman PS Std;serif"/>
          <w:b w:val="false"/>
          <w:i w:val="false"/>
          <w:caps w:val="false"/>
          <w:smallCaps w:val="false"/>
          <w:sz w:val="20"/>
        </w:rPr>
        <w:t>Subject to our memorandum and articles 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that have been called upon and remain unpaid are subject to forfeiture.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Redemption, Repurchase and Surrender of Ordinary Shares.    </w:t>
      </w:r>
      <w:r>
        <w:rPr>
          <w:rFonts w:ascii="Times New Roman PS Std;serif" w:hAnsi="Times New Roman PS Std;serif"/>
          <w:b w:val="false"/>
          <w:i w:val="false"/>
          <w:caps w:val="false"/>
          <w:smallCaps w:val="false"/>
          <w:sz w:val="20"/>
        </w:rPr>
        <w:t>We are empowered by the Companies Act and our amended and restated articles of association to purchase our own shares, subject to certain restrictions.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only exercise this power on our behalf, subject to the Companies Act, our memorandum and articles of association and to any applicable requirements imposed from time to time by the [NASDAQ/NYSE], the Securities and Exchange Commission, or by any other recognized stock exchange on which our securities are listed.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Variations of Rights of Shares.    </w:t>
      </w:r>
      <w:r>
        <w:rPr>
          <w:rFonts w:ascii="Times New Roman PS Std;serif" w:hAnsi="Times New Roman PS Std;serif"/>
          <w:b w:val="false"/>
          <w:i w:val="false"/>
          <w:caps w:val="false"/>
          <w:smallCaps w:val="false"/>
          <w:sz w:val="20"/>
        </w:rPr>
        <w:t>If at any time, our share capital is divided into different classes of 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xml:space="preserve"> with such existing class of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Inspection of Books and Records.    </w:t>
      </w:r>
      <w:r>
        <w:rPr>
          <w:rFonts w:ascii="Times New Roman PS Std;serif" w:hAnsi="Times New Roman PS Std;serif"/>
          <w:b w:val="false"/>
          <w:i w:val="false"/>
          <w:caps w:val="false"/>
          <w:smallCaps w:val="false"/>
          <w:sz w:val="20"/>
        </w:rPr>
        <w:t>Holders of our ordinary shares have no general right under Cayman 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Issuance of Additional Shares.    </w:t>
      </w:r>
      <w:r>
        <w:rPr>
          <w:rFonts w:ascii="Times New Roman PS Std;serif" w:hAnsi="Times New Roman PS Std;serif"/>
          <w:b w:val="false"/>
          <w:i w:val="false"/>
          <w:caps w:val="false"/>
          <w:smallCaps w:val="false"/>
          <w:sz w:val="20"/>
        </w:rPr>
        <w:t>Our post-offering amended and restated memorandum of association authorizes our board of directors to issue additional ordinary shares from time to time as our board of directors shall determine, to the extent of available authorized but unissued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of the series;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of the series;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dividend rights, dividend rates, conversion rights, voting rights;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and terms of redemption and liquidation preferences.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may issue preferred shares without action by our shareholders to the extent authorized but unissued. Issuance of these shares may dilute the voting power of holders of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Anti-Takeover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Provisions.    </w:t>
      </w:r>
      <w:r>
        <w:rPr>
          <w:rFonts w:ascii="Times New Roman PS Std;serif" w:hAnsi="Times New Roman PS Std;serif"/>
          <w:b w:val="false"/>
          <w:i w:val="false"/>
          <w:caps w:val="false"/>
          <w:smallCaps w:val="false"/>
          <w:sz w:val="20"/>
        </w:rPr>
        <w:t>Some provisions of our post-offering amended and restated memorandum and articles of association may 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 of Members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            ], Cayman Islands, which provides us with corporate administrative services. We will perform the procedures necessary to register the shares in the register of members as required in “PART III — Distribution of Capital and Liability of Members of Companies and Associations” of the Companies Act, and will ensure that the entries on the register of members are made without any delay.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have recourse against us under the terms of the deposit agreement, and also will hold a share certificate evidencing the depositary as the registered holder of shares underlying the ADSs. Further, Section 46 of the Companies Act provides members.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we fail to update our register of member, the depositary, as the aggrieved party, may apply for an order with the courts of the Cayman Islands for the rectification of the register.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Differences in Corporate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Companies Act differs from laws applicable to United States corporations and their shareholders. Set forth below is a summary of the significant differences between the provisions of the Companies Act applicable to us and the laws applicable to United States corporations and companies incorporated in the State of Delaware.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Mergers and Similar Arrangements.    </w:t>
      </w:r>
      <w:r>
        <w:rPr>
          <w:rFonts w:ascii="Times New Roman PS Std;serif" w:hAnsi="Times New Roman PS Std;serif"/>
          <w:b w:val="false"/>
          <w:i w:val="false"/>
          <w:caps w:val="false"/>
          <w:smallCaps w:val="false"/>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statutory provisions as to the required majority vote have been met;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such that may be reasonably approved by an intelligent and honest man of that class acting in respect of his interest;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not one that would more properly be sanctioned under some other provision of the Companies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Shareholders’ Suits.    </w:t>
      </w:r>
      <w:r>
        <w:rPr>
          <w:rFonts w:ascii="Times New Roman PS Std;serif" w:hAnsi="Times New Roman PS Std;serif"/>
          <w:b w:val="false"/>
          <w:i w:val="false"/>
          <w:caps w:val="false"/>
          <w:smallCaps w:val="false"/>
          <w:sz w:val="20"/>
        </w:rPr>
        <w:t xml:space="preserve">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PS Std;serif" w:hAnsi="Times New Roman PS Std;serif"/>
          <w:b w:val="false"/>
          <w:i/>
          <w:caps w:val="false"/>
          <w:smallCaps w:val="false"/>
          <w:sz w:val="20"/>
        </w:rPr>
        <w:t>Foss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Harbottle </w:t>
      </w:r>
      <w:r>
        <w:rPr>
          <w:rFonts w:ascii="Times New Roman PS Std;serif" w:hAnsi="Times New Roman PS Std;serif"/>
          <w:b w:val="false"/>
          <w:i w:val="false"/>
          <w:caps w:val="false"/>
          <w:smallCaps w:val="false"/>
          <w:sz w:val="20"/>
        </w:rPr>
        <w:t>and the exceptions thereto) so that a non-controlling shareholder may be permitted to commence a class action against or derivative actions in the name of our company to challenge actions where: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company acts or proposes to act illegally or ultra vires;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act complained of, although not ultra vires, could only be effected duly if authorized by more than a simple majority vote that has not been obtained;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those who control our company are perpetrating a “fraud on the minority.”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Indemnification of Directors and Executive Officers and Limitation of Liability.    </w:t>
      </w:r>
      <w:r>
        <w:rPr>
          <w:rFonts w:ascii="Times New Roman PS Std;serif" w:hAnsi="Times New Roman PS Std;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Directors’ Fiduciary Duties.    </w:t>
      </w:r>
      <w:r>
        <w:rPr>
          <w:rFonts w:ascii="Times New Roman PS Std;serif" w:hAnsi="Times New Roman PS Std;serif"/>
          <w:b w:val="false"/>
          <w:i w:val="false"/>
          <w:caps w:val="false"/>
          <w:smallCaps w:val="false"/>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 Action by Written Consent.    </w:t>
      </w:r>
      <w:r>
        <w:rPr>
          <w:rFonts w:ascii="Times New Roman PS Std;serif" w:hAnsi="Times New Roman PS Std;serif"/>
          <w:b w:val="false"/>
          <w:i w:val="false"/>
          <w:caps w:val="false"/>
          <w:smallCaps w:val="false"/>
          <w:sz w:val="20"/>
        </w:rPr>
        <w:t>Under the Delaware General Corporation Law, a corporation 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 Proposals.    </w:t>
      </w:r>
      <w:r>
        <w:rPr>
          <w:rFonts w:ascii="Times New Roman PS Std;serif" w:hAnsi="Times New Roman PS Std;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Cumulative Voting.    </w:t>
      </w:r>
      <w:r>
        <w:rPr>
          <w:rFonts w:ascii="Times New Roman PS Std;serif" w:hAnsi="Times New Roman PS Std;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Removal of Directors.    </w:t>
      </w:r>
      <w:r>
        <w:rPr>
          <w:rFonts w:ascii="Times New Roman PS Std;serif" w:hAnsi="Times New Roman PS Std;serif"/>
          <w:b w:val="false"/>
          <w:i w:val="false"/>
          <w:caps w:val="false"/>
          <w:smallCaps w:val="false"/>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Transactions with Interested Shareholders.    </w:t>
      </w:r>
      <w:r>
        <w:rPr>
          <w:rFonts w:ascii="Times New Roman PS Std;serif" w:hAnsi="Times New Roman PS Std;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Dissolution; Winding up.    </w:t>
      </w:r>
      <w:r>
        <w:rPr>
          <w:rFonts w:ascii="Times New Roman PS Std;serif" w:hAnsi="Times New Roman PS Std;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Variation of Rights of Shares.    </w:t>
      </w:r>
      <w:r>
        <w:rPr>
          <w:rFonts w:ascii="Times New Roman PS Std;serif" w:hAnsi="Times New Roman PS Std;serif"/>
          <w:b w:val="false"/>
          <w:i w:val="false"/>
          <w:caps w:val="false"/>
          <w:smallCaps w:val="false"/>
          <w:sz w:val="20"/>
        </w:rPr>
        <w:t>Under the Delaware General Corporation Law, a corporation may vary the rights of a class of shares with the approval of a majority of the issued and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Amendment of Governing Documents.    </w:t>
      </w:r>
      <w:r>
        <w:rPr>
          <w:rFonts w:ascii="Times New Roman PS Std;serif" w:hAnsi="Times New Roman PS Std;serif"/>
          <w:b w:val="false"/>
          <w:i w:val="false"/>
          <w:caps w:val="false"/>
          <w:smallCaps w:val="false"/>
          <w:sz w:val="20"/>
        </w:rPr>
        <w:t>Under the Delaware General Corporation Law, a corporation’s governing documents may be amended with the approval of a majority of the issued and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Rights of Nonresident or Foreign Shareholders.    </w:t>
      </w:r>
      <w:r>
        <w:rPr>
          <w:rFonts w:ascii="Times New Roman PS Std;serif" w:hAnsi="Times New Roman PS Std;serif"/>
          <w:b w:val="false"/>
          <w:i w:val="false"/>
          <w:caps w:val="false"/>
          <w:smallCaps w:val="false"/>
          <w:sz w:val="20"/>
        </w:rPr>
        <w:t>There are no limitations imposed by our post-offering 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History of Securities Issuance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2023, we issued one Class A ordinary share at par value US$0.00001 to the initial subscriber and such share was transferred to Trident Digital Tech Ltd, an entity owned by our founder, chairman of board of directors and chief executive officer, Mr. Soon Huat Lim, on the same day. On the same day, we issued an additional 49,999,999 Class A ordinary shares to Trident Digital Tech Ltd, at par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2023, we issued an aggregate of 275,705,000 Class B ordinary shares, to Trident Group Holdings Ltd and Tri Wealth Ltd, entities owned by Mr. Lim, at par value of US$0.00001 each.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we issued 10,000,000 Class B ordinary shares to our chief technology officer, Mr. Poh Kiong Tan, at par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we issued 5,000,000 Class B ordinary shares to Trident Verse Ltd, an entity owned by our chief financial officer, Ms. Haiyan Huang, at par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as part of our reorganization in preparation for our financing and listing opportunities outside Singapore, we issued an aggregate of 159,295,000 Class B ordinary shares to certain original shareholders of our operating subsidiaries in Singapore, at par value.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
      <w:bookmarkEnd w:id="21"/>
      <w:r>
        <w:rPr>
          <w:rFonts w:ascii="Times New Roman PS Std;serif" w:hAnsi="Times New Roman PS Std;serif"/>
          <w:b/>
          <w:i w:val="false"/>
          <w:caps w:val="false"/>
          <w:smallCaps w:val="false"/>
          <w:sz w:val="20"/>
        </w:rPr>
        <w:t>[DESCRIPTION OF AMERICAN DEPOSITARY SHARES</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has agreed to act as the depositary bank for the American Depositary Shares.             ’s depositary offices are located at            .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 keep the securities on deposit. In this case, the custodian is            , located at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appointed            as depositary bank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Please refer to Registration Number 333-             when retrieving such copy.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ADS represents the right to receive, and to exercise the beneficial ownership interests in, ordinary shares that are on deposit with and held under the name of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bank. As an ADS holder you appoint the depositary bank to act on your behalf in certain circumstances. The deposit agreement and the ADRs are governed by New York law. However, our obligations to the holders of ordinary shares will continue to be governed by the laws of the Cayman Islands, which may be different from the laws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applicable laws and regulations may require you to satisfy reporting requirements and obtain regulatory approvals in certain circumstances. You are solely responsible for complying with such reporting requirements and obtaining such approvals. None of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an owner of ADSs, we will not treat you as one of our shareholders and you will not have direct shareholder rights. The depositary bank will hold on your behalf the shareholder rights attached to the ordinary shares underlying your ADSs. As an owner of ADSs you will be able to exercise the shareholders rights for the ordinary shares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maximum extent permitted by applicable law, the registration of the ordinary shares in the name of the depositary bank or the custodian shall vest in the depositary bank or the custodian. The record ownership in the applicable ordinary shares with the beneficial ownership rights and interests in such ordinary shares shall be at all times vested with the beneficial owners of the ADSs representing the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 and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Distributions of 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make a cash distribution for the securities on deposit with the custodian, we will deposit the funds with the custodian. Upon receipt of confirmation of the deposit of the requisite funds, the depositary bank will arrange for the funds to be converted into U.S. dollars and for the distribution of the U.S. dollars to the holders, subject to the laws and regulations of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under the terms of the deposit agreement will make the distribution of cash net of the fees, expenses, taxes and governmental charges payable.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Distributions of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Whenever we make a free distribution of ordinary shares for the securities on deposit with the custodian, we will deposit the applicable number of ordinary shares with the custodian. Upon receipt of confirmation of such deposit, the depositary bank will either distribute to holders new ADSs representing the ordinary shares deposited 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modify the ADS-to-ordinary share ratio, in which case each ADS you hold will represent rights and interests in the additional ordinary shares so deposited. Only new ADSs will be distributed. Fractional entitlements will be sold and the proceeds of such sale will be distributed as in the case of a cash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under the terms of the deposit agreement will make the distribution of new ADSs or the modification of the ADS-to-ordinary share ratio upon a distribution of ordinary shares net of the fees, expenses, taxes and governmental charges payable. In order to pay such taxes or governmental charges, the depositary bank may sell all or a portion of the new ordinary shares so distributed.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such distribution of new ADSs will be made if it would violate a law (i.e.,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Distributions of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distribute rights to purchase additional ordinary shares, we will give prior notice to the depositary bank and we will assist the depositary bank in determining whether it is lawful and reasonably practicable to distribute rights to purchase additional ADSs to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purchase new ordinary shares other than in the form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depositary bank will </w:t>
      </w:r>
      <w:r>
        <w:rPr>
          <w:rFonts w:ascii="Times New Roman PS Std;serif" w:hAnsi="Times New Roman PS Std;serif"/>
          <w:b w:val="false"/>
          <w:i/>
          <w:caps w:val="false"/>
          <w:smallCaps w:val="false"/>
          <w:sz w:val="20"/>
        </w:rPr>
        <w:t xml:space="preserve">not </w:t>
      </w:r>
      <w:r>
        <w:rPr>
          <w:rFonts w:ascii="Times New Roman PS Std;serif" w:hAnsi="Times New Roman PS Std;serif"/>
          <w:b w:val="false"/>
          <w:i w:val="false"/>
          <w:caps w:val="false"/>
          <w:smallCaps w:val="false"/>
          <w:sz w:val="20"/>
        </w:rPr>
        <w:t>distribute the rights to you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timely request that the rights be distributed to you or we request that the rights not be distributed to you;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fail to deliver satisfactory documents to the depositary bank;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not reasonably practicable to distribute the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Elective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election is not made available to you, you will receive either cash or additional ADSs, depending on what a shareholder in the Cayman Islands would receive upon failing to make an election, as more fully described in the deposit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make a distribution of property other than cash, ordinary shares or rights to purchase additional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it is reasonably practicable to distribute such property to you and if we provide all of the documentation contemplated in the deposit agreement, the depositary bank will distribute the property to the holders in a manner it deems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not distribute the property to you and will sell the property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request that the property be distributed to you or if we ask that the property not be distributed to you;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deliver satisfactory documents to the depositary bank;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determines that all or a portion of the distribution to you is not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proceeds of such a sale will be distributed to holders as in the case of a cash distribution.</w:t>
      </w:r>
    </w:p>
    <w:p>
      <w:pPr>
        <w:pStyle w:val="TextBody"/>
        <w:keepNext w:val="false"/>
        <w:pageBreakBefore w:val="false"/>
        <w:widowControl/>
        <w:pBdr/>
        <w:bidi w:val="0"/>
        <w:spacing w:before="160" w:after="283"/>
        <w:ind w:left="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Redemption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custodian will be instructed to surrender the shares being redeemed against payment of the applicable redemption price. The depositary bank will convert the redemption funds received into U.S. dollars upon the terms of the deposit agreement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pro rata basis, as the depositary bank may determine.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Affecting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such change were to occur, your ADSs would, to the extent permitted by law, represent the right to receive the property received or exchanged in respect of the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bank may not lawfully distribute such property to you, the depositary bank may sell such property and distribute the net proceeds to you as in the case of a cash distribution.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ADSs upon Deposit of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this offering, the ordinary shares being offered pursuant to this prospectus will be deposited by us with the custodian. Upon receipt of confirmation of such deposit, the depositary bank will issue ADSs to the underwriters named in this prospectus. Upon receipt of confirmation of such deposit, the depositary bank will issue ADSs to the underwriters named in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closing of this offering, the depositary bank may create ADSs on your behalf if you or your broker deposit ordinary shares with the custodian. The depositary bank will deliver these ADSs to the person you indicate only after you pay any applicable issuance fees and any charges and taxes payable for the transfer of the ordinary shares to the custodian. Your ability to deposit ordinary shares and receive ADSs may be limited by U.S. and Cayman Islands legal considerations applicable at the time of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ADSs may be delayed until the depositary bank or the custodian receives confirmation that all required approvals have been given and that the ordinary shares have been duly transferred to the custodian. The depositary bank will only issue ADSs in whole numbers.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you make a deposit of ordinary shares, you will be responsible for transferring good and valid title to the depositary bank. As such, you will be deemed to represent and warrant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ordinary shares are duly authorized, validly issued, fully paid, non-assessable and legally obtained.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preemptive (and similar) rights, if any, with respect to such ordinary shares have been validly waived or exercised.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are duly authorized to deposit the ordinary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ordinary shares presented for deposit have not been stripped of any rights or entitlements.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of your representations or warranties is incorrect in any way, the depositary bank and we may, at your cost and expense, take any actions necessary to correct the consequences of the misrepresentations.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Combination and Split Up of ADRs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ADR holder, you will be entitled to transfer, combine or split up your ADRs and the ADSs evidenced thereby. For transfers of ADRs, you will have to surrender the ADRs to be transferred to the depositary bank and must: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ensure that the surrendered ADR is properly endorsed or otherwise in proper form for transfer;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such proof of identity and genuineness of signatures as the depositary bank deems appropriate;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any transfer stamps required by the State of New York or the United States;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pay all applicable fees, charges, expenses, taxes and other government charges payable by ADR holders pursuant to the terms of the deposit agreement, upon the transfer of ADRs.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Withdrawal of ordinary shares Upon Cancellation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of ADSs, you will be entitled to present your ADSs to the depositary bank for cancellation and then receive the corresponding number of underlying ordinary shares at the custodian’s offices. Your ability to withdraw the ordinary shares held in respect of the ADSs may be limited by U.S. and Cayman Islands considerations applicable at the time of withdrawal. In order to withdraw the ordinary shares represented by your ADSs, you will be required to pay to the depositary bank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ADSs registered in your name, the depositary bank may ask you to provide proof of identity and genuineness of any signature and such other documents as the depositary bank may deem appropriate before it will cancel your ADSs. The withdrawal of the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have the right to withdraw the securities represented by your ADSs at any time except for: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Temporary delays that may arise because (i) the transfer books for the ordinary shares or ADSs are closed, or (ii) ordinary shares are immobilized on account of a shareholders’ meeting or a payment of dividends.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Obligations to pay fees, taxes and similar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imposed because of laws or regulations applicable to ADSs or the withdrawal of securities on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may not be modified to impair your right to withdraw the securities represented by your ADSs except to comply with mandatory provisions of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you generally have the right under the deposit agreement to instruct the depositary bank to exercise the voting rights for the ordinary shares represented by your ADSs. The voting rights of holders of ordinary shares are described in “Description of Share Capital — Voting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request, the depositary bank will distribute to you any notice of shareholders’ meetings received from us, together with information explaining how to instruct the depositary bank to exercise the voting rights of the securities represented by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depositary bank timely receives voting instructions from a holder of ADSs, it will endeavor to vote the securities (in person or by proxy) represented by the holder’s ADSs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 xml:space="preserve">In the event of voting by show of hands, </w:t>
      </w:r>
      <w:r>
        <w:rPr>
          <w:rFonts w:ascii="Times New Roman PS Std;serif" w:hAnsi="Times New Roman PS Std;serif"/>
          <w:b w:val="false"/>
          <w:i w:val="false"/>
          <w:caps w:val="false"/>
          <w:smallCaps w:val="false"/>
          <w:sz w:val="20"/>
        </w:rPr>
        <w:t>the depositary bank will vote (or cause the custodian to vote) all ordinary shares held on deposit at that time in accordance with the voting instructions received from a majority of holders of ADSs who provide timely voting instructions.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 xml:space="preserve">In the event of voting by poll, </w:t>
      </w:r>
      <w:r>
        <w:rPr>
          <w:rFonts w:ascii="Times New Roman PS Std;serif" w:hAnsi="Times New Roman PS Std;serif"/>
          <w:b w:val="false"/>
          <w:i w:val="false"/>
          <w:caps w:val="false"/>
          <w:smallCaps w:val="false"/>
          <w:sz w:val="20"/>
        </w:rPr>
        <w:t>the depositary bank will vote (or cause the Custodian to vote) the ordinary shares held on deposit in accordance with the voting instructions received from the holders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for which no voting instructions have been received will not be voted (except as otherwise contemplated herein).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Fees and Charges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ADS holder, you will be required to pay the following fees under the terms of the deposit agreement:</w:t>
      </w:r>
    </w:p>
    <w:tbl>
      <w:tblPr>
        <w:tblW w:w="10205" w:type="dxa"/>
        <w:jc w:val="left"/>
        <w:tblInd w:w="0" w:type="dxa"/>
        <w:tblLayout w:type="fixed"/>
        <w:tblCellMar>
          <w:top w:w="0" w:type="dxa"/>
          <w:left w:w="0" w:type="dxa"/>
          <w:bottom w:w="0" w:type="dxa"/>
          <w:right w:w="0" w:type="dxa"/>
        </w:tblCellMar>
      </w:tblPr>
      <w:tblGrid>
        <w:gridCol w:w="5720"/>
        <w:gridCol w:w="146"/>
        <w:gridCol w:w="4339"/>
      </w:tblGrid>
      <w:tr>
        <w:trPr/>
        <w:tc>
          <w:tcPr>
            <w:tcW w:w="572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Service</w:t>
            </w:r>
          </w:p>
        </w:tc>
        <w:tc>
          <w:tcPr>
            <w:tcW w:w="146" w:type="dxa"/>
            <w:tcBorders/>
            <w:vAlign w:val="bottom"/>
          </w:tcPr>
          <w:p>
            <w:pPr>
              <w:pStyle w:val="TableContents"/>
              <w:bidi w:val="0"/>
              <w:spacing w:before="0" w:after="283"/>
              <w:jc w:val="left"/>
              <w:rPr/>
            </w:pPr>
            <w:r>
              <w:rPr/>
              <w:t> </w:t>
            </w:r>
          </w:p>
        </w:tc>
        <w:tc>
          <w:tcPr>
            <w:tcW w:w="433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Fees</w:t>
            </w:r>
          </w:p>
        </w:tc>
      </w:tr>
      <w:tr>
        <w:trPr/>
        <w:tc>
          <w:tcPr>
            <w:tcW w:w="5720"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Issuance of ADSs upon deposit of shares (excluding issuances as a result of distributions of shares)</w:t>
            </w:r>
          </w:p>
        </w:tc>
        <w:tc>
          <w:tcPr>
            <w:tcW w:w="146" w:type="dxa"/>
            <w:tcBorders/>
          </w:tcPr>
          <w:p>
            <w:pPr>
              <w:pStyle w:val="TableContents"/>
              <w:bidi w:val="0"/>
              <w:spacing w:before="0" w:after="283"/>
              <w:jc w:val="left"/>
              <w:rPr/>
            </w:pPr>
            <w:r>
              <w:rPr/>
              <w:t> </w:t>
            </w:r>
          </w:p>
        </w:tc>
        <w:tc>
          <w:tcPr>
            <w:tcW w:w="433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US$0.05 per ADS issued</w:t>
            </w:r>
          </w:p>
        </w:tc>
      </w:tr>
      <w:tr>
        <w:trPr/>
        <w:tc>
          <w:tcPr>
            <w:tcW w:w="5720"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Cancellation of ADSs</w:t>
            </w:r>
          </w:p>
        </w:tc>
        <w:tc>
          <w:tcPr>
            <w:tcW w:w="146" w:type="dxa"/>
            <w:tcBorders/>
          </w:tcPr>
          <w:p>
            <w:pPr>
              <w:pStyle w:val="TableContents"/>
              <w:bidi w:val="0"/>
              <w:spacing w:before="0" w:after="283"/>
              <w:jc w:val="left"/>
              <w:rPr/>
            </w:pPr>
            <w:r>
              <w:rPr/>
              <w:t> </w:t>
            </w:r>
          </w:p>
        </w:tc>
        <w:tc>
          <w:tcPr>
            <w:tcW w:w="433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US$0.05 per ADS canceled</w:t>
            </w:r>
          </w:p>
        </w:tc>
      </w:tr>
      <w:tr>
        <w:trPr/>
        <w:tc>
          <w:tcPr>
            <w:tcW w:w="5720"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cash dividends or other cash distributions (i.e., sale of rights and other entitlements)</w:t>
            </w:r>
          </w:p>
        </w:tc>
        <w:tc>
          <w:tcPr>
            <w:tcW w:w="146" w:type="dxa"/>
            <w:tcBorders/>
          </w:tcPr>
          <w:p>
            <w:pPr>
              <w:pStyle w:val="TableContents"/>
              <w:bidi w:val="0"/>
              <w:spacing w:before="0" w:after="283"/>
              <w:jc w:val="left"/>
              <w:rPr/>
            </w:pPr>
            <w:r>
              <w:rPr/>
              <w:t> </w:t>
            </w:r>
          </w:p>
        </w:tc>
        <w:tc>
          <w:tcPr>
            <w:tcW w:w="433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US$0.05 per ADS held</w:t>
            </w:r>
          </w:p>
        </w:tc>
      </w:tr>
      <w:tr>
        <w:trPr/>
        <w:tc>
          <w:tcPr>
            <w:tcW w:w="5720"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ADSs pursuant to (i) stock dividends or other free stock distributions, or (ii) exercise of rights to purchase additional ADSs</w:t>
            </w:r>
          </w:p>
        </w:tc>
        <w:tc>
          <w:tcPr>
            <w:tcW w:w="146" w:type="dxa"/>
            <w:tcBorders/>
          </w:tcPr>
          <w:p>
            <w:pPr>
              <w:pStyle w:val="TableContents"/>
              <w:bidi w:val="0"/>
              <w:spacing w:before="0" w:after="283"/>
              <w:jc w:val="left"/>
              <w:rPr/>
            </w:pPr>
            <w:r>
              <w:rPr/>
              <w:t> </w:t>
            </w:r>
          </w:p>
        </w:tc>
        <w:tc>
          <w:tcPr>
            <w:tcW w:w="433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US$0.05 per ADS held</w:t>
            </w:r>
          </w:p>
        </w:tc>
      </w:tr>
      <w:tr>
        <w:trPr/>
        <w:tc>
          <w:tcPr>
            <w:tcW w:w="5720"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securities other than ADSs or rights to purchase additional ADSs (i.e., spin-off shares)</w:t>
            </w:r>
          </w:p>
        </w:tc>
        <w:tc>
          <w:tcPr>
            <w:tcW w:w="146" w:type="dxa"/>
            <w:tcBorders/>
          </w:tcPr>
          <w:p>
            <w:pPr>
              <w:pStyle w:val="TableContents"/>
              <w:bidi w:val="0"/>
              <w:spacing w:before="0" w:after="283"/>
              <w:jc w:val="left"/>
              <w:rPr/>
            </w:pPr>
            <w:r>
              <w:rPr/>
              <w:t> </w:t>
            </w:r>
          </w:p>
        </w:tc>
        <w:tc>
          <w:tcPr>
            <w:tcW w:w="433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US$0.05 per ADS held</w:t>
            </w:r>
          </w:p>
        </w:tc>
      </w:tr>
      <w:tr>
        <w:trPr/>
        <w:tc>
          <w:tcPr>
            <w:tcW w:w="5720"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ADS Services</w:t>
            </w:r>
          </w:p>
        </w:tc>
        <w:tc>
          <w:tcPr>
            <w:tcW w:w="146" w:type="dxa"/>
            <w:tcBorders/>
          </w:tcPr>
          <w:p>
            <w:pPr>
              <w:pStyle w:val="TableContents"/>
              <w:bidi w:val="0"/>
              <w:spacing w:before="0" w:after="283"/>
              <w:jc w:val="left"/>
              <w:rPr/>
            </w:pPr>
            <w:r>
              <w:rPr/>
              <w:t> </w:t>
            </w:r>
          </w:p>
        </w:tc>
        <w:tc>
          <w:tcPr>
            <w:tcW w:w="433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US$0.05 per ADS held on the applicable record date(s) established by the depositary bank</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ADS holder you will also be responsible to pay certain charges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taxes (including applicable interest and penalties) and other governmental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cable, telex and facsimile transmission and delivery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expenses and charges incurred by the depositary bank in the conversion of foreign currency;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fees and expenses incurred by the depositary bank in connection with compliance with exchange control regulations and other regulatory requirements applicable to ordinary shares, ADSs and ADRs;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fees and expenses incurred by the depositary bank, the custodian, or any nominee in connection with the servicing or delivery of deposited property.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 fees and charges payable upon (i) deposit of ordinary shares against issuance of ADSs and (ii) surrender of ADSs for cancellation and withdrawal of ordinary shares are charged to the person to whom the ADSs are delivered (in the case of ADS issuances) and to the person who delivers the ADSs for cancellation (in the case of ADS cancellations). In the case of ADSs issued by the depositary bank into DTC or presented to the depositary bank via DTC, the ADS issuance and cancellation fees and charges may be deducted from distributions made through DTC, and may be charged to the DTC participant(s) receiving the ADSs or the DTC participant(s) surrendering the ADSs for cancellation,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ADS fees and charges (such as the ADS service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Amendments and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agree with the depositary bank to modify the deposit agreement at any time without your consent. We undertake to give holders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Books of Depositary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maintain in New York facilities to record and process the issuance, cancellation, combination, split-up and transfer of ADSs. These facilities may be closed from time to time, to the extent not prohibited by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on Obligations and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limits our obligations and the depositary bank’s obligations to you. Please note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are obligated only to take the actions specifically stated in the deposit agreement without negligence or bad faith.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disclaims any liability for any failure to carry out voting instructions, for any manner in which a vote is cast or for the effect of any vote, provided it acts in good faith and in accordance with the terms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will not be obligated to perform any act that is inconsistent with the terms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Incorporation, or any provision of or governing the securities on deposit, or by reason of any act of God or war or other circumstances beyond our control.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disclaim any liability by reason of any exercise of, or failure to exercise, any discretion provided for in the deposit agreement or in our Articles of Incorporation or in any provisions of or governing the securities on deposit.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also disclaim liability for the inability by a holder to benefit from any distribution, offering, right or other benefit that is made available to holders of ordinary shares but is not, under the terms of the deposit agreement, made available to you.</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may rely without any liability upon any written notice, request or other document believed to be genuine and to have been signed or presented by the proper parties.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also disclaim liability for any consequential or punitive damages for any breach of the terms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disclaimer of any Securities Act liability is intended by any provision of the deposit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Pre-Release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deposit agreement, the depositary bank may issue to broker/dealers ADSs before receiving a deposit of ordinary shares or release ordinary shares to broker/dealers before receiving ADSs for cancellation. These transactions are commonly referred to as pre-release transactions, and are entered into between the depositary bank and the applicable broker/dealer. The deposit agreement limits the aggregate size of pre-release transactions (not to exceed 30% of the ordinary shares on deposit in the aggregate) and imposes a number of conditions on such transactions (i.e., the need to receive collateral, the type of collateral required, the representations required from brokers, etc.). The depositary bank may retain the compensation received from the pre-release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fulfilling legal obligations. You are required to indemnify us, the depositary bank and the custodian for any claims with respect to taxes based on any tax benefit obtained for you.</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Foreign Currency Conversion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conversion of foreign currency is not practical or lawful, or if any required approvals are denied or not obtainable at a reasonable cost or within a reasonable period, the depositary bank may take the following actions in its discretion: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Convert the foreign currency to the extent practical and lawful and distribute the U.S. dollars to the holders for whom the conversion and distribution is lawful and practical.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Distribute the foreign currency to holders for whom the distribution is lawful and practical.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 the foreign currency (without liability for interest) for the applicable 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Governing Law/Waiver of Jury Trial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and the ADRs will be interpreted in accordance with the laws of the State of New York. The rights of holders of ordinary shares (including ordinary shares represented by ADSs) are governed by the laws of the Cayman Islands.]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8"/>
      <w:bookmarkEnd w:id="22"/>
      <w:r>
        <w:rPr>
          <w:rFonts w:ascii="Times New Roman PS Std;serif" w:hAnsi="Times New Roman PS Std;serif"/>
          <w:b/>
          <w:i w:val="false"/>
          <w:caps w:val="false"/>
          <w:smallCaps w:val="false"/>
          <w:sz w:val="20"/>
        </w:rPr>
        <w:t>SHARES ELIGIBLE FOR FUTURE SALE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this offering, we will have            ADSs outstanding, representing Class B ordinary shares, or approximately [        ]% of our outstanding ordinary shares, assuming the underwriters do not exercise their over-allotment option to purchase additional ADSs.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While we intend to list the ADSs on the [New York Stock Exchange/Nasdaq Global Market], we cannot assure you that a regular trading market will develop in the ADSs. We do not expect that a trading market will develop in our ordinary shares not represented by the ADSs.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that we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any ADSs, our ordinary shares or securities convertible into or exchangeable or exercisable for any ADSs or our ordinary shares, enter into any swap or other arrangement that transfers to another, in whole or in part, any of the economic consequences of ownership of the ADSs or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our existing shareholders and holders of share-based awards] have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ADSs, our ordinary shares or securities convertible into or exchangeable or exercisable for any ADSs or our ordinary shares, or enter into any swap or other arrangement that transfers to another, in whole or in part, any of the economic consequences of ownership of the ADSs,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144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then outstanding ordinary shares, in the form of ADSs or otherwise, which will equal approximately            ordinary shares immediately after this offering, assuming the underwriters do not exercise their option to purchase additional ADSs;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trading volume of our ordinary shares in the form of ADSs or otherwise, on the [New York Stock Exchange/Nasdaq Global Market], during the four calendar weeks preceding the date on which notice of the sale is filed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Affiliates who sell restricted securities under Rule 144 may not solicit orders or arrange for the solicitation of orders, and they are also subject to certain requirements relating to manner of sale, notice and the availability of current public information about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701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7"/>
      <w:bookmarkEnd w:id="23"/>
      <w:r>
        <w:rPr>
          <w:rFonts w:ascii="Times New Roman PS Std;serif" w:hAnsi="Times New Roman PS Std;serif"/>
          <w:b/>
          <w:i w:val="false"/>
          <w:caps w:val="false"/>
          <w:smallCaps w:val="false"/>
          <w:sz w:val="20"/>
        </w:rPr>
        <w:t>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of material Cayman Islands, Singapore, and United States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 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Singapore Taxation Considerations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Singapore-tax resident companies are currently under the one-tier corporate tax system, or one-tier system.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dividends received in respect of the ordinary shares by either a resident or non-resident of Singapore are not subject to Singapore income tax (whether by withholding or otherwise), on the basis that such a resident or non-resident of Singapore is a tax resident of Singapore and under the one-tier system.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Gains on Disposal of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Times New Roman PS Std;serif" w:hAnsi="Times New Roman PS Std;serif"/>
          <w:b/>
          <w:i w:val="false"/>
          <w:caps w:val="false"/>
          <w:smallCaps w:val="false"/>
          <w:sz w:val="20"/>
        </w:rPr>
        <w:t>IRAS</w:t>
      </w:r>
      <w:r>
        <w:rPr>
          <w:rFonts w:ascii="Times New Roman PS Std;serif" w:hAnsi="Times New Roman PS Std;serif"/>
          <w:b w:val="false"/>
          <w:i w:val="false"/>
          <w:caps w:val="false"/>
          <w:smallCaps w:val="false"/>
          <w:sz w:val="20"/>
        </w:rPr>
        <w:t>”), are not taxable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specified exceptions, Section 13W of the Income Tax Act 1947 (2020 Rev Ed) (“</w:t>
      </w:r>
      <w:r>
        <w:rPr>
          <w:rFonts w:ascii="Times New Roman PS Std;serif" w:hAnsi="Times New Roman PS Std;serif"/>
          <w:b/>
          <w:i w:val="false"/>
          <w:caps w:val="false"/>
          <w:smallCaps w:val="false"/>
          <w:sz w:val="20"/>
        </w:rPr>
        <w:t>SITA</w:t>
      </w:r>
      <w:r>
        <w:rPr>
          <w:rFonts w:ascii="Times New Roman PS Std;serif" w:hAnsi="Times New Roman PS Std;serif"/>
          <w:b w:val="false"/>
          <w:i w:val="false"/>
          <w:caps w:val="false"/>
          <w:smallCaps w:val="false"/>
          <w:sz w:val="20"/>
        </w:rPr>
        <w:t>”) provides for certainty on the non-taxability of gains derived by a corporate taxpayer from the disposal of ordinary shares during the period from June 1, 2012 to December 31, 2027 (both dates inclusive) where: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divesting company had legally and beneficially held a minimum shareholding of 20% of the ordinary shares of the company whose shares are being disposed;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divesting company had maintained the minimum 20% shareholding for a continuous period of at least 24 months immediately prior to the disposal.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above-mentioned “safe harbor rules” prescribed under Section 13W of SITA will not apply to a divesting company under certain scenarios. These include, but are not limited to, the divesting company that is in the business of trading or holding Singapore immovable properties (excluding property development), where the shares are not listed on a stock exchange in Singapore or elsewhere, the divesting company whose gains or profits from the disposal of ordinary shares are included as part of its income based on the provisions of section 26 of the SITA, disposal of shares by a partnership, limited partnership or limited liability partnership where one or more of the partners is a company or are companies, etc.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who apply, or who are required to apply, the Singapore Financial Reporting Standard 39 — Financial Instruments: Recognition and Measurement, or SFRS(I) 1-39;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SFRS(I) 1-39, FRS 109 or SFRS(I) 9 (as the case may be) (as modified by the applicable provisions of Singapore income tax law) even where no sale or disposal of the shares is made.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34A of the SITA provides of the tax treatment for financial instruments in accordance with FRS 39 (subject to certain exceptions and “opt-out” provisions) for taxpayers who are required to comply with FRS 39 for financial reporting purposes. IRAS has also issued a circular entitled “Income Tax Implications Arising from the Adoption of FRS 39 — Financial Instruments: Recognition and Measurement (Second Edition).” FRS 109 or SFRS(I) 9 (as the case may be) is mandatorily effective for annual periods beginning on or after 1 January 2018, replacing FRS 39. Section 34AA of the SITA requires taxpayers who comply or who are required to comply with FRS 109 or SFRS(I) 9 (as the case may be) for financial reporting purposes to calculate their profit, loss or expense for Singapore income tax purposes in respect of financial instruments in accordance with FRS 109 or SFRS(I) 9 (as the case may be), subject to certain exceptions. The IRAS has also issued a circular entitled “Income Tax: Income Tax Treatment Arising from Adoption of FRS 109 — Financial Instruments (Third Edition).”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who may be subject to the above-mentioned tax treatments, including under Sections 34A or 34AA of the SITA, should consult their accounting and tax advisers regarding the Singapore income tax consequences of their acquisition, holding and disposal of the shares.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Stamp Duty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stamp duty payable on the subscription and issuance of the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a transfer of the ordinary shares, no stamp duty is payable if no instrument of transfer is executed or if the instrument of transfer is executed outside Singapore and not received in Singapore. Stamp duty will be payable if there is an instrument (including an electronic instrument) for the transfer of our shares which is either executed in Singapore or executed outside Singapore and received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instrument of transfer is executed in Singapore, stamp duty must be paid within 14 days of the execution of the instrument of transfer. Where the instrument of transfer is executed outside Singapore and received in Singapore, stamp duty must be paid within 30 days of receipt of the instrument of transfer in Singapore. An electronic instrument that is executed outside Singapore is treated as received in Singapore in any of the following scenarios: (i) it is retrieved or accessed by a person in Singapore; (ii) an electronic copy of it is stored on a device (including a computer) and brought into Singapore; or (iii) an electronic copy of it is stored on a computer in Singapore.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stamp duty on an instrument of transfer of shares of a non-property owning Singapore company is payable at the rate of 0.2% of the consideration for, or market value of, the shares, whichever is higher. Stamp duty is borne by the purchaser unless there is an agreement to the contrary.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Estate Duty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estate duty was abolished with respect to all deaths occurring on or after 15 February 2008.</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Goods and Services Tax (“GST”)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sale of the shares by a GST-registered investor belonging in Singapore for GST purposes to another person belonging in Singapore is an exempt supply not subject to GST. Any input GST (for example, GST on brokerage) incurred by the GST-registered investor in connection with the making of an exempt supply is generally not recoverable from the Singapore Comptroller of GST and will become an additional cost to the investor unless the investor satisfies certain conditions prescribed under the GST legislation or satisfies certain GST concessions.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shares are sold by a GST-registered investor in the course of or furtherance of a business carried on by such investor contractually to and for the direct benefit of a person belonging outside Singapore, the sale should generally, subject to satisfaction of certain conditions, be considered a taxable supply subject to GST at 0%. Any input GST (for example, GST on brokerage) incurred by the GST-registered investor in making such a supply in the course of or furtherance of a business may be fully recoverable from the Singapore Comptroller of GST. Investors should seek their own tax advice on the recoverability of GST incurred on expenses in connection with the purchase and sale of the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Services consisting of arranging, brokering, underwriting or advising on the issue, allotment or transfer of ownership of the shares rendered by a GST-registered person to an investor belonging in Singapore for GST purposes in connection with the investor’s purchase, sale or holding of the shares will be subject to GST at the standard rate of 8% with effect from 1 January 2023, and from 8% to 9% with effect from 1 January 2024. Similar services rendered by a GST registered person contractually to an investor belonging outside Singapore and for the direct benefit of such an investor or a GST registered person belonging in Singapore should generally, subject to the satisfaction of certain conditions, be subject to GST at 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 Federal Income 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applies only to a United States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financial institutions;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estate investment trusts;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 or dealers in stocks and securities, or currencies;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are required to use a mark-to-market method of accounting;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former citizens or residents of the United States subject to Section 877 of the Code;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entities subject to the United States anti-inversion rules;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organizations and entities;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the alternative minimum tax provisions of the Code;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whose functional currency is other than the United States dollar;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ADSs or ordinary shares as part of a straddle, hedging, conversion or integrated transaction;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ADSs or ordinary shares through a bank, financial institution or other entity, or a branch thereof, located, organized or resident outside the United States;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actually or constructively own 10% or more of the total combined voting power of all classes of our voting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acquired ADSs or ordinary shares pursuant to the exercise of an employee stock option or otherwise as compensation;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or other pass-through entities, or persons holding ADSs or ordinary shares through such entities.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tax laws, including the federal estate or gift tax laws, or the laws of any state, local or non-United</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States taxing jurisdiction and under any applicable tax treaty.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discussion below, a “United States Holder” is a beneficial owner of our ADSs or ordinary shares that is, for United States federal income tax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United States federal income tax purposes) created or organized in or under the laws of the United States, any state thereof or the District of Columbia;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United States federal income taxation regardless of its source;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below assumes that the representations contained in the deposit agreement and any related agreement is true and that the obligations in such agreements will be complied with in accordance with their terms.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United States Holders of ADSs, including individual United States Holders, and the claiming of foreign tax credits by United States Holders of ADSs. Accordingly, among other things, the availability of foreign tax credits or the reduced tax rate for dividends received by non-corporate United States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our current and projected income and assets,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 (iii) certain holding period requirements are met. We intend to list the ADSs on the [New York Stock Exchange/Nasdaq Global Market]. Provided that this listing is approved, we believe that the ADSs should generally be considered to be readily tradeable on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 or Other Disposition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 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excess distribution or gain will be allocated ratably over the U.S. Holder’s holding period for the ADSs or ordinary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the current taxable year and any taxable years in the U.S. Holder’s holding period prior to the first taxable year in which we are classified as a PFIC (each, a “pre-PFIC year”), will be taxable as ordinary income;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[New York Stock Exchange/Nasdaq Global Market]. We anticipate that our ADSs should qualify as being regularly traded, but no assurances may be given in this regard.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6"/>
      <w:bookmarkEnd w:id="24"/>
      <w:r>
        <w:rPr>
          <w:rFonts w:ascii="Times New Roman PS Std;serif" w:hAnsi="Times New Roman PS Std;serif"/>
          <w:b/>
          <w:i w:val="false"/>
          <w:caps w:val="false"/>
          <w:smallCaps w:val="false"/>
          <w:sz w:val="20"/>
        </w:rPr>
        <w:t>UNDERWRITING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enter into an underwriting agreement with US Tiger Securities, Inc., or the “</w:t>
      </w:r>
      <w:r>
        <w:rPr>
          <w:rFonts w:ascii="Times New Roman PS Std;serif" w:hAnsi="Times New Roman PS Std;serif"/>
          <w:b/>
          <w:i w:val="false"/>
          <w:caps w:val="false"/>
          <w:smallCaps w:val="false"/>
          <w:sz w:val="20"/>
        </w:rPr>
        <w:t>Underwriter</w:t>
      </w:r>
      <w:r>
        <w:rPr>
          <w:rFonts w:ascii="Times New Roman PS Std;serif" w:hAnsi="Times New Roman PS Std;serif"/>
          <w:b w:val="false"/>
          <w:i w:val="false"/>
          <w:caps w:val="false"/>
          <w:smallCaps w:val="false"/>
          <w:sz w:val="20"/>
        </w:rPr>
        <w:t>.” The Underwriter has agreed to purchase, and we have agreed to sell to it, the number of our Class B ordinary shares at the initial public offering price, less the underwriting discounts and commissions, as set forth on the cover page of this prospectus and as indicated below:</w:t>
      </w:r>
    </w:p>
    <w:tbl>
      <w:tblPr>
        <w:tblW w:w="4393" w:type="dxa"/>
        <w:jc w:val="left"/>
        <w:tblInd w:w="0" w:type="dxa"/>
        <w:tblLayout w:type="fixed"/>
        <w:tblCellMar>
          <w:top w:w="0" w:type="dxa"/>
          <w:left w:w="0" w:type="dxa"/>
          <w:bottom w:w="0" w:type="dxa"/>
          <w:right w:w="0" w:type="dxa"/>
        </w:tblCellMar>
      </w:tblPr>
      <w:tblGrid>
        <w:gridCol w:w="2431"/>
        <w:gridCol w:w="146"/>
        <w:gridCol w:w="1816"/>
      </w:tblGrid>
      <w:tr>
        <w:trPr/>
        <w:tc>
          <w:tcPr>
            <w:tcW w:w="24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Underwriter</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Class B</w:t>
              <w:br/>
              <w:t>Ordinary Shares</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Tiger Securities, Inc.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r>
      <w:tr>
        <w:trPr/>
        <w:tc>
          <w:tcPr>
            <w:tcW w:w="2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is offering the shares subject to their acceptance of the shares from us and subject to prior sale. The underwriting agreement provides that the obligations of the Underwriter to pay for and accept delivery of the Class B ordinary shares offered by this prospectus are subject to the approval of certain legal matters by their counsel and to other conditions. The Underwriter is obligated to take and pay for all of the Class B ordinary shares offered by this prospectus if any such shares are taken. However, the Underwriter is not required to take or pay for the shares covered by the Underwriter’s option to purchase additional shares described below.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Over-Allotment Option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granted to the Underwriter an option, exercisable for 45 days from the date of this prospectus, to purchase up to [            ] additional Class B ordinary shares at the initial public offering price listed on the cover page of this prospectus, less underwriting discounts and commissions. The Underwriter may exercise this option solely for the purpose of covering over-allotments, if any, made in connection with this offering. To the extent the option is exercised, the Underwriter will become obligated, subject to certain conditions, to purchase about the same percentage of the additional Class B ordinary shares as the number listed next to the Underwriter’s name in the preceding table bears to the total number of Class B ordinary shares listed next to the name of all Underwriter in the preceding table.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will offer the shares to the public at the initial public offering price set forth on the cover of this prospectus and to selected dealers at the initial public offering price less a selling concession not in excess of US$[            ] per share. After this offering, the initial public offering price, concession and reallowance to dealers may be reduced by the Underwriter. No change in those terms will change the amount of proceeds to be received by us as set forth on the cover of this prospectus. The securities are offered by the Underwriter as stated herein, subject to receipt and acceptance by them and subject to their right to reject any order in whole or in part.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Discounts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underwriting discounts and commissions are equal to 6% of the initial public offering price set forth on the cover of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per share and total initial public offering price, underwriting discounts and commissions, and proceeds before expenses to us. These amounts are shown assuming both no exercise and full exercise of the Underwriter’s option to purchase up to [            ] additional Class B ordinary shares.</w:t>
      </w:r>
    </w:p>
    <w:tbl>
      <w:tblPr>
        <w:tblW w:w="10205" w:type="dxa"/>
        <w:jc w:val="left"/>
        <w:tblInd w:w="0" w:type="dxa"/>
        <w:tblLayout w:type="fixed"/>
        <w:tblCellMar>
          <w:top w:w="0" w:type="dxa"/>
          <w:left w:w="0" w:type="dxa"/>
          <w:bottom w:w="0" w:type="dxa"/>
          <w:right w:w="0" w:type="dxa"/>
        </w:tblCellMar>
      </w:tblPr>
      <w:tblGrid>
        <w:gridCol w:w="5146"/>
        <w:gridCol w:w="146"/>
        <w:gridCol w:w="1359"/>
        <w:gridCol w:w="146"/>
        <w:gridCol w:w="1607"/>
        <w:gridCol w:w="146"/>
        <w:gridCol w:w="1655"/>
      </w:tblGrid>
      <w:tr>
        <w:trPr/>
        <w:tc>
          <w:tcPr>
            <w:tcW w:w="5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5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w:t>
            </w:r>
          </w:p>
        </w:tc>
        <w:tc>
          <w:tcPr>
            <w:tcW w:w="146" w:type="dxa"/>
            <w:tcBorders/>
            <w:vAlign w:val="bottom"/>
          </w:tcPr>
          <w:p>
            <w:pPr>
              <w:pStyle w:val="TableContents"/>
              <w:bidi w:val="0"/>
              <w:spacing w:before="0" w:after="283"/>
              <w:jc w:val="left"/>
              <w:rPr/>
            </w:pPr>
            <w:r>
              <w:rPr/>
              <w:t> </w:t>
            </w:r>
          </w:p>
        </w:tc>
        <w:tc>
          <w:tcPr>
            <w:tcW w:w="16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Without</w:t>
              <w:br/>
              <w:t>Exercise of</w:t>
              <w:br/>
              <w:t>Over- allotment</w:t>
              <w:br/>
              <w:t>Option</w:t>
            </w:r>
          </w:p>
        </w:tc>
        <w:tc>
          <w:tcPr>
            <w:tcW w:w="146" w:type="dxa"/>
            <w:tcBorders/>
            <w:vAlign w:val="bottom"/>
          </w:tcPr>
          <w:p>
            <w:pPr>
              <w:pStyle w:val="TableContents"/>
              <w:bidi w:val="0"/>
              <w:spacing w:before="0" w:after="283"/>
              <w:jc w:val="left"/>
              <w:rPr/>
            </w:pPr>
            <w:r>
              <w:rPr/>
              <w:t> </w:t>
            </w:r>
          </w:p>
        </w:tc>
        <w:tc>
          <w:tcPr>
            <w:tcW w:w="165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With Full</w:t>
              <w:br/>
              <w:t>Exercise of</w:t>
              <w:br/>
              <w:t>Over- allotment</w:t>
              <w:br/>
              <w:t>Option</w:t>
            </w:r>
          </w:p>
        </w:tc>
      </w:tr>
      <w:tr>
        <w:trPr/>
        <w:tc>
          <w:tcPr>
            <w:tcW w:w="5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 price</w:t>
            </w:r>
          </w:p>
        </w:tc>
        <w:tc>
          <w:tcPr>
            <w:tcW w:w="146"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shd w:fill="CCEEFF" w:val="clear"/>
            <w:vAlign w:val="bottom"/>
          </w:tcPr>
          <w:p>
            <w:pPr>
              <w:pStyle w:val="TableContents"/>
              <w:bidi w:val="0"/>
              <w:spacing w:before="0" w:after="283"/>
              <w:jc w:val="left"/>
              <w:rPr/>
            </w:pPr>
            <w:r>
              <w:rPr/>
              <w:t> </w:t>
            </w:r>
          </w:p>
        </w:tc>
        <w:tc>
          <w:tcPr>
            <w:tcW w:w="16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left"/>
              <w:rPr/>
            </w:pPr>
            <w:r>
              <w:rPr/>
              <w:t> </w:t>
            </w:r>
          </w:p>
        </w:tc>
      </w:tr>
      <w:tr>
        <w:trPr/>
        <w:tc>
          <w:tcPr>
            <w:tcW w:w="5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discounts and commissions to be paid by us</w:t>
            </w:r>
          </w:p>
        </w:tc>
        <w:tc>
          <w:tcPr>
            <w:tcW w:w="146" w:type="dxa"/>
            <w:tcBorders/>
            <w:vAlign w:val="bottom"/>
          </w:tcPr>
          <w:p>
            <w:pPr>
              <w:pStyle w:val="TableContents"/>
              <w:bidi w:val="0"/>
              <w:spacing w:before="0" w:after="283"/>
              <w:jc w:val="left"/>
              <w:rPr/>
            </w:pPr>
            <w:r>
              <w:rPr/>
              <w:t> </w:t>
            </w:r>
          </w:p>
        </w:tc>
        <w:tc>
          <w:tcPr>
            <w:tcW w:w="135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left"/>
              <w:rPr/>
            </w:pPr>
            <w:r>
              <w:rPr/>
              <w:t> </w:t>
            </w:r>
          </w:p>
        </w:tc>
      </w:tr>
      <w:tr>
        <w:trPr/>
        <w:tc>
          <w:tcPr>
            <w:tcW w:w="5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us</w:t>
            </w:r>
          </w:p>
        </w:tc>
        <w:tc>
          <w:tcPr>
            <w:tcW w:w="146"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shd w:fill="CCEEFF" w:val="clear"/>
            <w:vAlign w:val="bottom"/>
          </w:tcPr>
          <w:p>
            <w:pPr>
              <w:pStyle w:val="TableContents"/>
              <w:bidi w:val="0"/>
              <w:spacing w:before="0" w:after="283"/>
              <w:jc w:val="left"/>
              <w:rPr/>
            </w:pPr>
            <w:r>
              <w:rPr/>
              <w:t> </w:t>
            </w:r>
          </w:p>
        </w:tc>
        <w:tc>
          <w:tcPr>
            <w:tcW w:w="16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also pay to the Underwriter by deduction from the net proceeds of this offering, a non-accountable expense allowance equal to one percent (1%) of the gross proceeds received by us from the sale of our Class B ordinary shares.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reimburse the Underwriter for its reasonable out-of-pocket accountable expenses (including but not limited to reasonable and documented travel costs, legal fees, due diligence fees, and other expenses and disbursements, incurred in connection with its services for the purpose of the offering regardless of whether the offering is successfully closed) up to a maximum of US$200,000 for out-of-pocket accountable expenses. In addition, we have agreed to pay to the Underwriter upon closing of this offering a non-accountable expense allowance equal to one percent (1%) of the gross proceeds derived from the sale of the shares in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pay all reasonable, necessary and accountable out-of-pocket expenses relating to the offering, including but not limited to: (i) the costs of preparing, printing and filing the registration statement with the SEC, amendments and supplements thereto, and post effective amendments, as well as the filing with FINRA, and payment of all necessary fees in connection therewith and the printing of a sufficient quantity of preliminary and final prospectuses as the Underwriter may reasonably request; (ii) the costs of preparing, printing and delivering exhibits thereto, in such quantities as Underwriter may reasonably request; (iii) all fees, expenses and disbursements relating to the registration, qualification or exemption of securities offered under the securities laws of foreign jurisdictions designated by Underwriter; (iv) the fees of counsel(s) and accountants for the Company, including fees associated with any blue sky filings where applicable; (v) fees associated with the Company’s transfer agent; and (vi) fees, if necessary, associated with translation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total expenses of the offering payable by us, excluding the underwriting discounts and commissions and non-accountable expense allowance, will be approximately US$[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indemnify the Underwriter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officers, directors and principal shareholders (defined as owners of 5% or more of our Class B ordinary shares, provided that the Underwriter may in its discretion require a lower percentage threshold) have agreed, subject to certain exceptions, to a six month “lock-up” period from the effective date of the registration statement of which this prospectus forms a part with respect to the Class B ordinary shares that they beneficially own, including the issuance of shares upon the exercise of convertible securities and options that are currently outstanding or which may be issued. This means that, for a period of six months following the closing of the offering, such persons may not offer, sell, pledge or otherwise dispose of these securities without the prior written consent of the Underwriter.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has no present intention to waive or shorten the lock-up period; however, the terms of the lock-up agreements may be waived at its discretion. In determining whether to waive the terms of the lock-up agreements, the Underwriter may base its decision on its assessment of the relative strengths of the securities markets and companies similar to ours in general, and the trading pattern of, and demand for, our securities in general.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Pricing of 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public market for our Class B ordinary shares. The initial public offering price of the shares has been negotiated between us and the Underwriter. Among the factors considered in determining the initial public offering price of the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Electronic Offer, Sale and Distribution of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prospectus in electronic format may be made available on the websites maintained by the Underwriter or selling group members, if any, participating in this offering and the Underwriter may distribute prospectuses electronically. The Underwriter may agree to allocate a number of Class B ordinary shares to selling group members for sale to their online brokerage account holders. The Class B ordinary shares to be sold pursuant to internet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 and should not be relied upon by investors.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Price Stabilization, Short Positions and Penalty Bids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offering, the Underwriter may engage in transactions that stabilize, maintain or otherwise affect the price of our Class B ordinary shares. Specifically, the Underwriter may sell more shares than they are obligated to purchase under the underwriting agreement, creating a short position. A short sale is covered if the short position is no greater than the number of shares available for purchase by the Underwriter under option to purchase additional shares. The Underwriter can close out a covered short sale by exercising the option to purchase additional shares or purchasing shares in the open market. In determining the source of shares to close out a covered short sale, the Underwriter will consider, among other things, the open market price of shares compared to the price available under the option to purchase additional shares. The Underwriter may also sell shares in excess of the option to purchase additional shares, creating a naked short position. The Underwriter must close out any naked short position by purchasing shares in the open market. A naked short position is more likely to be created if the Underwriter is concerned that there may be downward pressure on the price of the shares in the open market after pricing that could adversely affect investors who purchase in 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may also impose a penalty bid. This occurs when a particular Underwriter or dealer repays selling concessions allowed to it for distributing our Class B ordinary shares in this offering because such Underwriter repurchases those shares in stabilizing or short covering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may also impose a penalty bid. This occurs when a particular Underwriter or dealer repays selling concessions allowed to it for distributing our Class B ordinary shares in this offering because such Underwriter repurchases those shares in stabilizing or short covering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Finally, the Underwriter may bid for, and purchase, our Class B ordinary shares in market making transactions, including “passive” market making transactions as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activities may stabilize or maintain the market price of our Class B ordinary shares at a price that is higher than the price that might otherwise exist in the absence of these activities. The Underwriter is not required to engage in these activities, and may discontinue any of these activities at any time without notice. These transactions may be effected on the Nasdaq Global Market, in the over-the-counter market, or otherwise.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Passive Market Making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offering, the Underwriter may engage in passive market making transactions in our Class B ordinary shares on the Nasdaq Global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Conflicts of Interest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and its affiliates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Relationships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is a full service financial institution engaged in various activities, which may include the sales and trading of securities, commercial and investment banking, advisory, investment management, investment research, principal investment, hedging, market making, financing, brokerage and other financial and non-financial activities and services. The Underwriter may in the future perform a variety of such activities and services for us and for persons or entities with relationships with us for which they received or will receive customary fees, commissions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ordinary course of their business activities, the Underwriter, its affiliates, directors, officers and employees may at any time purchase, sell or hold a broad array of investments and actively trade debt and equity securities (or related derivative securities) and other financial instruments (including bank loans) for their own account and for the accounts of their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investments and securities activities may involve assets, securities and/or instruments of ours or our affiliates. The Underwriter and its affiliates, directors, officers and employees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Restrictions outside the United States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Australia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 of the Act. No product disclosure statement, prospectus, disclosure document, offering material or advertisement in relation to the offer of the Class B ordinary shares has been or will be lodged with the Australian Securities and Investments Commission or the Australian Securities Exchange.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(1) the offer of the Class B ordinary shares under this prospectus may only be made to persons: (i) to whom it is lawful to offer the Class B ordinary shares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Class B ordinary shares sold to the offeree within 12 months after their issue except as otherwise permitted under the Act.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Canada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Class B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Instrument 31-103 Registration Requirements, Exemptions and Ongoing Registrant Obligations. Any resale of the Class B ordinary shares must be made in accordance with an exemption from, or in a transaction not subject to, the prospectus requirements of applicable securities laws.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United Kingdom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Malaysia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B ordinary shares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 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has not been registered as a prospectus with the Monetary Authority of Singapore. Accordingly, this prospectus and any other document or material in connection with the offer or sale, or invitation for subscription or purchase, of the Class B ordinary shares may not be circulated or distributed, nor may the Class B ordinary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People’s Republic of China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not be circulated or distributed in China and the Class B ordinary shares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Hong Kong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Class B ordinary shares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Class B ordinary shares be issued 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be in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Class B ordinary shares which are or are intended to be disposed of only to persons outside Hong Kong or only to “professional investors” within the meaning of the Securities and Futures Ordinance (Cap. 571, Laws of Hong Kong) and any rules made thereunder.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Taiwan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B ordinary shares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Indonesia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and is not intended to, constitute a public offering in Indonesia under Law Number 8 of 1995 regarding Capital Market. This prospectus may not be distributed in the Republic of Indonesia and the Class B ordinary shares may not be offered or sold in the Republic of Indonesia or to Indonesian citizens wherever they are domiciled, or to Indonesia residents, in a manner which constitutes a public offering under the laws of the Republic of Indonesia.</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Vietnam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offering of Class B ordinary shares has not been and will not be registered with the State Securities Commission of Vietnam under the Law on Securities of Vietnam and its guiding decrees and circulars. The Class B ordinary shares will not be offered or sold in Vietnam through a public offering and will not be offered or sold to Vietnamese persons other than those who are licensed to invest in offshore securities under the Law on Investment of Vietnam.</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Thailand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and is not intended to, constitute a public offering in Thailand. The Class B ordinary shares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Korea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B ordinary shares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Class B ordinary shares have not been registered with the Financial Services Commission of Korea for public offering in Korea. Furthermore, the Class B ordinary shares may not be resold to Korean residents unless the purchaser of the Class B ordinary shares complies with all applicable regulatory requirements (including but not limited to government approval requirements under the Foreign Exchange Transaction Law and its subordinate decrees and regulations) in connection with the purchase of the Class B ordinary shares.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Japan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B ordinary shares offered in this prospectus have not been and will not be registered under the Financial Instruments and Exchange Law of Japan. The Class B ordinary shares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New Zealand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has not been registered, filed with, or approved by any New Zealand regulatory authority under the Financial Markets Conduct Act 2013 (New Zealand) (“FMCA”). This document is not a product disclosure statement under New Zealand law and is not required to, and may not, contain all the information that a product disclosure statement under New Zealand law is required to contain. The Securities are not being offered or sold in New Zealand (or allotted with a view to being offered for sale in New Zealand) other than to a person who is a “wholesale investor” within the meaning of clause 3(2) of Schedule 1 of the FMCA — that is, a person who: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an “investment business” within the meaning of clause 37 of Schedule 1 of the FMCA;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meets the “investment activity criteria” specified in clause 38 of Schedule 1 of the FMCA;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“large” within the meaning of clause 39 of Schedule 1 of the FMCA;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a “government agency” within the meaning of clause 40 of Schedule 1 of the FMCA. The Securities are not being offered or sold to retail investors in New Zealand.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European Economic Area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units or otherwise making them available to retail investors in the EEA has been prepared and therefore offering or selling the units or otherwise making them available to any retail investor in the EEA may be unlawful under the PRIIPs Regulation.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offer or invitation, whether directly or indirectly, may be made to the public in the Cayman Islands to subscribe for our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5"/>
      <w:bookmarkEnd w:id="25"/>
      <w:r>
        <w:rPr>
          <w:rFonts w:ascii="Times New Roman PS Std;serif" w:hAnsi="Times New Roman PS Std;serif"/>
          <w:b/>
          <w:i w:val="false"/>
          <w:caps w:val="false"/>
          <w:smallCaps w:val="false"/>
          <w:sz w:val="20"/>
        </w:rPr>
        <w:t>EXPENSES RELATED TO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stock exchange application and listing fee, all amounts are estimates.</w:t>
      </w:r>
    </w:p>
    <w:tbl>
      <w:tblPr>
        <w:tblW w:w="5083" w:type="dxa"/>
        <w:jc w:val="left"/>
        <w:tblInd w:w="0" w:type="dxa"/>
        <w:tblLayout w:type="fixed"/>
        <w:tblCellMar>
          <w:top w:w="0" w:type="dxa"/>
          <w:left w:w="0" w:type="dxa"/>
          <w:bottom w:w="0" w:type="dxa"/>
          <w:right w:w="0" w:type="dxa"/>
        </w:tblCellMar>
      </w:tblPr>
      <w:tblGrid>
        <w:gridCol w:w="4351"/>
        <w:gridCol w:w="146"/>
        <w:gridCol w:w="586"/>
      </w:tblGrid>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Registration Fee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FINRA Filing Fee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Exchange Application and Listing Fee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Printing and Engraving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Fees and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4"/>
      <w:bookmarkEnd w:id="26"/>
      <w:r>
        <w:rPr>
          <w:rFonts w:ascii="Times New Roman PS Std;serif" w:hAnsi="Times New Roman PS Std;serif"/>
          <w:b/>
          <w:i w:val="false"/>
          <w:caps w:val="false"/>
          <w:smallCaps w:val="false"/>
          <w:sz w:val="20"/>
        </w:rPr>
        <w:t>LEGAL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Hogan Lovells is representing us with respect to certain legal matters as to the United States federal and New York State law. Carmel, Milazzo &amp; Feil LLP is representing the underwriters with respect to certain legal matters as to the United States federal and New York State law. The validity of the ordinary shares represented by the ADSs offered in this offering and Maples and Calder (Hong Kong) LLP will pass upon other certain legal matters as to Cayman Islands law for us. Resource Law LLC (in alliance with Reed Smith) will pass upon certain legal matters as to Singapore law for us. Hogan Lovells and Carmel, Milazzo &amp; Feil LLP may rely upon Maples and Calder (Hong Kong) LLP with respect to matters governed by Cayman Islands law and Resource Law LLC (in alliance with Reed Smith) with respect to matters governed by the Singapore law.</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3"/>
      <w:bookmarkEnd w:id="27"/>
      <w:r>
        <w:rPr>
          <w:rFonts w:ascii="Times New Roman PS Std;serif" w:hAnsi="Times New Roman PS Std;serif"/>
          <w:b/>
          <w:i w:val="false"/>
          <w:caps w:val="false"/>
          <w:smallCaps w:val="false"/>
          <w:sz w:val="20"/>
        </w:rPr>
        <w:t>EXPERTS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as of December 31, 2021 and 2022, and for each of the two years in the period ended December 31, 2022, appearing in this prospectus and registration statement have been audited by Marcum Asia CPAs LLP, an independent registered public accounting firm, as set forth in its report thereon appearing elsewhere herein, and are included in reliance upon such report given on the authority of such firm as experts in accounting and auditing.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office of Marcum Asia CPAs LLP is located at 7 Pennsylvania Plaza Suite 830, New York, NY 10001, United States.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2"/>
      <w:bookmarkEnd w:id="28"/>
      <w:r>
        <w:rPr>
          <w:rFonts w:ascii="Times New Roman PS Std;serif" w:hAnsi="Times New Roman PS Std;serif"/>
          <w:b/>
          <w:i w:val="false"/>
          <w:caps w:val="false"/>
          <w:smallCaps w:val="false"/>
          <w:sz w:val="20"/>
        </w:rPr>
        <w:t>WHERE YOU CAN FIND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a registration statement on Form F-1, including relevant exhibits, with the SEC under the Securities Act with respect to the underlying Class B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or inspected and copied at the public reference facilities maintained by the SEC at 100 F Street, N.E., Washington, D.C. 20549. You can request copies of documents, upon payment of a duplicating fee, by writing to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1"/>
      <w:bookmarkEnd w:id="29"/>
      <w:r>
        <w:rPr>
          <w:rFonts w:ascii="Times New Roman PS Std;serif" w:hAnsi="Times New Roman PS Std;serif"/>
          <w:b/>
          <w:i w:val="false"/>
          <w:caps w:val="false"/>
          <w:smallCaps w:val="false"/>
          <w:sz w:val="20"/>
        </w:rPr>
        <w:t>TRIDENT DIGITAL TECH HOLDINGS LTD</w:t>
        <w:br/>
        <w:t>INDEX TO CONSOLIDATED FINANCIAL STATEMENTS</w:t>
      </w:r>
    </w:p>
    <w:tbl>
      <w:tblPr>
        <w:tblW w:w="10205" w:type="dxa"/>
        <w:jc w:val="left"/>
        <w:tblInd w:w="0" w:type="dxa"/>
        <w:tblLayout w:type="fixed"/>
        <w:tblCellMar>
          <w:top w:w="0" w:type="dxa"/>
          <w:left w:w="0" w:type="dxa"/>
          <w:bottom w:w="0" w:type="dxa"/>
          <w:right w:w="0" w:type="dxa"/>
        </w:tblCellMar>
      </w:tblPr>
      <w:tblGrid>
        <w:gridCol w:w="9163"/>
        <w:gridCol w:w="146"/>
        <w:gridCol w:w="896"/>
      </w:tblGrid>
      <w:tr>
        <w:trPr/>
        <w:tc>
          <w:tcPr>
            <w:tcW w:w="916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PAGE(S)</w:t>
            </w:r>
          </w:p>
        </w:tc>
      </w:tr>
      <w:tr>
        <w:trPr/>
        <w:tc>
          <w:tcPr>
            <w:tcW w:w="91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FINANCIAL STATEMENTS FOR THE YEARS ENDED DECEMBER 31, 2022 AND 2021</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left"/>
              <w:rPr/>
            </w:pPr>
            <w:r>
              <w:rPr/>
              <w:t> </w:t>
            </w:r>
          </w:p>
        </w:tc>
      </w:tr>
      <w:tr>
        <w:trPr/>
        <w:tc>
          <w:tcPr>
            <w:tcW w:w="9163" w:type="dxa"/>
            <w:tcBorders/>
            <w:vAlign w:val="bottom"/>
          </w:tcPr>
          <w:p>
            <w:pPr>
              <w:pStyle w:val="TableContents"/>
              <w:keepNext w:val="false"/>
              <w:widowControl/>
              <w:pBdr/>
              <w:bidi w:val="0"/>
              <w:spacing w:before="0" w:after="283"/>
              <w:ind w:left="200" w:right="0" w:hanging="200"/>
              <w:jc w:val="left"/>
              <w:rPr/>
            </w:pPr>
            <w:hyperlink w:anchor="T701">
              <w:r>
                <w:rPr>
                  <w:rStyle w:val="InternetLink"/>
                  <w:rFonts w:ascii="Times New Roman PS Std;serif" w:hAnsi="Times New Roman PS Std;serif"/>
                  <w:b w:val="false"/>
                  <w:i w:val="false"/>
                  <w:caps w:val="false"/>
                  <w:smallCaps w:val="false"/>
                  <w:sz w:val="20"/>
                </w:rPr>
                <w:t>REPORT OF INDEPENDENT REGISTERED PUBLIC ACCOUNTING FIRM (PCAOB ID: 5395)</w:t>
              </w:r>
            </w:hyperlink>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163" w:type="dxa"/>
            <w:tcBorders/>
            <w:shd w:fill="CCEEFF" w:val="clear"/>
            <w:vAlign w:val="bottom"/>
          </w:tcPr>
          <w:p>
            <w:pPr>
              <w:pStyle w:val="TableContents"/>
              <w:keepNext w:val="false"/>
              <w:widowControl/>
              <w:pBdr/>
              <w:bidi w:val="0"/>
              <w:spacing w:before="0" w:after="283"/>
              <w:ind w:left="200" w:right="0" w:hanging="200"/>
              <w:jc w:val="left"/>
              <w:rPr/>
            </w:pPr>
            <w:hyperlink w:anchor="T702">
              <w:r>
                <w:rPr>
                  <w:rStyle w:val="InternetLink"/>
                  <w:rFonts w:ascii="Times New Roman PS Std;serif" w:hAnsi="Times New Roman PS Std;serif"/>
                  <w:b w:val="false"/>
                  <w:i w:val="false"/>
                  <w:caps w:val="false"/>
                  <w:smallCaps w:val="false"/>
                  <w:sz w:val="20"/>
                </w:rPr>
                <w:t>CONSOLIDATED BALANCE SHEETS AS OF DECEMBER 31, 2022 AND 2021</w:t>
              </w:r>
            </w:hyperlink>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163" w:type="dxa"/>
            <w:tcBorders/>
            <w:vAlign w:val="bottom"/>
          </w:tcPr>
          <w:p>
            <w:pPr>
              <w:pStyle w:val="TableContents"/>
              <w:keepNext w:val="false"/>
              <w:widowControl/>
              <w:pBdr/>
              <w:bidi w:val="0"/>
              <w:spacing w:before="0" w:after="283"/>
              <w:ind w:left="200" w:right="0" w:hanging="200"/>
              <w:jc w:val="left"/>
              <w:rPr/>
            </w:pPr>
            <w:hyperlink w:anchor="T703">
              <w:r>
                <w:rPr>
                  <w:rStyle w:val="InternetLink"/>
                  <w:rFonts w:ascii="Times New Roman PS Std;serif" w:hAnsi="Times New Roman PS Std;serif"/>
                  <w:b w:val="false"/>
                  <w:i w:val="false"/>
                  <w:caps w:val="false"/>
                  <w:smallCaps w:val="false"/>
                  <w:sz w:val="20"/>
                </w:rPr>
                <w:t>CONSOLIDATED STATEMENTS OF OPERATIONS AND COMPREHENSIVE (LOSS)/INCOME FOR THE YEARS ENDED DECEMBER 31, 2022 AND 2021</w:t>
              </w:r>
            </w:hyperlink>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163" w:type="dxa"/>
            <w:tcBorders/>
            <w:shd w:fill="CCEEFF" w:val="clear"/>
            <w:vAlign w:val="bottom"/>
          </w:tcPr>
          <w:p>
            <w:pPr>
              <w:pStyle w:val="TableContents"/>
              <w:keepNext w:val="false"/>
              <w:widowControl/>
              <w:pBdr/>
              <w:bidi w:val="0"/>
              <w:spacing w:before="0" w:after="283"/>
              <w:ind w:left="200" w:right="0" w:hanging="200"/>
              <w:jc w:val="left"/>
              <w:rPr/>
            </w:pPr>
            <w:hyperlink w:anchor="T704">
              <w:r>
                <w:rPr>
                  <w:rStyle w:val="InternetLink"/>
                  <w:rFonts w:ascii="Times New Roman PS Std;serif" w:hAnsi="Times New Roman PS Std;serif"/>
                  <w:b w:val="false"/>
                  <w:i w:val="false"/>
                  <w:caps w:val="false"/>
                  <w:smallCaps w:val="false"/>
                  <w:sz w:val="20"/>
                </w:rPr>
                <w:t>CONSOLIDATED STATEMENTS OF CHANGES IN EQUITY/(DEFICIT) FOR THE YEARS ENDED DECEMBER 31, 2022 AND 2021</w:t>
              </w:r>
            </w:hyperlink>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163" w:type="dxa"/>
            <w:tcBorders/>
            <w:vAlign w:val="bottom"/>
          </w:tcPr>
          <w:p>
            <w:pPr>
              <w:pStyle w:val="TableContents"/>
              <w:keepNext w:val="false"/>
              <w:widowControl/>
              <w:pBdr/>
              <w:bidi w:val="0"/>
              <w:spacing w:before="0" w:after="283"/>
              <w:ind w:left="200" w:right="0" w:hanging="200"/>
              <w:jc w:val="left"/>
              <w:rPr/>
            </w:pPr>
            <w:hyperlink w:anchor="T705">
              <w:r>
                <w:rPr>
                  <w:rStyle w:val="InternetLink"/>
                  <w:rFonts w:ascii="Times New Roman PS Std;serif" w:hAnsi="Times New Roman PS Std;serif"/>
                  <w:b w:val="false"/>
                  <w:i w:val="false"/>
                  <w:caps w:val="false"/>
                  <w:smallCaps w:val="false"/>
                  <w:sz w:val="20"/>
                </w:rPr>
                <w:t>CONSOLIDATED STATEMENTS OF CASH FLOWS FOR THE YEARS ENDED DECEMBER 31, 2022 AND 2021</w:t>
              </w:r>
            </w:hyperlink>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163" w:type="dxa"/>
            <w:tcBorders/>
            <w:shd w:fill="CCEEFF" w:val="clear"/>
            <w:vAlign w:val="bottom"/>
          </w:tcPr>
          <w:p>
            <w:pPr>
              <w:pStyle w:val="TableContents"/>
              <w:keepNext w:val="false"/>
              <w:widowControl/>
              <w:pBdr/>
              <w:bidi w:val="0"/>
              <w:spacing w:before="0" w:after="283"/>
              <w:ind w:left="200" w:right="0" w:hanging="200"/>
              <w:jc w:val="left"/>
              <w:rPr/>
            </w:pPr>
            <w:hyperlink w:anchor="T706">
              <w:r>
                <w:rPr>
                  <w:rStyle w:val="InternetLink"/>
                  <w:rFonts w:ascii="Times New Roman PS Std;serif" w:hAnsi="Times New Roman PS Std;serif"/>
                  <w:b w:val="false"/>
                  <w:i w:val="false"/>
                  <w:caps w:val="false"/>
                  <w:smallCaps w:val="false"/>
                  <w:sz w:val="20"/>
                </w:rPr>
                <w:t>NOTES TO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701"/>
      <w:bookmarkEnd w:id="30"/>
      <w:r>
        <w:rPr>
          <w:rFonts w:ascii="Times New Roman PS Std;serif" w:hAnsi="Times New Roman PS Std;serif"/>
          <w:b/>
          <w:i w:val="false"/>
          <w:caps w:val="false"/>
          <w:smallCaps w:val="false"/>
          <w:sz w:val="20"/>
        </w:rPr>
        <w:t>REPORT OF INDEPENDENT REGISTERED PUBLIC ACCOUNTING FIRM</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Board of Directors of Trident Digital Tech Holdings Ltd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Trident Digital Tech Holdings Ltd (the “Company”) as of December 31, 2022 and 2021, the related consolidated statements of operations and comprehensive (loss)/income, changes in equity/(deficit)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PS Std;serif" w:hAnsi="Times New Roman PS Std;serif"/>
          <w:b/>
          <w:i w:val="false"/>
          <w:caps w:val="false"/>
          <w:smallCaps w:val="false"/>
          <w:sz w:val="20"/>
        </w:rPr>
        <w:t>s</w:t>
      </w:r>
      <w:r>
        <w:rPr>
          <w:rFonts w:ascii="Times New Roman PS Std;serif" w:hAnsi="Times New Roman PS Std;serif"/>
          <w:b w:val="false"/>
          <w:i w:val="false"/>
          <w:caps w:val="false"/>
          <w:smallCaps w:val="false"/>
          <w:sz w:val="20"/>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Marcum Asia CPAs LLP</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2023.</w:t>
      </w:r>
    </w:p>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Beijing, China</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7,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702"/>
      <w:bookmarkEnd w:id="31"/>
      <w:r>
        <w:rPr>
          <w:rFonts w:ascii="Times New Roman PS Std;serif" w:hAnsi="Times New Roman PS Std;serif"/>
          <w:b/>
          <w:i w:val="false"/>
          <w:caps w:val="false"/>
          <w:smallCaps w:val="false"/>
          <w:sz w:val="20"/>
        </w:rPr>
        <w:t>TRIDENT DIGITAL TECH HOLDINGS LTD</w:t>
        <w:br/>
        <w:t>CONSOLIDATED BALANCE SHEETS</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727"/>
        <w:gridCol w:w="146"/>
        <w:gridCol w:w="241"/>
        <w:gridCol w:w="1291"/>
        <w:gridCol w:w="196"/>
        <w:gridCol w:w="146"/>
        <w:gridCol w:w="241"/>
        <w:gridCol w:w="991"/>
        <w:gridCol w:w="226"/>
      </w:tblGrid>
      <w:tr>
        <w:trPr/>
        <w:tc>
          <w:tcPr>
            <w:tcW w:w="672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422,242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106,718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47,659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1,494,082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1,600,800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84,209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long-term borrowings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135,360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218,225</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51,867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654,063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192,935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due to related parties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526,263</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fees advance from a shareholder</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303,730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54,678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current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24,215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payable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424,656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498,572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34,340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1,190,287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1,688,859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46,676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471,332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(par value $0.00001 per share; 1,000,000,000 Class A ordinary shares authorized, 50,000,000 and 50,000,000 Class A ordinary shares issued and outstanding as of December 31, 2022 and 2021, respectively; 4,000,000,000 Class B ordinary shares authorized, 360,205,000 and 360,205,000 Class B ordinary shares issued and outstanding as of December 31, 2022 and 2021, respectively.)*</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receivable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(deficit)/earnings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(1,323,341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35,349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(37,788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703"/>
      <w:bookmarkEnd w:id="32"/>
      <w:r>
        <w:rPr>
          <w:rFonts w:ascii="Times New Roman PS Std;serif" w:hAnsi="Times New Roman PS Std;serif"/>
          <w:b/>
          <w:i w:val="false"/>
          <w:caps w:val="false"/>
          <w:smallCaps w:val="false"/>
          <w:sz w:val="20"/>
        </w:rPr>
        <w:t>TRIDENT DIGITAL TECH HOLDINGS LTD</w:t>
        <w:br/>
        <w:t>CONSOLIDATED STATEMENTS OF OPERATIONS AND COMPREHENSIVE (LOSS)/INCOME</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382"/>
        <w:gridCol w:w="146"/>
        <w:gridCol w:w="241"/>
        <w:gridCol w:w="1306"/>
        <w:gridCol w:w="196"/>
        <w:gridCol w:w="146"/>
        <w:gridCol w:w="241"/>
        <w:gridCol w:w="1306"/>
        <w:gridCol w:w="241"/>
      </w:tblGrid>
      <w:tr>
        <w:trPr/>
        <w:tc>
          <w:tcPr>
            <w:tcW w:w="63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136,576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156,220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155,475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before income tax expense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29,661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earnings per ordinary share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(0.0028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0.0001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704"/>
      <w:bookmarkEnd w:id="33"/>
      <w:r>
        <w:rPr>
          <w:rFonts w:ascii="Times New Roman PS Std;serif" w:hAnsi="Times New Roman PS Std;serif"/>
          <w:b/>
          <w:i w:val="false"/>
          <w:caps w:val="false"/>
          <w:smallCaps w:val="false"/>
          <w:sz w:val="20"/>
        </w:rPr>
        <w:t>TRIDENT DIGITAL TECH HOLDINGS LTD</w:t>
        <w:br/>
        <w:t>CONSOLIDATED STATEMENTS OF CHANGES IN EQUITY/(DEFICIT)</w:t>
        <w:br/>
        <w:t>(In U.S. dollars, except for share and per share data, or otherwise noted)</w:t>
      </w:r>
    </w:p>
    <w:tbl>
      <w:tblPr>
        <w:tblW w:w="12490" w:type="dxa"/>
        <w:jc w:val="left"/>
        <w:tblInd w:w="0" w:type="dxa"/>
        <w:tblLayout w:type="fixed"/>
        <w:tblCellMar>
          <w:top w:w="0" w:type="dxa"/>
          <w:left w:w="0" w:type="dxa"/>
          <w:bottom w:w="0" w:type="dxa"/>
          <w:right w:w="0" w:type="dxa"/>
        </w:tblCellMar>
      </w:tblPr>
      <w:tblGrid>
        <w:gridCol w:w="1526"/>
        <w:gridCol w:w="146"/>
        <w:gridCol w:w="1471"/>
        <w:gridCol w:w="146"/>
        <w:gridCol w:w="241"/>
        <w:gridCol w:w="721"/>
        <w:gridCol w:w="146"/>
        <w:gridCol w:w="1136"/>
        <w:gridCol w:w="275"/>
        <w:gridCol w:w="146"/>
        <w:gridCol w:w="253"/>
        <w:gridCol w:w="903"/>
        <w:gridCol w:w="146"/>
        <w:gridCol w:w="241"/>
        <w:gridCol w:w="1291"/>
        <w:gridCol w:w="196"/>
        <w:gridCol w:w="146"/>
        <w:gridCol w:w="251"/>
        <w:gridCol w:w="985"/>
        <w:gridCol w:w="205"/>
        <w:gridCol w:w="146"/>
        <w:gridCol w:w="241"/>
        <w:gridCol w:w="1291"/>
        <w:gridCol w:w="241"/>
      </w:tblGrid>
      <w:tr>
        <w:trPr/>
        <w:tc>
          <w:tcPr>
            <w:tcW w:w="1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7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Ordinary share</w:t>
            </w:r>
          </w:p>
        </w:tc>
        <w:tc>
          <w:tcPr>
            <w:tcW w:w="146" w:type="dxa"/>
            <w:tcBorders/>
            <w:vAlign w:val="bottom"/>
          </w:tcPr>
          <w:p>
            <w:pPr>
              <w:pStyle w:val="TableContents"/>
              <w:bidi w:val="0"/>
              <w:spacing w:before="0" w:after="283"/>
              <w:jc w:val="left"/>
              <w:rPr/>
            </w:pPr>
            <w:r>
              <w:rPr/>
              <w:t> </w:t>
            </w:r>
          </w:p>
        </w:tc>
        <w:tc>
          <w:tcPr>
            <w:tcW w:w="141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Subscription </w:t>
              <w:br/>
              <w:t>receivable</w:t>
            </w:r>
          </w:p>
        </w:tc>
        <w:tc>
          <w:tcPr>
            <w:tcW w:w="146" w:type="dxa"/>
            <w:vMerge w:val="restart"/>
            <w:tcBorders/>
            <w:vAlign w:val="bottom"/>
          </w:tcPr>
          <w:p>
            <w:pPr>
              <w:pStyle w:val="TableContents"/>
              <w:bidi w:val="0"/>
              <w:spacing w:before="0" w:after="283"/>
              <w:jc w:val="left"/>
              <w:rPr/>
            </w:pPr>
            <w:r>
              <w:rPr/>
              <w:t> </w:t>
            </w:r>
          </w:p>
        </w:tc>
        <w:tc>
          <w:tcPr>
            <w:tcW w:w="115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paid-in </w:t>
              <w:br/>
              <w:t>capita</w:t>
            </w:r>
          </w:p>
        </w:tc>
        <w:tc>
          <w:tcPr>
            <w:tcW w:w="146" w:type="dxa"/>
            <w:vMerge w:val="restart"/>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earnings/</w:t>
              <w:br/>
              <w:t>(deficit)</w:t>
            </w:r>
          </w:p>
        </w:tc>
        <w:tc>
          <w:tcPr>
            <w:tcW w:w="146" w:type="dxa"/>
            <w:vMerge w:val="restart"/>
            <w:tcBorders/>
            <w:vAlign w:val="bottom"/>
          </w:tcPr>
          <w:p>
            <w:pPr>
              <w:pStyle w:val="TableContents"/>
              <w:bidi w:val="0"/>
              <w:spacing w:before="0" w:after="283"/>
              <w:jc w:val="left"/>
              <w:rPr/>
            </w:pPr>
            <w:r>
              <w:rPr/>
              <w:t> </w:t>
            </w:r>
          </w:p>
        </w:tc>
        <w:tc>
          <w:tcPr>
            <w:tcW w:w="14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other loss</w:t>
            </w:r>
          </w:p>
        </w:tc>
        <w:tc>
          <w:tcPr>
            <w:tcW w:w="146" w:type="dxa"/>
            <w:vMerge w:val="restart"/>
            <w:tcBorders/>
            <w:vAlign w:val="bottom"/>
          </w:tcPr>
          <w:p>
            <w:pPr>
              <w:pStyle w:val="TableContents"/>
              <w:bidi w:val="0"/>
              <w:spacing w:before="0" w:after="283"/>
              <w:jc w:val="left"/>
              <w:rPr/>
            </w:pPr>
            <w:r>
              <w:rPr/>
              <w:t> </w:t>
            </w:r>
          </w:p>
        </w:tc>
        <w:tc>
          <w:tcPr>
            <w:tcW w:w="177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Company’s </w:t>
              <w:br/>
              <w:t>equity/(deficit)</w:t>
            </w:r>
          </w:p>
        </w:tc>
      </w:tr>
      <w:tr>
        <w:trPr/>
        <w:tc>
          <w:tcPr>
            <w:tcW w:w="1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w:t>
            </w:r>
          </w:p>
        </w:tc>
        <w:tc>
          <w:tcPr>
            <w:tcW w:w="146"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41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5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73" w:type="dxa"/>
            <w:gridSpan w:val="3"/>
            <w:vMerge w:val="continue"/>
            <w:tcBorders/>
            <w:vAlign w:val="bottom"/>
          </w:tcPr>
          <w:p>
            <w:pPr>
              <w:pStyle w:val="Normal"/>
              <w:bidi w:val="0"/>
              <w:jc w:val="left"/>
              <w:rPr/>
            </w:pPr>
            <w:r>
              <w:rPr/>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2020</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410,205,000</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146" w:type="dxa"/>
            <w:tcBorders/>
            <w:shd w:fill="CCEEFF" w:val="clear"/>
            <w:vAlign w:val="bottom"/>
          </w:tcPr>
          <w:p>
            <w:pPr>
              <w:pStyle w:val="TableContents"/>
              <w:bidi w:val="0"/>
              <w:spacing w:before="0" w:after="283"/>
              <w:jc w:val="left"/>
              <w:rPr/>
            </w:pPr>
            <w:r>
              <w:rPr/>
              <w:t> </w:t>
            </w:r>
          </w:p>
        </w:tc>
        <w:tc>
          <w:tcPr>
            <w:tcW w:w="11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2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5,382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5,458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2021</w:t>
            </w:r>
          </w:p>
        </w:tc>
        <w:tc>
          <w:tcPr>
            <w:tcW w:w="146" w:type="dxa"/>
            <w:tcBorders/>
            <w:vAlign w:val="bottom"/>
          </w:tcPr>
          <w:p>
            <w:pPr>
              <w:pStyle w:val="TableContents"/>
              <w:bidi w:val="0"/>
              <w:spacing w:before="0" w:after="283"/>
              <w:jc w:val="left"/>
              <w:rPr/>
            </w:pPr>
            <w:r>
              <w:rPr/>
              <w:t> </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410,205,000</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146" w:type="dxa"/>
            <w:tcBorders/>
            <w:vAlign w:val="bottom"/>
          </w:tcPr>
          <w:p>
            <w:pPr>
              <w:pStyle w:val="TableContents"/>
              <w:bidi w:val="0"/>
              <w:spacing w:before="0" w:after="283"/>
              <w:jc w:val="left"/>
              <w:rPr/>
            </w:pPr>
            <w:r>
              <w:rPr/>
              <w:t> </w:t>
            </w:r>
          </w:p>
        </w:tc>
        <w:tc>
          <w:tcPr>
            <w:tcW w:w="11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2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5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0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35,349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8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(306</w:t>
            </w:r>
          </w:p>
        </w:tc>
        <w:tc>
          <w:tcPr>
            <w:tcW w:w="20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32,164</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distribution</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20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2022</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410,205,000</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146" w:type="dxa"/>
            <w:tcBorders/>
            <w:shd w:fill="CCEEFF" w:val="clear"/>
            <w:vAlign w:val="bottom"/>
          </w:tcPr>
          <w:p>
            <w:pPr>
              <w:pStyle w:val="TableContents"/>
              <w:bidi w:val="0"/>
              <w:spacing w:before="0" w:after="283"/>
              <w:jc w:val="left"/>
              <w:rPr/>
            </w:pPr>
            <w:r>
              <w:rPr/>
              <w:t> </w:t>
            </w:r>
          </w:p>
        </w:tc>
        <w:tc>
          <w:tcPr>
            <w:tcW w:w="11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32,240</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(1,323,341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(37,788</w:t>
            </w:r>
          </w:p>
        </w:tc>
        <w:tc>
          <w:tcPr>
            <w:tcW w:w="2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705"/>
      <w:bookmarkEnd w:id="34"/>
      <w:r>
        <w:rPr>
          <w:rFonts w:ascii="Times New Roman PS Std;serif" w:hAnsi="Times New Roman PS Std;serif"/>
          <w:b/>
          <w:i w:val="false"/>
          <w:caps w:val="false"/>
          <w:smallCaps w:val="false"/>
          <w:sz w:val="20"/>
        </w:rPr>
        <w:t>TRIDENT DIGITAL TECH HOLDINGS LTD</w:t>
        <w:br/>
        <w:t>CONSOLIDATED STATEMENTS OF CASH FLOWS</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952"/>
        <w:gridCol w:w="146"/>
        <w:gridCol w:w="226"/>
        <w:gridCol w:w="1141"/>
        <w:gridCol w:w="181"/>
        <w:gridCol w:w="146"/>
        <w:gridCol w:w="226"/>
        <w:gridCol w:w="961"/>
        <w:gridCol w:w="226"/>
      </w:tblGrid>
      <w:tr>
        <w:trPr/>
        <w:tc>
          <w:tcPr>
            <w:tcW w:w="69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0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Amortisation of right-of-use asset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101,099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benefit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assets and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71,232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(111,981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166,358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51,491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461,128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192,935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(10,399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30,445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(127,196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249,052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54,678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fees advance from a shareholder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distribution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long-term bank loans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652,789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of long-term bank loans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(79,067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from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748,533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loans from related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(239,357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255,956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year</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48,978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17,813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disclosures of non-cash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Obtaining right-of-use assets in exchange for operating lease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1,561,203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42,510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 (Note 11)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706"/>
      <w:bookmarkEnd w:id="35"/>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AND PRINCIPAL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Holdings Ltd (the “Company”) and its subsidiaries (collectively referred to as the “Group”) are principally engaged in the provision of business consulting service and IT customization solutions in the Republic of Singapore (the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under the law of Cayman Islands as an exempted company with limited liability on June 12,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Quality Zone Technologies Pte. Ltd. (“QZT”), was incorporated on December 3, 2014 in Singapore. It is engaged in providing branding &amp; marketing consulting service, IT customization development service and CRM product sale.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Pte. Ltd. (“Trident”) was incorporated on May 10, 2022 in Singapore. It has not started business as of December 31, 2022.</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anticipation of an initial public offering (“IPO”) of its equity securities, the Company undertook a reorganization (the “Reorganization”), which involved in following steps: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3, 2023, the Company acquired 100% of the equity interests in QZT from its original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QZT acquired 100% of the equity interests in Trident from its original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on July 4, 2023, the Company became the ultimate holding company of QZT and Trident, which were all controlled by the same shareholder before and after the 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Basis of presentation and principles of consolidation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Use of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Significant accounting estimates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consist of cash in bank and cash on hand. The Group’s demand deposits are held at financial institutions, which have original maturities of less than three months and are unrestricted as to withdrawal and use.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is stated at the original amount less an allowance for doubtful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is recognized in the period when the Group has rendered services to its customers and when its right to consideration is unconditional. The amounts due are stated at their net estimated realizable value. The Group reviews the accounts receivable on a periodic basis and makes general and specific allowances when there is doubt as to the collectability of individual balances. The Group considers factors in assessing the collectability of its receivables, such as historical bad debts, changes in customers’ payment patterns, credit-worthiness and financial condition of the customers, current economic trends and other specific circumstances related to the accounts. An allowance for doubtful accounts is recorded in the period in which a loss is determined to be probable. Accounts receivable balances are written off after all collection efforts have been exhausted.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provision of allowance for doubtful accounts as of December 31,2022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     Property and equipment,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tbl>
      <w:tblPr>
        <w:tblW w:w="5548" w:type="dxa"/>
        <w:jc w:val="left"/>
        <w:tblInd w:w="0" w:type="dxa"/>
        <w:tblLayout w:type="fixed"/>
        <w:tblCellMar>
          <w:top w:w="0" w:type="dxa"/>
          <w:left w:w="0" w:type="dxa"/>
          <w:bottom w:w="0" w:type="dxa"/>
          <w:right w:w="0" w:type="dxa"/>
        </w:tblCellMar>
      </w:tblPr>
      <w:tblGrid>
        <w:gridCol w:w="3001"/>
        <w:gridCol w:w="146"/>
        <w:gridCol w:w="2401"/>
      </w:tblGrid>
      <w:tr>
        <w:trPr/>
        <w:tc>
          <w:tcPr>
            <w:tcW w:w="30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Category</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 useful lives</w:t>
            </w:r>
          </w:p>
        </w:tc>
      </w:tr>
      <w:tr>
        <w:trPr/>
        <w:tc>
          <w:tcPr>
            <w:tcW w:w="30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w:t>
            </w:r>
          </w:p>
        </w:tc>
        <w:tc>
          <w:tcPr>
            <w:tcW w:w="146" w:type="dxa"/>
            <w:tcBorders/>
            <w:shd w:fill="CCEEFF" w:val="clear"/>
          </w:tcPr>
          <w:p>
            <w:pPr>
              <w:pStyle w:val="TableContents"/>
              <w:bidi w:val="0"/>
              <w:spacing w:before="0" w:after="283"/>
              <w:jc w:val="left"/>
              <w:rPr/>
            </w:pPr>
            <w:r>
              <w:rPr/>
              <w:t> </w:t>
            </w:r>
          </w:p>
        </w:tc>
        <w:tc>
          <w:tcPr>
            <w:tcW w:w="2401"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electric equipment</w:t>
            </w:r>
          </w:p>
        </w:tc>
        <w:tc>
          <w:tcPr>
            <w:tcW w:w="146" w:type="dxa"/>
            <w:tcBorders/>
          </w:tcPr>
          <w:p>
            <w:pPr>
              <w:pStyle w:val="TableContents"/>
              <w:bidi w:val="0"/>
              <w:spacing w:before="0" w:after="283"/>
              <w:jc w:val="left"/>
              <w:rPr/>
            </w:pPr>
            <w:r>
              <w:rPr/>
              <w:t> </w:t>
            </w:r>
          </w:p>
        </w:tc>
        <w:tc>
          <w:tcPr>
            <w:tcW w:w="2401"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w:t>
            </w:r>
          </w:p>
        </w:tc>
      </w:tr>
      <w:tr>
        <w:trPr/>
        <w:tc>
          <w:tcPr>
            <w:tcW w:w="30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w:t>
            </w:r>
          </w:p>
        </w:tc>
        <w:tc>
          <w:tcPr>
            <w:tcW w:w="146" w:type="dxa"/>
            <w:tcBorders/>
            <w:shd w:fill="CCEEFF" w:val="clear"/>
          </w:tcPr>
          <w:p>
            <w:pPr>
              <w:pStyle w:val="TableContents"/>
              <w:bidi w:val="0"/>
              <w:spacing w:before="0" w:after="283"/>
              <w:jc w:val="left"/>
              <w:rPr/>
            </w:pPr>
            <w:r>
              <w:rPr/>
              <w:t> </w:t>
            </w:r>
          </w:p>
        </w:tc>
        <w:tc>
          <w:tcPr>
            <w:tcW w:w="2401"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     Operating leases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adopted ASC 842 on January 1, 2021.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Right-of-use assets represent the Group’s right to use an underlying asset for the lease term and lease liabilities represent the Group’s obligation to make lease payments arising from the lease. Right-of-use assets and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 The operating lease right-of-use assets also include lease payments made before commencement and exclude lease incentives.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determines whether a contract is or contains a lease at inception of the contract and whether that lease meets the classification criteria of a finance or operating lease.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the Group had no long-term leases that were classified as a financing lease, and the Group’s lease contracts only contain fixed lease payments and do not contain any residual value guarantee.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lease agreements do not contain any material residual value guarantees or material restrictive covenants.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    Impairment of long-lived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impairment of long-lived assets was recognized for the years ended December 31, 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    Fair value measurement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inputs to the valuation methodology are quoted prices (unadjusted) for identical assets or liabilities in active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inputs to the valuation methodology are unobservable.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of the Group primarily consist of cash, accounts receivable, advance to suppliers, amounts due from related parties, prepaid expenses and other current assets, accounts payable, borrowings, amounts due to related parties, accrued expenses and other current liabilities. The carrying amounts of the Group’s financial instruments, including cash, accounts receivable, accounts payable, borrowings, amounts due to related parties, other payables, approximate their fair values because of their short-term nature.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     Revenue recognition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derives its revenues principally from providing business consulting service and IT customization service.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recognition policies for each type of revenue stream are as follows: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Business consulting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IT customization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IT consulting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provides a series of IT consulting service which is interrelated as one promise to develop customized software solutions.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revenue is recognized at a point in time when the customized software solution is successfully completed, delivered and accepted by customers.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Management software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payment is made by the customers in advance, and not subject to any variable consideration, refund, cancellation or termination provision. No significant financing component, noncash payment identified in the arrangements with customers.</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Revenue by categories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disaggregates the Group’s revenue categories for the years ended December 31, 2022 and 2021:</w:t>
      </w:r>
    </w:p>
    <w:tbl>
      <w:tblPr>
        <w:tblW w:w="6162" w:type="dxa"/>
        <w:jc w:val="left"/>
        <w:tblInd w:w="0" w:type="dxa"/>
        <w:tblLayout w:type="fixed"/>
        <w:tblCellMar>
          <w:top w:w="0" w:type="dxa"/>
          <w:left w:w="0" w:type="dxa"/>
          <w:bottom w:w="0" w:type="dxa"/>
          <w:right w:w="0" w:type="dxa"/>
        </w:tblCellMar>
      </w:tblPr>
      <w:tblGrid>
        <w:gridCol w:w="3151"/>
        <w:gridCol w:w="146"/>
        <w:gridCol w:w="241"/>
        <w:gridCol w:w="1201"/>
        <w:gridCol w:w="146"/>
        <w:gridCol w:w="241"/>
        <w:gridCol w:w="1036"/>
      </w:tblGrid>
      <w:tr>
        <w:trPr/>
        <w:tc>
          <w:tcPr>
            <w:tcW w:w="31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6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consulting service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629,434</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260,455</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customization</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633,465</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396,637</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IT consulting</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522,013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396,637</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Management software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111,452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1,262,899</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657,092</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Contract balances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as a contract asset and amortized to cost in a pattern that matches the timing of the revenue recognition of the related contract.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 of each reporting period. The Group’s deferred revenue was $ 654,063 and $192,935 as of December 31, 2022 and 2021, respectively. The revenue recognized for the year end December 31, 2022 and 2021 that was included in the contract liability balance at the beginning of the period were $173,852 and nil, respectively. All unsatisfied performance obligation will be performed within the next twelve months and no significant financing component is involved.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accounts receivable and deferred revenue, the Group had no other material contract assets or contract liabilities recorded on its consolidated balance sheets as of December 31, 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     Costs of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mainly comprised of direct labor costs, service fee paid to service suppliers, commission cost and generic cost.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    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December 31, 2022 and 2021. Thus, management decided to record all of the valuation allowance. Valuation allowance amounted to $238,081 and $30,974 as of December 31, 2022 and 2021,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did not accrue any liability, interest or penalties related to uncertain tax positions in its provision for income taxes line of its consolidated statements of income for the years ended December 31, 2022 and 2021, respectively. The Company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expect that its assessment regarding unrecognized tax positions will materially change over the next 12 months.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     Goods and services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is generally 7% in Singapore. Entities that are GST general taxpayers are allowed to offset qualified input GST paid to suppliers against their output GST liabilities. Net GST balance between input GST and output GST is recorded in tax payable.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   Employee benefits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$78,445 and $38,526 for the years ended December 31, 2022 and 2021, respectively.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    Foreign currency transactions and translations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of foreign currencies into US$1 have been made at the following exchange rates for the respective periods:</w:t>
      </w:r>
    </w:p>
    <w:tbl>
      <w:tblPr>
        <w:tblW w:w="7091" w:type="dxa"/>
        <w:jc w:val="left"/>
        <w:tblInd w:w="0" w:type="dxa"/>
        <w:tblLayout w:type="fixed"/>
        <w:tblCellMar>
          <w:top w:w="0" w:type="dxa"/>
          <w:left w:w="0" w:type="dxa"/>
          <w:bottom w:w="0" w:type="dxa"/>
          <w:right w:w="0" w:type="dxa"/>
        </w:tblCellMar>
      </w:tblPr>
      <w:tblGrid>
        <w:gridCol w:w="4831"/>
        <w:gridCol w:w="146"/>
        <w:gridCol w:w="940"/>
        <w:gridCol w:w="179"/>
        <w:gridCol w:w="995"/>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4"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9"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sheet items, except for equity accounts</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1.3404</w:t>
            </w:r>
          </w:p>
        </w:tc>
        <w:tc>
          <w:tcPr>
            <w:tcW w:w="179"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1.3520</w:t>
            </w:r>
          </w:p>
        </w:tc>
      </w:tr>
    </w:tbl>
    <w:tbl>
      <w:tblPr>
        <w:tblW w:w="10205" w:type="dxa"/>
        <w:jc w:val="left"/>
        <w:tblInd w:w="0" w:type="dxa"/>
        <w:tblLayout w:type="fixed"/>
        <w:tblCellMar>
          <w:top w:w="0" w:type="dxa"/>
          <w:left w:w="0" w:type="dxa"/>
          <w:bottom w:w="0" w:type="dxa"/>
          <w:right w:w="0" w:type="dxa"/>
        </w:tblCellMar>
      </w:tblPr>
      <w:tblGrid>
        <w:gridCol w:w="7876"/>
        <w:gridCol w:w="146"/>
        <w:gridCol w:w="970"/>
        <w:gridCol w:w="184"/>
        <w:gridCol w:w="1029"/>
      </w:tblGrid>
      <w:tr>
        <w:trPr/>
        <w:tc>
          <w:tcPr>
            <w:tcW w:w="78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8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7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84" w:type="dxa"/>
            <w:tcBorders/>
            <w:vAlign w:val="bottom"/>
          </w:tcPr>
          <w:p>
            <w:pPr>
              <w:pStyle w:val="TableContents"/>
              <w:bidi w:val="0"/>
              <w:spacing w:before="0" w:after="283"/>
              <w:jc w:val="left"/>
              <w:rPr/>
            </w:pPr>
            <w:r>
              <w:rPr/>
              <w:t> </w:t>
            </w:r>
          </w:p>
        </w:tc>
        <w:tc>
          <w:tcPr>
            <w:tcW w:w="102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Items in the statements of income and comprehensive income, and statements of cash flows</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1.3787</w:t>
            </w:r>
          </w:p>
        </w:tc>
        <w:tc>
          <w:tcPr>
            <w:tcW w:w="184"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1.3438</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    Comprehensive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Comprehensive income consists of two components, net income and other comprehensive income. The foreign currency translation gain or loss resulting from translation of the financial statements expressed in SGD to USD is reported in other comprehensive income in the consolidated statements of income and comprehensive income.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    Loss/income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loss/income per share is computed by dividing net loss/income attributable to ordinary shareholders, taking into consideration the deemed dividends to preferred shareholders (if any), by the weighted average number of ordinary shares outstanding during the year using the two-class method. Under the two-class method, net loss/income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loss/income per share as of the date that all necessary conditions have been satisfied. Net loss/income are not allocated to other participating securities if based on their contractual terms they are not obligated to share the losses.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loss/income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    Segment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the management approach in determining its operating segments. The Group’s chief operating decision maker (“CODM”) identified as the Group’s Chief Executive Officer, relies upon the consolidated results of operations as a whole when making decisions about allocating resources and assessing the performance of the Group. As a result of the assessment made by CODM, the Group has only one reportable segment. The Group does not distinguish between markets or segments for the purpose of internal reporting. As substantially all of the Group’s long-lived assets are located in the SG, no geographical segments are presented.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     Recent accounting pronouncements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June 2016, the FASB issued ASU No. 2016-13, “Financial Instruments — Credit Losses (Topic 326)”, which will require the measurement of all expected credit losses for financial assets held at the reporting date based on historical experience, current conditions, and reasonable and supportable forecasts. Subsequently, the FASB issued ASU No. 2018-19, Codification Improvements to Topic 326, to clarify that receivables arising from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leases are within the scope of lease accounting standards. Further, the FASB issued ASU No. 2020-04, ASU 2020-05, ASU 2020-10, ASU 2020-11 and ASU 2021-02 to provide additional guidance on the credit losses standard. For all other entities, the amendments for ASU 2016-13 are effective for fiscal years beginning after December 15, 2022, including interim periods within those fiscal years, with early adoption permitted. Adoption of the ASUs is on a modified retrospective basis. The Group will adopt ASU 2016-13 from January 1, 2023. The Group is in the process of evaluating the effect of the adoption of this ASU.</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income and comprehensive income and statements of cash flows.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consisted of the following:</w:t>
      </w:r>
    </w:p>
    <w:tbl>
      <w:tblPr>
        <w:tblW w:w="5697" w:type="dxa"/>
        <w:jc w:val="left"/>
        <w:tblInd w:w="0" w:type="dxa"/>
        <w:tblLayout w:type="fixed"/>
        <w:tblCellMar>
          <w:top w:w="0" w:type="dxa"/>
          <w:left w:w="0" w:type="dxa"/>
          <w:bottom w:w="0" w:type="dxa"/>
          <w:right w:w="0" w:type="dxa"/>
        </w:tblCellMar>
      </w:tblPr>
      <w:tblGrid>
        <w:gridCol w:w="3256"/>
        <w:gridCol w:w="146"/>
        <w:gridCol w:w="226"/>
        <w:gridCol w:w="766"/>
        <w:gridCol w:w="146"/>
        <w:gridCol w:w="226"/>
        <w:gridCol w:w="931"/>
      </w:tblGrid>
      <w:tr>
        <w:trPr/>
        <w:tc>
          <w:tcPr>
            <w:tcW w:w="32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32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recorded nil bad debt expense for the years ended December 31, 2022 and 2021.</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PREPAID EXPENSES AND OTHER CURRENT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 consisted of the following:</w:t>
      </w:r>
    </w:p>
    <w:tbl>
      <w:tblPr>
        <w:tblW w:w="7272" w:type="dxa"/>
        <w:jc w:val="left"/>
        <w:tblInd w:w="0" w:type="dxa"/>
        <w:tblLayout w:type="fixed"/>
        <w:tblCellMar>
          <w:top w:w="0" w:type="dxa"/>
          <w:left w:w="0" w:type="dxa"/>
          <w:bottom w:w="0" w:type="dxa"/>
          <w:right w:w="0" w:type="dxa"/>
        </w:tblCellMar>
      </w:tblPr>
      <w:tblGrid>
        <w:gridCol w:w="4831"/>
        <w:gridCol w:w="146"/>
        <w:gridCol w:w="226"/>
        <w:gridCol w:w="886"/>
        <w:gridCol w:w="146"/>
        <w:gridCol w:w="226"/>
        <w:gridCol w:w="811"/>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8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66,719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4,697</w:t>
            </w:r>
          </w:p>
        </w:tc>
      </w:tr>
      <w:tr>
        <w:trPr/>
        <w:tc>
          <w:tcPr>
            <w:tcW w:w="48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prepayment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8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42,594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25,173</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prepaid expenses and other current assets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PROPERTY AND EQUIPMENT,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consisted of the following:</w:t>
      </w:r>
    </w:p>
    <w:tbl>
      <w:tblPr>
        <w:tblW w:w="7377" w:type="dxa"/>
        <w:jc w:val="left"/>
        <w:tblInd w:w="0" w:type="dxa"/>
        <w:tblLayout w:type="fixed"/>
        <w:tblCellMar>
          <w:top w:w="0" w:type="dxa"/>
          <w:left w:w="0" w:type="dxa"/>
          <w:bottom w:w="0" w:type="dxa"/>
          <w:right w:w="0" w:type="dxa"/>
        </w:tblCellMar>
      </w:tblPr>
      <w:tblGrid>
        <w:gridCol w:w="4936"/>
        <w:gridCol w:w="146"/>
        <w:gridCol w:w="226"/>
        <w:gridCol w:w="886"/>
        <w:gridCol w:w="146"/>
        <w:gridCol w:w="226"/>
        <w:gridCol w:w="811"/>
      </w:tblGrid>
      <w:tr>
        <w:trPr/>
        <w:tc>
          <w:tcPr>
            <w:tcW w:w="49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22,091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21,901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electric equipment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47,531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6,858</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59,822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24,231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129,444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52,990</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 and amortization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22,726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106,718</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47,659</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PROPERTY AND EQUIPMENT, NET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were $16,867 and $5,363 for the years ended December 31, 2022 and 2021,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did not record any impairment charge for the years ended December 31, 2022 and 2021.</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ACCRUED EXPENSES AND OTHER CURRENT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 consisted of the following:</w:t>
      </w:r>
    </w:p>
    <w:tbl>
      <w:tblPr>
        <w:tblW w:w="7572" w:type="dxa"/>
        <w:jc w:val="left"/>
        <w:tblInd w:w="0" w:type="dxa"/>
        <w:tblLayout w:type="fixed"/>
        <w:tblCellMar>
          <w:top w:w="0" w:type="dxa"/>
          <w:left w:w="0" w:type="dxa"/>
          <w:bottom w:w="0" w:type="dxa"/>
          <w:right w:w="0" w:type="dxa"/>
        </w:tblCellMar>
      </w:tblPr>
      <w:tblGrid>
        <w:gridCol w:w="5131"/>
        <w:gridCol w:w="146"/>
        <w:gridCol w:w="226"/>
        <w:gridCol w:w="886"/>
        <w:gridCol w:w="146"/>
        <w:gridCol w:w="226"/>
        <w:gridCol w:w="811"/>
      </w:tblGrid>
      <w:tr>
        <w:trPr/>
        <w:tc>
          <w:tcPr>
            <w:tcW w:w="51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51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GST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23,386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23,774</w:t>
            </w:r>
          </w:p>
        </w:tc>
      </w:tr>
      <w:tr>
        <w:trPr/>
        <w:tc>
          <w:tcPr>
            <w:tcW w:w="5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30,904</w:t>
            </w:r>
          </w:p>
        </w:tc>
      </w:tr>
      <w:tr>
        <w:trPr/>
        <w:tc>
          <w:tcPr>
            <w:tcW w:w="5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160,159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5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accrued expenses and other current liabilities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303,730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54,678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mainly consisted of reimbursement payable to employees and miscellaneous fees payable to third parties.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SUBSCRIPTION FEES ADVANCE FROM A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has received $499,990 (reflected as $524,560 at year end due to exchange rate) from Stone Wealth in advance on July 5, 2022 and recognized as equity when the Group complete its reorganization and by issuing 24,795,000 Class B Ordinary Shares on July 4, 2023.</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LEASES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lease cost recognized in the Group’s consolidated and combined statements of operations and comprehensive loss is as follows:</w:t>
      </w:r>
    </w:p>
    <w:tbl>
      <w:tblPr>
        <w:tblW w:w="8292" w:type="dxa"/>
        <w:jc w:val="left"/>
        <w:tblInd w:w="0" w:type="dxa"/>
        <w:tblLayout w:type="fixed"/>
        <w:tblCellMar>
          <w:top w:w="0" w:type="dxa"/>
          <w:left w:w="0" w:type="dxa"/>
          <w:bottom w:w="0" w:type="dxa"/>
          <w:right w:w="0" w:type="dxa"/>
        </w:tblCellMar>
      </w:tblPr>
      <w:tblGrid>
        <w:gridCol w:w="5851"/>
        <w:gridCol w:w="146"/>
        <w:gridCol w:w="226"/>
        <w:gridCol w:w="886"/>
        <w:gridCol w:w="146"/>
        <w:gridCol w:w="226"/>
        <w:gridCol w:w="811"/>
      </w:tblGrid>
      <w:tr>
        <w:trPr/>
        <w:tc>
          <w:tcPr>
            <w:tcW w:w="58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5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leases cost excluding short-term rental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151,752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8,335</w:t>
            </w:r>
          </w:p>
        </w:tc>
      </w:tr>
      <w:tr>
        <w:trPr/>
        <w:tc>
          <w:tcPr>
            <w:tcW w:w="5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14,883</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153,565</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23,218</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the weighted average remaining lease term was 4.53 years, and the weighted average discount rate was 5.0% for the Group’s operating leases.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LEASES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maturity of lease liabilities under operating leases as of December 31, 2022:</w:t>
      </w:r>
    </w:p>
    <w:tbl>
      <w:tblPr>
        <w:tblW w:w="5294" w:type="dxa"/>
        <w:jc w:val="left"/>
        <w:tblInd w:w="0" w:type="dxa"/>
        <w:tblLayout w:type="fixed"/>
        <w:tblCellMar>
          <w:top w:w="0" w:type="dxa"/>
          <w:left w:w="0" w:type="dxa"/>
          <w:bottom w:w="0" w:type="dxa"/>
          <w:right w:w="0" w:type="dxa"/>
        </w:tblCellMar>
      </w:tblPr>
      <w:tblGrid>
        <w:gridCol w:w="3676"/>
        <w:gridCol w:w="146"/>
        <w:gridCol w:w="226"/>
        <w:gridCol w:w="1246"/>
      </w:tblGrid>
      <w:tr>
        <w:trPr/>
        <w:tc>
          <w:tcPr>
            <w:tcW w:w="36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 December 31,</w:t>
            </w:r>
          </w:p>
        </w:tc>
        <w:tc>
          <w:tcPr>
            <w:tcW w:w="146"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Operating </w:t>
              <w:br/>
              <w:t>Leases</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345,255</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227,798</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lease payments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1,649,507</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181,521</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1,467,986</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277,699</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portion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1,190,287</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TAXATION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incorporated in the Cayman Islands. Under the current laws of the Cayman Islands, the Company is not subject to income or capital gains taxes. In addition, dividend payments are not subject to withholdings tax in the Cayman Islands.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Pte. Ltd. and Quality Zone Technologies Pte. Ltd. are located in Singapore and are subject to 17% statutory income tax rate with respect to the profit generated from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tax provision consisted of the following components:</w:t>
      </w:r>
    </w:p>
    <w:tbl>
      <w:tblPr>
        <w:tblW w:w="6416" w:type="dxa"/>
        <w:jc w:val="left"/>
        <w:tblInd w:w="0" w:type="dxa"/>
        <w:tblLayout w:type="fixed"/>
        <w:tblCellMar>
          <w:top w:w="0" w:type="dxa"/>
          <w:left w:w="0" w:type="dxa"/>
          <w:bottom w:w="0" w:type="dxa"/>
          <w:right w:w="0" w:type="dxa"/>
        </w:tblCellMar>
      </w:tblPr>
      <w:tblGrid>
        <w:gridCol w:w="4006"/>
        <w:gridCol w:w="146"/>
        <w:gridCol w:w="249"/>
        <w:gridCol w:w="712"/>
        <w:gridCol w:w="160"/>
        <w:gridCol w:w="249"/>
        <w:gridCol w:w="894"/>
      </w:tblGrid>
      <w:tr>
        <w:trPr/>
        <w:tc>
          <w:tcPr>
            <w:tcW w:w="40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6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4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60" w:type="dxa"/>
            <w:tcBorders/>
            <w:vAlign w:val="bottom"/>
          </w:tcPr>
          <w:p>
            <w:pPr>
              <w:pStyle w:val="TableContents"/>
              <w:bidi w:val="0"/>
              <w:spacing w:before="0" w:after="283"/>
              <w:jc w:val="left"/>
              <w:rPr/>
            </w:pPr>
            <w:r>
              <w:rPr/>
              <w:t> </w:t>
            </w:r>
          </w:p>
        </w:tc>
        <w:tc>
          <w:tcPr>
            <w:tcW w:w="114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income tax expenses</w:t>
            </w:r>
          </w:p>
        </w:tc>
        <w:tc>
          <w:tcPr>
            <w:tcW w:w="14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r>
      <w:tr>
        <w:trPr/>
        <w:tc>
          <w:tcPr>
            <w:tcW w:w="4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 (benefit) expenses</w:t>
            </w:r>
          </w:p>
        </w:tc>
        <w:tc>
          <w:tcPr>
            <w:tcW w:w="146"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0"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income tax expenses</w:t>
            </w:r>
          </w:p>
        </w:tc>
        <w:tc>
          <w:tcPr>
            <w:tcW w:w="146" w:type="dxa"/>
            <w:tcBorders/>
            <w:shd w:fill="CCEEFF" w:val="clear"/>
            <w:vAlign w:val="bottom"/>
          </w:tcPr>
          <w:p>
            <w:pPr>
              <w:pStyle w:val="TableContents"/>
              <w:bidi w:val="0"/>
              <w:spacing w:before="0" w:after="283"/>
              <w:jc w:val="left"/>
              <w:rPr/>
            </w:pPr>
            <w:r>
              <w:rPr/>
              <w:t> </w:t>
            </w:r>
          </w:p>
        </w:tc>
        <w:tc>
          <w:tcPr>
            <w:tcW w:w="24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60" w:type="dxa"/>
            <w:tcBorders/>
            <w:shd w:fill="CCEEFF" w:val="clear"/>
            <w:vAlign w:val="bottom"/>
          </w:tcPr>
          <w:p>
            <w:pPr>
              <w:pStyle w:val="TableContents"/>
              <w:bidi w:val="0"/>
              <w:spacing w:before="0" w:after="283"/>
              <w:jc w:val="left"/>
              <w:rPr/>
            </w:pPr>
            <w:r>
              <w:rPr/>
              <w:t> </w:t>
            </w:r>
          </w:p>
        </w:tc>
        <w:tc>
          <w:tcPr>
            <w:tcW w:w="24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TAXATION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between the Group’s actual provision for income taxes and the provision at the SG, mainland statutory rate is as follows:</w:t>
      </w:r>
    </w:p>
    <w:tbl>
      <w:tblPr>
        <w:tblW w:w="8594" w:type="dxa"/>
        <w:jc w:val="left"/>
        <w:tblInd w:w="0" w:type="dxa"/>
        <w:tblLayout w:type="fixed"/>
        <w:tblCellMar>
          <w:top w:w="0" w:type="dxa"/>
          <w:left w:w="0" w:type="dxa"/>
          <w:bottom w:w="0" w:type="dxa"/>
          <w:right w:w="0" w:type="dxa"/>
        </w:tblCellMar>
      </w:tblPr>
      <w:tblGrid>
        <w:gridCol w:w="5251"/>
        <w:gridCol w:w="146"/>
        <w:gridCol w:w="226"/>
        <w:gridCol w:w="1141"/>
        <w:gridCol w:w="286"/>
        <w:gridCol w:w="146"/>
        <w:gridCol w:w="226"/>
        <w:gridCol w:w="841"/>
        <w:gridCol w:w="331"/>
      </w:tblGrid>
      <w:tr>
        <w:trPr/>
        <w:tc>
          <w:tcPr>
            <w:tcW w:w="52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9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52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9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before income taxes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 computed at statutory EIT rate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(191,198</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9,862</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Reconciling items: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Non-taxable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(1,411</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201,092</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31,163</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Singapore tax rebate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(12,967</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tax rates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the significant components of the deferred tax assets are summarized below:</w:t>
      </w:r>
    </w:p>
    <w:tbl>
      <w:tblPr>
        <w:tblW w:w="8519" w:type="dxa"/>
        <w:jc w:val="left"/>
        <w:tblInd w:w="0" w:type="dxa"/>
        <w:tblLayout w:type="fixed"/>
        <w:tblCellMar>
          <w:top w:w="0" w:type="dxa"/>
          <w:left w:w="0" w:type="dxa"/>
          <w:bottom w:w="0" w:type="dxa"/>
          <w:right w:w="0" w:type="dxa"/>
        </w:tblCellMar>
      </w:tblPr>
      <w:tblGrid>
        <w:gridCol w:w="5371"/>
        <w:gridCol w:w="146"/>
        <w:gridCol w:w="241"/>
        <w:gridCol w:w="1081"/>
        <w:gridCol w:w="196"/>
        <w:gridCol w:w="146"/>
        <w:gridCol w:w="241"/>
        <w:gridCol w:w="856"/>
        <w:gridCol w:w="241"/>
      </w:tblGrid>
      <w:tr>
        <w:trPr/>
        <w:tc>
          <w:tcPr>
            <w:tcW w:w="53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 carried forward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164,313</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249,558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111,191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gross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525,062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39,012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(238,081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net of valuation allowance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286,981</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8,038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(253,994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(286,981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(8,038</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Deferred tax assets (liability)</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roll forward of valuation allowances of deferred tax assets were as follows:</w:t>
      </w:r>
    </w:p>
    <w:tbl>
      <w:tblPr>
        <w:tblW w:w="6748" w:type="dxa"/>
        <w:jc w:val="left"/>
        <w:tblInd w:w="0" w:type="dxa"/>
        <w:tblLayout w:type="fixed"/>
        <w:tblCellMar>
          <w:top w:w="0" w:type="dxa"/>
          <w:left w:w="0" w:type="dxa"/>
          <w:bottom w:w="0" w:type="dxa"/>
          <w:right w:w="0" w:type="dxa"/>
        </w:tblCellMar>
      </w:tblPr>
      <w:tblGrid>
        <w:gridCol w:w="4126"/>
        <w:gridCol w:w="146"/>
        <w:gridCol w:w="226"/>
        <w:gridCol w:w="886"/>
        <w:gridCol w:w="146"/>
        <w:gridCol w:w="226"/>
        <w:gridCol w:w="766"/>
        <w:gridCol w:w="226"/>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7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beginning of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 of valuation allowance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201,092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31,163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end of year</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238,081</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TAXATION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Uncertain tax positions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As of December 31, 2022 and 2021, the Group did not have any significant unrecognized uncertain tax positions. The Group did not incur interest and penalties tax for the years ended December 31, 2022 and 2021. As of December 31, 2022, the tax years ended December 31, 2018 to 2022 for the Group’s Singapore subsidiaries remain open for statutory examination by any applicable tax authorities.</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BORROWINGS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summary of the borrowings is as following:</w:t>
      </w:r>
    </w:p>
    <w:tbl>
      <w:tblPr>
        <w:tblW w:w="13642" w:type="dxa"/>
        <w:jc w:val="left"/>
        <w:tblInd w:w="0" w:type="dxa"/>
        <w:tblLayout w:type="fixed"/>
        <w:tblCellMar>
          <w:top w:w="0" w:type="dxa"/>
          <w:left w:w="0" w:type="dxa"/>
          <w:bottom w:w="0" w:type="dxa"/>
          <w:right w:w="0" w:type="dxa"/>
        </w:tblCellMar>
      </w:tblPr>
      <w:tblGrid>
        <w:gridCol w:w="3496"/>
        <w:gridCol w:w="146"/>
        <w:gridCol w:w="545"/>
        <w:gridCol w:w="281"/>
        <w:gridCol w:w="146"/>
        <w:gridCol w:w="1651"/>
        <w:gridCol w:w="146"/>
        <w:gridCol w:w="1651"/>
        <w:gridCol w:w="146"/>
        <w:gridCol w:w="931"/>
        <w:gridCol w:w="146"/>
        <w:gridCol w:w="901"/>
        <w:gridCol w:w="146"/>
        <w:gridCol w:w="1126"/>
        <w:gridCol w:w="146"/>
        <w:gridCol w:w="781"/>
        <w:gridCol w:w="146"/>
        <w:gridCol w:w="1111"/>
      </w:tblGrid>
      <w:tr>
        <w:trPr/>
        <w:tc>
          <w:tcPr>
            <w:tcW w:w="34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As of December 31, </w:t>
              <w:br/>
              <w:t>2022</w:t>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As of December 31, </w:t>
              <w:br/>
              <w:t>2021</w:t>
            </w:r>
          </w:p>
        </w:tc>
      </w:tr>
      <w:tr>
        <w:trPr/>
        <w:tc>
          <w:tcPr>
            <w:tcW w:w="3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Bank and other financial institution</w:t>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Annual </w:t>
              <w:br/>
              <w:t xml:space="preserve">Interest </w:t>
              <w:br/>
              <w:t>Rate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Start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Maturity</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Principal</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w:t>
              <w:br/>
              <w:t>term</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Long-term </w:t>
              <w:br/>
              <w:t xml:space="preserve">(current </w:t>
              <w:br/>
              <w:t>portions)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w:t>
              <w:br/>
              <w:t>term</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Long-term </w:t>
              <w:br/>
              <w:t xml:space="preserve">(current </w:t>
              <w:br/>
              <w:t>portions)</w:t>
            </w:r>
          </w:p>
        </w:tc>
      </w:tr>
      <w:tr>
        <w:trPr/>
        <w:tc>
          <w:tcPr>
            <w:tcW w:w="3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r>
      <w:tr>
        <w:trPr/>
        <w:tc>
          <w:tcPr>
            <w:tcW w:w="3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OCBC Bank</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2021</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2026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22,189</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10,043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14,372</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4,304</w:t>
            </w:r>
          </w:p>
        </w:tc>
      </w:tr>
      <w:tr>
        <w:trPr/>
        <w:tc>
          <w:tcPr>
            <w:tcW w:w="3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OCBC Bank</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4.25</w:t>
            </w:r>
          </w:p>
        </w:tc>
        <w:tc>
          <w:tcPr>
            <w:tcW w:w="2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2021</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2026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25,888</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5,046</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19,968</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4,796</w:t>
            </w:r>
          </w:p>
        </w:tc>
      </w:tr>
      <w:tr>
        <w:trPr/>
        <w:tc>
          <w:tcPr>
            <w:tcW w:w="3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UOB Bank</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2022</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2027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373,023</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256,862</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70,622</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Maybank Singapore Limited</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w:t>
            </w:r>
          </w:p>
        </w:tc>
        <w:tc>
          <w:tcPr>
            <w:tcW w:w="2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July</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July</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2027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298,418</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216,573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55,243</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4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719,518</w:t>
            </w:r>
          </w:p>
        </w:tc>
        <w:tc>
          <w:tcPr>
            <w:tcW w:w="146" w:type="dxa"/>
            <w:tcBorders/>
            <w:shd w:fill="CCEEFF" w:val="clear"/>
            <w:vAlign w:val="bottom"/>
          </w:tcPr>
          <w:p>
            <w:pPr>
              <w:pStyle w:val="TableContents"/>
              <w:bidi w:val="0"/>
              <w:spacing w:before="0" w:after="283"/>
              <w:jc w:val="left"/>
              <w:rPr/>
            </w:pPr>
            <w:r>
              <w:rPr/>
              <w:t> </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498,572</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135,360</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34,340</w:t>
            </w:r>
          </w:p>
        </w:tc>
        <w:tc>
          <w:tcPr>
            <w:tcW w:w="146" w:type="dxa"/>
            <w:tcBorders/>
            <w:shd w:fill="CCEEFF" w:val="clear"/>
            <w:vAlign w:val="bottom"/>
          </w:tcPr>
          <w:p>
            <w:pPr>
              <w:pStyle w:val="TableContents"/>
              <w:bidi w:val="0"/>
              <w:spacing w:before="0" w:after="283"/>
              <w:jc w:val="left"/>
              <w:rPr/>
            </w:pPr>
            <w:r>
              <w:rPr/>
              <w:t> </w:t>
            </w:r>
          </w:p>
        </w:tc>
        <w:tc>
          <w:tcPr>
            <w:tcW w:w="11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9,100</w:t>
            </w:r>
          </w:p>
        </w:tc>
      </w:tr>
    </w:tbl>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 were $17,813 and $745 for the years ended December 31, 2022 and 2021, respectively.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borrowings above are guaranteed by the Group’s shareholders, Poh Kiong Tan.</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list of related parties which the Group has transactions with:</w:t>
      </w:r>
    </w:p>
    <w:tbl>
      <w:tblPr>
        <w:tblW w:w="8500" w:type="dxa"/>
        <w:jc w:val="left"/>
        <w:tblInd w:w="0" w:type="dxa"/>
        <w:tblLayout w:type="fixed"/>
        <w:tblCellMar>
          <w:top w:w="0" w:type="dxa"/>
          <w:left w:w="0" w:type="dxa"/>
          <w:bottom w:w="0" w:type="dxa"/>
          <w:right w:w="0" w:type="dxa"/>
        </w:tblCellMar>
      </w:tblPr>
      <w:tblGrid>
        <w:gridCol w:w="526"/>
        <w:gridCol w:w="146"/>
        <w:gridCol w:w="2911"/>
        <w:gridCol w:w="146"/>
        <w:gridCol w:w="4771"/>
      </w:tblGrid>
      <w:tr>
        <w:trPr/>
        <w:tc>
          <w:tcPr>
            <w:tcW w:w="5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Parties</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with the Group</w:t>
            </w:r>
          </w:p>
        </w:tc>
      </w:tr>
      <w:tr>
        <w:trPr/>
        <w:tc>
          <w:tcPr>
            <w:tcW w:w="52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Chairman, Chief Executive Officer</w:t>
            </w:r>
          </w:p>
        </w:tc>
      </w:tr>
      <w:tr>
        <w:trPr/>
        <w:tc>
          <w:tcPr>
            <w:tcW w:w="52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52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equity interests owned by Soon Huat Lim</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to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 consisted of the following for the periods indicated:</w:t>
      </w:r>
    </w:p>
    <w:tbl>
      <w:tblPr>
        <w:tblW w:w="5862" w:type="dxa"/>
        <w:jc w:val="left"/>
        <w:tblInd w:w="0" w:type="dxa"/>
        <w:tblLayout w:type="fixed"/>
        <w:tblCellMar>
          <w:top w:w="0" w:type="dxa"/>
          <w:left w:w="0" w:type="dxa"/>
          <w:bottom w:w="0" w:type="dxa"/>
          <w:right w:w="0" w:type="dxa"/>
        </w:tblCellMar>
      </w:tblPr>
      <w:tblGrid>
        <w:gridCol w:w="3196"/>
        <w:gridCol w:w="146"/>
        <w:gridCol w:w="241"/>
        <w:gridCol w:w="991"/>
        <w:gridCol w:w="146"/>
        <w:gridCol w:w="241"/>
        <w:gridCol w:w="901"/>
      </w:tblGrid>
      <w:tr>
        <w:trPr/>
        <w:tc>
          <w:tcPr>
            <w:tcW w:w="31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2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3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11,491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63,753</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513,280</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526,263</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63,753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represented loan from this related party for the Group’s daily operation with no fixed term of repayment and interest, and expense paid on behalf of the Group.</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 represented loan from this related party.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balance represented interest-free loan from this related party for the Group’s daily operation at maturity within three months, offset by loan to this related party.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RELATED PARTY TRANSACTIONS </w:t>
      </w:r>
      <w:r>
        <w:rPr>
          <w:rFonts w:ascii="Times New Roman PS Std;serif" w:hAnsi="Times New Roman PS Std;serif"/>
          <w:b w:val="false"/>
          <w:i w:val="false"/>
          <w:caps w:val="false"/>
          <w:smallCaps w:val="false"/>
          <w:sz w:val="20"/>
        </w:rPr>
        <w:t>(cont.)</w:t>
      </w:r>
    </w:p>
    <w:tbl>
      <w:tblPr>
        <w:tblW w:w="6852" w:type="dxa"/>
        <w:jc w:val="left"/>
        <w:tblInd w:w="0" w:type="dxa"/>
        <w:tblLayout w:type="fixed"/>
        <w:tblCellMar>
          <w:top w:w="0" w:type="dxa"/>
          <w:left w:w="0" w:type="dxa"/>
          <w:bottom w:w="0" w:type="dxa"/>
          <w:right w:w="0" w:type="dxa"/>
        </w:tblCellMar>
      </w:tblPr>
      <w:tblGrid>
        <w:gridCol w:w="4411"/>
        <w:gridCol w:w="146"/>
        <w:gridCol w:w="226"/>
        <w:gridCol w:w="886"/>
        <w:gridCol w:w="146"/>
        <w:gridCol w:w="226"/>
        <w:gridCol w:w="811"/>
      </w:tblGrid>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Related party transactions</w:t>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Nature</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87,039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44,650</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87,039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22,325</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paid on behalf of the Group</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26,897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43,376</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Soon Huat Lim</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Deemed dividend(2)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Trident Consultancy Pte. Ltd.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152,318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660,043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from loan to a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21,760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the year ended December 31, 2022, QZT received contribution from Poh Kiong Tan. The contribution was implemented to reduce the outstanding balance due to Poh Kiong Tan by $36,266.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year ended December 31, 2022, QZT declared dividend to Soon Huat Lim.</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410,205,000 shares to the shareholders at par value $0.00001 per share, among which, 50,000,000 Class A ordinary shares and 360,205,000 Class B ordinary shares issued and outstanding as of December 31, 2022 and 2021, respectively. The Company has retroactively restated all shares and per share data for all periods presented.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subscription receivable on the consolidated balance sheets represented the unrecovered consideration of the nil and 410,205,000 ordinary shares issued by the Company.</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CONCENTRATION OF CREDIT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CONCENTRATION OF CREDIT RISK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customers who represented 10% or more of the Group’s total revenue.</w:t>
      </w:r>
    </w:p>
    <w:tbl>
      <w:tblPr>
        <w:tblW w:w="6281" w:type="dxa"/>
        <w:jc w:val="left"/>
        <w:tblInd w:w="0" w:type="dxa"/>
        <w:tblLayout w:type="fixed"/>
        <w:tblCellMar>
          <w:top w:w="0" w:type="dxa"/>
          <w:left w:w="0" w:type="dxa"/>
          <w:bottom w:w="0" w:type="dxa"/>
          <w:right w:w="0" w:type="dxa"/>
        </w:tblCellMar>
      </w:tblPr>
      <w:tblGrid>
        <w:gridCol w:w="4021"/>
        <w:gridCol w:w="146"/>
        <w:gridCol w:w="880"/>
        <w:gridCol w:w="217"/>
        <w:gridCol w:w="518"/>
        <w:gridCol w:w="499"/>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17" w:type="dxa"/>
            <w:tcBorders/>
            <w:vAlign w:val="bottom"/>
          </w:tcPr>
          <w:p>
            <w:pPr>
              <w:pStyle w:val="TableContents"/>
              <w:bidi w:val="0"/>
              <w:spacing w:before="0" w:after="283"/>
              <w:jc w:val="left"/>
              <w:rPr/>
            </w:pPr>
            <w:r>
              <w:rPr/>
              <w:t> </w:t>
            </w:r>
          </w:p>
        </w:tc>
        <w:tc>
          <w:tcPr>
            <w:tcW w:w="10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total revenue</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vAlign w:val="bottom"/>
          </w:tcPr>
          <w:p>
            <w:pPr>
              <w:pStyle w:val="TableContents"/>
              <w:bidi w:val="0"/>
              <w:spacing w:before="0" w:after="283"/>
              <w:jc w:val="left"/>
              <w:rPr/>
            </w:pPr>
            <w:r>
              <w:rPr/>
              <w:t> </w:t>
            </w:r>
          </w:p>
        </w:tc>
        <w:tc>
          <w:tcPr>
            <w:tcW w:w="8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7" w:type="dxa"/>
            <w:tcBorders/>
            <w:vAlign w:val="bottom"/>
          </w:tcPr>
          <w:p>
            <w:pPr>
              <w:pStyle w:val="TableContents"/>
              <w:bidi w:val="0"/>
              <w:spacing w:before="0" w:after="283"/>
              <w:jc w:val="left"/>
              <w:rPr/>
            </w:pPr>
            <w:r>
              <w:rPr/>
              <w:t> </w:t>
            </w:r>
          </w:p>
        </w:tc>
        <w:tc>
          <w:tcPr>
            <w:tcW w:w="51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9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7"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9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88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7" w:type="dxa"/>
            <w:tcBorders/>
            <w:vAlign w:val="bottom"/>
          </w:tcPr>
          <w:p>
            <w:pPr>
              <w:pStyle w:val="TableContents"/>
              <w:bidi w:val="0"/>
              <w:spacing w:before="0" w:after="283"/>
              <w:jc w:val="left"/>
              <w:rPr/>
            </w:pPr>
            <w:r>
              <w:rPr/>
              <w:t> </w:t>
            </w:r>
          </w:p>
        </w:tc>
        <w:tc>
          <w:tcPr>
            <w:tcW w:w="51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49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 percentage less than 10%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customers who represented 10% or more of the Group’s total accounts receivable:</w:t>
      </w:r>
    </w:p>
    <w:tbl>
      <w:tblPr>
        <w:tblW w:w="6925" w:type="dxa"/>
        <w:jc w:val="left"/>
        <w:tblInd w:w="0" w:type="dxa"/>
        <w:tblLayout w:type="fixed"/>
        <w:tblCellMar>
          <w:top w:w="0" w:type="dxa"/>
          <w:left w:w="0" w:type="dxa"/>
          <w:bottom w:w="0" w:type="dxa"/>
          <w:right w:w="0" w:type="dxa"/>
        </w:tblCellMar>
      </w:tblPr>
      <w:tblGrid>
        <w:gridCol w:w="4666"/>
        <w:gridCol w:w="146"/>
        <w:gridCol w:w="502"/>
        <w:gridCol w:w="415"/>
        <w:gridCol w:w="212"/>
        <w:gridCol w:w="502"/>
        <w:gridCol w:w="482"/>
      </w:tblGrid>
      <w:tr>
        <w:trPr/>
        <w:tc>
          <w:tcPr>
            <w:tcW w:w="46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6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12" w:type="dxa"/>
            <w:tcBorders/>
            <w:vAlign w:val="bottom"/>
          </w:tcPr>
          <w:p>
            <w:pPr>
              <w:pStyle w:val="TableContents"/>
              <w:bidi w:val="0"/>
              <w:spacing w:before="0" w:after="283"/>
              <w:jc w:val="left"/>
              <w:rPr/>
            </w:pPr>
            <w:r>
              <w:rPr/>
              <w:t> </w:t>
            </w:r>
          </w:p>
        </w:tc>
        <w:tc>
          <w:tcPr>
            <w:tcW w:w="98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accounts receivable</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4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8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8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E</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41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2"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F</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1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41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2" w:type="dxa"/>
            <w:tcBorders/>
            <w:vAlign w:val="bottom"/>
          </w:tcPr>
          <w:p>
            <w:pPr>
              <w:pStyle w:val="TableContents"/>
              <w:bidi w:val="0"/>
              <w:spacing w:before="0" w:after="283"/>
              <w:jc w:val="left"/>
              <w:rPr/>
            </w:pPr>
            <w:r>
              <w:rP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4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COMMITMENTS AND CONTINGENCIES</w:t>
      </w:r>
    </w:p>
    <w:p>
      <w:pPr>
        <w:pStyle w:val="TextBody"/>
        <w:keepNext w:val="true"/>
        <w:pageBreakBefore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SUBSEQUENT EVENTS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After this transaction, Soon Tai Lee became a shareholder of the Group and Soon Huat Lim still remain as ultimate controller of the Group. The Group has collected the consideration on January 26, 2023.</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After this transaction, Yat Hong Lo became a shareholder of the Group and Soon Huat Lim still remain as ultimate controller of the Group. The Group has collected all the consideration on June 16, 2023.</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evaluated subsequent events through the date of issuance of the consolidated financial statements, except for the events mentioned above the Group did not identify any subsequent events with material financial impact on the Group’s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PROSPECTUS</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6. INDEMNIFICATION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form of indemnification agreements filed as Exhibit 10.2 to this registration statement, we will agree to indemnify our directors and executive officers against certain liabilities and expenses incurred by such persons in connection with claims made by reason of their being such a director or executive officer.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form of underwriting agreement to be filed as Exhibit 1.1 to this registration statement will also provide indemnification for us and our officers and directors for certain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7. RECENT SALES OF UNREGISTERED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tbl>
      <w:tblPr>
        <w:tblW w:w="10205" w:type="dxa"/>
        <w:jc w:val="left"/>
        <w:tblInd w:w="0" w:type="dxa"/>
        <w:tblLayout w:type="fixed"/>
        <w:tblCellMar>
          <w:top w:w="0" w:type="dxa"/>
          <w:left w:w="0" w:type="dxa"/>
          <w:bottom w:w="0" w:type="dxa"/>
          <w:right w:w="0" w:type="dxa"/>
        </w:tblCellMar>
      </w:tblPr>
      <w:tblGrid>
        <w:gridCol w:w="4660"/>
        <w:gridCol w:w="146"/>
        <w:gridCol w:w="1361"/>
        <w:gridCol w:w="146"/>
        <w:gridCol w:w="2123"/>
        <w:gridCol w:w="146"/>
        <w:gridCol w:w="1623"/>
      </w:tblGrid>
      <w:tr>
        <w:trPr/>
        <w:tc>
          <w:tcPr>
            <w:tcW w:w="46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Securities/Purchaser</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Issuance</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Securities</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Consideration</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Ordinary Shares</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left"/>
              <w:rPr/>
            </w:pPr>
            <w:r>
              <w:rPr/>
              <w:t> </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Sertus Nominees (Cayman) Limited</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0.00001</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Ltd</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49,999,999</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US$ 499.99999</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B Ordinary Shares</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left"/>
              <w:rPr/>
            </w:pPr>
            <w:r>
              <w:rPr/>
              <w:t> </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Group Holdings Ltd</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1,500</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 Wealth Ltd</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125,705,000</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1,257.05</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Tai Lee</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750</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Yat Hong Lo</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25,000,000</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250</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Stone Wealth Compound Fund SPC</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24,795,000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247.95</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Alpha Plus Investment Consulting Company Pte. Ltd.</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24,500,000</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245</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100</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Shisong Mai</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100</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Verse Ltd</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50</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8. EXHIBITS AND FINANCIAL STATEMENT SCHEDULES.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Exhibits: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Exhibit Index beginning on page II-4 of this registration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Financial Statement Schedules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Schedules have been omitted because the information required to be set forth therein is not applicable or is shown in the consolidated financial statements and the related notes thereto.</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9. UNDERTAKINGS.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 to file a post-effective amendment to the registration statement to include any financial statements required by Item 8.A of Form 20-F at the start of any delayed offering or throughout a continuous offering.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other communication that is an offer in the offering made by the undersigned registrant to the purchaser.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960" w:right="0" w:hanging="96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r>
    </w:p>
    <w:p>
      <w:pPr>
        <w:pStyle w:val="TextBody"/>
        <w:keepNext w:val="true"/>
        <w:pageBreakBefore w:val="false"/>
        <w:widowControl/>
        <w:pBdr/>
        <w:bidi w:val="0"/>
        <w:spacing w:before="240" w:after="283"/>
        <w:ind w:left="48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404"/>
        <w:gridCol w:w="146"/>
        <w:gridCol w:w="8655"/>
      </w:tblGrid>
      <w:tr>
        <w:trPr/>
        <w:tc>
          <w:tcPr>
            <w:tcW w:w="14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Number</w:t>
            </w:r>
          </w:p>
        </w:tc>
        <w:tc>
          <w:tcPr>
            <w:tcW w:w="146" w:type="dxa"/>
            <w:tcBorders/>
            <w:vAlign w:val="bottom"/>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 of Documents</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Underwriting Agreement</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Memorandum and Articles of Association of the Registrant, as currently in effect</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Amended and Restated Memorandum and Articles of Association of the Registrant, as effective immediately prior to the completion of this offering</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Registrant’s Specimen American Depositary Receipt (included in Exhibit 4.3)</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Registrant’s Specimen Certificate for Class B ordinary shares</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Deposit Agreement between the Registrant, the depositary and holders of the American Depositary Receipts</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Maples and Calder (Hong Kong) LLP regarding the validity of the Class B ordinary shares being registered</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Maples and Calder (Hong Kong) LLP regarding certain Cayman Island tax matters (included in Exhibit 5.1)</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Opinion of Resource Law LLC (in alliance with Reed Smith) regarding certain Singapore tax matters </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Indemnification Agreement between the Registrant and its directors and executive officers</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Employment Agreement, between the Registrant and its executive officers</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 Equity Incentive Plan</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w:anchor="drs2023ex21-1_trident.htm">
              <w:r>
                <w:rPr>
                  <w:rStyle w:val="InternetLink"/>
                  <w:rFonts w:ascii="Times New Roman PS Std;serif" w:hAnsi="Times New Roman PS Std;serif"/>
                  <w:b w:val="false"/>
                  <w:i w:val="false"/>
                  <w:caps w:val="false"/>
                  <w:smallCaps w:val="false"/>
                  <w:sz w:val="20"/>
                </w:rPr>
                <w:t>Principal Subsidiaries of the Registrant</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Marcum Asia CPAs LLP, Independent Registered Public Accounting Firm</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Maples and Calder (Hong Kong) LLP (included in Exhibit 5.1)</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Resource Law LLC (in alliance with Reed Smith) (included in Exhibit 8.2)</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Powers of Attorney (included on signature page)</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Code of Business Conduct and Ethics of the Registrant </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Frost &amp; Sullivan</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by amendment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            ], 2023.</w:t>
      </w:r>
    </w:p>
    <w:tbl>
      <w:tblPr>
        <w:tblW w:w="4056" w:type="dxa"/>
        <w:jc w:val="left"/>
        <w:tblInd w:w="0" w:type="dxa"/>
        <w:tblLayout w:type="fixed"/>
        <w:tblCellMar>
          <w:top w:w="0" w:type="dxa"/>
          <w:left w:w="0" w:type="dxa"/>
          <w:bottom w:w="0" w:type="dxa"/>
          <w:right w:w="0" w:type="dxa"/>
        </w:tblCellMar>
      </w:tblPr>
      <w:tblGrid>
        <w:gridCol w:w="161"/>
        <w:gridCol w:w="146"/>
        <w:gridCol w:w="1158"/>
        <w:gridCol w:w="401"/>
        <w:gridCol w:w="2190"/>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49" w:type="dxa"/>
            <w:gridSpan w:val="3"/>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01"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OF ATTORNEY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whose signature appears below constitutes and appoints [            ] and [            ] as attorneys-in-fact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this Registration Statement has been signed by the following persons in the capacities and on the dates indicated.</w:t>
      </w:r>
    </w:p>
    <w:tbl>
      <w:tblPr>
        <w:tblW w:w="6400" w:type="dxa"/>
        <w:jc w:val="left"/>
        <w:tblInd w:w="0" w:type="dxa"/>
        <w:tblLayout w:type="fixed"/>
        <w:tblCellMar>
          <w:top w:w="0" w:type="dxa"/>
          <w:left w:w="0" w:type="dxa"/>
          <w:bottom w:w="0" w:type="dxa"/>
          <w:right w:w="0" w:type="dxa"/>
        </w:tblCellMar>
      </w:tblPr>
      <w:tblGrid>
        <w:gridCol w:w="1696"/>
        <w:gridCol w:w="146"/>
        <w:gridCol w:w="3061"/>
        <w:gridCol w:w="146"/>
        <w:gridCol w:w="1351"/>
      </w:tblGrid>
      <w:tr>
        <w:trPr/>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30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1696" w:type="dxa"/>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306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tcPr>
          <w:p>
            <w:pPr>
              <w:pStyle w:val="TableContents"/>
              <w:bidi w:val="0"/>
              <w:spacing w:before="0" w:after="283"/>
              <w:jc w:val="left"/>
              <w:rPr/>
            </w:pPr>
            <w:r>
              <w:rPr/>
              <w:t> </w:t>
            </w:r>
          </w:p>
        </w:tc>
        <w:tc>
          <w:tcPr>
            <w:tcW w:w="1351" w:type="dxa"/>
            <w:tcBorders/>
          </w:tcPr>
          <w:p>
            <w:pPr>
              <w:pStyle w:val="TableContents"/>
              <w:keepNext w:val="false"/>
              <w:widowControl/>
              <w:pBdr/>
              <w:bidi w:val="0"/>
              <w:spacing w:before="16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2023</w:t>
            </w:r>
          </w:p>
        </w:tc>
      </w:tr>
      <w:tr>
        <w:trPr/>
        <w:tc>
          <w:tcPr>
            <w:tcW w:w="169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            ]</w:t>
            </w:r>
          </w:p>
        </w:tc>
        <w:tc>
          <w:tcPr>
            <w:tcW w:w="146" w:type="dxa"/>
            <w:tcBorders/>
          </w:tcPr>
          <w:p>
            <w:pPr>
              <w:pStyle w:val="TableContents"/>
              <w:bidi w:val="0"/>
              <w:spacing w:before="0" w:after="283"/>
              <w:jc w:val="left"/>
              <w:rPr/>
            </w:pPr>
            <w:r>
              <w:rPr/>
              <w:t> </w:t>
            </w:r>
          </w:p>
        </w:tc>
        <w:tc>
          <w:tcPr>
            <w:tcW w:w="30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c>
          <w:tcPr>
            <w:tcW w:w="146" w:type="dxa"/>
            <w:tcBorders/>
          </w:tcPr>
          <w:p>
            <w:pPr>
              <w:pStyle w:val="TableContents"/>
              <w:bidi w:val="0"/>
              <w:spacing w:before="0" w:after="283"/>
              <w:jc w:val="left"/>
              <w:rPr/>
            </w:pPr>
            <w:r>
              <w:rPr/>
              <w:t> </w:t>
            </w:r>
          </w:p>
        </w:tc>
        <w:tc>
          <w:tcPr>
            <w:tcW w:w="1351" w:type="dxa"/>
            <w:tcBorders/>
          </w:tcPr>
          <w:p>
            <w:pPr>
              <w:pStyle w:val="TableContents"/>
              <w:bidi w:val="0"/>
              <w:spacing w:before="0" w:after="283"/>
              <w:jc w:val="left"/>
              <w:rPr/>
            </w:pPr>
            <w:r>
              <w:rPr/>
              <w:t> </w:t>
            </w:r>
          </w:p>
        </w:tc>
      </w:tr>
      <w:tr>
        <w:trPr/>
        <w:tc>
          <w:tcPr>
            <w:tcW w:w="1696" w:type="dxa"/>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306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tcPr>
          <w:p>
            <w:pPr>
              <w:pStyle w:val="TableContents"/>
              <w:bidi w:val="0"/>
              <w:spacing w:before="0" w:after="283"/>
              <w:jc w:val="left"/>
              <w:rPr/>
            </w:pPr>
            <w:r>
              <w:rPr/>
              <w:t> </w:t>
            </w:r>
          </w:p>
        </w:tc>
        <w:tc>
          <w:tcPr>
            <w:tcW w:w="1351" w:type="dxa"/>
            <w:tcBorders/>
          </w:tcPr>
          <w:p>
            <w:pPr>
              <w:pStyle w:val="TableContents"/>
              <w:bidi w:val="0"/>
              <w:spacing w:before="0" w:after="283"/>
              <w:jc w:val="left"/>
              <w:rPr/>
            </w:pPr>
            <w:r>
              <w:rPr/>
              <w:t> </w:t>
            </w:r>
          </w:p>
        </w:tc>
      </w:tr>
      <w:tr>
        <w:trPr/>
        <w:tc>
          <w:tcPr>
            <w:tcW w:w="169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            ]</w:t>
            </w:r>
          </w:p>
        </w:tc>
        <w:tc>
          <w:tcPr>
            <w:tcW w:w="146" w:type="dxa"/>
            <w:tcBorders/>
          </w:tcPr>
          <w:p>
            <w:pPr>
              <w:pStyle w:val="TableContents"/>
              <w:bidi w:val="0"/>
              <w:spacing w:before="0" w:after="283"/>
              <w:jc w:val="left"/>
              <w:rPr/>
            </w:pPr>
            <w:r>
              <w:rPr/>
              <w:t> </w:t>
            </w:r>
          </w:p>
        </w:tc>
        <w:tc>
          <w:tcPr>
            <w:tcW w:w="30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(principal financial officer and </w:t>
              <w:br/>
              <w:t>principal accounting officer)</w:t>
            </w:r>
          </w:p>
        </w:tc>
        <w:tc>
          <w:tcPr>
            <w:tcW w:w="146" w:type="dxa"/>
            <w:tcBorders/>
          </w:tcPr>
          <w:p>
            <w:pPr>
              <w:pStyle w:val="TableContents"/>
              <w:bidi w:val="0"/>
              <w:spacing w:before="0" w:after="283"/>
              <w:jc w:val="left"/>
              <w:rPr/>
            </w:pPr>
            <w:r>
              <w:rPr/>
              <w:t> </w:t>
            </w:r>
          </w:p>
        </w:tc>
        <w:tc>
          <w:tcPr>
            <w:tcW w:w="1351" w:type="dxa"/>
            <w:tcBorders/>
          </w:tcPr>
          <w:p>
            <w:pPr>
              <w:pStyle w:val="TableContents"/>
              <w:keepNext w:val="false"/>
              <w:widowControl/>
              <w:pBdr/>
              <w:bidi w:val="0"/>
              <w:spacing w:before="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2023</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 OF AUTHORIZED REPRESENTATIVE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Securities Act of 1933, as amended, the undersigned, the duly authorized representative in the United States of Trident Digital Tech Holdings Ltd, has signed this registration statement or amendment thereto in [            ], United States on [            ], 2023.</w:t>
      </w:r>
    </w:p>
    <w:tbl>
      <w:tblPr>
        <w:tblW w:w="3907" w:type="dxa"/>
        <w:jc w:val="left"/>
        <w:tblInd w:w="0" w:type="dxa"/>
        <w:tblLayout w:type="fixed"/>
        <w:tblCellMar>
          <w:top w:w="0" w:type="dxa"/>
          <w:left w:w="0" w:type="dxa"/>
          <w:bottom w:w="0" w:type="dxa"/>
          <w:right w:w="0" w:type="dxa"/>
        </w:tblCellMar>
      </w:tblPr>
      <w:tblGrid>
        <w:gridCol w:w="161"/>
        <w:gridCol w:w="146"/>
        <w:gridCol w:w="1044"/>
        <w:gridCol w:w="421"/>
        <w:gridCol w:w="2135"/>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00" w:type="dxa"/>
            <w:gridSpan w:val="3"/>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U.S. Representative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21"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II-6</w:t>
      </w:r>
    </w:p>
    <w:p>
      <w:pPr>
        <w:pStyle w:val="TextBody"/>
        <w:bidi w:val="0"/>
        <w:jc w:val="right"/>
        <w:rPr>
          <w:b/>
        </w:rPr>
      </w:pPr>
      <w:bookmarkStart w:id="36" w:name="filename2.htm"/>
      <w:bookmarkStart w:id="37" w:name="ksfilename2"/>
      <w:bookmarkEnd w:id="36"/>
      <w:bookmarkEnd w:id="37"/>
      <w:r>
        <w:rPr>
          <w:b/>
        </w:rPr>
        <w:t>Exhibit 21.1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Subsidiaries of the Registrant</w:t>
      </w:r>
    </w:p>
    <w:p>
      <w:pPr>
        <w:pStyle w:val="TextBody"/>
        <w:bidi w:val="0"/>
        <w:spacing w:before="0" w:after="0"/>
        <w:ind w:left="0" w:right="0" w:hanging="0"/>
        <w:jc w:val="center"/>
        <w:rPr>
          <w:caps w:val="false"/>
          <w:smallCaps w:val="false"/>
        </w:rPr>
      </w:pPr>
      <w:r>
        <w:rPr>
          <w:caps w:val="false"/>
          <w:smallCaps w:val="false"/>
        </w:rPr>
        <w:t> </w:t>
      </w:r>
    </w:p>
    <w:tbl>
      <w:tblPr>
        <w:tblW w:w="5005" w:type="dxa"/>
        <w:jc w:val="left"/>
        <w:tblInd w:w="0" w:type="dxa"/>
        <w:tblLayout w:type="fixed"/>
        <w:tblCellMar>
          <w:top w:w="0" w:type="dxa"/>
          <w:left w:w="0" w:type="dxa"/>
          <w:bottom w:w="28" w:type="dxa"/>
          <w:right w:w="0" w:type="dxa"/>
        </w:tblCellMar>
      </w:tblPr>
      <w:tblGrid>
        <w:gridCol w:w="2990"/>
        <w:gridCol w:w="60"/>
        <w:gridCol w:w="1955"/>
      </w:tblGrid>
      <w:tr>
        <w:trPr/>
        <w:tc>
          <w:tcPr>
            <w:tcW w:w="2990"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12" w:space="0" w:color="000000"/>
            </w:tcBorders>
            <w:tcMar>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Place of Incorporation</w:t>
            </w:r>
          </w:p>
        </w:tc>
      </w:tr>
      <w:tr>
        <w:trPr/>
        <w:tc>
          <w:tcPr>
            <w:tcW w:w="299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Quality Zone Technologies Pte. Ltd.</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Singapore</w:t>
            </w:r>
          </w:p>
        </w:tc>
      </w:tr>
      <w:tr>
        <w:trPr/>
        <w:tc>
          <w:tcPr>
            <w:tcW w:w="299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Trident Digital Tech Pte. Ltd.</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Singapore</w:t>
            </w:r>
          </w:p>
        </w:tc>
      </w:tr>
    </w:tbl>
    <w:p>
      <w:pPr>
        <w:pStyle w:val="TextBody"/>
        <w:bidi w:val="0"/>
        <w:spacing w:before="0" w:after="0"/>
        <w:ind w:left="0" w:right="0" w:hanging="0"/>
        <w:jc w:val="right"/>
        <w:rPr>
          <w:caps w:val="false"/>
          <w:smallCaps w:val="false"/>
        </w:rPr>
      </w:pPr>
      <w:r>
        <w:rPr>
          <w:caps w:val="false"/>
          <w:smallCaps w:val="false"/>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150</Pages>
  <Words>82843</Words>
  <Characters>446569</Characters>
  <CharactersWithSpaces>532527</CharactersWithSpaces>
  <Paragraphs>6061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