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3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Trident Reports First Half 2024 Unaudited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November 22, 2024 (GLOBE NEWSWIRE) — Trident Digital Tech Holdings Ltd (“Trident” or the “Company,” NASDAQ: TDTH), a leading digital transformation facilitator in the e-commerce enablement and digital optimization services market for small and medium enterprise (SMEs) in Singapore, today announced its unaudited financial results for the six months ended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11, 2024, the Company closed the initial public offering of 1,800,000 American Depositary Shares (“ADSs”) at a price to the public of US$5.00 per ADS. Each ADS represents eight Class B Ordinary Shares of the Company. Trident’s ADSs began trading on the Nasdaq Capital Market on September 10, 2024, under the symbol “TDTH.”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Half of 2024 Financial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US$378,839, compared to US$481,165 for the six months ended June 30, 2023.</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US$1,927,027, compared to US$1,861,412 for the six months ended June 30,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Soon Huat Lim, Trident’s Founder, Chairman, and Chief Executive Officer, commented, “Our recent performance comes as we continue our ongoing business transformation, marked by our successful listing on Nasdaq this September. While we’re pleased with this important milestone in our corporate journey, we’re equally encouraged by the growing momentum of Tridentity, our Web 3.0 e-commerce platform launched in December 2023. As we navigate our business transition, we’re strategically investing in innovation and market expansion while maintaining disciplined resource allocation. The increasing adoption of our solutions across key verticals such as food and beverage, fintech, and retail validates our vision of bridging businesses to a secure and trusted digital commerce ecosystem. Looking ahead, we remain focused on leveraging our position as a U.S.-listed company to accelerate our growth and deliver long-term shareholder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Haiyan Huang, Trident’s Chief Financial Officer, added, “Our first half results reflect the ongoing transformation of our business model and the investments we are making to position ourselves for future growth. Our total revenues declined 21.3% year over year as we sought to prioritize the shift towards our Web 3.0 e-commerce platform. Our strategic investments in the business transformation, while impacting our near-term profitability, are essential to ensuring the security, functionality, and overall success of our platform. We remain focused on the disciplined execution of our transition strategy as we seek to become a leader in Web 3.0 enablement.”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60" w:type="dxa"/>
            <w:vAlign w:val="bottom"/>
          </w:tcPr>
          <w:p>
            <w:pPr>
              <w:spacing w:after="0"/>
              <w:rPr>
                <w:sz w:val="24"/>
                <w:szCs w:val="24"/>
                <w:color w:val="auto"/>
              </w:rPr>
            </w:pPr>
          </w:p>
        </w:tc>
        <w:tc>
          <w:tcPr>
            <w:tcW w:w="1600" w:type="dxa"/>
            <w:vAlign w:val="bottom"/>
            <w:gridSpan w:val="4"/>
            <w:vMerge w:val="restart"/>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0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4"/>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0"/>
                <w:szCs w:val="20"/>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(360,390)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(389,569)</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43"/>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18,449</w:t>
            </w: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(73,147)</w:t>
            </w: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(264,326)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(253,343)</w:t>
            </w:r>
          </w:p>
        </w:tc>
        <w:tc>
          <w:tcPr>
            <w:tcW w:w="1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(10,983)</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(1,528,022)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(1,551,710)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Pr>
          <w:p>
            <w:pPr>
              <w:spacing w:after="0"/>
              <w:rPr>
                <w:sz w:val="20"/>
                <w:szCs w:val="20"/>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(172,519)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(192,855)</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61"/>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(1,964,867)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33,041</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(1,946,418)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(1,906,312)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(40,106)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19,391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44,900</w:t>
            </w:r>
          </w:p>
        </w:tc>
        <w:tc>
          <w:tcPr>
            <w:tcW w:w="1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(25,509)</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30"/>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(1,927,027)</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(65,615)</w:t>
            </w:r>
          </w:p>
        </w:tc>
        <w:tc>
          <w:tcPr>
            <w:tcW w:w="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5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(1,927,027</w:t>
            </w:r>
          </w:p>
        </w:tc>
        <w:tc>
          <w:tcPr>
            <w:tcW w:w="1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(1,861,412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(65,615</w:t>
            </w:r>
          </w:p>
        </w:tc>
        <w:tc>
          <w:tcPr>
            <w:tcW w:w="2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Financial Results for the Six Months Ended June 30, 2024</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consulting</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 customization</w:t>
            </w:r>
          </w:p>
        </w:tc>
        <w:tc>
          <w:tcPr>
            <w:tcW w:w="2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265,649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367,401</w:t>
            </w:r>
          </w:p>
        </w:tc>
        <w:tc>
          <w:tcPr>
            <w:tcW w:w="1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(101,752)</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 IT consulting</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130,289</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(130,289)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(ii) Management software</w:t>
            </w:r>
          </w:p>
        </w:tc>
        <w:tc>
          <w:tcPr>
            <w:tcW w:w="220" w:type="dxa"/>
            <w:vAlign w:val="bottom"/>
          </w:tcPr>
          <w:p>
            <w:pPr>
              <w:spacing w:after="0"/>
              <w:rPr>
                <w:sz w:val="18"/>
                <w:szCs w:val="18"/>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265,649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237,112</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line="20" w:lineRule="exact"/>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378,839</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481,165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(102,326</w:t>
            </w:r>
          </w:p>
        </w:tc>
        <w:tc>
          <w:tcPr>
            <w:tcW w:w="2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decreased by 21.27% from US$481,165 for the six months ended June 30, 2023, to US$378,839 for the six months ended June 30, 2024. The decrease was primarily due to the Company’s strategic shift towards prioritizing its Web 3.0 e-commerce platform, Tridentity, a core growth area for its long-term vision in the future. As a result, the Company allocated fewer resources to its consulting and IT customization business. This realignment allows the Company to concentrate on expanding its presence in Tridentity, positioning Trident to capture new opportunities in a rapidly advancing digital ecosystem.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Tridentity, the Company’s flagship product, is a cutting-edge identity app built on blockchain technology, designed to provide secure single sign-on capabilities to integrated third-party systems in various industries, which was launched in December 2023. Tridentity currently includes three primary business modules: Tri-event for NFT (Non-Fungible Token) event ticketing, Tri-food for block-chain powered food delivery, and Tri-verse for virtual community connecting its users. As the platform remains in the development, optimization, and gradual testing stages, the Company generated only US$1,872 in revenue from providing technical support for selling event tickets on behalf of merchants through Tridentity for the six months ended June 30,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Variances</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gridSpan w:val="2"/>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111,962</w:t>
            </w:r>
          </w:p>
        </w:tc>
        <w:tc>
          <w:tcPr>
            <w:tcW w:w="2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Direct labor costs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122,142</w:t>
            </w:r>
          </w:p>
        </w:tc>
        <w:tc>
          <w:tcPr>
            <w:tcW w:w="2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(122,142)</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20,855</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(18,999)</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line="20" w:lineRule="exact"/>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360,390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389,569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(29,179</w:t>
            </w:r>
          </w:p>
        </w:tc>
        <w:tc>
          <w:tcPr>
            <w:tcW w:w="20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cost of revenues decreased by 7.49% from US$389,569 for the six months ended June 30, 2023 to US$360,390 for the six months ended June 30, 2024, primarily due to a decrease in direct labor cost and miscellaneous costs in total of US$141,141 as a result of a significant reduction in headcount in response to lower business volumes and cost controls, and partially offset by an increase of service fees in the amount of US$111,962 as a result of the fulfillment of slightly increased number of management software solutions projects since the second half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factors described above, the Company recorded a gross profit of US$0.09 million and US$0.02 million for the six months ended June 30, 2023 and 2024, representing a gross profit margin of 19.0% and 4.9%, respectively. The decrease in gross profit margin was primarily due to the decrease in IT consulting services with relatively higher gross margin and high proportion of revenues in the first half of 2023, which had no revenue in the first half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selling and marketing expenses slightly increased from US$253,343 for the six months ended June 30, 2023 to US$264,326 for the six months ended June 30, 2024. The increase was primarily due to hiring of additional business development personnel to support the launch, operation and promotion of Tridentity since the second half of 2023, which was partially offset by the decrease in marketing and advertising expenses due to the Company’s strict control over discretionary spending.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general and administrative expenses decreased slightly from US$1,551,710 for the six months ended June 30, 2023 to US$1,528,022 for the six months ended June 30, 2024. The decrease was primarily due to a decrease in professional service fees and other overhead expenses, which was partially offset by an increase in payroll expenses due to additional headcount in management.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research and development expenses decreased from US$192,855 for the six months ended June 30, 2023 to US$172,519 for the six months ended June 30, 2024, primarily due to the decrease in system development expenses for which there will be no further related expenses in 2024. This decrease was partially offset by the increase in payroll expenses, outsource service fees and the technical support expenses for Tridentity.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income, net decreased from US$44,900 for the six months ended June 30, 2023 to US$19,391 for the six months ended June 30, 2024. The decrease was primarily due to the decrease of interest income and the depreciation of the Singapore dollar against the U.S. dollar in the Company’s reporting currency translation from S$1.3523 to US$1.00 for the six months ended June 30, 2023 to S$1.3552 to US$1.00 for the six months ended June 30, 2024, leading to a decrease in unrealized gain as the foreign currency exposures are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is a leading digital transformation facilitator in the e-commerce enablement and digital optimization services market for SMEs in Singapore. The Company offers business and technology solutions that are designed to optimize clients’ experiences with their customers by driving digital adoption and self-service.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 cutting-edge identity app built on blockchain technology, designed to provide secure single sign-on capabilities to third-party integrated systems in industry verticals such as e-commerce, food and beverage, fintech, healthcare and health services, and wholesale and retail. Tridentity endeavors to offer unparalleled security features, ensuring the protection of sensitive information and safeguarding against potential threats, which promises a new and better age in the digital landscape.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Orchestrating with and beyond Tridentity, Trident’s mission is to be the leader in Web 3.0 enablement, bridging businesses to a trusted and secure e-commerce platform with curated customer experiences.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Investor/Media Enquiries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321-0602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U.S. dollars,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8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8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1,808,603</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194,417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341,808</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2,000,195</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1,046,187</w:t>
            </w: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337,920</w:t>
            </w:r>
          </w:p>
        </w:tc>
        <w:tc>
          <w:tcPr>
            <w:tcW w:w="80" w:type="dxa"/>
            <w:vAlign w:val="bottom"/>
            <w:shd w:val="clear" w:color="auto" w:fill="CCEEFF"/>
          </w:tcPr>
          <w:p>
            <w:pPr>
              <w:spacing w:after="0"/>
              <w:rPr>
                <w:sz w:val="18"/>
                <w:szCs w:val="18"/>
                <w:color w:val="auto"/>
              </w:rPr>
            </w:pPr>
          </w:p>
        </w:tc>
      </w:tr>
      <w:tr>
        <w:trPr>
          <w:trHeight w:val="23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435,512</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451,217</w:t>
            </w:r>
          </w:p>
        </w:tc>
        <w:tc>
          <w:tcPr>
            <w:tcW w:w="80" w:type="dxa"/>
            <w:vAlign w:val="bottom"/>
          </w:tcPr>
          <w:p>
            <w:pPr>
              <w:spacing w:after="0"/>
              <w:rPr>
                <w:sz w:val="20"/>
                <w:szCs w:val="20"/>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2,735,959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3,987,933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168,422</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202,777</w:t>
            </w:r>
          </w:p>
        </w:tc>
        <w:tc>
          <w:tcPr>
            <w:tcW w:w="80" w:type="dxa"/>
            <w:vAlign w:val="bottom"/>
          </w:tcPr>
          <w:p>
            <w:pPr>
              <w:spacing w:after="0"/>
              <w:rPr>
                <w:sz w:val="18"/>
                <w:szCs w:val="18"/>
                <w:color w:val="auto"/>
              </w:rPr>
            </w:pPr>
          </w:p>
        </w:tc>
      </w:tr>
      <w:tr>
        <w:trPr>
          <w:trHeight w:val="25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1,119,503</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1,639,233</w:t>
            </w:r>
          </w:p>
        </w:tc>
        <w:tc>
          <w:tcPr>
            <w:tcW w:w="80" w:type="dxa"/>
            <w:vAlign w:val="bottom"/>
            <w:shd w:val="clear" w:color="auto" w:fill="CCEEFF"/>
          </w:tcPr>
          <w:p>
            <w:pPr>
              <w:spacing w:after="0"/>
              <w:rPr>
                <w:sz w:val="21"/>
                <w:szCs w:val="21"/>
                <w:color w:val="auto"/>
              </w:rPr>
            </w:pPr>
          </w:p>
        </w:tc>
      </w:tr>
      <w:tr>
        <w:trPr>
          <w:trHeight w:val="210"/>
        </w:trPr>
        <w:tc>
          <w:tcPr>
            <w:tcW w:w="83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1,287,925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1,842,010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04"/>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4,023,884</w:t>
            </w: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5,829,943</w:t>
            </w:r>
          </w:p>
        </w:tc>
        <w:tc>
          <w:tcPr>
            <w:tcW w:w="80" w:type="dxa"/>
            <w:vAlign w:val="bottom"/>
          </w:tcPr>
          <w:p>
            <w:pPr>
              <w:spacing w:after="0"/>
              <w:rPr>
                <w:sz w:val="24"/>
                <w:szCs w:val="24"/>
                <w:color w:val="auto"/>
              </w:rPr>
            </w:pPr>
          </w:p>
        </w:tc>
      </w:tr>
      <w:tr>
        <w:trPr>
          <w:trHeight w:val="216"/>
        </w:trPr>
        <w:tc>
          <w:tcPr>
            <w:tcW w:w="8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58,885</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68,987</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129,158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202,289</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463,980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572,186</w:t>
            </w: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current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635,161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314,951</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733,189</w:t>
            </w:r>
          </w:p>
        </w:tc>
        <w:tc>
          <w:tcPr>
            <w:tcW w:w="80" w:type="dxa"/>
            <w:vAlign w:val="bottom"/>
          </w:tcPr>
          <w:p>
            <w:pPr>
              <w:spacing w:after="0"/>
              <w:rPr>
                <w:sz w:val="18"/>
                <w:szCs w:val="18"/>
                <w:color w:val="auto"/>
              </w:rPr>
            </w:pPr>
          </w:p>
        </w:tc>
      </w:tr>
      <w:tr>
        <w:trPr>
          <w:trHeight w:val="25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333,641</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430,554</w:t>
            </w:r>
          </w:p>
        </w:tc>
        <w:tc>
          <w:tcPr>
            <w:tcW w:w="80" w:type="dxa"/>
            <w:vAlign w:val="bottom"/>
            <w:shd w:val="clear" w:color="auto" w:fill="CCEEFF"/>
          </w:tcPr>
          <w:p>
            <w:pPr>
              <w:spacing w:after="0"/>
              <w:rPr>
                <w:sz w:val="21"/>
                <w:szCs w:val="21"/>
                <w:color w:val="auto"/>
              </w:rPr>
            </w:pPr>
          </w:p>
        </w:tc>
      </w:tr>
      <w:tr>
        <w:trPr>
          <w:trHeight w:val="210"/>
        </w:trPr>
        <w:tc>
          <w:tcPr>
            <w:tcW w:w="83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1,935,776</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2,012,025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723,140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126,963</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176,589</w:t>
            </w:r>
          </w:p>
        </w:tc>
        <w:tc>
          <w:tcPr>
            <w:tcW w:w="80" w:type="dxa"/>
            <w:vAlign w:val="bottom"/>
          </w:tcPr>
          <w:p>
            <w:pPr>
              <w:spacing w:after="0"/>
              <w:rPr>
                <w:sz w:val="18"/>
                <w:szCs w:val="18"/>
                <w:color w:val="auto"/>
              </w:rPr>
            </w:pPr>
          </w:p>
        </w:tc>
      </w:tr>
      <w:tr>
        <w:trPr>
          <w:trHeight w:val="24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785,863</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1,208,679</w:t>
            </w:r>
          </w:p>
        </w:tc>
        <w:tc>
          <w:tcPr>
            <w:tcW w:w="80" w:type="dxa"/>
            <w:vAlign w:val="bottom"/>
            <w:shd w:val="clear" w:color="auto" w:fill="CCEEFF"/>
          </w:tcPr>
          <w:p>
            <w:pPr>
              <w:spacing w:after="0"/>
              <w:rPr>
                <w:sz w:val="21"/>
                <w:szCs w:val="21"/>
                <w:color w:val="auto"/>
              </w:rPr>
            </w:pPr>
          </w:p>
        </w:tc>
      </w:tr>
      <w:tr>
        <w:trPr>
          <w:trHeight w:val="210"/>
        </w:trPr>
        <w:tc>
          <w:tcPr>
            <w:tcW w:w="83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1,635,966</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1,385,268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3,571,742</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3,397,293</w:t>
            </w:r>
          </w:p>
        </w:tc>
        <w:tc>
          <w:tcPr>
            <w:tcW w:w="80" w:type="dxa"/>
            <w:vAlign w:val="bottom"/>
          </w:tcPr>
          <w:p>
            <w:pPr>
              <w:spacing w:after="0"/>
              <w:rPr>
                <w:sz w:val="20"/>
                <w:szCs w:val="20"/>
                <w:color w:val="auto"/>
              </w:rPr>
            </w:pPr>
          </w:p>
        </w:tc>
      </w:tr>
      <w:tr>
        <w:trPr>
          <w:trHeight w:val="216"/>
        </w:trPr>
        <w:tc>
          <w:tcPr>
            <w:tcW w:w="8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$0.00001 per share; 1,000,000,000 Class A ordinary shares authorized, 50,000,000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50,000,000 Class A ordinary shares issued and outstanding as of June 30, 2024 and December 31, 2023,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4,000,000,000 Class B ordinary shares authorized, 451,964,286 and 451,964,286 Class B ordinary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June 30, 2024 and December 31, 2023, respectively.)*</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5,020</w:t>
            </w:r>
          </w:p>
        </w:tc>
        <w:tc>
          <w:tcPr>
            <w:tcW w:w="80" w:type="dxa"/>
            <w:vAlign w:val="bottom"/>
            <w:shd w:val="clear" w:color="auto" w:fill="CCEEFF"/>
          </w:tcPr>
          <w:p>
            <w:pPr>
              <w:spacing w:after="0"/>
              <w:rPr>
                <w:sz w:val="20"/>
                <w:szCs w:val="20"/>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8,426,684</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8,426,684</w:t>
            </w:r>
          </w:p>
        </w:tc>
        <w:tc>
          <w:tcPr>
            <w:tcW w:w="8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(8,110,572)</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(6,183,545)</w:t>
            </w:r>
          </w:p>
        </w:tc>
      </w:tr>
      <w:tr>
        <w:trPr>
          <w:trHeight w:val="23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131,010</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184,491</w:t>
            </w:r>
          </w:p>
        </w:tc>
        <w:tc>
          <w:tcPr>
            <w:tcW w:w="80" w:type="dxa"/>
            <w:vAlign w:val="bottom"/>
          </w:tcPr>
          <w:p>
            <w:pPr>
              <w:spacing w:after="0"/>
              <w:rPr>
                <w:sz w:val="20"/>
                <w:szCs w:val="20"/>
                <w:color w:val="auto"/>
              </w:rPr>
            </w:pPr>
          </w:p>
        </w:tc>
      </w:tr>
      <w:tr>
        <w:trPr>
          <w:trHeight w:val="236"/>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452,142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2,432,650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4,023,884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5,829,943</w:t>
            </w:r>
          </w:p>
        </w:tc>
        <w:tc>
          <w:tcPr>
            <w:tcW w:w="80" w:type="dxa"/>
            <w:vAlign w:val="bottom"/>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The shares and per share information are presented on a retroactive basis to reflect the reorganization.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U.S. dollars, except for share and per share data, or otherwise noted)</w:t>
      </w:r>
    </w:p>
    <w:p>
      <w:pPr>
        <w:spacing w:after="0" w:line="203"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tcBorders>
              <w:bottom w:val="single" w:sz="8" w:color="CCEEFF"/>
            </w:tcBorders>
          </w:tcPr>
          <w:p>
            <w:pPr>
              <w:spacing w:after="0"/>
              <w:rPr>
                <w:sz w:val="21"/>
                <w:szCs w:val="21"/>
                <w:color w:val="auto"/>
              </w:rPr>
            </w:pPr>
          </w:p>
        </w:tc>
        <w:tc>
          <w:tcPr>
            <w:tcW w:w="36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481,165</w:t>
            </w:r>
          </w:p>
        </w:tc>
        <w:tc>
          <w:tcPr>
            <w:tcW w:w="100" w:type="dxa"/>
            <w:vAlign w:val="bottom"/>
            <w:shd w:val="clear" w:color="auto" w:fill="CCEEFF"/>
          </w:tcPr>
          <w:p>
            <w:pPr>
              <w:spacing w:after="0"/>
              <w:rPr>
                <w:sz w:val="18"/>
                <w:szCs w:val="18"/>
                <w:color w:val="auto"/>
              </w:rPr>
            </w:pPr>
          </w:p>
        </w:tc>
      </w:tr>
      <w:tr>
        <w:trPr>
          <w:trHeight w:val="23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(360,390)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(389,569)</w:t>
            </w: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Financial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tax expenses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number of Ordinary Shares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and per share information are presented on a retroactive basis to reflect the reorganization.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(264,326)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(253,343)</w:t>
            </w:r>
          </w:p>
        </w:tc>
      </w:tr>
      <w:tr>
        <w:trPr>
          <w:trHeight w:val="216"/>
        </w:trPr>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(1,528,022)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(1,551,710)</w:t>
            </w:r>
          </w:p>
        </w:tc>
      </w:tr>
      <w:tr>
        <w:trPr>
          <w:trHeight w:val="255"/>
        </w:trPr>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(172,519)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(192,855)</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(1,964,867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(1,997,908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643"/>
        </w:trPr>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40" w:type="dxa"/>
            <w:vAlign w:val="bottom"/>
          </w:tcPr>
          <w:p>
            <w:pPr>
              <w:spacing w:after="0"/>
              <w:rPr>
                <w:sz w:val="24"/>
                <w:szCs w:val="24"/>
                <w:color w:val="auto"/>
              </w:rPr>
            </w:pPr>
          </w:p>
        </w:tc>
      </w:tr>
      <w:tr>
        <w:trPr>
          <w:trHeight w:val="241"/>
        </w:trPr>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24,406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21,158</w:t>
            </w:r>
          </w:p>
        </w:tc>
        <w:tc>
          <w:tcPr>
            <w:tcW w:w="40" w:type="dxa"/>
            <w:vAlign w:val="bottom"/>
          </w:tcPr>
          <w:p>
            <w:pPr>
              <w:spacing w:after="0"/>
              <w:rPr>
                <w:sz w:val="20"/>
                <w:szCs w:val="20"/>
                <w:color w:val="auto"/>
              </w:rPr>
            </w:pP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19,391</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44,900</w:t>
            </w:r>
          </w:p>
        </w:tc>
        <w:tc>
          <w:tcPr>
            <w:tcW w:w="40" w:type="dxa"/>
            <w:vAlign w:val="bottom"/>
          </w:tcPr>
          <w:p>
            <w:pPr>
              <w:spacing w:after="0"/>
              <w:rPr>
                <w:sz w:val="19"/>
                <w:szCs w:val="19"/>
                <w:color w:val="auto"/>
              </w:rPr>
            </w:pPr>
          </w:p>
        </w:tc>
      </w:tr>
      <w:tr>
        <w:trPr>
          <w:trHeight w:val="427"/>
        </w:trPr>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(1,927,027)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(1,861,412)</w:t>
            </w:r>
          </w:p>
        </w:tc>
      </w:tr>
      <w:tr>
        <w:trPr>
          <w:trHeight w:val="241"/>
        </w:trPr>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(1,927,027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(1,861,412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(53,481)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40" w:type="dxa"/>
            <w:vAlign w:val="bottom"/>
          </w:tcPr>
          <w:p>
            <w:pPr>
              <w:spacing w:after="0"/>
              <w:rPr>
                <w:sz w:val="24"/>
                <w:szCs w:val="24"/>
                <w:color w:val="auto"/>
              </w:rPr>
            </w:pPr>
          </w:p>
        </w:tc>
      </w:tr>
      <w:tr>
        <w:trPr>
          <w:trHeight w:val="25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(1,980,508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(1,826,559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2"/>
        </w:trPr>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501,964,286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410,205,000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593"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2024-11-22T16:10:25Z</dcterms:created>
  <dcterms:modified xsi:type="dcterms:W3CDTF">2024-11-22T16:10:25Z</dcterms:modified>
</cp:coreProperties>
</file>